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D0AF" w14:textId="25B7950D" w:rsidR="005D4742" w:rsidRDefault="004553E5" w:rsidP="005D4742">
      <w:pPr>
        <w:pStyle w:val="1-MainHeading"/>
        <w:spacing w:before="0" w:after="0"/>
      </w:pPr>
      <w:bookmarkStart w:id="0" w:name="_Toc156912775"/>
      <w:r>
        <w:t>5.16</w:t>
      </w:r>
      <w:r w:rsidR="00163F66">
        <w:tab/>
      </w:r>
      <w:bookmarkStart w:id="1" w:name="_Hlk153280189"/>
      <w:r w:rsidR="005D4742">
        <w:t>INFLUENZA VACCINE</w:t>
      </w:r>
    </w:p>
    <w:p w14:paraId="357BA630" w14:textId="45298918" w:rsidR="005D4742" w:rsidRDefault="005D4742" w:rsidP="005D4742">
      <w:pPr>
        <w:pStyle w:val="1-MainHeading"/>
        <w:spacing w:before="0" w:after="0"/>
        <w:ind w:hanging="11"/>
      </w:pPr>
      <w:r>
        <w:t>Injection (0.5</w:t>
      </w:r>
      <w:r w:rsidR="00C509F6">
        <w:t xml:space="preserve"> </w:t>
      </w:r>
      <w:r>
        <w:t>mL)</w:t>
      </w:r>
    </w:p>
    <w:p w14:paraId="63A34665" w14:textId="77777777" w:rsidR="005D4742" w:rsidRDefault="005D4742" w:rsidP="005D4742">
      <w:pPr>
        <w:pStyle w:val="1-MainHeading"/>
        <w:spacing w:before="0" w:after="0"/>
        <w:ind w:hanging="11"/>
      </w:pPr>
      <w:r>
        <w:t>Flublok® Quadrivalent</w:t>
      </w:r>
    </w:p>
    <w:p w14:paraId="0C1C5360" w14:textId="23BA1DD2" w:rsidR="00DC6805" w:rsidRPr="00DC6805" w:rsidRDefault="005D4742" w:rsidP="005D4742">
      <w:pPr>
        <w:pStyle w:val="1-MainHeading"/>
        <w:spacing w:before="0" w:after="0"/>
        <w:ind w:hanging="11"/>
      </w:pPr>
      <w:r>
        <w:t>SANOFI-AVENTIS AUSTRALIA PTY LTD</w:t>
      </w:r>
      <w:bookmarkEnd w:id="0"/>
    </w:p>
    <w:p w14:paraId="11C00795" w14:textId="3DFB6D23" w:rsidR="00B50DB8" w:rsidRPr="00407F2D" w:rsidRDefault="00B50DB8" w:rsidP="004A6040">
      <w:pPr>
        <w:pStyle w:val="2-SectionHeading"/>
      </w:pPr>
      <w:bookmarkStart w:id="2" w:name="_Toc156912777"/>
      <w:bookmarkEnd w:id="1"/>
      <w:r w:rsidRPr="00407F2D">
        <w:t xml:space="preserve">Purpose of </w:t>
      </w:r>
      <w:r w:rsidR="00CD7193">
        <w:t>s</w:t>
      </w:r>
      <w:r w:rsidR="00BB3A45">
        <w:t>ubmission</w:t>
      </w:r>
      <w:bookmarkEnd w:id="2"/>
    </w:p>
    <w:p w14:paraId="19414AA1" w14:textId="6A8DE572" w:rsidR="002C2775" w:rsidRPr="008B1757" w:rsidRDefault="007170DA" w:rsidP="004E18E9">
      <w:pPr>
        <w:pStyle w:val="3-BodyText"/>
      </w:pPr>
      <w:r w:rsidRPr="00A23368">
        <w:t xml:space="preserve">The </w:t>
      </w:r>
      <w:r w:rsidR="00F73E08" w:rsidRPr="00A23368">
        <w:t xml:space="preserve">Category </w:t>
      </w:r>
      <w:r w:rsidR="00A23368" w:rsidRPr="00A23368">
        <w:t>2</w:t>
      </w:r>
      <w:r w:rsidR="00341814">
        <w:t xml:space="preserve"> </w:t>
      </w:r>
      <w:r>
        <w:t xml:space="preserve">submission </w:t>
      </w:r>
      <w:r w:rsidRPr="004E18E9">
        <w:t xml:space="preserve">requested </w:t>
      </w:r>
      <w:r w:rsidR="00DC6805" w:rsidRPr="00DC6805">
        <w:t>National Immunisation Program</w:t>
      </w:r>
      <w:r w:rsidR="00DC6805">
        <w:t xml:space="preserve"> (NIP)</w:t>
      </w:r>
      <w:r w:rsidR="00DC6805" w:rsidRPr="00DC6805">
        <w:t xml:space="preserve"> listing for </w:t>
      </w:r>
      <w:r w:rsidR="005D4742">
        <w:t>q</w:t>
      </w:r>
      <w:r w:rsidR="00DC6805" w:rsidRPr="00DC6805">
        <w:t xml:space="preserve">uadrivalent </w:t>
      </w:r>
      <w:r w:rsidR="005D4742">
        <w:t>r</w:t>
      </w:r>
      <w:r w:rsidR="00DC6805" w:rsidRPr="00DC6805">
        <w:t xml:space="preserve">ecombinant </w:t>
      </w:r>
      <w:r w:rsidR="005D4742">
        <w:t>i</w:t>
      </w:r>
      <w:r w:rsidR="00DC6805" w:rsidRPr="00DC6805">
        <w:t xml:space="preserve">nfluenza </w:t>
      </w:r>
      <w:r w:rsidR="005D4742">
        <w:t>v</w:t>
      </w:r>
      <w:r w:rsidR="00DC6805" w:rsidRPr="00DC6805">
        <w:t xml:space="preserve">accine </w:t>
      </w:r>
      <w:r w:rsidR="00DC6805">
        <w:t xml:space="preserve">(RIV4) for </w:t>
      </w:r>
      <w:r w:rsidR="00DC6805" w:rsidRPr="00DC6805">
        <w:t xml:space="preserve">the prevention of influenza in </w:t>
      </w:r>
      <w:r w:rsidR="00DA0D69">
        <w:t>people</w:t>
      </w:r>
      <w:r w:rsidR="00DC6805" w:rsidRPr="00DC6805">
        <w:t xml:space="preserve"> aged 65 years and over</w:t>
      </w:r>
      <w:r w:rsidR="00DC6805">
        <w:t>.</w:t>
      </w:r>
    </w:p>
    <w:p w14:paraId="4E9FBCB5" w14:textId="3B89D228" w:rsidR="00C2778B" w:rsidRPr="00CE4849" w:rsidRDefault="005750C5" w:rsidP="004E18E9">
      <w:pPr>
        <w:pStyle w:val="3-BodyText"/>
      </w:pPr>
      <w:r w:rsidRPr="005750C5">
        <w:t xml:space="preserve">Listing was requested on the basis of a </w:t>
      </w:r>
      <w:r w:rsidR="00D31902" w:rsidRPr="00A23368">
        <w:t>cost-consequence</w:t>
      </w:r>
      <w:r w:rsidR="008B5876" w:rsidRPr="00A23368">
        <w:t xml:space="preserve"> analysis</w:t>
      </w:r>
      <w:r w:rsidR="00D31902">
        <w:t xml:space="preserve"> </w:t>
      </w:r>
      <w:r w:rsidRPr="005750C5">
        <w:t>versus</w:t>
      </w:r>
      <w:r w:rsidR="008B5876">
        <w:t xml:space="preserve"> the existing NIP-funded a</w:t>
      </w:r>
      <w:r w:rsidR="008B5876" w:rsidRPr="008B5876">
        <w:t>djuvanted egg-based quadrivalent influenza vaccine</w:t>
      </w:r>
      <w:r w:rsidR="008B5876">
        <w:t xml:space="preserve"> (</w:t>
      </w:r>
      <w:r w:rsidR="00B94580">
        <w:t>aQIV</w:t>
      </w:r>
      <w:r w:rsidR="00A83445">
        <w:t>)</w:t>
      </w:r>
      <w:r w:rsidR="00B94580">
        <w:t xml:space="preserve">, also referred to as </w:t>
      </w:r>
      <w:r w:rsidR="008B5876">
        <w:t>aIIV4e</w:t>
      </w:r>
      <w:r w:rsidR="00A61930">
        <w:t xml:space="preserve">, </w:t>
      </w:r>
      <w:r w:rsidR="00D31902">
        <w:t>Fluad</w:t>
      </w:r>
      <w:r w:rsidR="00B94580">
        <w:t>®</w:t>
      </w:r>
      <w:r w:rsidR="00D31902">
        <w:t xml:space="preserve"> Quad</w:t>
      </w:r>
      <w:r w:rsidR="00A61930">
        <w:t>)</w:t>
      </w:r>
      <w:r w:rsidR="008B5876">
        <w:t>.</w:t>
      </w:r>
      <w:r w:rsidRPr="005750C5">
        <w:t xml:space="preserve"> </w:t>
      </w:r>
    </w:p>
    <w:p w14:paraId="00D6EA0A" w14:textId="171FF416" w:rsidR="00A83445" w:rsidRPr="0073365E" w:rsidRDefault="00DC6805" w:rsidP="0073365E">
      <w:pPr>
        <w:pStyle w:val="3-BodyText"/>
      </w:pPr>
      <w:r>
        <w:t>The submission claimed that</w:t>
      </w:r>
      <w:r w:rsidRPr="00DC6805">
        <w:t xml:space="preserve"> </w:t>
      </w:r>
      <w:r>
        <w:t>t</w:t>
      </w:r>
      <w:r w:rsidRPr="00DC6805">
        <w:t xml:space="preserve">he recombinant </w:t>
      </w:r>
      <w:r w:rsidRPr="00A61930">
        <w:t>vaccine technology used in RIV4 has advantages over alternative egg- and cell-based approaches and</w:t>
      </w:r>
      <w:r w:rsidR="00CE4849" w:rsidRPr="00A61930">
        <w:t xml:space="preserve"> requested a “technology premium” </w:t>
      </w:r>
      <w:r w:rsidR="00A23368" w:rsidRPr="00A61930">
        <w:t xml:space="preserve">(refer to </w:t>
      </w:r>
      <w:r w:rsidR="008108C0">
        <w:t>P</w:t>
      </w:r>
      <w:r w:rsidR="00A23368" w:rsidRPr="00A61930">
        <w:t>aragraph</w:t>
      </w:r>
      <w:r w:rsidR="00A61930" w:rsidRPr="00A61930">
        <w:t>s</w:t>
      </w:r>
      <w:r w:rsidR="00A23368" w:rsidRPr="00A61930">
        <w:t xml:space="preserve"> </w:t>
      </w:r>
      <w:r w:rsidR="00A61930" w:rsidRPr="00A61930">
        <w:fldChar w:fldCharType="begin" w:fldLock="1"/>
      </w:r>
      <w:r w:rsidR="00A61930" w:rsidRPr="00A61930">
        <w:instrText xml:space="preserve"> REF _Ref155603012 \r \h </w:instrText>
      </w:r>
      <w:r w:rsidR="00A61930">
        <w:instrText xml:space="preserve"> \* MERGEFORMAT </w:instrText>
      </w:r>
      <w:r w:rsidR="00A61930" w:rsidRPr="00A61930">
        <w:fldChar w:fldCharType="separate"/>
      </w:r>
      <w:r w:rsidR="00C364E6">
        <w:t>6.29</w:t>
      </w:r>
      <w:r w:rsidR="00A61930" w:rsidRPr="00A61930">
        <w:fldChar w:fldCharType="end"/>
      </w:r>
      <w:r w:rsidR="00A61930" w:rsidRPr="00A61930">
        <w:t xml:space="preserve"> to</w:t>
      </w:r>
      <w:r w:rsidR="00D94F60">
        <w:t xml:space="preserve"> </w:t>
      </w:r>
      <w:r w:rsidR="00D94F60">
        <w:fldChar w:fldCharType="begin" w:fldLock="1"/>
      </w:r>
      <w:r w:rsidR="00D94F60">
        <w:instrText xml:space="preserve"> REF _Ref159572771 \r \h </w:instrText>
      </w:r>
      <w:r w:rsidR="00D94F60">
        <w:fldChar w:fldCharType="separate"/>
      </w:r>
      <w:r w:rsidR="00C364E6">
        <w:t>6.40</w:t>
      </w:r>
      <w:r w:rsidR="00D94F60">
        <w:fldChar w:fldCharType="end"/>
      </w:r>
      <w:r w:rsidR="00A23368" w:rsidRPr="00A61930">
        <w:t>)</w:t>
      </w:r>
      <w:r w:rsidR="00A61930" w:rsidRPr="00A61930">
        <w:t>.</w:t>
      </w:r>
    </w:p>
    <w:p w14:paraId="728A2E0F" w14:textId="1BFE8CD3" w:rsidR="00A83445" w:rsidRDefault="00A83445" w:rsidP="00A83445">
      <w:pPr>
        <w:pStyle w:val="3-BodyText"/>
      </w:pPr>
      <w:r>
        <w:fldChar w:fldCharType="begin" w:fldLock="1"/>
      </w:r>
      <w:r>
        <w:instrText xml:space="preserve"> REF _Ref151730941 \h </w:instrText>
      </w:r>
      <w:r>
        <w:fldChar w:fldCharType="separate"/>
      </w:r>
      <w:r w:rsidR="00C364E6">
        <w:t xml:space="preserve">Table </w:t>
      </w:r>
      <w:r w:rsidR="00C364E6">
        <w:rPr>
          <w:noProof/>
        </w:rPr>
        <w:t>1</w:t>
      </w:r>
      <w:r>
        <w:fldChar w:fldCharType="end"/>
      </w:r>
      <w:r>
        <w:t xml:space="preserve"> shows the key components addressed by the submission.</w:t>
      </w:r>
    </w:p>
    <w:p w14:paraId="3718DE61" w14:textId="7FF20088" w:rsidR="008B1757" w:rsidRPr="004A6040" w:rsidRDefault="00696EF9" w:rsidP="00C509F6">
      <w:pPr>
        <w:pStyle w:val="TableFigureHeading"/>
        <w:keepLines/>
        <w:rPr>
          <w:rStyle w:val="CommentReference"/>
          <w:b/>
          <w:szCs w:val="24"/>
        </w:rPr>
      </w:pPr>
      <w:bookmarkStart w:id="3" w:name="_Ref151730941"/>
      <w:r>
        <w:t xml:space="preserve">Table </w:t>
      </w:r>
      <w:r w:rsidR="005362BD">
        <w:fldChar w:fldCharType="begin" w:fldLock="1"/>
      </w:r>
      <w:r w:rsidR="005362BD">
        <w:instrText xml:space="preserve"> SEQ Table \* ARABIC </w:instrText>
      </w:r>
      <w:r w:rsidR="005362BD">
        <w:fldChar w:fldCharType="separate"/>
      </w:r>
      <w:r w:rsidR="00C364E6">
        <w:rPr>
          <w:noProof/>
        </w:rPr>
        <w:t>1</w:t>
      </w:r>
      <w:r w:rsidR="005362BD">
        <w:rPr>
          <w:noProof/>
        </w:rPr>
        <w:fldChar w:fldCharType="end"/>
      </w:r>
      <w:bookmarkEnd w:id="3"/>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w:t>
      </w:r>
      <w:r w:rsidR="00A83445">
        <w:rPr>
          <w:rStyle w:val="CommentReference"/>
          <w:b/>
          <w:szCs w:val="24"/>
        </w:rPr>
        <w:t>(as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Key components of the clinical issue addressed by the submission "/>
      </w:tblPr>
      <w:tblGrid>
        <w:gridCol w:w="1271"/>
        <w:gridCol w:w="7746"/>
      </w:tblGrid>
      <w:tr w:rsidR="008B1757" w:rsidRPr="00691913" w14:paraId="569F5103" w14:textId="77777777" w:rsidTr="00DC6805">
        <w:trPr>
          <w:cantSplit/>
          <w:tblHeader/>
        </w:trPr>
        <w:tc>
          <w:tcPr>
            <w:tcW w:w="705" w:type="pct"/>
            <w:shd w:val="clear" w:color="auto" w:fill="auto"/>
          </w:tcPr>
          <w:p w14:paraId="501803FB" w14:textId="77777777" w:rsidR="008B1757" w:rsidRPr="008B1757" w:rsidRDefault="008B1757" w:rsidP="00C509F6">
            <w:pPr>
              <w:pStyle w:val="In-tableHeading"/>
              <w:keepLines/>
              <w:rPr>
                <w:szCs w:val="20"/>
              </w:rPr>
            </w:pPr>
            <w:r w:rsidRPr="008B1757">
              <w:t>Component</w:t>
            </w:r>
          </w:p>
        </w:tc>
        <w:tc>
          <w:tcPr>
            <w:tcW w:w="4295" w:type="pct"/>
            <w:shd w:val="clear" w:color="auto" w:fill="auto"/>
          </w:tcPr>
          <w:p w14:paraId="445D9EBB" w14:textId="77777777" w:rsidR="008B1757" w:rsidRPr="008B1757" w:rsidRDefault="008B1757" w:rsidP="00C509F6">
            <w:pPr>
              <w:pStyle w:val="In-tableHeading"/>
              <w:keepLines/>
            </w:pPr>
            <w:r w:rsidRPr="008B1757">
              <w:t>Description</w:t>
            </w:r>
          </w:p>
        </w:tc>
      </w:tr>
      <w:tr w:rsidR="000E6A77" w:rsidRPr="00691913" w14:paraId="2EB546E2" w14:textId="77777777" w:rsidTr="00DC6805">
        <w:trPr>
          <w:cantSplit/>
        </w:trPr>
        <w:tc>
          <w:tcPr>
            <w:tcW w:w="705" w:type="pct"/>
            <w:shd w:val="clear" w:color="auto" w:fill="auto"/>
          </w:tcPr>
          <w:p w14:paraId="38F3BB34" w14:textId="77777777" w:rsidR="000E6A77" w:rsidRPr="00691913" w:rsidRDefault="000E6A77" w:rsidP="00C509F6">
            <w:pPr>
              <w:pStyle w:val="TableText0"/>
              <w:keepLines/>
            </w:pPr>
            <w:r w:rsidRPr="00691913">
              <w:t>Population</w:t>
            </w:r>
          </w:p>
        </w:tc>
        <w:tc>
          <w:tcPr>
            <w:tcW w:w="4295" w:type="pct"/>
            <w:shd w:val="clear" w:color="auto" w:fill="auto"/>
          </w:tcPr>
          <w:p w14:paraId="79618EEE" w14:textId="0BB658BA" w:rsidR="000E6A77" w:rsidRPr="001E1E86" w:rsidRDefault="000E6A77" w:rsidP="00C509F6">
            <w:pPr>
              <w:pStyle w:val="TableText0"/>
              <w:keepLines/>
              <w:rPr>
                <w:szCs w:val="20"/>
              </w:rPr>
            </w:pPr>
            <w:r w:rsidRPr="00730028">
              <w:t xml:space="preserve">Adults aged </w:t>
            </w:r>
            <w:r w:rsidR="002F0702" w:rsidRPr="002F0702">
              <w:t>≥ 65 years</w:t>
            </w:r>
          </w:p>
        </w:tc>
      </w:tr>
      <w:tr w:rsidR="000E6A77" w:rsidRPr="00691913" w14:paraId="0CA523AF" w14:textId="77777777" w:rsidTr="00DC6805">
        <w:trPr>
          <w:cantSplit/>
        </w:trPr>
        <w:tc>
          <w:tcPr>
            <w:tcW w:w="705" w:type="pct"/>
            <w:shd w:val="clear" w:color="auto" w:fill="auto"/>
          </w:tcPr>
          <w:p w14:paraId="7B6D20D8" w14:textId="77777777" w:rsidR="000E6A77" w:rsidRPr="00691913" w:rsidRDefault="000E6A77" w:rsidP="00C509F6">
            <w:pPr>
              <w:pStyle w:val="TableText0"/>
              <w:keepLines/>
            </w:pPr>
            <w:r w:rsidRPr="00691913">
              <w:t>Intervention</w:t>
            </w:r>
          </w:p>
        </w:tc>
        <w:tc>
          <w:tcPr>
            <w:tcW w:w="4295" w:type="pct"/>
            <w:shd w:val="clear" w:color="auto" w:fill="auto"/>
          </w:tcPr>
          <w:p w14:paraId="2491E905" w14:textId="78DE8B6B" w:rsidR="000E6A77" w:rsidRPr="00691913" w:rsidRDefault="000E6A77" w:rsidP="00C509F6">
            <w:pPr>
              <w:pStyle w:val="TableText0"/>
              <w:keepLines/>
            </w:pPr>
            <w:r w:rsidRPr="00730028">
              <w:t xml:space="preserve">A single 0.5 mL dose of </w:t>
            </w:r>
            <w:r w:rsidR="00837EDB">
              <w:t>RIV4</w:t>
            </w:r>
            <w:r w:rsidRPr="00730028">
              <w:t xml:space="preserve">, by IM injection every year </w:t>
            </w:r>
          </w:p>
        </w:tc>
      </w:tr>
      <w:tr w:rsidR="000E6A77" w:rsidRPr="00691913" w14:paraId="0F81EBE4" w14:textId="77777777" w:rsidTr="00DC6805">
        <w:trPr>
          <w:cantSplit/>
        </w:trPr>
        <w:tc>
          <w:tcPr>
            <w:tcW w:w="705" w:type="pct"/>
            <w:shd w:val="clear" w:color="auto" w:fill="auto"/>
          </w:tcPr>
          <w:p w14:paraId="3656B343" w14:textId="77777777" w:rsidR="000E6A77" w:rsidRPr="00691913" w:rsidRDefault="000E6A77" w:rsidP="00C509F6">
            <w:pPr>
              <w:pStyle w:val="TableText0"/>
              <w:keepLines/>
            </w:pPr>
            <w:r w:rsidRPr="00691913">
              <w:t>Comparator</w:t>
            </w:r>
          </w:p>
        </w:tc>
        <w:tc>
          <w:tcPr>
            <w:tcW w:w="4295" w:type="pct"/>
            <w:shd w:val="clear" w:color="auto" w:fill="auto"/>
          </w:tcPr>
          <w:p w14:paraId="3727DE24" w14:textId="2B303631" w:rsidR="000E6A77" w:rsidRPr="00691913" w:rsidRDefault="000E6A77" w:rsidP="00C509F6">
            <w:pPr>
              <w:pStyle w:val="TableText0"/>
              <w:keepLines/>
            </w:pPr>
            <w:r w:rsidRPr="00730028">
              <w:t>A single 0.5 mL dose of</w:t>
            </w:r>
            <w:r w:rsidR="00837EDB">
              <w:t xml:space="preserve"> aQIV</w:t>
            </w:r>
            <w:r w:rsidRPr="00730028">
              <w:t xml:space="preserve">, by IM injection every year </w:t>
            </w:r>
          </w:p>
        </w:tc>
      </w:tr>
      <w:tr w:rsidR="000E6A77" w:rsidRPr="00691913" w14:paraId="02F86F0D" w14:textId="77777777" w:rsidTr="00DC6805">
        <w:trPr>
          <w:cantSplit/>
        </w:trPr>
        <w:tc>
          <w:tcPr>
            <w:tcW w:w="705" w:type="pct"/>
            <w:shd w:val="clear" w:color="auto" w:fill="auto"/>
          </w:tcPr>
          <w:p w14:paraId="06433105" w14:textId="77777777" w:rsidR="000E6A77" w:rsidRPr="00691913" w:rsidRDefault="000E6A77" w:rsidP="00C509F6">
            <w:pPr>
              <w:pStyle w:val="TableText0"/>
              <w:keepLines/>
            </w:pPr>
            <w:r w:rsidRPr="00691913">
              <w:t>Outcomes</w:t>
            </w:r>
          </w:p>
        </w:tc>
        <w:tc>
          <w:tcPr>
            <w:tcW w:w="4295" w:type="pct"/>
            <w:shd w:val="clear" w:color="auto" w:fill="auto"/>
          </w:tcPr>
          <w:p w14:paraId="2927353A" w14:textId="1F2FA6AA" w:rsidR="000E6A77" w:rsidRPr="000E6A77" w:rsidRDefault="000E6A77" w:rsidP="00C509F6">
            <w:pPr>
              <w:pStyle w:val="TableText0"/>
              <w:keepLines/>
            </w:pPr>
            <w:r w:rsidRPr="000E6A77">
              <w:t>Efficacy: relative vaccine efficacy and comparative rate of influenza events</w:t>
            </w:r>
          </w:p>
          <w:p w14:paraId="1D24E7D3" w14:textId="2AC6CE5C" w:rsidR="000E6A77" w:rsidRPr="000E6A77" w:rsidRDefault="000E6A77" w:rsidP="00C509F6">
            <w:pPr>
              <w:pStyle w:val="TableText0"/>
              <w:keepLines/>
              <w:rPr>
                <w:snapToGrid w:val="0"/>
              </w:rPr>
            </w:pPr>
            <w:r w:rsidRPr="000E6A77">
              <w:rPr>
                <w:snapToGrid w:val="0"/>
              </w:rPr>
              <w:t>Immunogenicity: post-vaccination geometric mean titres for vaccine included strains</w:t>
            </w:r>
          </w:p>
          <w:p w14:paraId="5ABC4037" w14:textId="2103929B" w:rsidR="000E6A77" w:rsidRPr="000E6A77" w:rsidRDefault="000E6A77" w:rsidP="00C509F6">
            <w:pPr>
              <w:pStyle w:val="TableText0"/>
              <w:keepLines/>
              <w:rPr>
                <w:rFonts w:eastAsia="Times New Roman" w:cs="Arial"/>
                <w:bCs w:val="0"/>
                <w:snapToGrid w:val="0"/>
                <w:szCs w:val="20"/>
              </w:rPr>
            </w:pPr>
            <w:r w:rsidRPr="000E6A77">
              <w:rPr>
                <w:snapToGrid w:val="0"/>
              </w:rPr>
              <w:t xml:space="preserve">Safety: </w:t>
            </w:r>
            <w:r w:rsidR="00A83445">
              <w:rPr>
                <w:snapToGrid w:val="0"/>
              </w:rPr>
              <w:t>a</w:t>
            </w:r>
            <w:r w:rsidRPr="000E6A77">
              <w:rPr>
                <w:snapToGrid w:val="0"/>
              </w:rPr>
              <w:t>dverse events by type, severity and relationship to vaccination</w:t>
            </w:r>
          </w:p>
        </w:tc>
      </w:tr>
      <w:tr w:rsidR="000E6A77" w:rsidRPr="00691913" w14:paraId="22223890" w14:textId="77777777" w:rsidTr="00DC6805">
        <w:trPr>
          <w:cantSplit/>
        </w:trPr>
        <w:tc>
          <w:tcPr>
            <w:tcW w:w="705" w:type="pct"/>
            <w:shd w:val="clear" w:color="auto" w:fill="auto"/>
          </w:tcPr>
          <w:p w14:paraId="0FC8FCE0" w14:textId="77777777" w:rsidR="000E6A77" w:rsidRPr="00691913" w:rsidRDefault="000E6A77" w:rsidP="00C509F6">
            <w:pPr>
              <w:pStyle w:val="TableText0"/>
              <w:keepLines/>
            </w:pPr>
            <w:r w:rsidRPr="00691913">
              <w:t>Clinical claim</w:t>
            </w:r>
          </w:p>
        </w:tc>
        <w:tc>
          <w:tcPr>
            <w:tcW w:w="4295" w:type="pct"/>
            <w:shd w:val="clear" w:color="auto" w:fill="auto"/>
          </w:tcPr>
          <w:p w14:paraId="5C49F82C" w14:textId="69AFC615" w:rsidR="000E6A77" w:rsidRPr="000E6A77" w:rsidRDefault="000E6A77" w:rsidP="00C509F6">
            <w:pPr>
              <w:pStyle w:val="TableText0"/>
              <w:keepLines/>
              <w:rPr>
                <w:rFonts w:eastAsia="Times New Roman" w:cs="Arial"/>
                <w:bCs w:val="0"/>
                <w:snapToGrid w:val="0"/>
                <w:szCs w:val="20"/>
              </w:rPr>
            </w:pPr>
            <w:r w:rsidRPr="000E6A77">
              <w:rPr>
                <w:rFonts w:eastAsia="Times New Roman" w:cs="Arial"/>
                <w:bCs w:val="0"/>
                <w:snapToGrid w:val="0"/>
                <w:szCs w:val="20"/>
              </w:rPr>
              <w:t>At least non-inferior comparative effectiveness, immunogenicity and safety</w:t>
            </w:r>
            <w:r w:rsidR="00D51C1F">
              <w:rPr>
                <w:rFonts w:eastAsia="Times New Roman" w:cs="Arial"/>
                <w:bCs w:val="0"/>
                <w:snapToGrid w:val="0"/>
                <w:szCs w:val="20"/>
              </w:rPr>
              <w:t>.</w:t>
            </w:r>
          </w:p>
          <w:p w14:paraId="2C99C4DE" w14:textId="1212D81B" w:rsidR="000E6A77" w:rsidRPr="000E6A77" w:rsidRDefault="000E6A77" w:rsidP="00C509F6">
            <w:pPr>
              <w:pStyle w:val="TableText0"/>
              <w:keepLines/>
              <w:rPr>
                <w:rFonts w:eastAsia="Times New Roman" w:cs="Arial"/>
                <w:bCs w:val="0"/>
                <w:snapToGrid w:val="0"/>
                <w:szCs w:val="20"/>
              </w:rPr>
            </w:pPr>
            <w:r>
              <w:rPr>
                <w:rFonts w:eastAsia="Times New Roman" w:cs="Arial"/>
                <w:bCs w:val="0"/>
                <w:snapToGrid w:val="0"/>
                <w:szCs w:val="20"/>
              </w:rPr>
              <w:t>The submission also claimed that RIV4 was associated with ‘t</w:t>
            </w:r>
            <w:r w:rsidRPr="000E6A77">
              <w:rPr>
                <w:rFonts w:eastAsia="Times New Roman" w:cs="Arial"/>
                <w:bCs w:val="0"/>
                <w:snapToGrid w:val="0"/>
                <w:szCs w:val="20"/>
              </w:rPr>
              <w:t>echnological advantages that are likely to translate into significant societal level benefits</w:t>
            </w:r>
            <w:r>
              <w:rPr>
                <w:rFonts w:eastAsia="Times New Roman" w:cs="Arial"/>
                <w:bCs w:val="0"/>
                <w:snapToGrid w:val="0"/>
                <w:szCs w:val="20"/>
              </w:rPr>
              <w:t>’</w:t>
            </w:r>
            <w:r w:rsidR="00D34819">
              <w:rPr>
                <w:rFonts w:eastAsia="Times New Roman" w:cs="Arial"/>
                <w:bCs w:val="0"/>
                <w:snapToGrid w:val="0"/>
                <w:szCs w:val="20"/>
              </w:rPr>
              <w:t>.</w:t>
            </w:r>
          </w:p>
        </w:tc>
      </w:tr>
    </w:tbl>
    <w:p w14:paraId="527CA7F0" w14:textId="2BAF567B" w:rsidR="004E43B2" w:rsidRDefault="008B1757" w:rsidP="00C509F6">
      <w:pPr>
        <w:pStyle w:val="FooterTableFigure"/>
        <w:keepLines/>
      </w:pPr>
      <w:r>
        <w:t>Source: Table</w:t>
      </w:r>
      <w:r w:rsidR="000E6A77">
        <w:t xml:space="preserve"> 1-1</w:t>
      </w:r>
      <w:r>
        <w:t>, p</w:t>
      </w:r>
      <w:r w:rsidR="000E6A77">
        <w:t xml:space="preserve">11 </w:t>
      </w:r>
      <w:r w:rsidRPr="00D13A3E">
        <w:t xml:space="preserve">of the </w:t>
      </w:r>
      <w:r>
        <w:t>submission.</w:t>
      </w:r>
    </w:p>
    <w:p w14:paraId="253012C5" w14:textId="48B2EF0E" w:rsidR="000E6A77" w:rsidRPr="004A6040" w:rsidRDefault="00837EDB" w:rsidP="00C509F6">
      <w:pPr>
        <w:pStyle w:val="FooterTableFigure"/>
        <w:keepLines/>
        <w:rPr>
          <w:sz w:val="20"/>
        </w:rPr>
      </w:pPr>
      <w:r>
        <w:t>aQIV =</w:t>
      </w:r>
      <w:r w:rsidRPr="00837EDB">
        <w:t xml:space="preserve"> adjuvanted egg-based quadrivalent influenza vaccine</w:t>
      </w:r>
      <w:r>
        <w:t xml:space="preserve"> (</w:t>
      </w:r>
      <w:r w:rsidRPr="00730028">
        <w:t>Fluad</w:t>
      </w:r>
      <w:r w:rsidR="005507AE" w:rsidRPr="001973DD">
        <w:rPr>
          <w:rFonts w:asciiTheme="minorHAnsi" w:hAnsiTheme="minorHAnsi"/>
          <w:i/>
          <w:iCs/>
        </w:rPr>
        <w:t>®</w:t>
      </w:r>
      <w:r w:rsidRPr="00730028">
        <w:t xml:space="preserve"> Quad</w:t>
      </w:r>
      <w:r w:rsidR="005507AE">
        <w:t>rivalent</w:t>
      </w:r>
      <w:r>
        <w:t xml:space="preserve">); </w:t>
      </w:r>
      <w:r w:rsidR="00360B01">
        <w:t>IM = i</w:t>
      </w:r>
      <w:r w:rsidR="00360B01" w:rsidRPr="00360B01">
        <w:t>ntramuscular</w:t>
      </w:r>
      <w:r w:rsidR="00360B01">
        <w:t xml:space="preserve">; RIV4 = </w:t>
      </w:r>
      <w:r w:rsidR="00B43DFD">
        <w:t>q</w:t>
      </w:r>
      <w:r w:rsidR="00360B01" w:rsidRPr="00360B01">
        <w:t xml:space="preserve">uadrivalent </w:t>
      </w:r>
      <w:r w:rsidR="00B43DFD">
        <w:t>r</w:t>
      </w:r>
      <w:r w:rsidR="00360B01" w:rsidRPr="00360B01">
        <w:t xml:space="preserve">ecombinant </w:t>
      </w:r>
      <w:r w:rsidR="00B43DFD">
        <w:t>i</w:t>
      </w:r>
      <w:r w:rsidR="00360B01" w:rsidRPr="00360B01">
        <w:t xml:space="preserve">nfluenza </w:t>
      </w:r>
      <w:r w:rsidR="00B43DFD">
        <w:t>v</w:t>
      </w:r>
      <w:r w:rsidR="00360B01" w:rsidRPr="00360B01">
        <w:t>accine</w:t>
      </w:r>
      <w:r w:rsidR="00360B01">
        <w:t xml:space="preserve"> (</w:t>
      </w:r>
      <w:r w:rsidR="00360B01" w:rsidRPr="00360B01">
        <w:t>Flublok</w:t>
      </w:r>
      <w:r w:rsidR="005507AE" w:rsidRPr="001973DD">
        <w:rPr>
          <w:rFonts w:asciiTheme="minorHAnsi" w:hAnsiTheme="minorHAnsi"/>
          <w:i/>
          <w:iCs/>
        </w:rPr>
        <w:t>®</w:t>
      </w:r>
      <w:r w:rsidR="00360B01" w:rsidRPr="00360B01">
        <w:t xml:space="preserve"> Quadrivalent</w:t>
      </w:r>
      <w:r>
        <w:t>)</w:t>
      </w:r>
      <w:r w:rsidR="00B43DFD">
        <w:t>.</w:t>
      </w:r>
    </w:p>
    <w:p w14:paraId="6B4AB6C2" w14:textId="7F01D731" w:rsidR="005C25FF" w:rsidRPr="00407F2D" w:rsidRDefault="005C25FF" w:rsidP="004A6040">
      <w:pPr>
        <w:pStyle w:val="2-SectionHeading"/>
      </w:pPr>
      <w:bookmarkStart w:id="4" w:name="_Toc156912778"/>
      <w:r w:rsidRPr="00407F2D">
        <w:t>Background</w:t>
      </w:r>
      <w:bookmarkEnd w:id="4"/>
    </w:p>
    <w:p w14:paraId="2C521D6D" w14:textId="78CF03EE" w:rsidR="005C25FF" w:rsidRPr="004151CF" w:rsidRDefault="005C25FF" w:rsidP="004A6040">
      <w:pPr>
        <w:pStyle w:val="4-SubsectionHeading"/>
      </w:pPr>
      <w:bookmarkStart w:id="5" w:name="_Toc22897638"/>
      <w:bookmarkStart w:id="6" w:name="_Toc156912779"/>
      <w:r w:rsidRPr="004151CF">
        <w:t>Registration status</w:t>
      </w:r>
      <w:bookmarkEnd w:id="5"/>
      <w:bookmarkEnd w:id="6"/>
    </w:p>
    <w:p w14:paraId="04206154" w14:textId="75319881" w:rsidR="00CE4849" w:rsidRPr="00365FDF" w:rsidRDefault="00CE4849" w:rsidP="004E18E9">
      <w:pPr>
        <w:pStyle w:val="3-BodyText"/>
      </w:pPr>
      <w:r w:rsidRPr="00CE4849">
        <w:t xml:space="preserve">RIV4 </w:t>
      </w:r>
      <w:r w:rsidR="005C25FF" w:rsidRPr="004E18E9">
        <w:t xml:space="preserve">was </w:t>
      </w:r>
      <w:r w:rsidR="002F0702">
        <w:t xml:space="preserve">registered </w:t>
      </w:r>
      <w:r w:rsidR="008B5876" w:rsidRPr="008B5876">
        <w:t xml:space="preserve">on the Australian Register of Therapeutic Goods </w:t>
      </w:r>
      <w:r w:rsidR="005C25FF" w:rsidRPr="004E18E9">
        <w:t xml:space="preserve">on </w:t>
      </w:r>
      <w:r w:rsidRPr="00CE4849">
        <w:t>13 May 2021</w:t>
      </w:r>
      <w:r>
        <w:t xml:space="preserve"> </w:t>
      </w:r>
      <w:r w:rsidR="005C25FF" w:rsidRPr="004E18E9">
        <w:t xml:space="preserve">for </w:t>
      </w:r>
      <w:r>
        <w:t>“</w:t>
      </w:r>
      <w:r w:rsidRPr="00CE4849">
        <w:t xml:space="preserve">active immunisation for the prevention of influenza disease caused by influenza virus types A and B contained in the </w:t>
      </w:r>
      <w:r w:rsidRPr="00365FDF">
        <w:t>vaccine. Flublok Quadrivalent is approved for use in persons 18 years of age and older.”</w:t>
      </w:r>
    </w:p>
    <w:p w14:paraId="3E2A6EAB" w14:textId="59B2433E" w:rsidR="005C25FF" w:rsidRPr="00365FDF" w:rsidRDefault="005C25FF" w:rsidP="004E18E9">
      <w:pPr>
        <w:pStyle w:val="4-SubsectionHeading"/>
      </w:pPr>
      <w:bookmarkStart w:id="7" w:name="_Toc22897639"/>
      <w:bookmarkStart w:id="8" w:name="_Toc156912780"/>
      <w:r w:rsidRPr="00365FDF">
        <w:t>Previous PBAC consideration</w:t>
      </w:r>
      <w:bookmarkEnd w:id="7"/>
      <w:bookmarkEnd w:id="8"/>
    </w:p>
    <w:p w14:paraId="49C0CD66" w14:textId="48CF9A22" w:rsidR="00A83445" w:rsidRPr="00365FDF" w:rsidRDefault="00A83445" w:rsidP="00A83445">
      <w:pPr>
        <w:pStyle w:val="3-BodyText"/>
      </w:pPr>
      <w:r w:rsidRPr="00365FDF">
        <w:t>There have been no previous PBAC considerations for RIV4.</w:t>
      </w:r>
    </w:p>
    <w:p w14:paraId="542E9F2A" w14:textId="64ADF7EE" w:rsidR="00C509F6" w:rsidRPr="0073365E" w:rsidRDefault="000E6A77" w:rsidP="00BF1D1C">
      <w:pPr>
        <w:pStyle w:val="3-BodyText"/>
        <w:jc w:val="left"/>
        <w:rPr>
          <w:rFonts w:ascii="Arial Narrow" w:hAnsi="Arial Narrow"/>
          <w:b/>
          <w:bCs/>
          <w:sz w:val="20"/>
          <w:szCs w:val="18"/>
        </w:rPr>
      </w:pPr>
      <w:r w:rsidRPr="00365FDF">
        <w:lastRenderedPageBreak/>
        <w:fldChar w:fldCharType="begin" w:fldLock="1"/>
      </w:r>
      <w:r w:rsidRPr="00365FDF">
        <w:instrText xml:space="preserve"> REF _Ref151018867 \h </w:instrText>
      </w:r>
      <w:r w:rsidRPr="00365FDF">
        <w:fldChar w:fldCharType="separate"/>
      </w:r>
      <w:r w:rsidR="00C364E6">
        <w:t xml:space="preserve">Table </w:t>
      </w:r>
      <w:r w:rsidR="00C364E6">
        <w:rPr>
          <w:noProof/>
        </w:rPr>
        <w:t>2</w:t>
      </w:r>
      <w:r w:rsidRPr="00365FDF">
        <w:fldChar w:fldCharType="end"/>
      </w:r>
      <w:r w:rsidRPr="00365FDF">
        <w:t xml:space="preserve"> outlines </w:t>
      </w:r>
      <w:r w:rsidR="00795261" w:rsidRPr="00365FDF">
        <w:t xml:space="preserve">relevant </w:t>
      </w:r>
      <w:r w:rsidRPr="00365FDF">
        <w:t xml:space="preserve">previous PBAC considerations </w:t>
      </w:r>
      <w:r w:rsidR="00AD56EF" w:rsidRPr="00365FDF">
        <w:t>of</w:t>
      </w:r>
      <w:r w:rsidR="001C4E78" w:rsidRPr="00365FDF">
        <w:t xml:space="preserve"> influenza vaccinations</w:t>
      </w:r>
      <w:r w:rsidRPr="00365FDF">
        <w:t xml:space="preserve">. </w:t>
      </w:r>
      <w:bookmarkStart w:id="9" w:name="_Ref151018867"/>
      <w:bookmarkStart w:id="10" w:name="_Ref151018862"/>
    </w:p>
    <w:p w14:paraId="62670A76" w14:textId="25A55EB2" w:rsidR="000E6A77" w:rsidRDefault="000E6A77" w:rsidP="006200AE">
      <w:pPr>
        <w:pStyle w:val="Caption"/>
      </w:pPr>
      <w:r>
        <w:t xml:space="preserve">Table </w:t>
      </w:r>
      <w:r w:rsidR="005362BD">
        <w:fldChar w:fldCharType="begin" w:fldLock="1"/>
      </w:r>
      <w:r w:rsidR="005362BD">
        <w:instrText xml:space="preserve"> SEQ Table \* ARABIC </w:instrText>
      </w:r>
      <w:r w:rsidR="005362BD">
        <w:fldChar w:fldCharType="separate"/>
      </w:r>
      <w:r w:rsidR="00C364E6">
        <w:rPr>
          <w:noProof/>
        </w:rPr>
        <w:t>2</w:t>
      </w:r>
      <w:r w:rsidR="005362BD">
        <w:rPr>
          <w:noProof/>
        </w:rPr>
        <w:fldChar w:fldCharType="end"/>
      </w:r>
      <w:bookmarkEnd w:id="9"/>
      <w:r>
        <w:t xml:space="preserve">: </w:t>
      </w:r>
      <w:r w:rsidR="00795261">
        <w:t>Relevant</w:t>
      </w:r>
      <w:r>
        <w:t xml:space="preserve"> PBAC considerations </w:t>
      </w:r>
      <w:bookmarkEnd w:id="10"/>
      <w:r w:rsidR="005F6D1A">
        <w:t>for influenza vaccines</w:t>
      </w:r>
      <w:r>
        <w:t xml:space="preserve"> </w:t>
      </w:r>
    </w:p>
    <w:tbl>
      <w:tblPr>
        <w:tblStyle w:val="TableGrid"/>
        <w:tblW w:w="0" w:type="auto"/>
        <w:tblLook w:val="04A0" w:firstRow="1" w:lastRow="0" w:firstColumn="1" w:lastColumn="0" w:noHBand="0" w:noVBand="1"/>
        <w:tblCaption w:val="Table 2: Relevant PBAC considerations for influenza vaccines "/>
      </w:tblPr>
      <w:tblGrid>
        <w:gridCol w:w="1271"/>
        <w:gridCol w:w="7746"/>
      </w:tblGrid>
      <w:tr w:rsidR="001C4E78" w14:paraId="67088862" w14:textId="77777777" w:rsidTr="00706ED1">
        <w:tc>
          <w:tcPr>
            <w:tcW w:w="1271" w:type="dxa"/>
          </w:tcPr>
          <w:p w14:paraId="032151CD" w14:textId="77777777" w:rsidR="001C4E78" w:rsidRPr="00F1280F" w:rsidRDefault="001C4E78" w:rsidP="006200AE">
            <w:pPr>
              <w:pStyle w:val="TableText0"/>
              <w:rPr>
                <w:b/>
                <w:bCs w:val="0"/>
                <w:lang w:val="en-US"/>
              </w:rPr>
            </w:pPr>
            <w:r w:rsidRPr="00F1280F">
              <w:rPr>
                <w:b/>
                <w:bCs w:val="0"/>
                <w:lang w:val="en-US"/>
              </w:rPr>
              <w:t xml:space="preserve">Vaccine </w:t>
            </w:r>
          </w:p>
        </w:tc>
        <w:tc>
          <w:tcPr>
            <w:tcW w:w="7746" w:type="dxa"/>
          </w:tcPr>
          <w:p w14:paraId="304BCD1C" w14:textId="77777777" w:rsidR="001C4E78" w:rsidRPr="00F1280F" w:rsidRDefault="001C4E78" w:rsidP="006200AE">
            <w:pPr>
              <w:pStyle w:val="TableText0"/>
              <w:rPr>
                <w:b/>
                <w:bCs w:val="0"/>
                <w:lang w:val="en-US"/>
              </w:rPr>
            </w:pPr>
            <w:r w:rsidRPr="00F1280F">
              <w:rPr>
                <w:b/>
                <w:bCs w:val="0"/>
                <w:lang w:val="en-US"/>
              </w:rPr>
              <w:t>Relevant PBAC considerations</w:t>
            </w:r>
          </w:p>
        </w:tc>
      </w:tr>
      <w:tr w:rsidR="001C4E78" w14:paraId="37C8489B" w14:textId="77777777" w:rsidTr="00706ED1">
        <w:tc>
          <w:tcPr>
            <w:tcW w:w="9017" w:type="dxa"/>
            <w:gridSpan w:val="2"/>
          </w:tcPr>
          <w:p w14:paraId="4D6506F2" w14:textId="77777777" w:rsidR="001C4E78" w:rsidRDefault="001C4E78" w:rsidP="006200AE">
            <w:pPr>
              <w:pStyle w:val="TableText0"/>
              <w:rPr>
                <w:lang w:val="en-US"/>
              </w:rPr>
            </w:pPr>
            <w:r w:rsidRPr="00375555">
              <w:rPr>
                <w:b/>
                <w:bCs w:val="0"/>
                <w:szCs w:val="20"/>
                <w:lang w:eastAsia="en-US"/>
              </w:rPr>
              <w:t>≥</w:t>
            </w:r>
            <w:r>
              <w:rPr>
                <w:b/>
                <w:bCs w:val="0"/>
                <w:szCs w:val="20"/>
                <w:lang w:eastAsia="en-US"/>
              </w:rPr>
              <w:t xml:space="preserve"> </w:t>
            </w:r>
            <w:r w:rsidRPr="00375555">
              <w:rPr>
                <w:b/>
                <w:bCs w:val="0"/>
                <w:szCs w:val="20"/>
                <w:lang w:eastAsia="en-US"/>
              </w:rPr>
              <w:t>65 year old cohort</w:t>
            </w:r>
          </w:p>
        </w:tc>
      </w:tr>
      <w:tr w:rsidR="001C4E78" w14:paraId="51CCB79B" w14:textId="77777777" w:rsidTr="00706ED1">
        <w:trPr>
          <w:trHeight w:val="1074"/>
        </w:trPr>
        <w:tc>
          <w:tcPr>
            <w:tcW w:w="1271" w:type="dxa"/>
          </w:tcPr>
          <w:p w14:paraId="19964238" w14:textId="77777777" w:rsidR="001C4E78" w:rsidRPr="0056202A" w:rsidRDefault="001C4E78" w:rsidP="006200AE">
            <w:pPr>
              <w:pStyle w:val="TableText0"/>
              <w:rPr>
                <w:b/>
                <w:bCs w:val="0"/>
                <w:lang w:val="en-US"/>
              </w:rPr>
            </w:pPr>
            <w:r w:rsidRPr="0056202A">
              <w:rPr>
                <w:b/>
                <w:bCs w:val="0"/>
                <w:lang w:val="en-US"/>
              </w:rPr>
              <w:t>aTIV</w:t>
            </w:r>
          </w:p>
          <w:p w14:paraId="34772501" w14:textId="77777777" w:rsidR="001C4E78" w:rsidRDefault="001C4E78" w:rsidP="006200AE">
            <w:pPr>
              <w:pStyle w:val="TableText0"/>
              <w:rPr>
                <w:lang w:val="en-US"/>
              </w:rPr>
            </w:pPr>
            <w:r>
              <w:rPr>
                <w:lang w:val="en-US"/>
              </w:rPr>
              <w:t>(Fluad®)</w:t>
            </w:r>
          </w:p>
          <w:p w14:paraId="59D355DA" w14:textId="77777777" w:rsidR="001C4E78" w:rsidRDefault="001C4E78" w:rsidP="006200AE">
            <w:pPr>
              <w:pStyle w:val="TableText0"/>
              <w:rPr>
                <w:lang w:val="en-US"/>
              </w:rPr>
            </w:pPr>
          </w:p>
        </w:tc>
        <w:tc>
          <w:tcPr>
            <w:tcW w:w="7746" w:type="dxa"/>
          </w:tcPr>
          <w:p w14:paraId="1B9178C5" w14:textId="77777777" w:rsidR="001C4E78" w:rsidRPr="000C03CE" w:rsidRDefault="001C4E78" w:rsidP="006200AE">
            <w:pPr>
              <w:pStyle w:val="TableText0"/>
              <w:rPr>
                <w:lang w:val="en-US"/>
              </w:rPr>
            </w:pPr>
            <w:r>
              <w:rPr>
                <w:b/>
                <w:bCs w:val="0"/>
                <w:lang w:val="en-US"/>
              </w:rPr>
              <w:t xml:space="preserve">Recommended March 2018 on the basis of a </w:t>
            </w:r>
            <w:r w:rsidRPr="00F1280F">
              <w:rPr>
                <w:b/>
                <w:bCs w:val="0"/>
                <w:lang w:val="en-US"/>
              </w:rPr>
              <w:t>CMA versus QIV</w:t>
            </w:r>
            <w:r>
              <w:rPr>
                <w:b/>
                <w:bCs w:val="0"/>
                <w:lang w:val="en-US"/>
              </w:rPr>
              <w:t>e</w:t>
            </w:r>
          </w:p>
          <w:p w14:paraId="36D2D89C" w14:textId="6F482769" w:rsidR="001C4E78" w:rsidRDefault="001C4E78" w:rsidP="006200AE">
            <w:pPr>
              <w:pStyle w:val="TableText0"/>
              <w:rPr>
                <w:lang w:val="en-US"/>
              </w:rPr>
            </w:pPr>
            <w:r>
              <w:rPr>
                <w:b/>
                <w:bCs w:val="0"/>
                <w:lang w:val="en-US"/>
              </w:rPr>
              <w:t>July</w:t>
            </w:r>
            <w:r w:rsidRPr="008B2A5E">
              <w:rPr>
                <w:b/>
                <w:bCs w:val="0"/>
                <w:lang w:val="en-US"/>
              </w:rPr>
              <w:t xml:space="preserve"> 2019</w:t>
            </w:r>
            <w:r>
              <w:rPr>
                <w:b/>
                <w:bCs w:val="0"/>
                <w:lang w:val="en-US"/>
              </w:rPr>
              <w:t xml:space="preserve"> </w:t>
            </w:r>
            <w:r w:rsidRPr="000C03CE">
              <w:rPr>
                <w:bCs w:val="0"/>
                <w:lang w:val="en-US"/>
              </w:rPr>
              <w:t xml:space="preserve">Sought </w:t>
            </w:r>
            <w:r>
              <w:rPr>
                <w:bCs w:val="0"/>
                <w:lang w:val="en-US"/>
              </w:rPr>
              <w:t xml:space="preserve">an </w:t>
            </w:r>
            <w:r w:rsidRPr="000C03CE">
              <w:rPr>
                <w:bCs w:val="0"/>
                <w:lang w:val="en-US"/>
              </w:rPr>
              <w:t xml:space="preserve">increased price based on </w:t>
            </w:r>
            <w:r>
              <w:rPr>
                <w:bCs w:val="0"/>
                <w:lang w:val="en-US"/>
              </w:rPr>
              <w:t xml:space="preserve">a </w:t>
            </w:r>
            <w:r w:rsidRPr="000C03CE">
              <w:rPr>
                <w:bCs w:val="0"/>
                <w:lang w:val="en-US"/>
              </w:rPr>
              <w:t>claim of superiority over QIV</w:t>
            </w:r>
            <w:r>
              <w:rPr>
                <w:bCs w:val="0"/>
                <w:lang w:val="en-US"/>
              </w:rPr>
              <w:t>e,</w:t>
            </w:r>
            <w:r w:rsidRPr="000C03CE">
              <w:rPr>
                <w:bCs w:val="0"/>
                <w:lang w:val="en-US"/>
              </w:rPr>
              <w:t xml:space="preserve"> but </w:t>
            </w:r>
            <w:r>
              <w:rPr>
                <w:bCs w:val="0"/>
                <w:lang w:val="en-US"/>
              </w:rPr>
              <w:t xml:space="preserve">the </w:t>
            </w:r>
            <w:r w:rsidRPr="000C03CE">
              <w:rPr>
                <w:bCs w:val="0"/>
                <w:lang w:val="en-US"/>
              </w:rPr>
              <w:t xml:space="preserve">price increase was not recommended as </w:t>
            </w:r>
            <w:r>
              <w:rPr>
                <w:bCs w:val="0"/>
                <w:lang w:val="en-US"/>
              </w:rPr>
              <w:t xml:space="preserve">“the </w:t>
            </w:r>
            <w:r w:rsidRPr="000C03CE">
              <w:rPr>
                <w:bCs w:val="0"/>
                <w:lang w:val="en-US"/>
              </w:rPr>
              <w:t>extent of benefit of the adjuvanted trivalent formulation over the non-adjuvanted quadrivalent vaccine was uncertain given the impact of the loss of the additional B strain differed across influenza seasons</w:t>
            </w:r>
            <w:r>
              <w:rPr>
                <w:bCs w:val="0"/>
                <w:lang w:val="en-US"/>
              </w:rPr>
              <w:t>”</w:t>
            </w:r>
            <w:r w:rsidRPr="000C03CE">
              <w:rPr>
                <w:bCs w:val="0"/>
                <w:lang w:val="en-US"/>
              </w:rPr>
              <w:t xml:space="preserve"> (</w:t>
            </w:r>
            <w:r>
              <w:rPr>
                <w:bCs w:val="0"/>
                <w:lang w:val="en-US"/>
              </w:rPr>
              <w:t>P</w:t>
            </w:r>
            <w:r w:rsidRPr="000C03CE">
              <w:rPr>
                <w:bCs w:val="0"/>
                <w:lang w:val="en-US"/>
              </w:rPr>
              <w:t>ara 7.1</w:t>
            </w:r>
            <w:r>
              <w:rPr>
                <w:bCs w:val="0"/>
                <w:lang w:val="en-US"/>
              </w:rPr>
              <w:t>,</w:t>
            </w:r>
            <w:r>
              <w:t xml:space="preserve"> aTIV PSD, July 2019 PBAC meeting</w:t>
            </w:r>
            <w:r w:rsidRPr="000C03CE">
              <w:rPr>
                <w:bCs w:val="0"/>
                <w:lang w:val="en-US"/>
              </w:rPr>
              <w:t>)</w:t>
            </w:r>
            <w:r>
              <w:rPr>
                <w:bCs w:val="0"/>
                <w:lang w:val="en-US"/>
              </w:rPr>
              <w:t>.</w:t>
            </w:r>
          </w:p>
        </w:tc>
      </w:tr>
      <w:tr w:rsidR="001C4E78" w14:paraId="63B2E455" w14:textId="77777777" w:rsidTr="00706ED1">
        <w:tc>
          <w:tcPr>
            <w:tcW w:w="1271" w:type="dxa"/>
          </w:tcPr>
          <w:p w14:paraId="35AC9478" w14:textId="77777777" w:rsidR="001C4E78" w:rsidRPr="0056202A" w:rsidRDefault="001C4E78" w:rsidP="006200AE">
            <w:pPr>
              <w:pStyle w:val="TableText0"/>
              <w:rPr>
                <w:b/>
                <w:bCs w:val="0"/>
                <w:lang w:val="en-US"/>
              </w:rPr>
            </w:pPr>
            <w:r w:rsidRPr="0056202A">
              <w:rPr>
                <w:b/>
                <w:bCs w:val="0"/>
                <w:lang w:val="en-US"/>
              </w:rPr>
              <w:t>aQIV</w:t>
            </w:r>
          </w:p>
          <w:p w14:paraId="38C88D4C" w14:textId="77777777" w:rsidR="001C4E78" w:rsidRDefault="001C4E78" w:rsidP="006200AE">
            <w:pPr>
              <w:pStyle w:val="TableText0"/>
              <w:rPr>
                <w:lang w:val="en-US"/>
              </w:rPr>
            </w:pPr>
            <w:r>
              <w:rPr>
                <w:lang w:val="en-US"/>
              </w:rPr>
              <w:t>(aIIV4e)</w:t>
            </w:r>
          </w:p>
          <w:p w14:paraId="00E15DF3" w14:textId="77777777" w:rsidR="001C4E78" w:rsidRDefault="001C4E78" w:rsidP="006200AE">
            <w:pPr>
              <w:pStyle w:val="TableText0"/>
              <w:rPr>
                <w:lang w:val="en-US"/>
              </w:rPr>
            </w:pPr>
            <w:r>
              <w:rPr>
                <w:lang w:val="en-US"/>
              </w:rPr>
              <w:t xml:space="preserve">(Fluad® Quad) </w:t>
            </w:r>
          </w:p>
          <w:p w14:paraId="60DDF5BD" w14:textId="77777777" w:rsidR="001C4E78" w:rsidRDefault="001C4E78" w:rsidP="006200AE">
            <w:pPr>
              <w:pStyle w:val="TableText0"/>
              <w:rPr>
                <w:lang w:val="en-US"/>
              </w:rPr>
            </w:pPr>
          </w:p>
          <w:p w14:paraId="3E2931EC" w14:textId="77777777" w:rsidR="001C4E78" w:rsidRDefault="001C4E78" w:rsidP="006200AE">
            <w:pPr>
              <w:pStyle w:val="TableText0"/>
              <w:rPr>
                <w:lang w:val="en-US"/>
              </w:rPr>
            </w:pPr>
          </w:p>
        </w:tc>
        <w:tc>
          <w:tcPr>
            <w:tcW w:w="7746" w:type="dxa"/>
          </w:tcPr>
          <w:p w14:paraId="4D6CFD01" w14:textId="04904925" w:rsidR="001C4E78" w:rsidRDefault="001C4E78" w:rsidP="006200AE">
            <w:pPr>
              <w:pStyle w:val="TableText0"/>
              <w:rPr>
                <w:b/>
                <w:bCs w:val="0"/>
                <w:lang w:val="en-US"/>
              </w:rPr>
            </w:pPr>
            <w:r w:rsidRPr="00F1280F">
              <w:rPr>
                <w:b/>
                <w:bCs w:val="0"/>
                <w:lang w:val="en-US"/>
              </w:rPr>
              <w:t>Recommended</w:t>
            </w:r>
            <w:r>
              <w:rPr>
                <w:lang w:val="en-US"/>
              </w:rPr>
              <w:t xml:space="preserve"> </w:t>
            </w:r>
            <w:r w:rsidRPr="008B2A5E">
              <w:rPr>
                <w:b/>
                <w:bCs w:val="0"/>
                <w:lang w:val="en-US"/>
              </w:rPr>
              <w:t>August 2019</w:t>
            </w:r>
            <w:r>
              <w:rPr>
                <w:b/>
                <w:bCs w:val="0"/>
                <w:lang w:val="en-US"/>
              </w:rPr>
              <w:t>, based on claim of non-inferiority versus aTIV</w:t>
            </w:r>
          </w:p>
          <w:p w14:paraId="6932FA22" w14:textId="2B00A5CC" w:rsidR="001C4E78" w:rsidRDefault="001C4E78" w:rsidP="006200AE">
            <w:pPr>
              <w:pStyle w:val="TableText0"/>
              <w:rPr>
                <w:lang w:val="en-US"/>
              </w:rPr>
            </w:pPr>
            <w:r>
              <w:rPr>
                <w:lang w:val="en-US"/>
              </w:rPr>
              <w:t>“T</w:t>
            </w:r>
            <w:r w:rsidRPr="00565555">
              <w:rPr>
                <w:lang w:val="en-US"/>
              </w:rPr>
              <w:t>he PBAC was of a mind to recommend aQIV on a cost-effectiveness basis to non-adjuvanted quadrivalent (QIV) influenza vaccine pending provision of a positive TGA Delegate’s Overview. The PBAC considered that aQIV would provide additional clinical effectiveness to QIV and the magnitude of the benefit would be similar to that for aTIV over TIV.</w:t>
            </w:r>
            <w:r>
              <w:rPr>
                <w:lang w:val="en-US"/>
              </w:rPr>
              <w:t xml:space="preserve"> </w:t>
            </w:r>
            <w:r w:rsidRPr="0056202A">
              <w:rPr>
                <w:lang w:val="en-US"/>
              </w:rPr>
              <w:t>As such, the economic analysis provided in the submission for aTIV versus TIV, could be relied on to determine the cost-effectiveness of aQIV versus QIV and aQIV was considered cost-effective at the proposed price</w:t>
            </w:r>
            <w:r>
              <w:rPr>
                <w:lang w:val="en-US"/>
              </w:rPr>
              <w:t>”</w:t>
            </w:r>
            <w:r w:rsidRPr="0056202A">
              <w:rPr>
                <w:lang w:val="en-US"/>
              </w:rPr>
              <w:t xml:space="preserve"> </w:t>
            </w:r>
            <w:r>
              <w:rPr>
                <w:lang w:val="en-US"/>
              </w:rPr>
              <w:t>(Para 7.13, aQIV PSD, July 2019 PBAC meeting)</w:t>
            </w:r>
            <w:r w:rsidR="005867B1">
              <w:rPr>
                <w:lang w:val="en-US"/>
              </w:rPr>
              <w:t>.</w:t>
            </w:r>
          </w:p>
        </w:tc>
      </w:tr>
      <w:tr w:rsidR="001C4E78" w14:paraId="6EB79682" w14:textId="77777777" w:rsidTr="00706ED1">
        <w:tc>
          <w:tcPr>
            <w:tcW w:w="1271" w:type="dxa"/>
          </w:tcPr>
          <w:p w14:paraId="60EE85FD" w14:textId="77777777" w:rsidR="001C4E78" w:rsidRPr="0056202A" w:rsidRDefault="001C4E78" w:rsidP="006200AE">
            <w:pPr>
              <w:pStyle w:val="TableText0"/>
              <w:rPr>
                <w:b/>
                <w:bCs w:val="0"/>
                <w:lang w:val="en-US"/>
              </w:rPr>
            </w:pPr>
            <w:r w:rsidRPr="0056202A">
              <w:rPr>
                <w:b/>
                <w:bCs w:val="0"/>
                <w:lang w:val="en-US"/>
              </w:rPr>
              <w:t>TIV-HD</w:t>
            </w:r>
          </w:p>
          <w:p w14:paraId="39973771" w14:textId="77777777" w:rsidR="001C4E78" w:rsidRDefault="001C4E78" w:rsidP="006200AE">
            <w:pPr>
              <w:pStyle w:val="TableText0"/>
              <w:rPr>
                <w:lang w:val="en-US"/>
              </w:rPr>
            </w:pPr>
            <w:r>
              <w:rPr>
                <w:lang w:val="en-US"/>
              </w:rPr>
              <w:t>(Fluzone high dose trivalent)</w:t>
            </w:r>
          </w:p>
          <w:p w14:paraId="7936BF8A" w14:textId="77777777" w:rsidR="001C4E78" w:rsidRDefault="001C4E78" w:rsidP="006200AE">
            <w:pPr>
              <w:pStyle w:val="TableText0"/>
              <w:rPr>
                <w:lang w:val="en-US"/>
              </w:rPr>
            </w:pPr>
          </w:p>
        </w:tc>
        <w:tc>
          <w:tcPr>
            <w:tcW w:w="7746" w:type="dxa"/>
          </w:tcPr>
          <w:p w14:paraId="445F1B00" w14:textId="77777777" w:rsidR="001C4E78" w:rsidRPr="000C03CE" w:rsidRDefault="001C4E78" w:rsidP="006200AE">
            <w:pPr>
              <w:pStyle w:val="TableText0"/>
              <w:rPr>
                <w:lang w:val="en-US"/>
              </w:rPr>
            </w:pPr>
            <w:r>
              <w:rPr>
                <w:b/>
                <w:bCs w:val="0"/>
                <w:lang w:val="en-US"/>
              </w:rPr>
              <w:t xml:space="preserve">Recommended March 2018 on the basis of </w:t>
            </w:r>
            <w:r w:rsidRPr="00C1469C">
              <w:rPr>
                <w:b/>
                <w:bCs w:val="0"/>
                <w:lang w:val="en-US"/>
              </w:rPr>
              <w:t>a CMA versus QIV</w:t>
            </w:r>
            <w:r>
              <w:rPr>
                <w:b/>
                <w:bCs w:val="0"/>
                <w:lang w:val="en-US"/>
              </w:rPr>
              <w:t>e</w:t>
            </w:r>
          </w:p>
          <w:p w14:paraId="0F9BB13C" w14:textId="0FE254C8" w:rsidR="001C4E78" w:rsidRDefault="001C4E78" w:rsidP="006200AE">
            <w:pPr>
              <w:pStyle w:val="TableText0"/>
              <w:rPr>
                <w:rFonts w:asciiTheme="minorHAnsi" w:hAnsiTheme="minorHAnsi" w:cstheme="minorHAnsi"/>
                <w:lang w:val="en-GB"/>
              </w:rPr>
            </w:pPr>
            <w:r w:rsidRPr="00F1280F">
              <w:rPr>
                <w:b/>
                <w:bCs w:val="0"/>
                <w:lang w:val="en-US"/>
              </w:rPr>
              <w:t>July 2018</w:t>
            </w:r>
            <w:r>
              <w:rPr>
                <w:rFonts w:asciiTheme="minorHAnsi" w:hAnsiTheme="minorHAnsi" w:cstheme="minorHAnsi"/>
                <w:lang w:val="en-GB"/>
              </w:rPr>
              <w:t xml:space="preserve"> </w:t>
            </w:r>
            <w:r>
              <w:rPr>
                <w:lang w:val="en-US"/>
              </w:rPr>
              <w:t xml:space="preserve">Sought </w:t>
            </w:r>
            <w:r w:rsidRPr="00F1280F">
              <w:rPr>
                <w:lang w:val="en-US"/>
              </w:rPr>
              <w:t>increased</w:t>
            </w:r>
            <w:r>
              <w:rPr>
                <w:lang w:val="en-US"/>
              </w:rPr>
              <w:t xml:space="preserve"> price on</w:t>
            </w:r>
            <w:r w:rsidR="00A525DF">
              <w:rPr>
                <w:lang w:val="en-US"/>
              </w:rPr>
              <w:t xml:space="preserve"> the</w:t>
            </w:r>
            <w:r>
              <w:rPr>
                <w:lang w:val="en-US"/>
              </w:rPr>
              <w:t xml:space="preserve"> basis of a CUA versus QIVe – not recommended</w:t>
            </w:r>
            <w:r w:rsidR="005867B1">
              <w:rPr>
                <w:lang w:val="en-US"/>
              </w:rPr>
              <w:t>.</w:t>
            </w:r>
          </w:p>
          <w:p w14:paraId="62EB034A" w14:textId="08CB1660" w:rsidR="001C4E78" w:rsidRDefault="001C4E78" w:rsidP="006200AE">
            <w:pPr>
              <w:pStyle w:val="TableText0"/>
              <w:rPr>
                <w:lang w:val="en-US"/>
              </w:rPr>
            </w:pPr>
            <w:r w:rsidRPr="00AA0EBD">
              <w:rPr>
                <w:b/>
                <w:bCs w:val="0"/>
                <w:lang w:val="en-US"/>
              </w:rPr>
              <w:t>November 2019</w:t>
            </w:r>
            <w:r>
              <w:rPr>
                <w:b/>
                <w:bCs w:val="0"/>
                <w:lang w:val="en-US"/>
              </w:rPr>
              <w:t xml:space="preserve"> </w:t>
            </w:r>
            <w:r>
              <w:rPr>
                <w:lang w:val="en-US"/>
              </w:rPr>
              <w:t>Sought increased price on the basis of a CUA versus QIVe, however the PBAC recommended</w:t>
            </w:r>
            <w:r w:rsidR="00795261">
              <w:rPr>
                <w:lang w:val="en-US"/>
              </w:rPr>
              <w:t xml:space="preserve"> TIV-HD</w:t>
            </w:r>
            <w:r>
              <w:rPr>
                <w:lang w:val="en-US"/>
              </w:rPr>
              <w:t xml:space="preserve"> on the basis of a </w:t>
            </w:r>
            <w:r w:rsidRPr="00F1280F">
              <w:rPr>
                <w:b/>
                <w:bCs w:val="0"/>
                <w:lang w:val="en-US"/>
              </w:rPr>
              <w:t xml:space="preserve">CMA </w:t>
            </w:r>
            <w:r>
              <w:rPr>
                <w:b/>
                <w:bCs w:val="0"/>
                <w:lang w:val="en-US"/>
              </w:rPr>
              <w:t>versus</w:t>
            </w:r>
            <w:r w:rsidRPr="00F1280F">
              <w:rPr>
                <w:b/>
                <w:bCs w:val="0"/>
                <w:lang w:val="en-US"/>
              </w:rPr>
              <w:t xml:space="preserve"> aQIV</w:t>
            </w:r>
            <w:r>
              <w:rPr>
                <w:lang w:val="en-US"/>
              </w:rPr>
              <w:t xml:space="preserve"> (which was recommended for NIP listing in August 2019).</w:t>
            </w:r>
          </w:p>
          <w:p w14:paraId="6CEA2C6F" w14:textId="52BC4B5C" w:rsidR="001C4E78" w:rsidRDefault="001C4E78" w:rsidP="006200AE">
            <w:pPr>
              <w:pStyle w:val="TableText0"/>
              <w:rPr>
                <w:lang w:val="en-US"/>
              </w:rPr>
            </w:pPr>
            <w:r>
              <w:rPr>
                <w:lang w:val="en-US"/>
              </w:rPr>
              <w:t>“</w:t>
            </w:r>
            <w:r w:rsidRPr="00AA0EBD">
              <w:rPr>
                <w:lang w:val="en-US"/>
              </w:rPr>
              <w:t>The PBAC recommended an increase in the price of TIV-HD</w:t>
            </w:r>
            <w:r>
              <w:rPr>
                <w:lang w:val="en-US"/>
              </w:rPr>
              <w:t>…</w:t>
            </w:r>
            <w:r w:rsidRPr="00AA0EBD">
              <w:rPr>
                <w:lang w:val="en-US"/>
              </w:rPr>
              <w:t>on the basis that, on balance, TIV-HD was at least as effective as aQIV. The PBAC considered a claim of superiority v</w:t>
            </w:r>
            <w:r>
              <w:rPr>
                <w:lang w:val="en-US"/>
              </w:rPr>
              <w:t>ersu</w:t>
            </w:r>
            <w:r w:rsidRPr="00AA0EBD">
              <w:rPr>
                <w:lang w:val="en-US"/>
              </w:rPr>
              <w:t xml:space="preserve">s aQIV could not be adequately supported by the clinical evidence presented and therefore a </w:t>
            </w:r>
            <w:r>
              <w:rPr>
                <w:lang w:val="en-US"/>
              </w:rPr>
              <w:t>CMA</w:t>
            </w:r>
            <w:r w:rsidRPr="00AA0EBD">
              <w:rPr>
                <w:lang w:val="en-US"/>
              </w:rPr>
              <w:t xml:space="preserve"> in which TIV-HD was the same price as aQIV would be appropriate</w:t>
            </w:r>
            <w:r>
              <w:rPr>
                <w:lang w:val="en-US"/>
              </w:rPr>
              <w:t>” (Para 7.1, TIV-HD PSD, November 2019 PBAC meeting).</w:t>
            </w:r>
          </w:p>
        </w:tc>
      </w:tr>
      <w:tr w:rsidR="001C4E78" w14:paraId="26546DA5" w14:textId="77777777" w:rsidTr="00706ED1">
        <w:tc>
          <w:tcPr>
            <w:tcW w:w="9017" w:type="dxa"/>
            <w:gridSpan w:val="2"/>
          </w:tcPr>
          <w:p w14:paraId="1415E08E" w14:textId="77777777" w:rsidR="001C4E78" w:rsidRPr="00E647AF" w:rsidRDefault="001C4E78" w:rsidP="006200AE">
            <w:pPr>
              <w:pStyle w:val="TableText0"/>
              <w:rPr>
                <w:b/>
                <w:bCs w:val="0"/>
                <w:lang w:val="en-US"/>
              </w:rPr>
            </w:pPr>
            <w:r>
              <w:rPr>
                <w:b/>
                <w:bCs w:val="0"/>
                <w:lang w:val="en-US"/>
              </w:rPr>
              <w:t>&lt; 65 year old cohort</w:t>
            </w:r>
          </w:p>
        </w:tc>
      </w:tr>
      <w:tr w:rsidR="001C4E78" w14:paraId="446B848A" w14:textId="77777777" w:rsidTr="00706ED1">
        <w:tc>
          <w:tcPr>
            <w:tcW w:w="1271" w:type="dxa"/>
          </w:tcPr>
          <w:p w14:paraId="0FFF266A" w14:textId="77777777" w:rsidR="001C4E78" w:rsidRPr="0056202A" w:rsidRDefault="001C4E78" w:rsidP="006200AE">
            <w:pPr>
              <w:pStyle w:val="TableText0"/>
              <w:rPr>
                <w:b/>
                <w:bCs w:val="0"/>
                <w:lang w:val="en-US"/>
              </w:rPr>
            </w:pPr>
            <w:r w:rsidRPr="0056202A">
              <w:rPr>
                <w:b/>
                <w:bCs w:val="0"/>
                <w:lang w:val="en-US"/>
              </w:rPr>
              <w:t>QIVc</w:t>
            </w:r>
          </w:p>
          <w:p w14:paraId="4A717152" w14:textId="77777777" w:rsidR="001C4E78" w:rsidRDefault="001C4E78" w:rsidP="006200AE">
            <w:pPr>
              <w:pStyle w:val="TableText0"/>
              <w:rPr>
                <w:lang w:val="en-US"/>
              </w:rPr>
            </w:pPr>
            <w:r>
              <w:rPr>
                <w:lang w:val="en-US"/>
              </w:rPr>
              <w:t>(IIV4c)</w:t>
            </w:r>
          </w:p>
          <w:p w14:paraId="7D153532" w14:textId="1CA3FB5D" w:rsidR="001C4E78" w:rsidRDefault="001C4E78" w:rsidP="006200AE">
            <w:pPr>
              <w:pStyle w:val="TableText0"/>
              <w:rPr>
                <w:lang w:val="en-US"/>
              </w:rPr>
            </w:pPr>
            <w:r>
              <w:rPr>
                <w:lang w:val="en-US"/>
              </w:rPr>
              <w:t>(</w:t>
            </w:r>
            <w:r w:rsidRPr="00FE766C">
              <w:rPr>
                <w:lang w:val="en-US"/>
              </w:rPr>
              <w:t>Flucelvax</w:t>
            </w:r>
            <w:r>
              <w:rPr>
                <w:lang w:val="en-US"/>
              </w:rPr>
              <w:t>® Q</w:t>
            </w:r>
            <w:r w:rsidRPr="00FE766C">
              <w:rPr>
                <w:lang w:val="en-US"/>
              </w:rPr>
              <w:t>uad</w:t>
            </w:r>
            <w:r>
              <w:rPr>
                <w:lang w:val="en-US"/>
              </w:rPr>
              <w:t>)</w:t>
            </w:r>
          </w:p>
        </w:tc>
        <w:tc>
          <w:tcPr>
            <w:tcW w:w="7746" w:type="dxa"/>
          </w:tcPr>
          <w:p w14:paraId="31A6BA46" w14:textId="77777777" w:rsidR="001C4E78" w:rsidRDefault="001C4E78" w:rsidP="006200AE">
            <w:pPr>
              <w:pStyle w:val="TableText0"/>
              <w:rPr>
                <w:lang w:val="en-US"/>
              </w:rPr>
            </w:pPr>
            <w:r w:rsidRPr="00E647AF">
              <w:rPr>
                <w:b/>
                <w:bCs w:val="0"/>
                <w:lang w:val="en-US"/>
              </w:rPr>
              <w:t>Sept</w:t>
            </w:r>
            <w:r>
              <w:rPr>
                <w:b/>
                <w:bCs w:val="0"/>
                <w:lang w:val="en-US"/>
              </w:rPr>
              <w:t>ember</w:t>
            </w:r>
            <w:r w:rsidRPr="00E647AF">
              <w:rPr>
                <w:b/>
                <w:bCs w:val="0"/>
                <w:lang w:val="en-US"/>
              </w:rPr>
              <w:t xml:space="preserve"> 2022</w:t>
            </w:r>
            <w:r>
              <w:rPr>
                <w:b/>
                <w:bCs w:val="0"/>
                <w:lang w:val="en-US"/>
              </w:rPr>
              <w:t xml:space="preserve"> </w:t>
            </w:r>
            <w:r>
              <w:rPr>
                <w:lang w:val="en-US"/>
              </w:rPr>
              <w:t>For particular individuals aged &lt; 65 years:</w:t>
            </w:r>
          </w:p>
          <w:p w14:paraId="702C0BCA" w14:textId="2A190495" w:rsidR="00795261" w:rsidRDefault="001C4E78" w:rsidP="006200AE">
            <w:pPr>
              <w:pStyle w:val="TableText0"/>
            </w:pPr>
            <w:r>
              <w:t>“</w:t>
            </w:r>
            <w:r w:rsidR="00A525DF">
              <w:t>…the</w:t>
            </w:r>
            <w:r>
              <w:t xml:space="preserve"> cost-effectiveness of QIVc would be acceptable with a price premium compared to egg-based quadrivalent influenza virus vaccines and the acknowledgment of potential benefits associated with the diversification of vaccine manufacturing.</w:t>
            </w:r>
            <w:r w:rsidR="00706ED1">
              <w:t>”</w:t>
            </w:r>
            <w:r w:rsidR="00795261">
              <w:t xml:space="preserve"> </w:t>
            </w:r>
          </w:p>
          <w:p w14:paraId="3F79F2FC" w14:textId="43D94494" w:rsidR="001C4E78" w:rsidRDefault="00931401" w:rsidP="006200AE">
            <w:pPr>
              <w:pStyle w:val="TableText0"/>
              <w:rPr>
                <w:lang w:val="en-US"/>
              </w:rPr>
            </w:pPr>
            <w:r>
              <w:t>“</w:t>
            </w:r>
            <w:r w:rsidR="001C4E78">
              <w:t>The PBAC acknowledged there were advantages of cell-based vaccine production technology over the egg-based technology and in diversifying vaccine production platforms. The PBAC noted that cell-based technology may allow faster start-up of vaccine production when needed (for example in the event of a pandemic) and production would not be dependent on egg supply</w:t>
            </w:r>
            <w:r>
              <w:t>”</w:t>
            </w:r>
            <w:r w:rsidR="001C4E78">
              <w:t xml:space="preserve"> (Paras 7.1 and 7.2, QIVc PSD, September 2022 PBAC meeting)</w:t>
            </w:r>
            <w:r w:rsidR="003B59ED">
              <w:t>.</w:t>
            </w:r>
          </w:p>
        </w:tc>
      </w:tr>
    </w:tbl>
    <w:p w14:paraId="641BBD70" w14:textId="1F14C1A0" w:rsidR="005F6D1A" w:rsidRPr="005F6D1A" w:rsidRDefault="005F6D1A" w:rsidP="006200AE">
      <w:pPr>
        <w:keepNext/>
        <w:rPr>
          <w:rFonts w:ascii="Arial Narrow" w:eastAsia="Calibri" w:hAnsi="Arial Narrow" w:cs="Calibri"/>
          <w:snapToGrid w:val="0"/>
          <w:sz w:val="18"/>
          <w:szCs w:val="18"/>
          <w:lang w:eastAsia="en-US"/>
        </w:rPr>
      </w:pPr>
      <w:r w:rsidRPr="005F6D1A">
        <w:rPr>
          <w:rFonts w:ascii="Arial Narrow" w:eastAsia="Calibri" w:hAnsi="Arial Narrow" w:cs="Calibri"/>
          <w:snapToGrid w:val="0"/>
          <w:sz w:val="18"/>
          <w:szCs w:val="18"/>
          <w:lang w:eastAsia="en-US"/>
        </w:rPr>
        <w:t xml:space="preserve">Source: compiled during preparation of the evaluation. </w:t>
      </w:r>
    </w:p>
    <w:p w14:paraId="61332BD0" w14:textId="25E094A7" w:rsidR="005F6D1A" w:rsidRDefault="005F6D1A" w:rsidP="006200AE">
      <w:pPr>
        <w:pStyle w:val="FooterTableFigure"/>
        <w:keepNext/>
        <w:rPr>
          <w:rFonts w:eastAsia="Calibri" w:cs="Calibri"/>
          <w:szCs w:val="18"/>
          <w:lang w:eastAsia="en-US"/>
        </w:rPr>
      </w:pPr>
      <w:r w:rsidRPr="00565555">
        <w:rPr>
          <w:rFonts w:eastAsia="Calibri" w:cs="Calibri"/>
          <w:szCs w:val="18"/>
          <w:lang w:eastAsia="en-US"/>
        </w:rPr>
        <w:t>aQIV</w:t>
      </w:r>
      <w:r>
        <w:rPr>
          <w:rFonts w:eastAsia="Calibri" w:cs="Calibri"/>
          <w:szCs w:val="18"/>
          <w:lang w:eastAsia="en-US"/>
        </w:rPr>
        <w:t xml:space="preserve"> =</w:t>
      </w:r>
      <w:r w:rsidRPr="00565555">
        <w:rPr>
          <w:rFonts w:eastAsia="Calibri" w:cs="Calibri"/>
          <w:szCs w:val="18"/>
          <w:lang w:eastAsia="en-US"/>
        </w:rPr>
        <w:t xml:space="preserve"> adjuvanted quadrivalent influenza vaccine</w:t>
      </w:r>
      <w:r>
        <w:rPr>
          <w:rFonts w:eastAsia="Calibri" w:cs="Calibri"/>
          <w:szCs w:val="18"/>
          <w:lang w:eastAsia="en-US"/>
        </w:rPr>
        <w:t xml:space="preserve"> (</w:t>
      </w:r>
      <w:r w:rsidRPr="00565555">
        <w:rPr>
          <w:rFonts w:eastAsia="Calibri" w:cs="Calibri"/>
          <w:szCs w:val="18"/>
          <w:lang w:eastAsia="en-US"/>
        </w:rPr>
        <w:t>Fluad</w:t>
      </w:r>
      <w:r w:rsidR="005507AE" w:rsidRPr="00706ED1">
        <w:rPr>
          <w:rFonts w:asciiTheme="minorHAnsi" w:hAnsiTheme="minorHAnsi"/>
        </w:rPr>
        <w:t>®</w:t>
      </w:r>
      <w:r w:rsidRPr="00565555">
        <w:rPr>
          <w:rFonts w:eastAsia="Calibri" w:cs="Calibri"/>
          <w:szCs w:val="18"/>
          <w:lang w:eastAsia="en-US"/>
        </w:rPr>
        <w:t xml:space="preserve"> Quad</w:t>
      </w:r>
      <w:r w:rsidR="005507AE">
        <w:rPr>
          <w:rFonts w:eastAsia="Calibri" w:cs="Calibri"/>
          <w:szCs w:val="18"/>
          <w:lang w:eastAsia="en-US"/>
        </w:rPr>
        <w:t>rivalent</w:t>
      </w:r>
      <w:r>
        <w:rPr>
          <w:rFonts w:eastAsia="Calibri" w:cs="Calibri"/>
          <w:szCs w:val="18"/>
          <w:lang w:eastAsia="en-US"/>
        </w:rPr>
        <w:t>)</w:t>
      </w:r>
      <w:r w:rsidRPr="00565555">
        <w:rPr>
          <w:rFonts w:eastAsia="Calibri" w:cs="Calibri"/>
          <w:szCs w:val="18"/>
          <w:lang w:eastAsia="en-US"/>
        </w:rPr>
        <w:t>;</w:t>
      </w:r>
      <w:r>
        <w:rPr>
          <w:rFonts w:eastAsia="Calibri" w:cs="Calibri"/>
          <w:szCs w:val="18"/>
          <w:lang w:eastAsia="en-US"/>
        </w:rPr>
        <w:t xml:space="preserve"> </w:t>
      </w:r>
      <w:r w:rsidRPr="00565555">
        <w:rPr>
          <w:rFonts w:eastAsia="Calibri" w:cs="Calibri"/>
          <w:szCs w:val="18"/>
          <w:lang w:eastAsia="en-US"/>
        </w:rPr>
        <w:t>aTIV</w:t>
      </w:r>
      <w:r>
        <w:rPr>
          <w:rFonts w:eastAsia="Calibri" w:cs="Calibri"/>
          <w:szCs w:val="18"/>
          <w:lang w:eastAsia="en-US"/>
        </w:rPr>
        <w:t xml:space="preserve"> =</w:t>
      </w:r>
      <w:r w:rsidRPr="00565555">
        <w:rPr>
          <w:rFonts w:eastAsia="Calibri" w:cs="Calibri"/>
          <w:szCs w:val="18"/>
          <w:lang w:eastAsia="en-US"/>
        </w:rPr>
        <w:t xml:space="preserve"> adjuvanted trivalent influenza vaccine </w:t>
      </w:r>
      <w:r>
        <w:rPr>
          <w:rFonts w:eastAsia="Calibri" w:cs="Calibri"/>
          <w:szCs w:val="18"/>
          <w:lang w:eastAsia="en-US"/>
        </w:rPr>
        <w:t>(</w:t>
      </w:r>
      <w:r w:rsidRPr="00565555">
        <w:rPr>
          <w:rFonts w:eastAsia="Calibri" w:cs="Calibri"/>
          <w:szCs w:val="18"/>
          <w:lang w:eastAsia="en-US"/>
        </w:rPr>
        <w:t>Fluad</w:t>
      </w:r>
      <w:r w:rsidR="005507AE" w:rsidRPr="001973DD">
        <w:rPr>
          <w:rFonts w:asciiTheme="minorHAnsi" w:hAnsiTheme="minorHAnsi"/>
          <w:i/>
          <w:iCs/>
        </w:rPr>
        <w:t>®</w:t>
      </w:r>
      <w:r w:rsidR="005507AE">
        <w:rPr>
          <w:rFonts w:asciiTheme="minorHAnsi" w:hAnsiTheme="minorHAnsi"/>
          <w:i/>
          <w:iCs/>
        </w:rPr>
        <w:t xml:space="preserve"> </w:t>
      </w:r>
      <w:r w:rsidR="005507AE" w:rsidRPr="005507AE">
        <w:rPr>
          <w:rFonts w:eastAsia="Calibri" w:cs="Calibri"/>
          <w:szCs w:val="18"/>
          <w:lang w:eastAsia="en-US"/>
        </w:rPr>
        <w:t>Quadrivalent</w:t>
      </w:r>
      <w:r>
        <w:rPr>
          <w:rFonts w:eastAsia="Calibri" w:cs="Calibri"/>
          <w:szCs w:val="18"/>
          <w:lang w:eastAsia="en-US"/>
        </w:rPr>
        <w:t>)</w:t>
      </w:r>
      <w:r w:rsidRPr="00565555">
        <w:rPr>
          <w:rFonts w:eastAsia="Calibri" w:cs="Calibri"/>
          <w:szCs w:val="18"/>
          <w:lang w:eastAsia="en-US"/>
        </w:rPr>
        <w:t>;</w:t>
      </w:r>
      <w:r w:rsidR="00795261">
        <w:rPr>
          <w:rFonts w:eastAsia="Calibri" w:cs="Calibri"/>
          <w:szCs w:val="18"/>
          <w:lang w:eastAsia="en-US"/>
        </w:rPr>
        <w:t xml:space="preserve"> </w:t>
      </w:r>
      <w:r w:rsidR="00A525DF">
        <w:rPr>
          <w:rFonts w:eastAsia="Calibri" w:cs="Calibri"/>
          <w:szCs w:val="18"/>
          <w:lang w:eastAsia="en-US"/>
        </w:rPr>
        <w:t xml:space="preserve">CMA = cost-minimisation analysis; CUA = cost-utility analysis; Para </w:t>
      </w:r>
      <w:r w:rsidR="00795261">
        <w:rPr>
          <w:rFonts w:eastAsia="Calibri" w:cs="Calibri"/>
          <w:szCs w:val="18"/>
          <w:lang w:eastAsia="en-US"/>
        </w:rPr>
        <w:t>= paragraph; PSD = Public Summary Document;</w:t>
      </w:r>
      <w:r>
        <w:rPr>
          <w:rFonts w:eastAsia="Calibri" w:cs="Calibri"/>
          <w:szCs w:val="18"/>
          <w:lang w:eastAsia="en-US"/>
        </w:rPr>
        <w:t xml:space="preserve"> </w:t>
      </w:r>
      <w:r w:rsidRPr="008E4A8A">
        <w:rPr>
          <w:rFonts w:eastAsia="Calibri" w:cs="Calibri"/>
          <w:szCs w:val="18"/>
          <w:lang w:eastAsia="en-US"/>
        </w:rPr>
        <w:t>QIVc = cell-based quadrivalent subunit influenza virus vaccine (Flucelvax</w:t>
      </w:r>
      <w:r w:rsidRPr="00706ED1">
        <w:rPr>
          <w:rFonts w:eastAsia="Calibri" w:cs="Calibri"/>
          <w:szCs w:val="18"/>
          <w:vertAlign w:val="superscript"/>
          <w:lang w:eastAsia="en-US"/>
        </w:rPr>
        <w:t>®</w:t>
      </w:r>
      <w:r w:rsidRPr="008E4A8A">
        <w:rPr>
          <w:rFonts w:eastAsia="Calibri" w:cs="Calibri"/>
          <w:szCs w:val="18"/>
          <w:lang w:eastAsia="en-US"/>
        </w:rPr>
        <w:t xml:space="preserve"> Quad</w:t>
      </w:r>
      <w:r>
        <w:rPr>
          <w:rFonts w:eastAsia="Calibri" w:cs="Calibri"/>
          <w:szCs w:val="18"/>
          <w:lang w:eastAsia="en-US"/>
        </w:rPr>
        <w:t>)</w:t>
      </w:r>
      <w:r w:rsidRPr="008E4A8A">
        <w:rPr>
          <w:rFonts w:eastAsia="Calibri" w:cs="Calibri"/>
          <w:szCs w:val="18"/>
          <w:lang w:eastAsia="en-US"/>
        </w:rPr>
        <w:t>, QIVe = egg-based quadrivalent subunit influenza virus vaccine;</w:t>
      </w:r>
      <w:r w:rsidRPr="00565555">
        <w:rPr>
          <w:rFonts w:eastAsia="Calibri" w:cs="Calibri"/>
          <w:szCs w:val="18"/>
          <w:lang w:eastAsia="en-US"/>
        </w:rPr>
        <w:t xml:space="preserve"> </w:t>
      </w:r>
      <w:r>
        <w:rPr>
          <w:rFonts w:eastAsia="Calibri" w:cs="Calibri"/>
          <w:szCs w:val="18"/>
          <w:lang w:eastAsia="en-US"/>
        </w:rPr>
        <w:t>TIV-HD =</w:t>
      </w:r>
      <w:r w:rsidRPr="00565555">
        <w:rPr>
          <w:rFonts w:eastAsia="Calibri" w:cs="Calibri"/>
          <w:szCs w:val="18"/>
          <w:lang w:eastAsia="en-US"/>
        </w:rPr>
        <w:t xml:space="preserve"> high dose inactivated trivalent influenza vaccine </w:t>
      </w:r>
      <w:r>
        <w:rPr>
          <w:rFonts w:eastAsia="Calibri" w:cs="Calibri"/>
          <w:szCs w:val="18"/>
          <w:lang w:eastAsia="en-US"/>
        </w:rPr>
        <w:t>(</w:t>
      </w:r>
      <w:r w:rsidRPr="00565555">
        <w:rPr>
          <w:rFonts w:eastAsia="Calibri" w:cs="Calibri"/>
          <w:szCs w:val="18"/>
          <w:lang w:eastAsia="en-US"/>
        </w:rPr>
        <w:t xml:space="preserve">Fluzone High-Dose) </w:t>
      </w:r>
    </w:p>
    <w:p w14:paraId="4C61B047" w14:textId="769C10CC" w:rsidR="00D8548E" w:rsidRPr="00D8548E" w:rsidRDefault="00D8548E" w:rsidP="0073365E">
      <w:pPr>
        <w:pStyle w:val="ExecSumBodyText"/>
        <w:ind w:left="0" w:firstLine="720"/>
        <w:rPr>
          <w:i/>
          <w:iCs/>
        </w:rPr>
      </w:pPr>
      <w:bookmarkStart w:id="11" w:name="_Hlk160176931"/>
      <w:r w:rsidRPr="00D8548E">
        <w:rPr>
          <w:i/>
          <w:iCs/>
        </w:rPr>
        <w:t>For more detail on PBAC’s view, see section 7 PBAC outcome.</w:t>
      </w:r>
    </w:p>
    <w:p w14:paraId="76E4EF3C" w14:textId="67253B1A" w:rsidR="00B60939" w:rsidRPr="00882085" w:rsidRDefault="00B50DB8" w:rsidP="004E18E9">
      <w:pPr>
        <w:pStyle w:val="2-SectionHeading"/>
      </w:pPr>
      <w:bookmarkStart w:id="12" w:name="_Toc107902078"/>
      <w:bookmarkStart w:id="13" w:name="_Toc156912781"/>
      <w:bookmarkEnd w:id="11"/>
      <w:bookmarkEnd w:id="12"/>
      <w:r w:rsidRPr="00407F2D">
        <w:t>Requested listing</w:t>
      </w:r>
      <w:bookmarkEnd w:id="13"/>
    </w:p>
    <w:p w14:paraId="18D91ED8" w14:textId="7E02902C" w:rsidR="002F0702" w:rsidRPr="008B5876" w:rsidRDefault="002F0702" w:rsidP="002F0702">
      <w:pPr>
        <w:pStyle w:val="3-BodyText"/>
      </w:pPr>
      <w:r w:rsidRPr="008B5876">
        <w:t xml:space="preserve">The submission requested that </w:t>
      </w:r>
      <w:r w:rsidR="00B94580">
        <w:t>RIV4</w:t>
      </w:r>
      <w:r w:rsidRPr="008B5876">
        <w:t xml:space="preserve"> be added as a new item on the Vaccines Determination, under </w:t>
      </w:r>
      <w:r w:rsidR="00837EDB">
        <w:t>the same</w:t>
      </w:r>
      <w:r w:rsidRPr="008B5876">
        <w:t xml:space="preserve"> circumstances </w:t>
      </w:r>
      <w:r w:rsidR="00837EDB">
        <w:t>as</w:t>
      </w:r>
      <w:r w:rsidR="00B94580">
        <w:t xml:space="preserve"> aQIV</w:t>
      </w:r>
      <w:r w:rsidRPr="008B5876">
        <w:t xml:space="preserve">: </w:t>
      </w:r>
      <w:r w:rsidR="00135D71">
        <w:t>“</w:t>
      </w:r>
      <w:r w:rsidRPr="00135D71">
        <w:t>Vaccine may be provided to a person who is at least 65 years of age</w:t>
      </w:r>
      <w:r w:rsidR="00135D71">
        <w:t>”</w:t>
      </w:r>
      <w:r w:rsidRPr="00135D71">
        <w:t>.</w:t>
      </w:r>
    </w:p>
    <w:tbl>
      <w:tblPr>
        <w:tblW w:w="5000" w:type="pct"/>
        <w:tblCellMar>
          <w:left w:w="28" w:type="dxa"/>
          <w:right w:w="28" w:type="dxa"/>
        </w:tblCellMar>
        <w:tblLook w:val="0000" w:firstRow="0" w:lastRow="0" w:firstColumn="0" w:lastColumn="0" w:noHBand="0" w:noVBand="0"/>
      </w:tblPr>
      <w:tblGrid>
        <w:gridCol w:w="4220"/>
        <w:gridCol w:w="1539"/>
        <w:gridCol w:w="986"/>
        <w:gridCol w:w="2282"/>
      </w:tblGrid>
      <w:tr w:rsidR="00905E4A" w:rsidRPr="00001499" w14:paraId="19B075D7" w14:textId="77777777" w:rsidTr="005867B1">
        <w:trPr>
          <w:trHeight w:val="463"/>
        </w:trPr>
        <w:tc>
          <w:tcPr>
            <w:tcW w:w="2345" w:type="pct"/>
            <w:tcBorders>
              <w:top w:val="single" w:sz="4" w:space="0" w:color="auto"/>
              <w:bottom w:val="single" w:sz="4" w:space="0" w:color="auto"/>
            </w:tcBorders>
            <w:vAlign w:val="center"/>
          </w:tcPr>
          <w:p w14:paraId="459635B0" w14:textId="77777777" w:rsidR="00905E4A" w:rsidRPr="00001499" w:rsidRDefault="00905E4A" w:rsidP="00DA3851">
            <w:pPr>
              <w:keepNext/>
              <w:rPr>
                <w:rFonts w:ascii="Arial Narrow" w:hAnsi="Arial Narrow"/>
                <w:b/>
                <w:sz w:val="20"/>
              </w:rPr>
            </w:pPr>
            <w:r w:rsidRPr="00001499">
              <w:rPr>
                <w:rFonts w:ascii="Arial Narrow" w:hAnsi="Arial Narrow"/>
                <w:b/>
                <w:sz w:val="20"/>
              </w:rPr>
              <w:lastRenderedPageBreak/>
              <w:t>Name, Restriction,</w:t>
            </w:r>
          </w:p>
          <w:p w14:paraId="2E96796E" w14:textId="77777777" w:rsidR="00905E4A" w:rsidRPr="00001499" w:rsidRDefault="00905E4A" w:rsidP="00DA3851">
            <w:pPr>
              <w:keepNext/>
              <w:rPr>
                <w:rFonts w:ascii="Arial Narrow" w:hAnsi="Arial Narrow"/>
                <w:b/>
                <w:sz w:val="20"/>
              </w:rPr>
            </w:pPr>
            <w:r w:rsidRPr="00001499">
              <w:rPr>
                <w:rFonts w:ascii="Arial Narrow" w:hAnsi="Arial Narrow"/>
                <w:b/>
                <w:sz w:val="20"/>
              </w:rPr>
              <w:t>Manner of administration and form</w:t>
            </w:r>
          </w:p>
        </w:tc>
        <w:tc>
          <w:tcPr>
            <w:tcW w:w="860" w:type="pct"/>
            <w:tcBorders>
              <w:top w:val="single" w:sz="4" w:space="0" w:color="auto"/>
              <w:bottom w:val="single" w:sz="4" w:space="0" w:color="auto"/>
            </w:tcBorders>
            <w:vAlign w:val="center"/>
          </w:tcPr>
          <w:p w14:paraId="5DBD384B" w14:textId="390C85F2" w:rsidR="00905E4A" w:rsidRPr="00001499" w:rsidRDefault="00A701C1" w:rsidP="00DA3851">
            <w:pPr>
              <w:keepNext/>
              <w:jc w:val="center"/>
              <w:rPr>
                <w:rFonts w:ascii="Arial Narrow" w:hAnsi="Arial Narrow"/>
                <w:b/>
                <w:sz w:val="20"/>
              </w:rPr>
            </w:pPr>
            <w:r>
              <w:rPr>
                <w:rFonts w:ascii="Arial Narrow" w:hAnsi="Arial Narrow"/>
                <w:b/>
                <w:sz w:val="20"/>
              </w:rPr>
              <w:t xml:space="preserve">Requested </w:t>
            </w:r>
            <w:r w:rsidR="00A525DF">
              <w:rPr>
                <w:rFonts w:ascii="Arial Narrow" w:hAnsi="Arial Narrow"/>
                <w:b/>
                <w:sz w:val="20"/>
              </w:rPr>
              <w:t>Nationally Negotiated Price</w:t>
            </w:r>
          </w:p>
        </w:tc>
        <w:tc>
          <w:tcPr>
            <w:tcW w:w="1796" w:type="pct"/>
            <w:gridSpan w:val="2"/>
            <w:tcBorders>
              <w:top w:val="single" w:sz="4" w:space="0" w:color="auto"/>
              <w:bottom w:val="single" w:sz="4" w:space="0" w:color="auto"/>
            </w:tcBorders>
            <w:vAlign w:val="center"/>
          </w:tcPr>
          <w:p w14:paraId="3F256C17" w14:textId="77777777" w:rsidR="00905E4A" w:rsidRPr="00001499" w:rsidRDefault="00905E4A" w:rsidP="00DA3851">
            <w:pPr>
              <w:keepNext/>
              <w:jc w:val="center"/>
              <w:rPr>
                <w:rFonts w:ascii="Arial Narrow" w:hAnsi="Arial Narrow"/>
                <w:b/>
                <w:sz w:val="20"/>
              </w:rPr>
            </w:pPr>
            <w:r w:rsidRPr="00001499">
              <w:rPr>
                <w:rFonts w:ascii="Arial Narrow" w:hAnsi="Arial Narrow"/>
                <w:b/>
                <w:sz w:val="20"/>
              </w:rPr>
              <w:t>Proprietary Name and Manufacturer</w:t>
            </w:r>
          </w:p>
        </w:tc>
      </w:tr>
      <w:tr w:rsidR="00905E4A" w:rsidRPr="00001499" w14:paraId="34724959" w14:textId="77777777" w:rsidTr="005867B1">
        <w:trPr>
          <w:trHeight w:val="567"/>
        </w:trPr>
        <w:tc>
          <w:tcPr>
            <w:tcW w:w="2345" w:type="pct"/>
            <w:vAlign w:val="center"/>
          </w:tcPr>
          <w:p w14:paraId="7C0C9F91" w14:textId="3B23BCAB" w:rsidR="00905E4A" w:rsidRDefault="00905E4A" w:rsidP="00DA3851">
            <w:pPr>
              <w:keepNext/>
              <w:rPr>
                <w:rFonts w:ascii="Arial Narrow" w:hAnsi="Arial Narrow"/>
                <w:smallCaps/>
                <w:sz w:val="20"/>
              </w:rPr>
            </w:pPr>
            <w:r w:rsidRPr="00905E4A">
              <w:rPr>
                <w:rFonts w:ascii="Arial Narrow" w:hAnsi="Arial Narrow"/>
                <w:sz w:val="20"/>
              </w:rPr>
              <w:t>Quadrivalent Recombinant Influenza Vaccine</w:t>
            </w:r>
            <w:r w:rsidRPr="00905E4A">
              <w:rPr>
                <w:rFonts w:ascii="Arial Narrow" w:hAnsi="Arial Narrow"/>
                <w:smallCaps/>
                <w:sz w:val="20"/>
              </w:rPr>
              <w:t xml:space="preserve"> </w:t>
            </w:r>
          </w:p>
          <w:p w14:paraId="5F2E6FEC" w14:textId="680E03FC" w:rsidR="00905E4A" w:rsidRDefault="00905E4A" w:rsidP="00AF516C">
            <w:pPr>
              <w:keepNext/>
              <w:rPr>
                <w:rFonts w:ascii="Arial Narrow" w:hAnsi="Arial Narrow"/>
                <w:smallCaps/>
                <w:sz w:val="20"/>
              </w:rPr>
            </w:pPr>
            <w:r w:rsidRPr="00905E4A">
              <w:rPr>
                <w:rFonts w:ascii="Arial Narrow" w:hAnsi="Arial Narrow"/>
                <w:smallCaps/>
                <w:sz w:val="20"/>
              </w:rPr>
              <w:t>(</w:t>
            </w:r>
            <w:r w:rsidRPr="00AF516C">
              <w:rPr>
                <w:rFonts w:ascii="Arial Narrow" w:hAnsi="Arial Narrow"/>
                <w:sz w:val="20"/>
              </w:rPr>
              <w:t>INFLUENZA</w:t>
            </w:r>
            <w:r w:rsidRPr="00905E4A">
              <w:rPr>
                <w:rFonts w:ascii="Arial Narrow" w:hAnsi="Arial Narrow"/>
                <w:smallCaps/>
                <w:sz w:val="20"/>
              </w:rPr>
              <w:t xml:space="preserve"> HAEMAGGLUTININ RECOMBINANT)</w:t>
            </w:r>
          </w:p>
          <w:p w14:paraId="63E70EEB" w14:textId="2036BAD4" w:rsidR="00905E4A" w:rsidRPr="00001499" w:rsidRDefault="00905E4A" w:rsidP="00AF516C">
            <w:pPr>
              <w:keepNext/>
              <w:rPr>
                <w:rFonts w:ascii="Arial Narrow" w:hAnsi="Arial Narrow"/>
                <w:sz w:val="20"/>
              </w:rPr>
            </w:pPr>
            <w:r w:rsidRPr="00905E4A">
              <w:rPr>
                <w:rFonts w:ascii="Arial Narrow" w:hAnsi="Arial Narrow"/>
                <w:sz w:val="20"/>
              </w:rPr>
              <w:t>Solution for I.M injection 180 microgram in 0.5 mL</w:t>
            </w:r>
          </w:p>
        </w:tc>
        <w:tc>
          <w:tcPr>
            <w:tcW w:w="860" w:type="pct"/>
            <w:vAlign w:val="center"/>
          </w:tcPr>
          <w:p w14:paraId="1791801E" w14:textId="6B7082EA" w:rsidR="00905E4A" w:rsidRPr="00905E4A" w:rsidRDefault="00905E4A" w:rsidP="00DA3851">
            <w:pPr>
              <w:keepNext/>
              <w:jc w:val="center"/>
              <w:rPr>
                <w:rFonts w:ascii="Arial Narrow" w:hAnsi="Arial Narrow"/>
                <w:sz w:val="20"/>
              </w:rPr>
            </w:pPr>
            <w:r w:rsidRPr="00905E4A">
              <w:rPr>
                <w:rFonts w:ascii="Arial Narrow" w:hAnsi="Arial Narrow"/>
                <w:sz w:val="20"/>
              </w:rPr>
              <w:t>$</w:t>
            </w:r>
            <w:r w:rsidR="00E70DA3" w:rsidRPr="00E70DA3">
              <w:rPr>
                <w:rFonts w:ascii="Arial Narrow" w:hAnsi="Arial Narrow"/>
                <w:color w:val="000000"/>
                <w:sz w:val="20"/>
                <w:shd w:val="solid" w:color="000000" w:fill="000000"/>
                <w14:textFill>
                  <w14:solidFill>
                    <w14:srgbClr w14:val="000000">
                      <w14:alpha w14:val="100000"/>
                    </w14:srgbClr>
                  </w14:solidFill>
                </w14:textFill>
              </w:rPr>
              <w:t>|</w:t>
            </w:r>
          </w:p>
        </w:tc>
        <w:tc>
          <w:tcPr>
            <w:tcW w:w="524" w:type="pct"/>
            <w:vAlign w:val="center"/>
          </w:tcPr>
          <w:p w14:paraId="43ECBB37" w14:textId="7566FD59" w:rsidR="00905E4A" w:rsidRPr="00001499" w:rsidRDefault="00905E4A" w:rsidP="00DA3851">
            <w:pPr>
              <w:keepNext/>
              <w:jc w:val="center"/>
              <w:rPr>
                <w:rFonts w:ascii="Arial Narrow" w:hAnsi="Arial Narrow"/>
                <w:sz w:val="20"/>
              </w:rPr>
            </w:pPr>
            <w:r w:rsidRPr="00001499">
              <w:rPr>
                <w:rFonts w:ascii="Arial Narrow" w:hAnsi="Arial Narrow"/>
                <w:sz w:val="20"/>
              </w:rPr>
              <w:t>Flu</w:t>
            </w:r>
            <w:r>
              <w:rPr>
                <w:rFonts w:ascii="Arial Narrow" w:hAnsi="Arial Narrow"/>
                <w:sz w:val="20"/>
              </w:rPr>
              <w:t>blok</w:t>
            </w:r>
            <w:r w:rsidRPr="00001499">
              <w:rPr>
                <w:rFonts w:ascii="Arial Narrow" w:hAnsi="Arial Narrow"/>
                <w:sz w:val="20"/>
              </w:rPr>
              <w:t>® Quad</w:t>
            </w:r>
            <w:r w:rsidR="00AF516C">
              <w:rPr>
                <w:rFonts w:ascii="Arial Narrow" w:hAnsi="Arial Narrow"/>
                <w:sz w:val="20"/>
              </w:rPr>
              <w:t>rivalent</w:t>
            </w:r>
          </w:p>
        </w:tc>
        <w:tc>
          <w:tcPr>
            <w:tcW w:w="1271" w:type="pct"/>
            <w:vAlign w:val="center"/>
          </w:tcPr>
          <w:p w14:paraId="6BD70F49" w14:textId="1805AC84" w:rsidR="00905E4A" w:rsidRPr="00001499" w:rsidRDefault="00905E4A" w:rsidP="00DA3851">
            <w:pPr>
              <w:keepNext/>
              <w:jc w:val="center"/>
              <w:rPr>
                <w:rFonts w:ascii="Arial Narrow" w:hAnsi="Arial Narrow"/>
                <w:sz w:val="20"/>
              </w:rPr>
            </w:pPr>
            <w:r w:rsidRPr="00905E4A">
              <w:rPr>
                <w:rFonts w:ascii="Arial Narrow" w:hAnsi="Arial Narrow"/>
                <w:sz w:val="20"/>
              </w:rPr>
              <w:t>Sanofi-Aventis Australia Pty Ltd</w:t>
            </w:r>
          </w:p>
        </w:tc>
      </w:tr>
    </w:tbl>
    <w:p w14:paraId="210B3796" w14:textId="2BFDDF8F" w:rsidR="00046D64" w:rsidRDefault="00046D64" w:rsidP="004B1C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1"/>
        <w:gridCol w:w="6756"/>
      </w:tblGrid>
      <w:tr w:rsidR="002F0702" w:rsidRPr="008A2917" w14:paraId="329B51B6" w14:textId="77777777" w:rsidTr="00143489">
        <w:trPr>
          <w:trHeight w:val="20"/>
        </w:trPr>
        <w:tc>
          <w:tcPr>
            <w:tcW w:w="1254" w:type="pct"/>
            <w:tcBorders>
              <w:top w:val="single" w:sz="4" w:space="0" w:color="auto"/>
              <w:left w:val="single" w:sz="4" w:space="0" w:color="auto"/>
              <w:bottom w:val="single" w:sz="4" w:space="0" w:color="auto"/>
              <w:right w:val="single" w:sz="4" w:space="0" w:color="auto"/>
            </w:tcBorders>
            <w:hideMark/>
          </w:tcPr>
          <w:p w14:paraId="645CAD5B" w14:textId="77777777" w:rsidR="002F0702" w:rsidRPr="00A525DF" w:rsidRDefault="002F0702" w:rsidP="00143489">
            <w:pPr>
              <w:pStyle w:val="Tabletext"/>
              <w:rPr>
                <w:b/>
                <w:bCs/>
              </w:rPr>
            </w:pPr>
            <w:r w:rsidRPr="00A525DF">
              <w:rPr>
                <w:b/>
                <w:bCs/>
              </w:rPr>
              <w:t>Category/Program:</w:t>
            </w:r>
          </w:p>
        </w:tc>
        <w:tc>
          <w:tcPr>
            <w:tcW w:w="3746" w:type="pct"/>
            <w:tcBorders>
              <w:top w:val="single" w:sz="4" w:space="0" w:color="auto"/>
              <w:left w:val="single" w:sz="4" w:space="0" w:color="auto"/>
              <w:bottom w:val="single" w:sz="4" w:space="0" w:color="auto"/>
              <w:right w:val="single" w:sz="4" w:space="0" w:color="auto"/>
            </w:tcBorders>
          </w:tcPr>
          <w:p w14:paraId="527376A4" w14:textId="02FCA160" w:rsidR="002F0702" w:rsidRPr="00A525DF" w:rsidRDefault="002F0702" w:rsidP="00143489">
            <w:pPr>
              <w:pStyle w:val="Tabletext"/>
              <w:rPr>
                <w:b/>
                <w:bCs/>
              </w:rPr>
            </w:pPr>
            <w:r w:rsidRPr="00A525DF">
              <w:rPr>
                <w:b/>
                <w:bCs/>
              </w:rPr>
              <w:t>NIP</w:t>
            </w:r>
            <w:r w:rsidR="00A525DF">
              <w:rPr>
                <w:b/>
                <w:bCs/>
              </w:rPr>
              <w:t>:</w:t>
            </w:r>
          </w:p>
        </w:tc>
      </w:tr>
      <w:tr w:rsidR="002F0702" w:rsidRPr="008A2917" w14:paraId="685C9DB8" w14:textId="77777777" w:rsidTr="00143489">
        <w:trPr>
          <w:trHeight w:val="20"/>
        </w:trPr>
        <w:tc>
          <w:tcPr>
            <w:tcW w:w="1254" w:type="pct"/>
            <w:tcBorders>
              <w:top w:val="single" w:sz="4" w:space="0" w:color="auto"/>
              <w:left w:val="single" w:sz="4" w:space="0" w:color="auto"/>
              <w:bottom w:val="single" w:sz="4" w:space="0" w:color="auto"/>
              <w:right w:val="single" w:sz="4" w:space="0" w:color="auto"/>
            </w:tcBorders>
            <w:hideMark/>
          </w:tcPr>
          <w:p w14:paraId="0B9A8EAF" w14:textId="6F80054C" w:rsidR="002F0702" w:rsidRPr="008A2917" w:rsidRDefault="00A525DF" w:rsidP="00143489">
            <w:pPr>
              <w:pStyle w:val="Tabletext"/>
            </w:pPr>
            <w:r>
              <w:t>Groups eligible for the requested NIP listing of Flublok</w:t>
            </w:r>
            <w:r w:rsidR="005507AE" w:rsidRPr="00001499">
              <w:t>®</w:t>
            </w:r>
            <w:r w:rsidR="005507AE">
              <w:t xml:space="preserve"> Quad</w:t>
            </w:r>
            <w:r w:rsidR="00AF516C">
              <w:t>rivalent</w:t>
            </w:r>
          </w:p>
        </w:tc>
        <w:tc>
          <w:tcPr>
            <w:tcW w:w="3746" w:type="pct"/>
            <w:tcBorders>
              <w:top w:val="single" w:sz="4" w:space="0" w:color="auto"/>
              <w:left w:val="single" w:sz="4" w:space="0" w:color="auto"/>
              <w:bottom w:val="single" w:sz="4" w:space="0" w:color="auto"/>
              <w:right w:val="single" w:sz="4" w:space="0" w:color="auto"/>
            </w:tcBorders>
          </w:tcPr>
          <w:p w14:paraId="436081B4" w14:textId="62435B7E" w:rsidR="002F0702" w:rsidRPr="008A2917" w:rsidRDefault="002F0702" w:rsidP="00143489">
            <w:pPr>
              <w:pStyle w:val="Tabletext"/>
            </w:pPr>
            <w:r w:rsidRPr="002F0702">
              <w:t>Vaccine may be provided to a person who is at least 65 years of age.</w:t>
            </w:r>
          </w:p>
        </w:tc>
      </w:tr>
      <w:tr w:rsidR="00A525DF" w:rsidRPr="008A2917" w14:paraId="7403A2B1" w14:textId="77777777" w:rsidTr="00143489">
        <w:trPr>
          <w:trHeight w:val="20"/>
        </w:trPr>
        <w:tc>
          <w:tcPr>
            <w:tcW w:w="1254" w:type="pct"/>
            <w:tcBorders>
              <w:top w:val="single" w:sz="4" w:space="0" w:color="auto"/>
              <w:left w:val="single" w:sz="4" w:space="0" w:color="auto"/>
              <w:bottom w:val="single" w:sz="4" w:space="0" w:color="auto"/>
              <w:right w:val="single" w:sz="4" w:space="0" w:color="auto"/>
            </w:tcBorders>
          </w:tcPr>
          <w:p w14:paraId="1AFA40C6" w14:textId="1062C7BB" w:rsidR="00A525DF" w:rsidRPr="008A2917" w:rsidDel="00A525DF" w:rsidRDefault="00EC73B1" w:rsidP="00143489">
            <w:pPr>
              <w:pStyle w:val="Tabletext"/>
            </w:pPr>
            <w:r>
              <w:t xml:space="preserve">Number </w:t>
            </w:r>
            <w:r w:rsidR="009575EE">
              <w:t>and</w:t>
            </w:r>
            <w:r>
              <w:t xml:space="preserve"> timing of doses</w:t>
            </w:r>
          </w:p>
        </w:tc>
        <w:tc>
          <w:tcPr>
            <w:tcW w:w="3746" w:type="pct"/>
            <w:tcBorders>
              <w:top w:val="single" w:sz="4" w:space="0" w:color="auto"/>
              <w:left w:val="single" w:sz="4" w:space="0" w:color="auto"/>
              <w:bottom w:val="single" w:sz="4" w:space="0" w:color="auto"/>
              <w:right w:val="single" w:sz="4" w:space="0" w:color="auto"/>
            </w:tcBorders>
          </w:tcPr>
          <w:p w14:paraId="0D93A3E8" w14:textId="2A0AEFEA" w:rsidR="00A525DF" w:rsidRPr="002F0702" w:rsidDel="00A525DF" w:rsidRDefault="00EC73B1" w:rsidP="00143489">
            <w:pPr>
              <w:pStyle w:val="Tabletext"/>
            </w:pPr>
            <w:r>
              <w:t>A single Flublok</w:t>
            </w:r>
            <w:r w:rsidR="005507AE" w:rsidRPr="00001499">
              <w:t>®</w:t>
            </w:r>
            <w:r>
              <w:t xml:space="preserve"> </w:t>
            </w:r>
            <w:r w:rsidR="005507AE">
              <w:t>Quad</w:t>
            </w:r>
            <w:r w:rsidR="00AF516C">
              <w:t>rivalent</w:t>
            </w:r>
            <w:r w:rsidR="005507AE">
              <w:t xml:space="preserve"> </w:t>
            </w:r>
            <w:r>
              <w:t>(0.5 mL) injection</w:t>
            </w:r>
            <w:r w:rsidR="00135D71">
              <w:t xml:space="preserve"> per calendar year</w:t>
            </w:r>
          </w:p>
        </w:tc>
      </w:tr>
    </w:tbl>
    <w:p w14:paraId="441B990D" w14:textId="521E730C" w:rsidR="002F0702" w:rsidRDefault="002F0702" w:rsidP="0073365E">
      <w:pPr>
        <w:pStyle w:val="TableFooter"/>
        <w:spacing w:after="120"/>
      </w:pPr>
      <w:r w:rsidRPr="008A2917">
        <w:t>NIP: National Immunisation Program</w:t>
      </w:r>
    </w:p>
    <w:p w14:paraId="79F04ED0" w14:textId="5E752D6B" w:rsidR="00D8548E" w:rsidRPr="007C710C" w:rsidRDefault="00D8548E" w:rsidP="00D8548E">
      <w:pPr>
        <w:pStyle w:val="3-BodyText"/>
      </w:pPr>
      <w:r w:rsidRPr="007C710C">
        <w:t>The submission requested that the determination for quadrivalent recombinant influenza vaccine (Flublok® Quadrivalent; RIV4) should align with the current NIP listing of adjuvanted egg-based quadrivalent influenza vaccine (Fluad® Quadrivalent; aQIV) for persons aged at least 65 years o</w:t>
      </w:r>
      <w:r w:rsidR="003C7C67">
        <w:t>f age</w:t>
      </w:r>
      <w:r w:rsidRPr="007C710C">
        <w:t>.</w:t>
      </w:r>
      <w:r w:rsidR="003C7C67">
        <w:t xml:space="preserve"> The PBAC considered this was appropriate. </w:t>
      </w:r>
    </w:p>
    <w:p w14:paraId="595D7378" w14:textId="14A43C61" w:rsidR="00CE4849" w:rsidRPr="0074721B" w:rsidRDefault="00DA0D69" w:rsidP="00724795">
      <w:pPr>
        <w:pStyle w:val="3-BodyText"/>
        <w:keepNext/>
        <w:keepLines/>
        <w:numPr>
          <w:ilvl w:val="0"/>
          <w:numId w:val="0"/>
        </w:numPr>
        <w:rPr>
          <w:u w:val="single"/>
        </w:rPr>
      </w:pPr>
      <w:r>
        <w:rPr>
          <w:u w:val="single"/>
        </w:rPr>
        <w:t>People</w:t>
      </w:r>
      <w:r w:rsidR="00FC3D7A" w:rsidRPr="0074721B">
        <w:rPr>
          <w:u w:val="single"/>
        </w:rPr>
        <w:t xml:space="preserve"> aged &lt; 65 years</w:t>
      </w:r>
      <w:r w:rsidR="00CE4849" w:rsidRPr="0074721B">
        <w:rPr>
          <w:u w:val="single"/>
        </w:rPr>
        <w:t xml:space="preserve"> </w:t>
      </w:r>
    </w:p>
    <w:p w14:paraId="3664E7E3" w14:textId="427E6332" w:rsidR="00CE4849" w:rsidRDefault="00CE4849" w:rsidP="00724795">
      <w:pPr>
        <w:pStyle w:val="3-BodyText"/>
        <w:keepNext/>
        <w:keepLines/>
      </w:pPr>
      <w:r w:rsidRPr="00FC3D7A">
        <w:t xml:space="preserve">The submission stated “A request for advice from the Australian Technical Advisory Group on Immunisation (ATAGI) which was considered at its August 2023 meeting, contemplated a much broader NIP listing for </w:t>
      </w:r>
      <w:r w:rsidR="00DD55B1">
        <w:t>RIV4</w:t>
      </w:r>
      <w:r w:rsidRPr="00FC3D7A">
        <w:t>, also incorporating adults aged 50-64 years, with and without risk factors for severe influenza. However, based on the advice received, only the narrower NIP listing, for use in the established population of adults aged 65 years or older is being requested of the PBAC at this time. This is because the adult population of 65 years or older is considered to have the greatest clinical need as they are disproportionately affected by complications and severe outcomes resulting from influenza infection, including hospitalisation and death. A subsequent submission, addressing the population(s) aged 50-64 years of age may be progressed during 2024, subject to the completion of appropriate clinical, economic and financial analyses</w:t>
      </w:r>
      <w:r w:rsidR="00DD55B1">
        <w:t>”</w:t>
      </w:r>
      <w:r w:rsidR="009575EE">
        <w:t>.</w:t>
      </w:r>
    </w:p>
    <w:p w14:paraId="0F826324" w14:textId="77777777" w:rsidR="00D8548E" w:rsidRPr="00D8548E" w:rsidRDefault="00D8548E" w:rsidP="0073365E">
      <w:pPr>
        <w:pStyle w:val="ExecSumBodyText"/>
        <w:ind w:left="0" w:firstLine="720"/>
        <w:rPr>
          <w:i/>
          <w:iCs/>
        </w:rPr>
      </w:pPr>
      <w:r w:rsidRPr="00D8548E">
        <w:rPr>
          <w:i/>
          <w:iCs/>
        </w:rPr>
        <w:t>For more detail on PBAC’s view, see section 7 PBAC outcome.</w:t>
      </w:r>
    </w:p>
    <w:p w14:paraId="7075B85C" w14:textId="62A47B7B" w:rsidR="00B50DB8" w:rsidRPr="00F97A8C" w:rsidDel="00195452" w:rsidRDefault="00203181" w:rsidP="004E18E9">
      <w:pPr>
        <w:pStyle w:val="2-SectionHeading"/>
      </w:pPr>
      <w:bookmarkStart w:id="14" w:name="_Toc156912782"/>
      <w:r w:rsidRPr="00F97A8C" w:rsidDel="00195452">
        <w:t xml:space="preserve">Population and </w:t>
      </w:r>
      <w:r w:rsidR="008E0D3C" w:rsidRPr="00F97A8C" w:rsidDel="00195452">
        <w:t>d</w:t>
      </w:r>
      <w:r w:rsidRPr="00F97A8C" w:rsidDel="00195452">
        <w:t>isease</w:t>
      </w:r>
      <w:bookmarkEnd w:id="14"/>
    </w:p>
    <w:p w14:paraId="23DDCCBC" w14:textId="78FCBF8E" w:rsidR="005E7829" w:rsidRPr="005F6D1A" w:rsidRDefault="005E7829" w:rsidP="00D07B05">
      <w:pPr>
        <w:pStyle w:val="3-BodyText"/>
      </w:pPr>
      <w:r>
        <w:t xml:space="preserve">Influenza is an acute viral infection of the respiratory tract. </w:t>
      </w:r>
      <w:r w:rsidRPr="00280397">
        <w:t xml:space="preserve">There are four types of influenza viruses: influenza A, B, C, and D but only influenza A and B viruses cause </w:t>
      </w:r>
      <w:r w:rsidRPr="005F6D1A">
        <w:t xml:space="preserve">clinically important human disease and seasonal epidemics. Beyond the acute symptoms, influenza is also associated with complications including (but not limited to) acute bronchitis, pneumonia (both primary viral and secondary bacterial pneumonia), and cardiovascular complications including myocarditis and pericarditis. </w:t>
      </w:r>
    </w:p>
    <w:p w14:paraId="31921E26" w14:textId="6E7F49F7" w:rsidR="005E7829" w:rsidRDefault="005E7829" w:rsidP="00057455">
      <w:pPr>
        <w:pStyle w:val="3-BodyText"/>
      </w:pPr>
      <w:r w:rsidRPr="005F6D1A">
        <w:t xml:space="preserve">Influenza viruses are coated with two proteins, haemagglutinin (HA) and neuraminidase (NA). Antibodies against these proteins provide protection against infection. As influenza viruses replicate, there are continual changes from mutations </w:t>
      </w:r>
      <w:r w:rsidRPr="005F6D1A">
        <w:lastRenderedPageBreak/>
        <w:t xml:space="preserve">in the genes encoding the HA and NA surface proteins, called antigenic drift. These changes </w:t>
      </w:r>
      <w:r w:rsidRPr="00DD55B1">
        <w:t>accumulate and existing antibodies become less effective at neutralising the virus. Therefore, protection by vaccination requires annual dosing with updated vaccines.</w:t>
      </w:r>
    </w:p>
    <w:p w14:paraId="24458C75" w14:textId="383E927C" w:rsidR="006F2E96" w:rsidRPr="00DD55B1" w:rsidRDefault="006F2E96" w:rsidP="00057455">
      <w:pPr>
        <w:pStyle w:val="3-BodyText"/>
      </w:pPr>
      <w:r w:rsidRPr="00001499">
        <w:rPr>
          <w:iCs/>
        </w:rPr>
        <w:t>In Australia, vaccine composition is decided by the TGA, with advice from the Australian Influenza Vaccine Committee (AIVC), which examines, among other things, epidemiology, antigenic and genetic characteristics of recent influenza isolates circulating in Australia and the southern hemisphere. The AIVC meets after the annual World Health Organization (WHO) strain composition meeting and its advice generally aligns with the WHO recommendations, unless there are scientific or practical reasons for variations</w:t>
      </w:r>
      <w:r w:rsidRPr="00001499">
        <w:rPr>
          <w:rStyle w:val="FootnoteReference"/>
          <w:rFonts w:eastAsiaTheme="minorHAnsi"/>
          <w:iCs/>
        </w:rPr>
        <w:footnoteReference w:id="1"/>
      </w:r>
      <w:r w:rsidRPr="00001499">
        <w:rPr>
          <w:iCs/>
        </w:rPr>
        <w:t>.</w:t>
      </w:r>
      <w:r>
        <w:rPr>
          <w:iCs/>
        </w:rPr>
        <w:t xml:space="preserve"> </w:t>
      </w:r>
      <w:r w:rsidRPr="00001499">
        <w:t>Antigenic drift, and mismatch in vaccine and circulating viruses, means vaccine effectiveness can vary across (and within) seasons.</w:t>
      </w:r>
    </w:p>
    <w:p w14:paraId="43ACE29E" w14:textId="256F17C1" w:rsidR="00FC3D7A" w:rsidRPr="00DD55B1" w:rsidRDefault="005E7829" w:rsidP="00057455">
      <w:pPr>
        <w:pStyle w:val="3-BodyText"/>
      </w:pPr>
      <w:r w:rsidRPr="00DD55B1">
        <w:t>The traditional manufacturing process for influenza vaccines utilises fertilised chicken eggs. During this process mutations can occur in the receptor binding region of HA, which can lead to antigenic mismatch to circulating viruses, and reduced vaccine effectiveness known as egg adaptation. This is a particular problem for influenza A/H3N2 and B viruses.</w:t>
      </w:r>
    </w:p>
    <w:p w14:paraId="3B8DAE64" w14:textId="05B051A1" w:rsidR="00280397" w:rsidRDefault="001618F8" w:rsidP="00280397">
      <w:pPr>
        <w:pStyle w:val="3-BodyText"/>
      </w:pPr>
      <w:r w:rsidRPr="00DD55B1">
        <w:t xml:space="preserve">RIV4 is manufactured using a baculovirus overexpression system to express the HA antigen in an insect cell line. This process yields HA that is genetically identical to the selected (wild-type) influenza strains, generating HA proteins that are structurally and functionally equivalent to the circulating wild-type strain. </w:t>
      </w:r>
      <w:r w:rsidR="00280397" w:rsidRPr="00DD55B1">
        <w:t xml:space="preserve">The submission stated </w:t>
      </w:r>
      <w:r w:rsidR="005F6D1A" w:rsidRPr="00DD55B1">
        <w:t>th</w:t>
      </w:r>
      <w:r w:rsidR="00DD55B1" w:rsidRPr="00DD55B1">
        <w:t>is</w:t>
      </w:r>
      <w:r w:rsidR="005F6D1A" w:rsidRPr="00DD55B1">
        <w:t xml:space="preserve"> “</w:t>
      </w:r>
      <w:r w:rsidR="00280397" w:rsidRPr="00DD55B1">
        <w:t>assures the vaccine viral strains represent antigens that are an exact match to the WHO selected strains which induce the desired humoral immune response.”</w:t>
      </w:r>
    </w:p>
    <w:p w14:paraId="0BB213B4" w14:textId="03D7E517" w:rsidR="001618F8" w:rsidRDefault="001618F8" w:rsidP="00057455">
      <w:pPr>
        <w:pStyle w:val="3-BodyText"/>
      </w:pPr>
      <w:r w:rsidRPr="001618F8">
        <w:t>RIV4 contains 45 μg of HA protein from each of four influenza strains (A/H1N1, A/H3N2, B/Victoria lineage, B/Yamagata lineage). This is three times the amount of HA as contained in standard dose egg- or cell-based inactivated vaccines, but less than the 60 μg for each strain contained in the high-dose quadrivalent vaccine</w:t>
      </w:r>
      <w:r>
        <w:t>”</w:t>
      </w:r>
      <w:r w:rsidR="006F2E96">
        <w:t xml:space="preserve"> </w:t>
      </w:r>
      <w:r>
        <w:t>(ATAGI, pre-submission advice).</w:t>
      </w:r>
    </w:p>
    <w:p w14:paraId="56D38588" w14:textId="77777777" w:rsidR="00D8548E" w:rsidRPr="00D8548E" w:rsidRDefault="00D8548E" w:rsidP="0073365E">
      <w:pPr>
        <w:pStyle w:val="ExecSumBodyText"/>
        <w:ind w:left="0" w:firstLine="720"/>
        <w:rPr>
          <w:i/>
          <w:iCs/>
        </w:rPr>
      </w:pPr>
      <w:r w:rsidRPr="00D8548E">
        <w:rPr>
          <w:i/>
          <w:iCs/>
        </w:rPr>
        <w:t>For more detail on PBAC’s view, see section 7 PBAC outcome.</w:t>
      </w:r>
    </w:p>
    <w:p w14:paraId="51E5AE96" w14:textId="136A63B1" w:rsidR="00B50DB8" w:rsidRPr="00407F2D" w:rsidRDefault="00B50DB8" w:rsidP="004E18E9">
      <w:pPr>
        <w:pStyle w:val="2-SectionHeading"/>
      </w:pPr>
      <w:bookmarkStart w:id="15" w:name="_Toc156912783"/>
      <w:r w:rsidRPr="00407F2D">
        <w:t>Comparator</w:t>
      </w:r>
      <w:bookmarkEnd w:id="15"/>
    </w:p>
    <w:p w14:paraId="7B7737CF" w14:textId="1960F7F3" w:rsidR="008764BA" w:rsidRDefault="005720FA" w:rsidP="00882E3C">
      <w:pPr>
        <w:pStyle w:val="3-BodyText"/>
        <w:rPr>
          <w:snapToGrid/>
          <w:lang w:val="en-US"/>
        </w:rPr>
      </w:pPr>
      <w:r>
        <w:rPr>
          <w:snapToGrid/>
          <w:lang w:val="en-US"/>
        </w:rPr>
        <w:t xml:space="preserve">The submission nominated </w:t>
      </w:r>
      <w:r w:rsidR="00F97A8C" w:rsidRPr="00DD3BE8">
        <w:t>a</w:t>
      </w:r>
      <w:r w:rsidR="00083164">
        <w:t>QIV</w:t>
      </w:r>
      <w:r w:rsidR="00280397">
        <w:t xml:space="preserve"> </w:t>
      </w:r>
      <w:r>
        <w:rPr>
          <w:snapToGrid/>
          <w:lang w:val="en-US"/>
        </w:rPr>
        <w:t xml:space="preserve">as the main comparator. </w:t>
      </w:r>
      <w:r w:rsidR="008764BA">
        <w:rPr>
          <w:snapToGrid/>
          <w:lang w:val="en-US"/>
        </w:rPr>
        <w:t>In its pre-submission advice</w:t>
      </w:r>
      <w:r w:rsidR="00D14A0A">
        <w:rPr>
          <w:snapToGrid/>
          <w:lang w:val="en-US"/>
        </w:rPr>
        <w:t xml:space="preserve"> </w:t>
      </w:r>
      <w:r w:rsidR="008764BA">
        <w:rPr>
          <w:snapToGrid/>
          <w:lang w:val="en-US"/>
        </w:rPr>
        <w:t xml:space="preserve">ATAGI considered this appropriate for the requested population. </w:t>
      </w:r>
    </w:p>
    <w:p w14:paraId="50B02D73" w14:textId="77842650" w:rsidR="005720FA" w:rsidRDefault="00280397" w:rsidP="00280397">
      <w:pPr>
        <w:pStyle w:val="3-BodyText"/>
        <w:rPr>
          <w:snapToGrid/>
          <w:lang w:val="en-US"/>
        </w:rPr>
      </w:pPr>
      <w:r>
        <w:rPr>
          <w:snapToGrid/>
          <w:lang w:val="en-US"/>
        </w:rPr>
        <w:t xml:space="preserve">While the NIP specifies </w:t>
      </w:r>
      <w:r w:rsidRPr="00CE4849">
        <w:rPr>
          <w:snapToGrid/>
          <w:lang w:val="en-US"/>
        </w:rPr>
        <w:t>three influenza vaccines that can be provided through the NIP for persons aged 65 and over</w:t>
      </w:r>
      <w:r>
        <w:rPr>
          <w:snapToGrid/>
          <w:lang w:val="en-US"/>
        </w:rPr>
        <w:t xml:space="preserve"> (</w:t>
      </w:r>
      <w:r w:rsidR="00CC2B15">
        <w:rPr>
          <w:snapToGrid/>
          <w:lang w:val="en-US"/>
        </w:rPr>
        <w:t xml:space="preserve">aQIV, </w:t>
      </w:r>
      <w:r w:rsidR="00CC2B15" w:rsidRPr="00CC2B15">
        <w:rPr>
          <w:snapToGrid/>
          <w:lang w:val="en-US"/>
        </w:rPr>
        <w:t>high dose inactivated trivalent influenza vaccine (</w:t>
      </w:r>
      <w:r w:rsidR="00CC2B15">
        <w:rPr>
          <w:snapToGrid/>
          <w:lang w:val="en-US"/>
        </w:rPr>
        <w:t>TIV-HD,</w:t>
      </w:r>
      <w:r w:rsidR="00CC2B15" w:rsidRPr="00CC2B15">
        <w:rPr>
          <w:snapToGrid/>
          <w:lang w:val="en-US"/>
        </w:rPr>
        <w:t xml:space="preserve"> </w:t>
      </w:r>
      <w:r w:rsidRPr="00CC2B15">
        <w:rPr>
          <w:snapToGrid/>
          <w:lang w:val="en-US"/>
        </w:rPr>
        <w:t>Fluzone® High Dose</w:t>
      </w:r>
      <w:r w:rsidR="00CC2B15" w:rsidRPr="00CC2B15">
        <w:rPr>
          <w:snapToGrid/>
          <w:lang w:val="en-US"/>
        </w:rPr>
        <w:t>)</w:t>
      </w:r>
      <w:r w:rsidR="00D14A0A">
        <w:rPr>
          <w:snapToGrid/>
          <w:lang w:val="en-US"/>
        </w:rPr>
        <w:t>,</w:t>
      </w:r>
      <w:r w:rsidR="00CC2B15" w:rsidRPr="00CC2B15">
        <w:rPr>
          <w:snapToGrid/>
          <w:lang w:val="en-US"/>
        </w:rPr>
        <w:t xml:space="preserve"> and</w:t>
      </w:r>
      <w:r w:rsidRPr="00CC2B15">
        <w:rPr>
          <w:snapToGrid/>
          <w:lang w:val="en-US"/>
        </w:rPr>
        <w:t xml:space="preserve"> </w:t>
      </w:r>
      <w:r w:rsidR="00CC2B15" w:rsidRPr="00CC2B15">
        <w:rPr>
          <w:snapToGrid/>
          <w:lang w:val="en-US"/>
        </w:rPr>
        <w:t>adjuvanted trivalent influenza vaccine (</w:t>
      </w:r>
      <w:r w:rsidR="00CC2B15">
        <w:rPr>
          <w:snapToGrid/>
          <w:lang w:val="en-US"/>
        </w:rPr>
        <w:t xml:space="preserve">aTIV, </w:t>
      </w:r>
      <w:r w:rsidRPr="00CC2B15">
        <w:rPr>
          <w:snapToGrid/>
          <w:lang w:val="en-US"/>
        </w:rPr>
        <w:lastRenderedPageBreak/>
        <w:t>Fluad®</w:t>
      </w:r>
      <w:r w:rsidR="00CC2B15" w:rsidRPr="00CC2B15">
        <w:rPr>
          <w:snapToGrid/>
          <w:lang w:val="en-US"/>
        </w:rPr>
        <w:t>)</w:t>
      </w:r>
      <w:r w:rsidRPr="00CC2B15">
        <w:rPr>
          <w:snapToGrid/>
          <w:lang w:val="en-US"/>
        </w:rPr>
        <w:t xml:space="preserve">, </w:t>
      </w:r>
      <w:r w:rsidR="00DD55B1">
        <w:rPr>
          <w:snapToGrid/>
          <w:lang w:val="en-US"/>
        </w:rPr>
        <w:t xml:space="preserve">the submission stated that </w:t>
      </w:r>
      <w:r w:rsidRPr="00CC2B15">
        <w:rPr>
          <w:snapToGrid/>
          <w:lang w:val="en-US"/>
        </w:rPr>
        <w:t>only aQIV</w:t>
      </w:r>
      <w:r>
        <w:rPr>
          <w:snapToGrid/>
          <w:lang w:val="en-US"/>
        </w:rPr>
        <w:t xml:space="preserve"> </w:t>
      </w:r>
      <w:r w:rsidRPr="00CE4849">
        <w:rPr>
          <w:snapToGrid/>
          <w:lang w:val="en-US"/>
        </w:rPr>
        <w:t>is currently procured and supplied</w:t>
      </w:r>
      <w:r>
        <w:rPr>
          <w:snapToGrid/>
          <w:lang w:val="en-US"/>
        </w:rPr>
        <w:t xml:space="preserve"> through the NIP</w:t>
      </w:r>
      <w:r w:rsidRPr="00CE4849">
        <w:rPr>
          <w:snapToGrid/>
          <w:lang w:val="en-US"/>
        </w:rPr>
        <w:t xml:space="preserve"> </w:t>
      </w:r>
      <w:r w:rsidR="00CC2B15">
        <w:rPr>
          <w:snapToGrid/>
          <w:lang w:val="en-US"/>
        </w:rPr>
        <w:t>in this</w:t>
      </w:r>
      <w:r w:rsidRPr="005720FA">
        <w:rPr>
          <w:snapToGrid/>
          <w:lang w:val="en-US"/>
        </w:rPr>
        <w:t xml:space="preserve"> </w:t>
      </w:r>
      <w:r w:rsidR="00CC2B15">
        <w:rPr>
          <w:snapToGrid/>
          <w:lang w:val="en-US"/>
        </w:rPr>
        <w:t>population</w:t>
      </w:r>
      <w:r>
        <w:rPr>
          <w:snapToGrid/>
          <w:lang w:val="en-US"/>
        </w:rPr>
        <w:t xml:space="preserve">. </w:t>
      </w:r>
    </w:p>
    <w:p w14:paraId="4BB7203E" w14:textId="77777777" w:rsidR="00D8548E" w:rsidRPr="00D8548E" w:rsidRDefault="00D8548E" w:rsidP="0073365E">
      <w:pPr>
        <w:pStyle w:val="ExecSumBodyText"/>
        <w:ind w:left="0" w:firstLine="720"/>
        <w:rPr>
          <w:i/>
          <w:iCs/>
        </w:rPr>
      </w:pPr>
      <w:r w:rsidRPr="00D8548E">
        <w:rPr>
          <w:i/>
          <w:iCs/>
        </w:rPr>
        <w:t>For more detail on PBAC’s view, see section 7 PBAC outcome.</w:t>
      </w:r>
    </w:p>
    <w:p w14:paraId="7F9C27C8" w14:textId="77777777" w:rsidR="00223D5A" w:rsidRPr="00407F2D" w:rsidRDefault="00223D5A" w:rsidP="00223D5A">
      <w:pPr>
        <w:pStyle w:val="2-SectionHeading"/>
        <w:numPr>
          <w:ilvl w:val="0"/>
          <w:numId w:val="1"/>
        </w:numPr>
      </w:pPr>
      <w:bookmarkStart w:id="16" w:name="_Toc156912784"/>
      <w:bookmarkStart w:id="17" w:name="_Toc22897640"/>
      <w:r>
        <w:t>C</w:t>
      </w:r>
      <w:r w:rsidRPr="00407F2D">
        <w:t>onsideration of the evidence</w:t>
      </w:r>
      <w:bookmarkEnd w:id="16"/>
    </w:p>
    <w:p w14:paraId="3BC3CED3" w14:textId="77777777" w:rsidR="00D8548E" w:rsidRPr="006E1229" w:rsidRDefault="00D8548E" w:rsidP="009E4BD4">
      <w:pPr>
        <w:pStyle w:val="4-SubsectionHeading"/>
      </w:pPr>
      <w:bookmarkStart w:id="18" w:name="_Hlk76375935"/>
      <w:bookmarkStart w:id="19" w:name="_Toc156912785"/>
      <w:r w:rsidRPr="006E1229">
        <w:t>Sponsor hearing</w:t>
      </w:r>
    </w:p>
    <w:p w14:paraId="44864D66" w14:textId="123E4756" w:rsidR="00D8548E" w:rsidRPr="00F91542" w:rsidRDefault="00D8548E" w:rsidP="00D8548E">
      <w:pPr>
        <w:widowControl w:val="0"/>
        <w:numPr>
          <w:ilvl w:val="1"/>
          <w:numId w:val="1"/>
        </w:numPr>
        <w:spacing w:after="120"/>
        <w:rPr>
          <w:rFonts w:cs="Calibri"/>
          <w:bCs/>
          <w:snapToGrid w:val="0"/>
        </w:rPr>
      </w:pPr>
      <w:r w:rsidRPr="00F91542">
        <w:rPr>
          <w:rFonts w:cs="Calibri"/>
          <w:bCs/>
          <w:snapToGrid w:val="0"/>
        </w:rPr>
        <w:t>There was no hearing for this item.</w:t>
      </w:r>
    </w:p>
    <w:p w14:paraId="6F541885" w14:textId="77777777" w:rsidR="00D8548E" w:rsidRPr="006E1229" w:rsidRDefault="00D8548E" w:rsidP="009E4BD4">
      <w:pPr>
        <w:pStyle w:val="4-SubsectionHeading"/>
      </w:pPr>
      <w:r w:rsidRPr="006E1229">
        <w:t>Consumer comments</w:t>
      </w:r>
    </w:p>
    <w:p w14:paraId="083D97B0" w14:textId="2345C034" w:rsidR="00D8548E" w:rsidRPr="00036147" w:rsidRDefault="00D8548E" w:rsidP="00D8548E">
      <w:pPr>
        <w:widowControl w:val="0"/>
        <w:numPr>
          <w:ilvl w:val="1"/>
          <w:numId w:val="1"/>
        </w:numPr>
        <w:spacing w:after="120"/>
        <w:rPr>
          <w:rFonts w:asciiTheme="minorHAnsi" w:hAnsiTheme="minorHAnsi"/>
          <w:bCs/>
          <w:snapToGrid w:val="0"/>
        </w:rPr>
      </w:pPr>
      <w:bookmarkStart w:id="20" w:name="_Hlk76382618"/>
      <w:r w:rsidRPr="002B1542">
        <w:rPr>
          <w:rFonts w:asciiTheme="minorHAnsi" w:hAnsiTheme="minorHAnsi"/>
          <w:bCs/>
          <w:snapToGrid w:val="0"/>
        </w:rPr>
        <w:t xml:space="preserve">The PBAC </w:t>
      </w:r>
      <w:r w:rsidRPr="00036147">
        <w:rPr>
          <w:rFonts w:asciiTheme="minorHAnsi" w:hAnsiTheme="minorHAnsi"/>
          <w:bCs/>
          <w:snapToGrid w:val="0"/>
        </w:rPr>
        <w:t xml:space="preserve">noted and welcomed the input from </w:t>
      </w:r>
      <w:r w:rsidR="009E4BD4" w:rsidRPr="00036147">
        <w:rPr>
          <w:rFonts w:asciiTheme="minorHAnsi" w:hAnsiTheme="minorHAnsi"/>
          <w:bCs/>
          <w:snapToGrid w:val="0"/>
        </w:rPr>
        <w:t xml:space="preserve">three </w:t>
      </w:r>
      <w:r w:rsidRPr="00036147">
        <w:rPr>
          <w:rFonts w:asciiTheme="minorHAnsi" w:hAnsiTheme="minorHAnsi"/>
          <w:bCs/>
          <w:snapToGrid w:val="0"/>
        </w:rPr>
        <w:t xml:space="preserve">organisations via the Consumer Comments facility on the PBS website. The comments described a range of benefits of </w:t>
      </w:r>
      <w:r w:rsidR="004F6AA7">
        <w:rPr>
          <w:rFonts w:asciiTheme="minorHAnsi" w:hAnsiTheme="minorHAnsi"/>
          <w:bCs/>
          <w:snapToGrid w:val="0"/>
        </w:rPr>
        <w:t>vaccination</w:t>
      </w:r>
      <w:r w:rsidR="004F6AA7" w:rsidRPr="00036147">
        <w:rPr>
          <w:rFonts w:asciiTheme="minorHAnsi" w:hAnsiTheme="minorHAnsi"/>
          <w:bCs/>
          <w:snapToGrid w:val="0"/>
        </w:rPr>
        <w:t xml:space="preserve"> </w:t>
      </w:r>
      <w:r w:rsidRPr="00036147">
        <w:rPr>
          <w:rFonts w:asciiTheme="minorHAnsi" w:hAnsiTheme="minorHAnsi"/>
          <w:bCs/>
          <w:snapToGrid w:val="0"/>
        </w:rPr>
        <w:t xml:space="preserve">with </w:t>
      </w:r>
      <w:r w:rsidR="009E4BD4" w:rsidRPr="00036147">
        <w:rPr>
          <w:rFonts w:asciiTheme="minorHAnsi" w:hAnsiTheme="minorHAnsi"/>
          <w:bCs/>
          <w:snapToGrid w:val="0"/>
        </w:rPr>
        <w:t xml:space="preserve">RIV4 </w:t>
      </w:r>
      <w:r w:rsidR="00ED559D" w:rsidRPr="00036147">
        <w:rPr>
          <w:rFonts w:asciiTheme="minorHAnsi" w:hAnsiTheme="minorHAnsi"/>
          <w:bCs/>
          <w:snapToGrid w:val="0"/>
        </w:rPr>
        <w:t>including that it would</w:t>
      </w:r>
      <w:r w:rsidR="009E4BD4" w:rsidRPr="00036147">
        <w:rPr>
          <w:rFonts w:asciiTheme="minorHAnsi" w:hAnsiTheme="minorHAnsi"/>
          <w:bCs/>
          <w:snapToGrid w:val="0"/>
        </w:rPr>
        <w:t xml:space="preserve"> provide an additional option</w:t>
      </w:r>
      <w:r w:rsidR="009E4BD4" w:rsidRPr="00036147">
        <w:t xml:space="preserve"> </w:t>
      </w:r>
      <w:r w:rsidR="009E4BD4" w:rsidRPr="00036147">
        <w:rPr>
          <w:rFonts w:asciiTheme="minorHAnsi" w:hAnsiTheme="minorHAnsi"/>
          <w:bCs/>
          <w:snapToGrid w:val="0"/>
        </w:rPr>
        <w:t xml:space="preserve">for people aged </w:t>
      </w:r>
      <w:r w:rsidR="00ED559D" w:rsidRPr="00036147">
        <w:rPr>
          <w:rFonts w:asciiTheme="minorHAnsi" w:hAnsiTheme="minorHAnsi" w:cstheme="minorHAnsi"/>
          <w:bCs/>
          <w:snapToGrid w:val="0"/>
        </w:rPr>
        <w:t>≥</w:t>
      </w:r>
      <w:r w:rsidR="00ED559D" w:rsidRPr="00036147">
        <w:rPr>
          <w:rFonts w:asciiTheme="minorHAnsi" w:hAnsiTheme="minorHAnsi"/>
          <w:bCs/>
          <w:snapToGrid w:val="0"/>
        </w:rPr>
        <w:t xml:space="preserve"> 65 years</w:t>
      </w:r>
      <w:r w:rsidR="009E4BD4" w:rsidRPr="00036147">
        <w:rPr>
          <w:rFonts w:asciiTheme="minorHAnsi" w:hAnsiTheme="minorHAnsi"/>
          <w:bCs/>
          <w:snapToGrid w:val="0"/>
        </w:rPr>
        <w:t xml:space="preserve"> </w:t>
      </w:r>
      <w:r w:rsidR="00ED559D" w:rsidRPr="00036147">
        <w:rPr>
          <w:rFonts w:asciiTheme="minorHAnsi" w:hAnsiTheme="minorHAnsi"/>
          <w:bCs/>
          <w:snapToGrid w:val="0"/>
        </w:rPr>
        <w:t xml:space="preserve">and the recombinant technology may be associated with </w:t>
      </w:r>
      <w:r w:rsidR="00036147">
        <w:rPr>
          <w:rFonts w:asciiTheme="minorHAnsi" w:hAnsiTheme="minorHAnsi"/>
          <w:bCs/>
          <w:snapToGrid w:val="0"/>
        </w:rPr>
        <w:t xml:space="preserve">potential </w:t>
      </w:r>
      <w:r w:rsidR="00ED559D" w:rsidRPr="00036147">
        <w:rPr>
          <w:rFonts w:asciiTheme="minorHAnsi" w:hAnsiTheme="minorHAnsi"/>
          <w:bCs/>
          <w:snapToGrid w:val="0"/>
        </w:rPr>
        <w:t xml:space="preserve">manufacturing advantages including a reduced requirement for egg-based manufacturing. </w:t>
      </w:r>
    </w:p>
    <w:p w14:paraId="1DBF1868" w14:textId="1C45CE8B" w:rsidR="009E4BD4" w:rsidRPr="002B1542" w:rsidRDefault="00D8548E" w:rsidP="00D8548E">
      <w:pPr>
        <w:widowControl w:val="0"/>
        <w:numPr>
          <w:ilvl w:val="1"/>
          <w:numId w:val="1"/>
        </w:numPr>
        <w:spacing w:after="120"/>
        <w:rPr>
          <w:rFonts w:asciiTheme="minorHAnsi" w:hAnsiTheme="minorHAnsi"/>
          <w:bCs/>
          <w:snapToGrid w:val="0"/>
        </w:rPr>
      </w:pPr>
      <w:r w:rsidRPr="00036147">
        <w:rPr>
          <w:rFonts w:asciiTheme="minorHAnsi" w:hAnsiTheme="minorHAnsi"/>
          <w:bCs/>
          <w:snapToGrid w:val="0"/>
        </w:rPr>
        <w:t>The PBAC noted the advice received from</w:t>
      </w:r>
      <w:r w:rsidR="009E4BD4" w:rsidRPr="00036147">
        <w:rPr>
          <w:rFonts w:asciiTheme="minorHAnsi" w:hAnsiTheme="minorHAnsi"/>
          <w:bCs/>
          <w:snapToGrid w:val="0"/>
        </w:rPr>
        <w:t xml:space="preserve"> Lung Foundation Australia which outlined that RIV4</w:t>
      </w:r>
      <w:r w:rsidR="009E4BD4" w:rsidRPr="002B1542">
        <w:rPr>
          <w:rFonts w:asciiTheme="minorHAnsi" w:hAnsiTheme="minorHAnsi"/>
          <w:bCs/>
          <w:snapToGrid w:val="0"/>
        </w:rPr>
        <w:t xml:space="preserve"> would </w:t>
      </w:r>
      <w:r w:rsidR="00ED559D" w:rsidRPr="002B1542">
        <w:rPr>
          <w:rFonts w:asciiTheme="minorHAnsi" w:hAnsiTheme="minorHAnsi"/>
          <w:bCs/>
          <w:snapToGrid w:val="0"/>
        </w:rPr>
        <w:t>‘</w:t>
      </w:r>
      <w:r w:rsidR="009E4BD4" w:rsidRPr="002B1542">
        <w:rPr>
          <w:rFonts w:asciiTheme="minorHAnsi" w:hAnsiTheme="minorHAnsi"/>
          <w:bCs/>
          <w:snapToGrid w:val="0"/>
        </w:rPr>
        <w:t>enable an alternative line of supply</w:t>
      </w:r>
      <w:r w:rsidR="0048391A" w:rsidRPr="002B1542">
        <w:rPr>
          <w:rFonts w:asciiTheme="minorHAnsi" w:hAnsiTheme="minorHAnsi"/>
          <w:bCs/>
          <w:snapToGrid w:val="0"/>
        </w:rPr>
        <w:t>’ and</w:t>
      </w:r>
      <w:r w:rsidR="00ED559D" w:rsidRPr="002B1542">
        <w:rPr>
          <w:rFonts w:asciiTheme="minorHAnsi" w:hAnsiTheme="minorHAnsi"/>
          <w:bCs/>
          <w:snapToGrid w:val="0"/>
        </w:rPr>
        <w:t xml:space="preserve"> outlined the importance of access to effective influenza vaccines for individuals aged </w:t>
      </w:r>
      <w:r w:rsidR="00ED559D" w:rsidRPr="002B1542">
        <w:rPr>
          <w:rFonts w:asciiTheme="minorHAnsi" w:hAnsiTheme="minorHAnsi" w:cstheme="minorHAnsi"/>
          <w:bCs/>
          <w:snapToGrid w:val="0"/>
        </w:rPr>
        <w:t>≥</w:t>
      </w:r>
      <w:r w:rsidR="00ED559D" w:rsidRPr="002B1542">
        <w:rPr>
          <w:rFonts w:asciiTheme="minorHAnsi" w:hAnsiTheme="minorHAnsi"/>
          <w:bCs/>
          <w:snapToGrid w:val="0"/>
        </w:rPr>
        <w:t xml:space="preserve"> 65 years.</w:t>
      </w:r>
    </w:p>
    <w:p w14:paraId="3DF0E7AC" w14:textId="4E1D1055" w:rsidR="00D8548E" w:rsidRPr="002B1542" w:rsidRDefault="00D8548E" w:rsidP="00C509F6">
      <w:pPr>
        <w:keepLines/>
        <w:widowControl w:val="0"/>
        <w:numPr>
          <w:ilvl w:val="1"/>
          <w:numId w:val="1"/>
        </w:numPr>
        <w:spacing w:after="120"/>
        <w:rPr>
          <w:rFonts w:asciiTheme="minorHAnsi" w:hAnsiTheme="minorHAnsi"/>
          <w:bCs/>
          <w:snapToGrid w:val="0"/>
        </w:rPr>
      </w:pPr>
      <w:r w:rsidRPr="002B1542">
        <w:rPr>
          <w:rFonts w:asciiTheme="minorHAnsi" w:hAnsiTheme="minorHAnsi"/>
          <w:bCs/>
          <w:snapToGrid w:val="0"/>
        </w:rPr>
        <w:t>The PBAC noted that this advice was supportive of the evidence provided in the submission.</w:t>
      </w:r>
    </w:p>
    <w:bookmarkEnd w:id="18"/>
    <w:bookmarkEnd w:id="20"/>
    <w:p w14:paraId="609C0765" w14:textId="7CC449AE" w:rsidR="00B60939" w:rsidRPr="00C9624D" w:rsidRDefault="00B60939" w:rsidP="002E4F02">
      <w:pPr>
        <w:pStyle w:val="4-SubsectionHeading"/>
      </w:pPr>
      <w:r w:rsidRPr="00C9624D">
        <w:t xml:space="preserve">Clinical </w:t>
      </w:r>
      <w:r w:rsidR="00D5243B">
        <w:t>studies</w:t>
      </w:r>
      <w:bookmarkEnd w:id="17"/>
      <w:bookmarkEnd w:id="19"/>
    </w:p>
    <w:p w14:paraId="26908DA5" w14:textId="3814E87D" w:rsidR="00A77738" w:rsidRPr="00D8548E" w:rsidRDefault="00A73134" w:rsidP="002E4F02">
      <w:pPr>
        <w:pStyle w:val="3-BodyText"/>
        <w:rPr>
          <w:color w:val="000000" w:themeColor="text1"/>
        </w:rPr>
      </w:pPr>
      <w:r w:rsidRPr="00D8548E">
        <w:rPr>
          <w:snapToGrid/>
          <w:lang w:val="en-US"/>
        </w:rPr>
        <w:t xml:space="preserve">The submission </w:t>
      </w:r>
      <w:r w:rsidR="00F83550" w:rsidRPr="00D8548E">
        <w:rPr>
          <w:snapToGrid/>
          <w:lang w:val="en-US"/>
        </w:rPr>
        <w:t xml:space="preserve">did not identify any </w:t>
      </w:r>
      <w:r w:rsidR="00AA72BA" w:rsidRPr="00D8548E">
        <w:rPr>
          <w:snapToGrid/>
          <w:lang w:val="en-US"/>
        </w:rPr>
        <w:t>studies</w:t>
      </w:r>
      <w:r w:rsidR="00F83550" w:rsidRPr="00D8548E">
        <w:rPr>
          <w:snapToGrid/>
          <w:lang w:val="en-US"/>
        </w:rPr>
        <w:t xml:space="preserve"> comparing RIV4 and </w:t>
      </w:r>
      <w:r w:rsidR="00CC2B15" w:rsidRPr="00D8548E">
        <w:t>aQIV</w:t>
      </w:r>
      <w:r w:rsidR="00F83550" w:rsidRPr="00D8548E">
        <w:t>, which the ATAGI pre-submission advice</w:t>
      </w:r>
      <w:r w:rsidR="00DD55B1" w:rsidRPr="00D8548E">
        <w:t xml:space="preserve"> </w:t>
      </w:r>
      <w:r w:rsidR="00F83550" w:rsidRPr="00D8548E">
        <w:t xml:space="preserve">listed as a key translation </w:t>
      </w:r>
      <w:r w:rsidR="00F83550" w:rsidRPr="00D8548E">
        <w:rPr>
          <w:color w:val="000000" w:themeColor="text1"/>
        </w:rPr>
        <w:t>issue</w:t>
      </w:r>
      <w:r w:rsidR="00DD55B1" w:rsidRPr="00D8548E">
        <w:rPr>
          <w:color w:val="000000" w:themeColor="text1"/>
        </w:rPr>
        <w:t>.</w:t>
      </w:r>
    </w:p>
    <w:p w14:paraId="0C42E567" w14:textId="08D36F4E" w:rsidR="00F527AE" w:rsidRPr="00D8548E" w:rsidRDefault="00215897" w:rsidP="008108C0">
      <w:pPr>
        <w:pStyle w:val="3-BodyText"/>
        <w:rPr>
          <w:color w:val="000000" w:themeColor="text1"/>
        </w:rPr>
      </w:pPr>
      <w:r w:rsidRPr="00D8548E">
        <w:rPr>
          <w:color w:val="000000" w:themeColor="text1"/>
        </w:rPr>
        <w:t xml:space="preserve">The submission noted that </w:t>
      </w:r>
      <w:r w:rsidR="00A77738" w:rsidRPr="00D8548E">
        <w:rPr>
          <w:color w:val="000000" w:themeColor="text1"/>
        </w:rPr>
        <w:t>the PBAC</w:t>
      </w:r>
      <w:r w:rsidR="004B6E10" w:rsidRPr="00D8548E">
        <w:rPr>
          <w:color w:val="000000" w:themeColor="text1"/>
        </w:rPr>
        <w:t xml:space="preserve"> had previously</w:t>
      </w:r>
      <w:r w:rsidR="00A77738" w:rsidRPr="00D8548E">
        <w:rPr>
          <w:color w:val="000000" w:themeColor="text1"/>
        </w:rPr>
        <w:t xml:space="preserve"> considered that “aQIV would be at least non-inferior to </w:t>
      </w:r>
      <w:r w:rsidR="003C25FE" w:rsidRPr="00D8548E">
        <w:rPr>
          <w:color w:val="000000" w:themeColor="text1"/>
        </w:rPr>
        <w:t>adjuvant trivalent vaccine (</w:t>
      </w:r>
      <w:r w:rsidR="00A77738" w:rsidRPr="00D8548E">
        <w:rPr>
          <w:color w:val="000000" w:themeColor="text1"/>
        </w:rPr>
        <w:t>aTIV</w:t>
      </w:r>
      <w:r w:rsidR="003C25FE" w:rsidRPr="00D8548E">
        <w:rPr>
          <w:color w:val="000000" w:themeColor="text1"/>
        </w:rPr>
        <w:t>)</w:t>
      </w:r>
      <w:r w:rsidR="00A77738" w:rsidRPr="00D8548E">
        <w:rPr>
          <w:color w:val="000000" w:themeColor="text1"/>
        </w:rPr>
        <w:t xml:space="preserve">” </w:t>
      </w:r>
      <w:r w:rsidR="004B6E10" w:rsidRPr="00D8548E">
        <w:rPr>
          <w:color w:val="000000" w:themeColor="text1"/>
        </w:rPr>
        <w:t>(</w:t>
      </w:r>
      <w:r w:rsidR="008108C0" w:rsidRPr="00D8548E">
        <w:rPr>
          <w:color w:val="000000" w:themeColor="text1"/>
        </w:rPr>
        <w:t>P</w:t>
      </w:r>
      <w:r w:rsidR="004B6E10" w:rsidRPr="00D8548E">
        <w:rPr>
          <w:color w:val="000000" w:themeColor="text1"/>
        </w:rPr>
        <w:t xml:space="preserve">aragraph 7.20, aTIV and aQIV </w:t>
      </w:r>
      <w:r w:rsidR="00493371">
        <w:rPr>
          <w:color w:val="000000" w:themeColor="text1"/>
        </w:rPr>
        <w:t>P</w:t>
      </w:r>
      <w:r w:rsidR="00BD2ADC" w:rsidRPr="00D8548E">
        <w:rPr>
          <w:color w:val="000000" w:themeColor="text1"/>
        </w:rPr>
        <w:t xml:space="preserve">ublic </w:t>
      </w:r>
      <w:r w:rsidR="00BD2ADC">
        <w:rPr>
          <w:color w:val="000000" w:themeColor="text1"/>
        </w:rPr>
        <w:t>S</w:t>
      </w:r>
      <w:r w:rsidR="00BD2ADC" w:rsidRPr="00D8548E">
        <w:rPr>
          <w:color w:val="000000" w:themeColor="text1"/>
        </w:rPr>
        <w:t xml:space="preserve">ummary </w:t>
      </w:r>
      <w:r w:rsidR="00BD2ADC">
        <w:rPr>
          <w:color w:val="000000" w:themeColor="text1"/>
        </w:rPr>
        <w:t>D</w:t>
      </w:r>
      <w:r w:rsidR="00BD2ADC" w:rsidRPr="00D8548E">
        <w:rPr>
          <w:color w:val="000000" w:themeColor="text1"/>
        </w:rPr>
        <w:t xml:space="preserve">ocument </w:t>
      </w:r>
      <w:r w:rsidR="004A11EE" w:rsidRPr="00D8548E">
        <w:rPr>
          <w:color w:val="000000" w:themeColor="text1"/>
        </w:rPr>
        <w:t>(</w:t>
      </w:r>
      <w:r w:rsidR="004B6E10" w:rsidRPr="00D8548E">
        <w:rPr>
          <w:color w:val="000000" w:themeColor="text1"/>
        </w:rPr>
        <w:t>PSD</w:t>
      </w:r>
      <w:r w:rsidR="004A11EE" w:rsidRPr="00D8548E">
        <w:rPr>
          <w:color w:val="000000" w:themeColor="text1"/>
        </w:rPr>
        <w:t>)</w:t>
      </w:r>
      <w:r w:rsidR="004B6E10" w:rsidRPr="00D8548E">
        <w:rPr>
          <w:color w:val="000000" w:themeColor="text1"/>
        </w:rPr>
        <w:t>, August and July 2019 PBAC meeting</w:t>
      </w:r>
      <w:r w:rsidR="00C95A0C" w:rsidRPr="00D8548E">
        <w:rPr>
          <w:color w:val="000000" w:themeColor="text1"/>
        </w:rPr>
        <w:t>s</w:t>
      </w:r>
      <w:r w:rsidR="004B6E10" w:rsidRPr="00D8548E">
        <w:rPr>
          <w:color w:val="000000" w:themeColor="text1"/>
        </w:rPr>
        <w:t>)</w:t>
      </w:r>
      <w:r w:rsidR="00A77738" w:rsidRPr="00D8548E">
        <w:rPr>
          <w:color w:val="000000" w:themeColor="text1"/>
        </w:rPr>
        <w:t xml:space="preserve"> and </w:t>
      </w:r>
      <w:r w:rsidR="00662ACA" w:rsidRPr="00D8548E">
        <w:rPr>
          <w:color w:val="000000" w:themeColor="text1"/>
        </w:rPr>
        <w:t xml:space="preserve">thus </w:t>
      </w:r>
      <w:r w:rsidR="00A77738" w:rsidRPr="00D8548E">
        <w:rPr>
          <w:color w:val="000000" w:themeColor="text1"/>
        </w:rPr>
        <w:t xml:space="preserve">presented </w:t>
      </w:r>
      <w:r w:rsidR="00F527AE" w:rsidRPr="00D8548E">
        <w:rPr>
          <w:color w:val="000000" w:themeColor="text1"/>
        </w:rPr>
        <w:t>studies</w:t>
      </w:r>
      <w:r w:rsidR="00A77738" w:rsidRPr="00D8548E">
        <w:rPr>
          <w:color w:val="000000" w:themeColor="text1"/>
        </w:rPr>
        <w:t xml:space="preserve"> that compared</w:t>
      </w:r>
      <w:r w:rsidR="00AA72BA" w:rsidRPr="00D8548E">
        <w:rPr>
          <w:color w:val="000000" w:themeColor="text1"/>
        </w:rPr>
        <w:t xml:space="preserve"> </w:t>
      </w:r>
      <w:r w:rsidR="00A77738" w:rsidRPr="00D8548E">
        <w:rPr>
          <w:color w:val="000000" w:themeColor="text1"/>
        </w:rPr>
        <w:t>RIV4 with aTIV</w:t>
      </w:r>
      <w:r w:rsidR="00DD55B1" w:rsidRPr="00D8548E">
        <w:rPr>
          <w:color w:val="000000" w:themeColor="text1"/>
        </w:rPr>
        <w:t>, along with</w:t>
      </w:r>
      <w:r w:rsidR="00AA72BA" w:rsidRPr="00D8548E">
        <w:rPr>
          <w:color w:val="000000" w:themeColor="text1"/>
        </w:rPr>
        <w:t xml:space="preserve"> an immunogenicity study </w:t>
      </w:r>
      <w:r w:rsidR="00DD55B1" w:rsidRPr="00D8548E">
        <w:rPr>
          <w:color w:val="000000" w:themeColor="text1"/>
        </w:rPr>
        <w:t>c</w:t>
      </w:r>
      <w:r w:rsidR="00AA72BA" w:rsidRPr="00D8548E">
        <w:rPr>
          <w:color w:val="000000" w:themeColor="text1"/>
        </w:rPr>
        <w:t>ompar</w:t>
      </w:r>
      <w:r w:rsidR="00DD55B1" w:rsidRPr="00D8548E">
        <w:rPr>
          <w:color w:val="000000" w:themeColor="text1"/>
        </w:rPr>
        <w:t>ing</w:t>
      </w:r>
      <w:r w:rsidR="00AA72BA" w:rsidRPr="00D8548E">
        <w:rPr>
          <w:color w:val="000000" w:themeColor="text1"/>
        </w:rPr>
        <w:t xml:space="preserve"> </w:t>
      </w:r>
      <w:r w:rsidR="00A77738" w:rsidRPr="00D8548E">
        <w:rPr>
          <w:color w:val="000000" w:themeColor="text1"/>
        </w:rPr>
        <w:t>aQIV and aTIV</w:t>
      </w:r>
      <w:r w:rsidR="004B6E10" w:rsidRPr="00D8548E">
        <w:rPr>
          <w:color w:val="000000" w:themeColor="text1"/>
        </w:rPr>
        <w:t xml:space="preserve">. </w:t>
      </w:r>
      <w:r w:rsidR="003C25FE" w:rsidRPr="00D8548E">
        <w:rPr>
          <w:color w:val="000000" w:themeColor="text1"/>
        </w:rPr>
        <w:t xml:space="preserve">As such, the submission assumed that studies comparing the effectiveness of “RIV4 with aTIV could be extrapolated to the comparison of RIV4 with aQIV”. </w:t>
      </w:r>
      <w:r w:rsidR="00F527AE" w:rsidRPr="00D8548E">
        <w:t xml:space="preserve">No indirect comparisons were presented. </w:t>
      </w:r>
    </w:p>
    <w:p w14:paraId="2CAEF3AC" w14:textId="2775E9A9" w:rsidR="00F83550" w:rsidRPr="00D8548E" w:rsidRDefault="00CC2B15" w:rsidP="002E4F02">
      <w:pPr>
        <w:pStyle w:val="3-BodyText"/>
        <w:rPr>
          <w:color w:val="000000" w:themeColor="text1"/>
        </w:rPr>
      </w:pPr>
      <w:bookmarkStart w:id="21" w:name="_Ref156815324"/>
      <w:r w:rsidRPr="00D8548E">
        <w:rPr>
          <w:snapToGrid/>
          <w:color w:val="000000" w:themeColor="text1"/>
          <w:lang w:val="en-US"/>
        </w:rPr>
        <w:t>A</w:t>
      </w:r>
      <w:r w:rsidR="00AA09DC" w:rsidRPr="00D8548E">
        <w:rPr>
          <w:snapToGrid/>
          <w:color w:val="000000" w:themeColor="text1"/>
          <w:lang w:val="en-US"/>
        </w:rPr>
        <w:t>s</w:t>
      </w:r>
      <w:r w:rsidRPr="00D8548E">
        <w:rPr>
          <w:snapToGrid/>
          <w:color w:val="000000" w:themeColor="text1"/>
          <w:lang w:val="en-US"/>
        </w:rPr>
        <w:t xml:space="preserve"> outlined</w:t>
      </w:r>
      <w:r w:rsidR="00651EB7" w:rsidRPr="00D8548E">
        <w:rPr>
          <w:snapToGrid/>
          <w:color w:val="000000" w:themeColor="text1"/>
          <w:lang w:val="en-US"/>
        </w:rPr>
        <w:t xml:space="preserve"> in </w:t>
      </w:r>
      <w:r w:rsidR="00651EB7" w:rsidRPr="00D8548E">
        <w:rPr>
          <w:snapToGrid/>
          <w:color w:val="000000" w:themeColor="text1"/>
          <w:lang w:val="en-US"/>
        </w:rPr>
        <w:fldChar w:fldCharType="begin" w:fldLock="1"/>
      </w:r>
      <w:r w:rsidR="00651EB7" w:rsidRPr="00D8548E">
        <w:rPr>
          <w:snapToGrid/>
          <w:color w:val="000000" w:themeColor="text1"/>
          <w:lang w:val="en-US"/>
        </w:rPr>
        <w:instrText xml:space="preserve"> REF _Ref104803956 \h </w:instrText>
      </w:r>
      <w:r w:rsidR="005A1103" w:rsidRPr="00D8548E">
        <w:rPr>
          <w:snapToGrid/>
          <w:color w:val="000000" w:themeColor="text1"/>
          <w:lang w:val="en-US"/>
        </w:rPr>
        <w:instrText xml:space="preserve"> \* MERGEFORMAT </w:instrText>
      </w:r>
      <w:r w:rsidR="00651EB7" w:rsidRPr="00D8548E">
        <w:rPr>
          <w:snapToGrid/>
          <w:color w:val="000000" w:themeColor="text1"/>
          <w:lang w:val="en-US"/>
        </w:rPr>
      </w:r>
      <w:r w:rsidR="00651EB7" w:rsidRPr="00D8548E">
        <w:rPr>
          <w:snapToGrid/>
          <w:color w:val="000000" w:themeColor="text1"/>
          <w:lang w:val="en-US"/>
        </w:rPr>
        <w:fldChar w:fldCharType="separate"/>
      </w:r>
      <w:r w:rsidR="00C364E6" w:rsidRPr="00C364E6">
        <w:rPr>
          <w:color w:val="000000" w:themeColor="text1"/>
        </w:rPr>
        <w:t xml:space="preserve">Table </w:t>
      </w:r>
      <w:r w:rsidR="00C364E6" w:rsidRPr="00C364E6">
        <w:rPr>
          <w:noProof/>
          <w:color w:val="000000" w:themeColor="text1"/>
        </w:rPr>
        <w:t>3</w:t>
      </w:r>
      <w:r w:rsidR="00651EB7" w:rsidRPr="00D8548E">
        <w:rPr>
          <w:snapToGrid/>
          <w:color w:val="000000" w:themeColor="text1"/>
          <w:lang w:val="en-US"/>
        </w:rPr>
        <w:fldChar w:fldCharType="end"/>
      </w:r>
      <w:r w:rsidRPr="00D8548E">
        <w:rPr>
          <w:snapToGrid/>
          <w:color w:val="000000" w:themeColor="text1"/>
          <w:lang w:val="en-US"/>
        </w:rPr>
        <w:t>, t</w:t>
      </w:r>
      <w:r w:rsidR="00F83550" w:rsidRPr="00D8548E">
        <w:rPr>
          <w:color w:val="000000" w:themeColor="text1"/>
        </w:rPr>
        <w:t>he submission included data from:</w:t>
      </w:r>
      <w:bookmarkEnd w:id="21"/>
    </w:p>
    <w:p w14:paraId="7410686F" w14:textId="002F6760" w:rsidR="00F83550" w:rsidRPr="00D8548E" w:rsidRDefault="00F83550" w:rsidP="00662ACA">
      <w:pPr>
        <w:pStyle w:val="Intextbulletpoints"/>
      </w:pPr>
      <w:r w:rsidRPr="00D8548E">
        <w:t xml:space="preserve">Izurieta </w:t>
      </w:r>
      <w:r w:rsidR="00CC2B15" w:rsidRPr="00D8548E">
        <w:t>2021</w:t>
      </w:r>
      <w:r w:rsidR="00E747B2" w:rsidRPr="00D8548E">
        <w:t xml:space="preserve">, which </w:t>
      </w:r>
      <w:r w:rsidRPr="00D8548E">
        <w:t>was an observational study comparing</w:t>
      </w:r>
      <w:r w:rsidR="00E747B2" w:rsidRPr="00D8548E">
        <w:t xml:space="preserve"> five vaccines: RIV4; </w:t>
      </w:r>
      <w:r w:rsidR="005A1103" w:rsidRPr="00D8548E">
        <w:t xml:space="preserve">aTIV; </w:t>
      </w:r>
      <w:r w:rsidR="00E747B2" w:rsidRPr="00D8548E">
        <w:t xml:space="preserve">QIVe; QIVc; </w:t>
      </w:r>
      <w:r w:rsidR="005A1103" w:rsidRPr="00D8548E">
        <w:t xml:space="preserve">and </w:t>
      </w:r>
      <w:r w:rsidR="00E747B2" w:rsidRPr="00D8548E">
        <w:t>TIV-HD.</w:t>
      </w:r>
      <w:r w:rsidRPr="00D8548E">
        <w:t xml:space="preserve"> </w:t>
      </w:r>
      <w:r w:rsidR="001B14FE" w:rsidRPr="00D8548E">
        <w:t>The study included a</w:t>
      </w:r>
      <w:r w:rsidRPr="00D8548E">
        <w:t>pproximately 1</w:t>
      </w:r>
      <w:r w:rsidR="00E747B2" w:rsidRPr="00D8548E">
        <w:t>2.8</w:t>
      </w:r>
      <w:r w:rsidRPr="00D8548E">
        <w:t xml:space="preserve"> million </w:t>
      </w:r>
      <w:r w:rsidR="001B14FE" w:rsidRPr="00D8548E">
        <w:t>individual</w:t>
      </w:r>
      <w:r w:rsidRPr="00D8548E">
        <w:t>s aged ≥</w:t>
      </w:r>
      <w:r w:rsidR="00F527AE" w:rsidRPr="00D8548E">
        <w:t> </w:t>
      </w:r>
      <w:r w:rsidRPr="00D8548E">
        <w:t>65 years in the U</w:t>
      </w:r>
      <w:r w:rsidR="001B14FE" w:rsidRPr="00D8548E">
        <w:t xml:space="preserve">nited </w:t>
      </w:r>
      <w:r w:rsidRPr="00D8548E">
        <w:t>S</w:t>
      </w:r>
      <w:r w:rsidR="001B14FE" w:rsidRPr="00D8548E">
        <w:t>tates during</w:t>
      </w:r>
      <w:r w:rsidRPr="00D8548E">
        <w:t xml:space="preserve"> the 201</w:t>
      </w:r>
      <w:r w:rsidR="00E747B2" w:rsidRPr="00D8548E">
        <w:t>9</w:t>
      </w:r>
      <w:r w:rsidRPr="00D8548E">
        <w:t>-</w:t>
      </w:r>
      <w:r w:rsidR="00E747B2" w:rsidRPr="00D8548E">
        <w:t>20</w:t>
      </w:r>
      <w:r w:rsidRPr="00D8548E">
        <w:t xml:space="preserve"> </w:t>
      </w:r>
      <w:r w:rsidR="00E747B2" w:rsidRPr="00D8548E">
        <w:t xml:space="preserve">Northern Hemisphere </w:t>
      </w:r>
      <w:r w:rsidRPr="00D8548E">
        <w:t>influenza season.</w:t>
      </w:r>
    </w:p>
    <w:p w14:paraId="132FEAE8" w14:textId="090C8BDB" w:rsidR="00F527AE" w:rsidRPr="00D8548E" w:rsidRDefault="00F527AE" w:rsidP="003E46FA">
      <w:pPr>
        <w:pStyle w:val="Intextbulletpoints"/>
      </w:pPr>
      <w:r w:rsidRPr="00D8548E">
        <w:t>Izurieta 2020 (a parallel publication to Izurieta 2021, but for the 2018-19 influenza season). However</w:t>
      </w:r>
      <w:r w:rsidR="00AA72BA" w:rsidRPr="00D8548E">
        <w:t>,</w:t>
      </w:r>
      <w:r w:rsidRPr="00D8548E">
        <w:t xml:space="preserve"> </w:t>
      </w:r>
      <w:r w:rsidR="007D1F9D" w:rsidRPr="00D8548E">
        <w:t>Izurieta 2020 did not include RIV4 in the</w:t>
      </w:r>
      <w:r w:rsidR="00C077F8" w:rsidRPr="00D8548E">
        <w:t xml:space="preserve"> inverse probability of treatment weighting</w:t>
      </w:r>
      <w:r w:rsidR="007D1F9D" w:rsidRPr="00D8548E">
        <w:t xml:space="preserve"> </w:t>
      </w:r>
      <w:r w:rsidR="00C077F8" w:rsidRPr="00D8548E">
        <w:t>(</w:t>
      </w:r>
      <w:r w:rsidR="007D1F9D" w:rsidRPr="00D8548E">
        <w:t>IPTW</w:t>
      </w:r>
      <w:r w:rsidR="00C077F8" w:rsidRPr="00D8548E">
        <w:t xml:space="preserve">) </w:t>
      </w:r>
      <w:r w:rsidR="007D1F9D" w:rsidRPr="00D8548E">
        <w:t xml:space="preserve">adjusted </w:t>
      </w:r>
      <w:r w:rsidR="00BD3251">
        <w:t>relative vaccine effectiveness (r</w:t>
      </w:r>
      <w:r w:rsidR="007D1F9D" w:rsidRPr="00D8548E">
        <w:t>VE</w:t>
      </w:r>
      <w:r w:rsidR="00BD3251">
        <w:t>)</w:t>
      </w:r>
      <w:r w:rsidR="007D1F9D" w:rsidRPr="00D8548E">
        <w:t xml:space="preserve"> analysis </w:t>
      </w:r>
      <w:r w:rsidR="007D1F9D" w:rsidRPr="00D8548E">
        <w:lastRenderedPageBreak/>
        <w:t>due to power constraints, as only 2% of the cohort received RIV4 in 2018</w:t>
      </w:r>
      <w:r w:rsidR="007D1F9D" w:rsidRPr="00D8548E">
        <w:noBreakHyphen/>
        <w:t>19</w:t>
      </w:r>
      <w:r w:rsidR="00EB4D25" w:rsidRPr="00D8548E">
        <w:t xml:space="preserve"> (</w:t>
      </w:r>
      <w:r w:rsidR="0048391A" w:rsidRPr="00D8548E">
        <w:t>i.e.,</w:t>
      </w:r>
      <w:r w:rsidR="00EB4D25" w:rsidRPr="00D8548E">
        <w:t xml:space="preserve"> only </w:t>
      </w:r>
      <w:r w:rsidR="007D1F9D" w:rsidRPr="00D8548E">
        <w:t>unadjusted outcome rates were reported</w:t>
      </w:r>
      <w:r w:rsidR="00EB4D25" w:rsidRPr="00D8548E">
        <w:t>)</w:t>
      </w:r>
      <w:r w:rsidR="007D1F9D" w:rsidRPr="00D8548E">
        <w:t>.</w:t>
      </w:r>
      <w:r w:rsidR="004915BD" w:rsidRPr="00D8548E">
        <w:t xml:space="preserve"> The ATAGI post-submission advice state</w:t>
      </w:r>
      <w:r w:rsidR="00A45564" w:rsidRPr="00D8548E">
        <w:t>d</w:t>
      </w:r>
      <w:r w:rsidR="004915BD" w:rsidRPr="00D8548E">
        <w:t xml:space="preserve"> “Overall, this publication provides limited information on the effectiveness of RIV4 and is superseded by the subsequent Izurieta 2021 publication that provides statistical comparisons between vaccines during the 2019-2020 influenza season.”</w:t>
      </w:r>
    </w:p>
    <w:p w14:paraId="3C0AEC17" w14:textId="5231189D" w:rsidR="00651EB7" w:rsidRPr="00D8548E" w:rsidRDefault="00651EB7" w:rsidP="00662ACA">
      <w:pPr>
        <w:pStyle w:val="Intextbulletpoints"/>
      </w:pPr>
      <w:r w:rsidRPr="00D8548E">
        <w:t>Immunogenicity data from Belongia et al 2020</w:t>
      </w:r>
      <w:r w:rsidR="008D13B1" w:rsidRPr="00D8548E">
        <w:t xml:space="preserve"> and</w:t>
      </w:r>
      <w:r w:rsidRPr="00D8548E">
        <w:t xml:space="preserve"> Cowling et al 2020</w:t>
      </w:r>
      <w:r w:rsidR="00215897" w:rsidRPr="00D8548E">
        <w:t xml:space="preserve"> which compared RIV4 and aTIV (along with other vaccines, but not aQIV)</w:t>
      </w:r>
      <w:r w:rsidR="001B14FE" w:rsidRPr="00D8548E">
        <w:t>;</w:t>
      </w:r>
      <w:r w:rsidRPr="00D8548E">
        <w:t xml:space="preserve"> and </w:t>
      </w:r>
    </w:p>
    <w:p w14:paraId="7B9A552D" w14:textId="38AAE82C" w:rsidR="00A77738" w:rsidRPr="00D8548E" w:rsidRDefault="003C25FE" w:rsidP="00662ACA">
      <w:pPr>
        <w:pStyle w:val="Intextbulletpoints"/>
      </w:pPr>
      <w:r w:rsidRPr="00D8548E">
        <w:t>I</w:t>
      </w:r>
      <w:r w:rsidR="00651EB7" w:rsidRPr="00D8548E">
        <w:t xml:space="preserve">mmunogenicity data from Essink et al 2020, which compared </w:t>
      </w:r>
      <w:r w:rsidR="00333658" w:rsidRPr="00D8548E">
        <w:t>aQIV and aTIV. The submission stated that this was a publication of the trial (Trial V118_20)</w:t>
      </w:r>
      <w:r w:rsidR="00854EBC" w:rsidRPr="00D8548E">
        <w:t>, which</w:t>
      </w:r>
      <w:r w:rsidR="00A77738" w:rsidRPr="00D8548E">
        <w:t xml:space="preserve"> was used to support the non-inferiority of aQIV to aTIV in </w:t>
      </w:r>
      <w:r w:rsidR="005A1103" w:rsidRPr="00D8548E">
        <w:t xml:space="preserve">the </w:t>
      </w:r>
      <w:r w:rsidR="00662ACA" w:rsidRPr="00D8548E">
        <w:t xml:space="preserve">PBAC’s </w:t>
      </w:r>
      <w:r w:rsidR="00A77738" w:rsidRPr="00D8548E">
        <w:t>July 2019 consideration</w:t>
      </w:r>
      <w:r w:rsidR="00662ACA" w:rsidRPr="00D8548E">
        <w:t xml:space="preserve">. The PSD for that consideration states “The </w:t>
      </w:r>
      <w:r w:rsidR="00A77738" w:rsidRPr="00D8548E">
        <w:t>PBAC accepted that aQIV would be at least non-inferior to aTIV based on the immunogenicity results from Trial V118_20”</w:t>
      </w:r>
      <w:r w:rsidR="00F527AE" w:rsidRPr="00D8548E">
        <w:t>, but also</w:t>
      </w:r>
      <w:r w:rsidR="005A1103" w:rsidRPr="00D8548E">
        <w:t xml:space="preserve"> </w:t>
      </w:r>
      <w:r w:rsidR="00A77738" w:rsidRPr="00D8548E">
        <w:t>note</w:t>
      </w:r>
      <w:r w:rsidR="00662ACA" w:rsidRPr="00D8548E">
        <w:t>d</w:t>
      </w:r>
      <w:r w:rsidR="00A77738" w:rsidRPr="00D8548E">
        <w:t xml:space="preserve"> that</w:t>
      </w:r>
      <w:r w:rsidR="00F5539F" w:rsidRPr="00D8548E">
        <w:t xml:space="preserve"> the</w:t>
      </w:r>
      <w:r w:rsidR="00A77738" w:rsidRPr="00D8548E">
        <w:t xml:space="preserve"> “ATAGI noted this study </w:t>
      </w:r>
      <w:r w:rsidR="005A1103" w:rsidRPr="00D8548E">
        <w:t>(Essink et al 2020) f</w:t>
      </w:r>
      <w:r w:rsidR="00A77738" w:rsidRPr="00D8548E">
        <w:t xml:space="preserve">ound aQIV superior to aTIV for the B strain not included in each aTIV” </w:t>
      </w:r>
      <w:r w:rsidR="005A1103" w:rsidRPr="00D8548E">
        <w:t>(</w:t>
      </w:r>
      <w:r w:rsidR="005A1155">
        <w:t>P</w:t>
      </w:r>
      <w:r w:rsidR="005A1103" w:rsidRPr="00D8548E">
        <w:t>aragraphs 7.20 and 6.46, aTIV and aQIV PSD, August and July 2019 PBAC meeting)</w:t>
      </w:r>
      <w:r w:rsidR="00A77738" w:rsidRPr="00D8548E">
        <w:t xml:space="preserve">. </w:t>
      </w:r>
    </w:p>
    <w:p w14:paraId="21AA15BA" w14:textId="7C19AE5A" w:rsidR="00F527AE" w:rsidRPr="00D8548E" w:rsidRDefault="00F527AE" w:rsidP="00F527AE">
      <w:pPr>
        <w:pStyle w:val="3-BodyText"/>
        <w:rPr>
          <w:color w:val="000000" w:themeColor="text1"/>
        </w:rPr>
      </w:pPr>
      <w:bookmarkStart w:id="22" w:name="_Ref155863891"/>
      <w:r w:rsidRPr="00D8548E">
        <w:t xml:space="preserve">The latter three immunogenicity studies were not </w:t>
      </w:r>
      <w:r w:rsidR="00AA72BA" w:rsidRPr="00D8548E">
        <w:t>include</w:t>
      </w:r>
      <w:r w:rsidRPr="00D8548E">
        <w:t>d in the ATAGI pre-submission advice. The</w:t>
      </w:r>
      <w:r w:rsidR="00FB2290">
        <w:t xml:space="preserve"> evaluation considered that these studies</w:t>
      </w:r>
      <w:r w:rsidRPr="00D8548E">
        <w:t xml:space="preserve"> </w:t>
      </w:r>
      <w:r w:rsidR="0008558D">
        <w:t xml:space="preserve">appeared to </w:t>
      </w:r>
      <w:r w:rsidRPr="00D8548E">
        <w:t xml:space="preserve">have been included in the PBAC submission to address concerns in the ATAGI pre-submission advice that </w:t>
      </w:r>
      <w:r w:rsidR="00757BAC">
        <w:t>“</w:t>
      </w:r>
      <w:r w:rsidRPr="00D8548E">
        <w:t>The decision to exclude the immunogenicity studies from the submission was not adequately justified as a comprehensive analysis of immunogenicity studies could be informative given the limitations of the available clinical data (particularly regarding the impact of different circulating strains and vaccine mismatch)</w:t>
      </w:r>
      <w:r w:rsidR="00757BAC">
        <w:t>”</w:t>
      </w:r>
      <w:r w:rsidRPr="00D8548E">
        <w:t xml:space="preserve">. Further, the ATAGI pre-submission advice stated “Overall, the generalisability of vaccine efficacy estimates from the clinical studies to the Australian clinical setting is unclear. Additional data (particularly immunogenicity outcomes) may be informative in translating the evidence to the Australian clinical setting.” </w:t>
      </w:r>
      <w:bookmarkEnd w:id="22"/>
      <w:r w:rsidR="005B5232" w:rsidRPr="00D8548E">
        <w:t>ATAGI commented on these studies in its post-submission advice.</w:t>
      </w:r>
    </w:p>
    <w:p w14:paraId="7DE3A286" w14:textId="55F479EE" w:rsidR="008E0D3C" w:rsidRPr="00D8548E" w:rsidRDefault="00696EF9" w:rsidP="006200AE">
      <w:pPr>
        <w:pStyle w:val="TableFigureHeading"/>
        <w:spacing w:before="240"/>
        <w:rPr>
          <w:rStyle w:val="CommentReference"/>
          <w:b/>
          <w:szCs w:val="24"/>
        </w:rPr>
      </w:pPr>
      <w:bookmarkStart w:id="23" w:name="_Ref104803956"/>
      <w:r w:rsidRPr="00D8548E">
        <w:lastRenderedPageBreak/>
        <w:t xml:space="preserve">Table </w:t>
      </w:r>
      <w:r w:rsidR="005362BD">
        <w:fldChar w:fldCharType="begin" w:fldLock="1"/>
      </w:r>
      <w:r w:rsidR="005362BD">
        <w:instrText xml:space="preserve"> SEQ Table \* ARABIC </w:instrText>
      </w:r>
      <w:r w:rsidR="005362BD">
        <w:fldChar w:fldCharType="separate"/>
      </w:r>
      <w:r w:rsidR="00C364E6">
        <w:rPr>
          <w:noProof/>
        </w:rPr>
        <w:t>3</w:t>
      </w:r>
      <w:r w:rsidR="005362BD">
        <w:rPr>
          <w:noProof/>
        </w:rPr>
        <w:fldChar w:fldCharType="end"/>
      </w:r>
      <w:bookmarkEnd w:id="23"/>
      <w:r w:rsidRPr="00D8548E">
        <w:t>:</w:t>
      </w:r>
      <w:r w:rsidR="00BC591F" w:rsidRPr="00D8548E">
        <w:rPr>
          <w:rStyle w:val="CommentReference"/>
          <w:b/>
          <w:szCs w:val="24"/>
        </w:rPr>
        <w:t xml:space="preserve"> </w:t>
      </w:r>
      <w:r w:rsidR="00F43C27" w:rsidRPr="00D8548E">
        <w:rPr>
          <w:rStyle w:val="CommentReference"/>
          <w:b/>
          <w:szCs w:val="24"/>
        </w:rPr>
        <w:t>S</w:t>
      </w:r>
      <w:r w:rsidR="00D5243B" w:rsidRPr="00D8548E">
        <w:rPr>
          <w:rStyle w:val="CommentReference"/>
          <w:b/>
          <w:szCs w:val="24"/>
        </w:rPr>
        <w:t>tudies</w:t>
      </w:r>
      <w:r w:rsidR="008E0D3C" w:rsidRPr="00D8548E">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Studies and associated reports presented in the submission"/>
      </w:tblPr>
      <w:tblGrid>
        <w:gridCol w:w="1434"/>
        <w:gridCol w:w="5055"/>
        <w:gridCol w:w="2528"/>
      </w:tblGrid>
      <w:tr w:rsidR="008E0D3C" w:rsidRPr="00D8548E" w14:paraId="6ACD35C4" w14:textId="77777777" w:rsidTr="00682BA6">
        <w:trPr>
          <w:cantSplit/>
          <w:tblHeader/>
        </w:trPr>
        <w:tc>
          <w:tcPr>
            <w:tcW w:w="795" w:type="pct"/>
            <w:vAlign w:val="center"/>
          </w:tcPr>
          <w:p w14:paraId="20DEEB23" w14:textId="77777777" w:rsidR="008E0D3C" w:rsidRPr="00D8548E" w:rsidRDefault="008E0D3C" w:rsidP="006200AE">
            <w:pPr>
              <w:pStyle w:val="In-tableHeading"/>
              <w:jc w:val="center"/>
            </w:pPr>
            <w:bookmarkStart w:id="24" w:name="_Hlk153522036"/>
            <w:r w:rsidRPr="00D8548E">
              <w:t>Trial ID</w:t>
            </w:r>
          </w:p>
        </w:tc>
        <w:tc>
          <w:tcPr>
            <w:tcW w:w="2803" w:type="pct"/>
            <w:vAlign w:val="center"/>
          </w:tcPr>
          <w:p w14:paraId="22EF6C51" w14:textId="77777777" w:rsidR="008E0D3C" w:rsidRPr="00D8548E" w:rsidRDefault="008E0D3C" w:rsidP="006200AE">
            <w:pPr>
              <w:pStyle w:val="In-tableHeading"/>
            </w:pPr>
            <w:r w:rsidRPr="00D8548E">
              <w:t>Protocol title/ Publication title</w:t>
            </w:r>
          </w:p>
        </w:tc>
        <w:tc>
          <w:tcPr>
            <w:tcW w:w="1402" w:type="pct"/>
            <w:vAlign w:val="center"/>
          </w:tcPr>
          <w:p w14:paraId="561B27A8" w14:textId="77777777" w:rsidR="008E0D3C" w:rsidRPr="00D8548E" w:rsidRDefault="008E0D3C" w:rsidP="006200AE">
            <w:pPr>
              <w:pStyle w:val="In-tableHeading"/>
            </w:pPr>
            <w:r w:rsidRPr="00D8548E">
              <w:t>Publication citation</w:t>
            </w:r>
          </w:p>
        </w:tc>
      </w:tr>
      <w:tr w:rsidR="00F70C6B" w:rsidRPr="00D8548E" w14:paraId="4BC87097" w14:textId="77777777" w:rsidTr="00F70C6B">
        <w:trPr>
          <w:cantSplit/>
          <w:trHeight w:val="271"/>
        </w:trPr>
        <w:tc>
          <w:tcPr>
            <w:tcW w:w="5000" w:type="pct"/>
            <w:gridSpan w:val="3"/>
          </w:tcPr>
          <w:p w14:paraId="7979AC00" w14:textId="3E8D6959" w:rsidR="00F70C6B" w:rsidRPr="00D8548E" w:rsidRDefault="00F70C6B" w:rsidP="006200AE">
            <w:pPr>
              <w:pStyle w:val="TableText0"/>
              <w:rPr>
                <w:b/>
                <w:bCs w:val="0"/>
              </w:rPr>
            </w:pPr>
            <w:r w:rsidRPr="00D8548E">
              <w:rPr>
                <w:b/>
                <w:bCs w:val="0"/>
              </w:rPr>
              <w:t>Observational studies</w:t>
            </w:r>
          </w:p>
        </w:tc>
      </w:tr>
      <w:bookmarkEnd w:id="24"/>
      <w:tr w:rsidR="00A9705E" w:rsidRPr="00D8548E" w14:paraId="298351BA" w14:textId="77777777" w:rsidTr="00D403B6">
        <w:trPr>
          <w:cantSplit/>
          <w:trHeight w:val="446"/>
        </w:trPr>
        <w:tc>
          <w:tcPr>
            <w:tcW w:w="795" w:type="pct"/>
          </w:tcPr>
          <w:p w14:paraId="5D9482F5" w14:textId="638450A4" w:rsidR="00A9705E" w:rsidRPr="00D8548E" w:rsidRDefault="00A9705E" w:rsidP="006200AE">
            <w:pPr>
              <w:pStyle w:val="TableText0"/>
              <w:rPr>
                <w:szCs w:val="20"/>
              </w:rPr>
            </w:pPr>
            <w:r w:rsidRPr="00D8548E">
              <w:t>Izurieta et al., 2021</w:t>
            </w:r>
          </w:p>
        </w:tc>
        <w:tc>
          <w:tcPr>
            <w:tcW w:w="2803" w:type="pct"/>
          </w:tcPr>
          <w:p w14:paraId="2570DA6E" w14:textId="75467B45" w:rsidR="00A9705E" w:rsidRPr="00D8548E" w:rsidRDefault="00A9705E" w:rsidP="006200AE">
            <w:pPr>
              <w:pStyle w:val="TableText0"/>
              <w:rPr>
                <w:highlight w:val="yellow"/>
              </w:rPr>
            </w:pPr>
            <w:r w:rsidRPr="00D8548E">
              <w:t>Izurieta et al. Comparative Effectiveness of Influenza Vaccines Among US Medicare Beneficiaries Ages 65 Years and Older During the 2019–2020 Season</w:t>
            </w:r>
          </w:p>
        </w:tc>
        <w:tc>
          <w:tcPr>
            <w:tcW w:w="1402" w:type="pct"/>
            <w:vAlign w:val="center"/>
          </w:tcPr>
          <w:p w14:paraId="7578773D" w14:textId="32BC314B" w:rsidR="00A9705E" w:rsidRPr="00D8548E" w:rsidRDefault="00A9705E" w:rsidP="006200AE">
            <w:pPr>
              <w:pStyle w:val="TableText0"/>
              <w:rPr>
                <w:rFonts w:ascii="Times" w:hAnsi="Times"/>
                <w:highlight w:val="yellow"/>
              </w:rPr>
            </w:pPr>
            <w:r w:rsidRPr="00D8548E">
              <w:t>Clinical Infectious Diseases 2021; 73: e4251</w:t>
            </w:r>
            <w:r w:rsidR="00D403B6" w:rsidRPr="00D8548E">
              <w:t>–</w:t>
            </w:r>
            <w:r w:rsidRPr="00D8548E">
              <w:t xml:space="preserve">e4259. </w:t>
            </w:r>
          </w:p>
        </w:tc>
      </w:tr>
      <w:tr w:rsidR="00F42F1F" w:rsidRPr="00D8548E" w14:paraId="1F0A03E8" w14:textId="77777777" w:rsidTr="00D403B6">
        <w:trPr>
          <w:cantSplit/>
        </w:trPr>
        <w:tc>
          <w:tcPr>
            <w:tcW w:w="795" w:type="pct"/>
          </w:tcPr>
          <w:p w14:paraId="48B00FEA" w14:textId="3C5613A0" w:rsidR="00F42F1F" w:rsidRPr="00D8548E" w:rsidRDefault="00F42F1F" w:rsidP="006200AE">
            <w:pPr>
              <w:pStyle w:val="TableText0"/>
              <w:rPr>
                <w:rFonts w:ascii="Times" w:hAnsi="Times"/>
              </w:rPr>
            </w:pPr>
            <w:bookmarkStart w:id="25" w:name="_Hlk153520638"/>
            <w:r w:rsidRPr="00D8548E">
              <w:t>Izurieta et al., 2020</w:t>
            </w:r>
          </w:p>
        </w:tc>
        <w:tc>
          <w:tcPr>
            <w:tcW w:w="2803" w:type="pct"/>
            <w:tcBorders>
              <w:bottom w:val="nil"/>
            </w:tcBorders>
            <w:vAlign w:val="center"/>
          </w:tcPr>
          <w:p w14:paraId="255F53CF" w14:textId="5BC0EE6D" w:rsidR="00F42F1F" w:rsidRPr="00D8548E" w:rsidRDefault="00F43C27" w:rsidP="006200AE">
            <w:pPr>
              <w:pStyle w:val="TableText0"/>
              <w:rPr>
                <w:highlight w:val="yellow"/>
              </w:rPr>
            </w:pPr>
            <w:r w:rsidRPr="00D8548E">
              <w:t>Relative Effectiveness of Influenza Vaccines Among the United States Elderly, 2018-2019.</w:t>
            </w:r>
          </w:p>
        </w:tc>
        <w:tc>
          <w:tcPr>
            <w:tcW w:w="1402" w:type="pct"/>
            <w:tcBorders>
              <w:bottom w:val="nil"/>
            </w:tcBorders>
            <w:vAlign w:val="center"/>
          </w:tcPr>
          <w:p w14:paraId="551EF0D5" w14:textId="3FFAE562" w:rsidR="00F42F1F" w:rsidRPr="00D8548E" w:rsidRDefault="00F43C27" w:rsidP="006200AE">
            <w:pPr>
              <w:pStyle w:val="TableText0"/>
              <w:rPr>
                <w:highlight w:val="yellow"/>
              </w:rPr>
            </w:pPr>
            <w:r w:rsidRPr="00D8548E">
              <w:t>The Journal of infectious diseases, 222(2), 278–287.</w:t>
            </w:r>
          </w:p>
        </w:tc>
      </w:tr>
      <w:tr w:rsidR="00F70C6B" w:rsidRPr="00D8548E" w14:paraId="16643DF6" w14:textId="77777777" w:rsidTr="00F70C6B">
        <w:trPr>
          <w:cantSplit/>
          <w:trHeight w:val="60"/>
        </w:trPr>
        <w:tc>
          <w:tcPr>
            <w:tcW w:w="5000" w:type="pct"/>
            <w:gridSpan w:val="3"/>
          </w:tcPr>
          <w:p w14:paraId="70E82F1C" w14:textId="1BFBA214" w:rsidR="00F70C6B" w:rsidRPr="00D8548E" w:rsidRDefault="00F5539F" w:rsidP="006200AE">
            <w:pPr>
              <w:pStyle w:val="TableText0"/>
              <w:rPr>
                <w:b/>
                <w:bCs w:val="0"/>
              </w:rPr>
            </w:pPr>
            <w:r w:rsidRPr="00D8548E">
              <w:rPr>
                <w:b/>
                <w:bCs w:val="0"/>
              </w:rPr>
              <w:t>Direct randomised controlled trials (immunogenicity outcomes</w:t>
            </w:r>
            <w:r w:rsidR="001C02D4" w:rsidRPr="00D8548E">
              <w:rPr>
                <w:b/>
                <w:bCs w:val="0"/>
              </w:rPr>
              <w:t xml:space="preserve"> and safety</w:t>
            </w:r>
            <w:r w:rsidRPr="00D8548E">
              <w:rPr>
                <w:b/>
                <w:bCs w:val="0"/>
              </w:rPr>
              <w:t>)</w:t>
            </w:r>
          </w:p>
        </w:tc>
      </w:tr>
      <w:tr w:rsidR="00F43C27" w:rsidRPr="00D8548E" w14:paraId="74132A1A" w14:textId="77777777" w:rsidTr="00D403B6">
        <w:trPr>
          <w:cantSplit/>
          <w:trHeight w:val="709"/>
        </w:trPr>
        <w:tc>
          <w:tcPr>
            <w:tcW w:w="795" w:type="pct"/>
          </w:tcPr>
          <w:p w14:paraId="77E83EA4" w14:textId="77777777" w:rsidR="00F43C27" w:rsidRPr="00D8548E" w:rsidRDefault="00F43C27" w:rsidP="006200AE">
            <w:pPr>
              <w:pStyle w:val="TableText0"/>
            </w:pPr>
            <w:r w:rsidRPr="00D8548E">
              <w:t>Belongia et al., 2020</w:t>
            </w:r>
          </w:p>
          <w:p w14:paraId="30BA87AC" w14:textId="58468CCB" w:rsidR="00F70C6B" w:rsidRPr="00D8548E" w:rsidRDefault="00F70C6B" w:rsidP="006200AE">
            <w:pPr>
              <w:pStyle w:val="Tabletext"/>
              <w:keepNext/>
              <w:keepLines/>
              <w:rPr>
                <w:rFonts w:ascii="Times" w:hAnsi="Times"/>
              </w:rPr>
            </w:pPr>
            <w:r w:rsidRPr="00D8548E">
              <w:t>NCT02872311</w:t>
            </w:r>
          </w:p>
        </w:tc>
        <w:tc>
          <w:tcPr>
            <w:tcW w:w="2803" w:type="pct"/>
            <w:vAlign w:val="center"/>
          </w:tcPr>
          <w:p w14:paraId="7EF3AEBB" w14:textId="0D223269" w:rsidR="00F43C27" w:rsidRPr="00D8548E" w:rsidRDefault="00F43C27" w:rsidP="006200AE">
            <w:pPr>
              <w:pStyle w:val="TableText0"/>
              <w:rPr>
                <w:rFonts w:ascii="Times" w:hAnsi="Times"/>
                <w:highlight w:val="yellow"/>
              </w:rPr>
            </w:pPr>
            <w:r w:rsidRPr="00D8548E">
              <w:t>Clinical trial to assess immunogenicity of high-dose, adjuvanted, and recombinant influenza vaccines against cell-grown A(H3N2) viruses in adults 65 to 74 years, 2017-2018.</w:t>
            </w:r>
          </w:p>
        </w:tc>
        <w:tc>
          <w:tcPr>
            <w:tcW w:w="1402" w:type="pct"/>
            <w:vAlign w:val="center"/>
          </w:tcPr>
          <w:p w14:paraId="65832AF0" w14:textId="78BBCB0E" w:rsidR="00F43C27" w:rsidRPr="00D8548E" w:rsidRDefault="00F43C27" w:rsidP="006200AE">
            <w:pPr>
              <w:pStyle w:val="TableText0"/>
              <w:rPr>
                <w:highlight w:val="yellow"/>
              </w:rPr>
            </w:pPr>
            <w:r w:rsidRPr="00D8548E">
              <w:t>Vaccine 38(15): 3121</w:t>
            </w:r>
            <w:r w:rsidR="00D403B6" w:rsidRPr="00D8548E">
              <w:t>–</w:t>
            </w:r>
            <w:r w:rsidRPr="00D8548E">
              <w:t>3128.</w:t>
            </w:r>
          </w:p>
        </w:tc>
      </w:tr>
      <w:tr w:rsidR="00F42F1F" w:rsidRPr="00D8548E" w14:paraId="400ADAF8" w14:textId="77777777" w:rsidTr="00D403B6">
        <w:trPr>
          <w:cantSplit/>
        </w:trPr>
        <w:tc>
          <w:tcPr>
            <w:tcW w:w="795" w:type="pct"/>
            <w:vMerge w:val="restart"/>
          </w:tcPr>
          <w:p w14:paraId="2F27DE40" w14:textId="5F084837" w:rsidR="00F42F1F" w:rsidRPr="00D8548E" w:rsidRDefault="00246CED" w:rsidP="006200AE">
            <w:pPr>
              <w:pStyle w:val="TableText0"/>
            </w:pPr>
            <w:r w:rsidRPr="00D8548E">
              <w:t xml:space="preserve">Cowling, Perera, et al., 2020 </w:t>
            </w:r>
          </w:p>
          <w:p w14:paraId="06134B06" w14:textId="77777777" w:rsidR="00246CED" w:rsidRPr="00D8548E" w:rsidRDefault="00246CED" w:rsidP="006200AE">
            <w:pPr>
              <w:pStyle w:val="TableText0"/>
            </w:pPr>
            <w:r w:rsidRPr="00D8548E">
              <w:t>Cowling, Thompson, et al., 2020.</w:t>
            </w:r>
          </w:p>
          <w:p w14:paraId="18C64AF1" w14:textId="2D31E71E" w:rsidR="00246CED" w:rsidRPr="00D8548E" w:rsidRDefault="00246CED" w:rsidP="006200AE">
            <w:pPr>
              <w:pStyle w:val="TableText0"/>
            </w:pPr>
            <w:r w:rsidRPr="00D8548E">
              <w:t>NCT03330132</w:t>
            </w:r>
          </w:p>
        </w:tc>
        <w:tc>
          <w:tcPr>
            <w:tcW w:w="2803" w:type="pct"/>
            <w:tcBorders>
              <w:bottom w:val="nil"/>
            </w:tcBorders>
            <w:vAlign w:val="center"/>
          </w:tcPr>
          <w:p w14:paraId="0A35B979" w14:textId="2756D1FB" w:rsidR="00F42F1F" w:rsidRPr="00D8548E" w:rsidRDefault="00246CED" w:rsidP="006200AE">
            <w:pPr>
              <w:pStyle w:val="TableText0"/>
              <w:rPr>
                <w:rFonts w:ascii="Times" w:hAnsi="Times"/>
              </w:rPr>
            </w:pPr>
            <w:r w:rsidRPr="00D8548E">
              <w:t xml:space="preserve">Comparative Immunogenicity of Several Enhanced Influenza Vaccine Options for Older Adults: A Randomized, Controlled Trial.  </w:t>
            </w:r>
          </w:p>
        </w:tc>
        <w:tc>
          <w:tcPr>
            <w:tcW w:w="1402" w:type="pct"/>
            <w:tcBorders>
              <w:bottom w:val="nil"/>
            </w:tcBorders>
            <w:vAlign w:val="center"/>
          </w:tcPr>
          <w:p w14:paraId="4A191A18" w14:textId="5769DCDC" w:rsidR="00F42F1F" w:rsidRPr="00D8548E" w:rsidRDefault="00246CED" w:rsidP="006200AE">
            <w:pPr>
              <w:pStyle w:val="TableText0"/>
              <w:rPr>
                <w:rFonts w:ascii="Times" w:hAnsi="Times"/>
                <w:highlight w:val="yellow"/>
              </w:rPr>
            </w:pPr>
            <w:r w:rsidRPr="00D8548E">
              <w:t>Clin Infect Dis. 2020 Oct 23;71(7):1704</w:t>
            </w:r>
            <w:r w:rsidR="00D403B6" w:rsidRPr="00D8548E">
              <w:t>–</w:t>
            </w:r>
            <w:r w:rsidRPr="00D8548E">
              <w:t>1714.</w:t>
            </w:r>
          </w:p>
        </w:tc>
      </w:tr>
      <w:tr w:rsidR="002E4F02" w:rsidRPr="00D8548E" w14:paraId="3C25A115" w14:textId="77777777" w:rsidTr="00D403B6">
        <w:trPr>
          <w:cantSplit/>
        </w:trPr>
        <w:tc>
          <w:tcPr>
            <w:tcW w:w="795" w:type="pct"/>
            <w:vMerge/>
          </w:tcPr>
          <w:p w14:paraId="7B7F242C" w14:textId="7CBDF1E3" w:rsidR="002E4F02" w:rsidRPr="00D8548E" w:rsidRDefault="002E4F02" w:rsidP="006200AE">
            <w:pPr>
              <w:pStyle w:val="Tabletext"/>
              <w:keepNext/>
              <w:keepLines/>
            </w:pPr>
          </w:p>
        </w:tc>
        <w:tc>
          <w:tcPr>
            <w:tcW w:w="2803" w:type="pct"/>
            <w:tcBorders>
              <w:top w:val="nil"/>
              <w:bottom w:val="single" w:sz="4" w:space="0" w:color="auto"/>
            </w:tcBorders>
            <w:vAlign w:val="center"/>
          </w:tcPr>
          <w:p w14:paraId="579BA225" w14:textId="4DB3CC6A" w:rsidR="002E4F02" w:rsidRPr="00D8548E" w:rsidRDefault="00246CED" w:rsidP="006200AE">
            <w:pPr>
              <w:pStyle w:val="TableText0"/>
            </w:pPr>
            <w:r w:rsidRPr="00D8548E">
              <w:t xml:space="preserve">Comparative Reactogenicity of Enhanced Influenza Vaccines in Older Adults. </w:t>
            </w:r>
          </w:p>
        </w:tc>
        <w:tc>
          <w:tcPr>
            <w:tcW w:w="1402" w:type="pct"/>
            <w:tcBorders>
              <w:top w:val="nil"/>
              <w:bottom w:val="single" w:sz="4" w:space="0" w:color="auto"/>
            </w:tcBorders>
            <w:vAlign w:val="center"/>
          </w:tcPr>
          <w:p w14:paraId="08A85085" w14:textId="134AB8AB" w:rsidR="002E4F02" w:rsidRPr="00D8548E" w:rsidRDefault="00246CED" w:rsidP="006200AE">
            <w:pPr>
              <w:pStyle w:val="TableText0"/>
              <w:rPr>
                <w:highlight w:val="yellow"/>
              </w:rPr>
            </w:pPr>
            <w:r w:rsidRPr="00D8548E">
              <w:t>J Infect Dis. 2020; 222(8):1383</w:t>
            </w:r>
            <w:r w:rsidR="00D403B6" w:rsidRPr="00D8548E">
              <w:t>–</w:t>
            </w:r>
            <w:r w:rsidRPr="00D8548E">
              <w:t>1391.</w:t>
            </w:r>
          </w:p>
        </w:tc>
      </w:tr>
      <w:tr w:rsidR="00F42F1F" w:rsidRPr="00D8548E" w14:paraId="23024C30" w14:textId="77777777" w:rsidTr="00D403B6">
        <w:trPr>
          <w:cantSplit/>
        </w:trPr>
        <w:tc>
          <w:tcPr>
            <w:tcW w:w="795" w:type="pct"/>
          </w:tcPr>
          <w:p w14:paraId="3B4438E4" w14:textId="77777777" w:rsidR="00F42F1F" w:rsidRPr="00D8548E" w:rsidRDefault="00F42F1F" w:rsidP="006200AE">
            <w:pPr>
              <w:pStyle w:val="Tabletext"/>
              <w:keepNext/>
              <w:keepLines/>
            </w:pPr>
            <w:r w:rsidRPr="00D8548E">
              <w:t>Essink et al., 2020</w:t>
            </w:r>
          </w:p>
          <w:p w14:paraId="0A08EC1B" w14:textId="4D774A4F" w:rsidR="00D403B6" w:rsidRPr="00D8548E" w:rsidRDefault="00D403B6" w:rsidP="006200AE">
            <w:pPr>
              <w:pStyle w:val="Tabletext"/>
              <w:keepNext/>
              <w:keepLines/>
            </w:pPr>
            <w:r w:rsidRPr="00D8548E">
              <w:t>NCT03314662</w:t>
            </w:r>
          </w:p>
        </w:tc>
        <w:tc>
          <w:tcPr>
            <w:tcW w:w="2803" w:type="pct"/>
            <w:tcBorders>
              <w:top w:val="single" w:sz="4" w:space="0" w:color="auto"/>
              <w:bottom w:val="single" w:sz="4" w:space="0" w:color="auto"/>
            </w:tcBorders>
            <w:vAlign w:val="center"/>
          </w:tcPr>
          <w:p w14:paraId="135671B2" w14:textId="186A2E2B" w:rsidR="00F42F1F" w:rsidRPr="00D8548E" w:rsidRDefault="00246CED" w:rsidP="006200AE">
            <w:pPr>
              <w:pStyle w:val="TableText0"/>
            </w:pPr>
            <w:r w:rsidRPr="00D8548E">
              <w:t>Immunogenicity and safety of MF59-adjuvanted quadrivalent influenza vaccine versus standard and alternate B strain MF59-adjuvanted trivalent influenza vaccines in older adults</w:t>
            </w:r>
          </w:p>
        </w:tc>
        <w:tc>
          <w:tcPr>
            <w:tcW w:w="1402" w:type="pct"/>
            <w:tcBorders>
              <w:top w:val="single" w:sz="4" w:space="0" w:color="auto"/>
              <w:bottom w:val="single" w:sz="4" w:space="0" w:color="auto"/>
            </w:tcBorders>
            <w:vAlign w:val="center"/>
          </w:tcPr>
          <w:p w14:paraId="765481BE" w14:textId="1C85F034" w:rsidR="00F42F1F" w:rsidRPr="00D8548E" w:rsidRDefault="0080402C" w:rsidP="006200AE">
            <w:pPr>
              <w:pStyle w:val="TableText0"/>
            </w:pPr>
            <w:r w:rsidRPr="00D8548E">
              <w:t>Vaccine 38 (2020) 242–250</w:t>
            </w:r>
          </w:p>
        </w:tc>
      </w:tr>
    </w:tbl>
    <w:bookmarkEnd w:id="25"/>
    <w:p w14:paraId="51D8173A" w14:textId="2F750260" w:rsidR="008E0D3C" w:rsidRPr="00D8548E" w:rsidRDefault="008E0D3C" w:rsidP="0073365E">
      <w:pPr>
        <w:pStyle w:val="FooterTableFigure"/>
      </w:pPr>
      <w:r w:rsidRPr="00D8548E">
        <w:t>Source: Table</w:t>
      </w:r>
      <w:r w:rsidR="00246CED" w:rsidRPr="00D8548E">
        <w:t xml:space="preserve"> 2-3, p22</w:t>
      </w:r>
      <w:r w:rsidRPr="00D8548E">
        <w:t xml:space="preserve"> of the submission.</w:t>
      </w:r>
    </w:p>
    <w:p w14:paraId="1AF4D454" w14:textId="00FDE33A" w:rsidR="00AA72BA" w:rsidRPr="00D8548E" w:rsidRDefault="00AA72BA" w:rsidP="00AA72BA">
      <w:pPr>
        <w:pStyle w:val="3-BodyText"/>
      </w:pPr>
      <w:r w:rsidRPr="00D8548E">
        <w:t xml:space="preserve">Key features of the included evidence are outlined in </w:t>
      </w:r>
      <w:r w:rsidRPr="00D8548E">
        <w:fldChar w:fldCharType="begin" w:fldLock="1"/>
      </w:r>
      <w:r w:rsidRPr="00D8548E">
        <w:instrText xml:space="preserve"> REF _Ref104804098 \h  \* MERGEFORMAT </w:instrText>
      </w:r>
      <w:r w:rsidRPr="00D8548E">
        <w:fldChar w:fldCharType="separate"/>
      </w:r>
      <w:r w:rsidR="00C364E6" w:rsidRPr="00C364E6">
        <w:t>Table 4</w:t>
      </w:r>
      <w:r w:rsidRPr="00D8548E">
        <w:fldChar w:fldCharType="end"/>
      </w:r>
      <w:r w:rsidRPr="00D8548E">
        <w:t>.</w:t>
      </w:r>
    </w:p>
    <w:p w14:paraId="355E2F15" w14:textId="7EC181DC" w:rsidR="007F1017" w:rsidRPr="00D8548E" w:rsidRDefault="00696EF9" w:rsidP="00D6076E">
      <w:pPr>
        <w:pStyle w:val="Caption"/>
        <w:rPr>
          <w:rStyle w:val="CommentReference"/>
          <w:rFonts w:eastAsiaTheme="majorEastAsia" w:cstheme="majorBidi"/>
          <w:b/>
          <w:szCs w:val="24"/>
        </w:rPr>
      </w:pPr>
      <w:bookmarkStart w:id="26" w:name="_Ref104804098"/>
      <w:r w:rsidRPr="00D8548E">
        <w:rPr>
          <w:rStyle w:val="CommentReference"/>
          <w:rFonts w:eastAsiaTheme="majorEastAsia" w:cstheme="majorBidi"/>
          <w:b/>
          <w:szCs w:val="24"/>
        </w:rPr>
        <w:t xml:space="preserve">Table </w:t>
      </w:r>
      <w:r w:rsidRPr="00D8548E">
        <w:rPr>
          <w:rStyle w:val="CommentReference"/>
          <w:rFonts w:eastAsiaTheme="majorEastAsia" w:cstheme="majorBidi"/>
          <w:b/>
          <w:szCs w:val="24"/>
        </w:rPr>
        <w:fldChar w:fldCharType="begin" w:fldLock="1"/>
      </w:r>
      <w:r w:rsidRPr="00D8548E">
        <w:rPr>
          <w:rStyle w:val="CommentReference"/>
          <w:rFonts w:eastAsiaTheme="majorEastAsia" w:cstheme="majorBidi"/>
          <w:b/>
          <w:szCs w:val="24"/>
        </w:rPr>
        <w:instrText xml:space="preserve"> SEQ Table \* ARABIC </w:instrText>
      </w:r>
      <w:r w:rsidRPr="00D8548E">
        <w:rPr>
          <w:rStyle w:val="CommentReference"/>
          <w:rFonts w:eastAsiaTheme="majorEastAsia" w:cstheme="majorBidi"/>
          <w:b/>
          <w:szCs w:val="24"/>
        </w:rPr>
        <w:fldChar w:fldCharType="separate"/>
      </w:r>
      <w:r w:rsidR="00C364E6">
        <w:rPr>
          <w:rStyle w:val="CommentReference"/>
          <w:rFonts w:eastAsiaTheme="majorEastAsia" w:cstheme="majorBidi"/>
          <w:b/>
          <w:noProof/>
          <w:szCs w:val="24"/>
        </w:rPr>
        <w:t>4</w:t>
      </w:r>
      <w:r w:rsidRPr="00D8548E">
        <w:rPr>
          <w:rStyle w:val="CommentReference"/>
          <w:rFonts w:eastAsiaTheme="majorEastAsia" w:cstheme="majorBidi"/>
          <w:b/>
          <w:szCs w:val="24"/>
        </w:rPr>
        <w:fldChar w:fldCharType="end"/>
      </w:r>
      <w:bookmarkEnd w:id="26"/>
      <w:r w:rsidR="00D6076E" w:rsidRPr="00D8548E">
        <w:rPr>
          <w:rStyle w:val="CommentReference"/>
          <w:rFonts w:eastAsiaTheme="majorEastAsia" w:cstheme="majorBidi"/>
          <w:b/>
          <w:szCs w:val="24"/>
        </w:rPr>
        <w:t xml:space="preserve">: </w:t>
      </w:r>
      <w:r w:rsidR="007F1017" w:rsidRPr="00D8548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187"/>
        <w:gridCol w:w="1196"/>
        <w:gridCol w:w="2575"/>
        <w:gridCol w:w="849"/>
        <w:gridCol w:w="1275"/>
        <w:gridCol w:w="1935"/>
      </w:tblGrid>
      <w:tr w:rsidR="005A1103" w:rsidRPr="00D8548E" w14:paraId="53DD7CC6" w14:textId="77777777" w:rsidTr="00C0776A">
        <w:trPr>
          <w:cantSplit/>
          <w:tblHeader/>
        </w:trPr>
        <w:tc>
          <w:tcPr>
            <w:tcW w:w="658" w:type="pct"/>
            <w:shd w:val="clear" w:color="auto" w:fill="auto"/>
            <w:vAlign w:val="center"/>
          </w:tcPr>
          <w:p w14:paraId="794116BC" w14:textId="77777777" w:rsidR="005A1103" w:rsidRPr="00D8548E" w:rsidRDefault="005A1103" w:rsidP="001E34DF">
            <w:pPr>
              <w:pStyle w:val="In-tableHeading"/>
            </w:pPr>
            <w:r w:rsidRPr="00D8548E">
              <w:t>Trial</w:t>
            </w:r>
          </w:p>
        </w:tc>
        <w:tc>
          <w:tcPr>
            <w:tcW w:w="663" w:type="pct"/>
            <w:shd w:val="clear" w:color="auto" w:fill="auto"/>
            <w:vAlign w:val="center"/>
          </w:tcPr>
          <w:p w14:paraId="51122FE5" w14:textId="77777777" w:rsidR="005A1103" w:rsidRPr="00D8548E" w:rsidRDefault="005A1103" w:rsidP="00EC5836">
            <w:pPr>
              <w:pStyle w:val="In-tableHeading"/>
              <w:jc w:val="center"/>
            </w:pPr>
            <w:r w:rsidRPr="00D8548E">
              <w:t>N</w:t>
            </w:r>
          </w:p>
        </w:tc>
        <w:tc>
          <w:tcPr>
            <w:tcW w:w="1428" w:type="pct"/>
            <w:shd w:val="clear" w:color="auto" w:fill="auto"/>
            <w:vAlign w:val="center"/>
          </w:tcPr>
          <w:p w14:paraId="41C438EF" w14:textId="77777777" w:rsidR="005A1103" w:rsidRPr="00D8548E" w:rsidRDefault="005A1103" w:rsidP="00EC5836">
            <w:pPr>
              <w:pStyle w:val="In-tableHeading"/>
              <w:jc w:val="center"/>
            </w:pPr>
            <w:r w:rsidRPr="00D8548E">
              <w:t>Design/ duration</w:t>
            </w:r>
          </w:p>
        </w:tc>
        <w:tc>
          <w:tcPr>
            <w:tcW w:w="471" w:type="pct"/>
            <w:shd w:val="clear" w:color="auto" w:fill="auto"/>
            <w:vAlign w:val="center"/>
          </w:tcPr>
          <w:p w14:paraId="1FC91360" w14:textId="77777777" w:rsidR="005A1103" w:rsidRPr="00D8548E" w:rsidRDefault="005A1103" w:rsidP="00EC5836">
            <w:pPr>
              <w:pStyle w:val="In-tableHeading"/>
              <w:jc w:val="center"/>
            </w:pPr>
            <w:r w:rsidRPr="00D8548E">
              <w:t>Risk of bias</w:t>
            </w:r>
          </w:p>
        </w:tc>
        <w:tc>
          <w:tcPr>
            <w:tcW w:w="707" w:type="pct"/>
            <w:shd w:val="clear" w:color="auto" w:fill="auto"/>
            <w:vAlign w:val="center"/>
          </w:tcPr>
          <w:p w14:paraId="7FF90896" w14:textId="77777777" w:rsidR="005A1103" w:rsidRPr="00D8548E" w:rsidRDefault="005A1103" w:rsidP="00EC5836">
            <w:pPr>
              <w:pStyle w:val="In-tableHeading"/>
              <w:jc w:val="center"/>
            </w:pPr>
            <w:r w:rsidRPr="00D8548E">
              <w:t>Patient population</w:t>
            </w:r>
          </w:p>
        </w:tc>
        <w:tc>
          <w:tcPr>
            <w:tcW w:w="1073" w:type="pct"/>
            <w:shd w:val="clear" w:color="auto" w:fill="auto"/>
            <w:vAlign w:val="center"/>
          </w:tcPr>
          <w:p w14:paraId="08C6F624" w14:textId="2BC60D2E" w:rsidR="005A1103" w:rsidRPr="00D8548E" w:rsidRDefault="005A1103" w:rsidP="00EC5836">
            <w:pPr>
              <w:pStyle w:val="In-tableHeading"/>
              <w:jc w:val="center"/>
            </w:pPr>
            <w:r w:rsidRPr="00D8548E">
              <w:t>Outcome(s)</w:t>
            </w:r>
          </w:p>
        </w:tc>
      </w:tr>
      <w:tr w:rsidR="007F1017" w:rsidRPr="00D8548E" w14:paraId="2A03CD4B" w14:textId="77777777" w:rsidTr="00682BA6">
        <w:trPr>
          <w:cantSplit/>
        </w:trPr>
        <w:tc>
          <w:tcPr>
            <w:tcW w:w="5000" w:type="pct"/>
            <w:gridSpan w:val="6"/>
            <w:shd w:val="clear" w:color="auto" w:fill="auto"/>
            <w:vAlign w:val="center"/>
          </w:tcPr>
          <w:p w14:paraId="73088C85" w14:textId="1D32ABCD" w:rsidR="007F1017" w:rsidRPr="00D8548E" w:rsidRDefault="007B4808" w:rsidP="00EC5836">
            <w:pPr>
              <w:pStyle w:val="In-tableHeading"/>
            </w:pPr>
            <w:r w:rsidRPr="00D8548E">
              <w:t>RIV4 v</w:t>
            </w:r>
            <w:r w:rsidR="006D646D" w:rsidRPr="00D8548E">
              <w:t>ersu</w:t>
            </w:r>
            <w:r w:rsidRPr="00D8548E">
              <w:t>s</w:t>
            </w:r>
            <w:r w:rsidR="008D13B1" w:rsidRPr="00D8548E">
              <w:t xml:space="preserve"> aTIV (and</w:t>
            </w:r>
            <w:r w:rsidRPr="00D8548E">
              <w:t xml:space="preserve"> </w:t>
            </w:r>
            <w:r w:rsidR="001B2FF8" w:rsidRPr="00D8548E">
              <w:t>QIVe</w:t>
            </w:r>
            <w:r w:rsidRPr="00D8548E">
              <w:t xml:space="preserve"> vs </w:t>
            </w:r>
            <w:r w:rsidR="001B2FF8" w:rsidRPr="00D8548E">
              <w:t>QIV</w:t>
            </w:r>
            <w:r w:rsidRPr="00D8548E">
              <w:t xml:space="preserve">c vs </w:t>
            </w:r>
            <w:r w:rsidR="001B2FF8" w:rsidRPr="00D8548E">
              <w:t>TIV-HD</w:t>
            </w:r>
            <w:r w:rsidR="008D13B1" w:rsidRPr="00D8548E">
              <w:t>)</w:t>
            </w:r>
          </w:p>
        </w:tc>
      </w:tr>
      <w:tr w:rsidR="005A1103" w:rsidRPr="00D8548E" w14:paraId="4EE88DCB" w14:textId="77777777" w:rsidTr="00C0776A">
        <w:trPr>
          <w:cantSplit/>
        </w:trPr>
        <w:tc>
          <w:tcPr>
            <w:tcW w:w="658" w:type="pct"/>
            <w:shd w:val="clear" w:color="auto" w:fill="auto"/>
            <w:vAlign w:val="center"/>
          </w:tcPr>
          <w:p w14:paraId="6EE77D33" w14:textId="6D15FA5F" w:rsidR="005A1103" w:rsidRPr="00D8548E" w:rsidRDefault="005A1103" w:rsidP="007D1F9D">
            <w:pPr>
              <w:pStyle w:val="TableText0"/>
              <w:rPr>
                <w:lang w:val="en-US"/>
              </w:rPr>
            </w:pPr>
            <w:r w:rsidRPr="00D8548E">
              <w:t>Izurieta et al., 2021</w:t>
            </w:r>
          </w:p>
        </w:tc>
        <w:tc>
          <w:tcPr>
            <w:tcW w:w="663" w:type="pct"/>
            <w:shd w:val="clear" w:color="auto" w:fill="auto"/>
            <w:vAlign w:val="center"/>
          </w:tcPr>
          <w:p w14:paraId="2C3030CA" w14:textId="77777777" w:rsidR="005A1103" w:rsidRPr="00D8548E" w:rsidRDefault="005A1103" w:rsidP="001E3C4E">
            <w:pPr>
              <w:pStyle w:val="TableText0"/>
              <w:jc w:val="center"/>
              <w:rPr>
                <w:lang w:val="en-US"/>
              </w:rPr>
            </w:pPr>
            <w:r w:rsidRPr="00D8548E">
              <w:rPr>
                <w:lang w:val="en-US"/>
              </w:rPr>
              <w:t>12.8 million</w:t>
            </w:r>
          </w:p>
          <w:p w14:paraId="41BB0E41" w14:textId="1F475EF5" w:rsidR="007D74F5" w:rsidRPr="00D8548E" w:rsidRDefault="007D74F5" w:rsidP="001E3C4E">
            <w:pPr>
              <w:pStyle w:val="TableText0"/>
              <w:jc w:val="center"/>
              <w:rPr>
                <w:lang w:val="en-US"/>
              </w:rPr>
            </w:pPr>
            <w:r w:rsidRPr="00D8548E">
              <w:rPr>
                <w:lang w:val="en-US"/>
              </w:rPr>
              <w:t>(5% received RIV4)</w:t>
            </w:r>
          </w:p>
        </w:tc>
        <w:tc>
          <w:tcPr>
            <w:tcW w:w="1428" w:type="pct"/>
            <w:shd w:val="clear" w:color="auto" w:fill="auto"/>
            <w:vAlign w:val="center"/>
          </w:tcPr>
          <w:p w14:paraId="744D08AC" w14:textId="65C40E29" w:rsidR="005A1103" w:rsidRPr="00D8548E" w:rsidRDefault="005A1103" w:rsidP="00BE5A89">
            <w:pPr>
              <w:pStyle w:val="TableText0"/>
              <w:jc w:val="center"/>
              <w:rPr>
                <w:lang w:val="en-US"/>
              </w:rPr>
            </w:pPr>
            <w:r w:rsidRPr="00D8548E">
              <w:rPr>
                <w:lang w:val="en-US"/>
              </w:rPr>
              <w:t>Retrospective cohort using US Medicare claims data f</w:t>
            </w:r>
            <w:r w:rsidR="00BE5A89" w:rsidRPr="00D8548E">
              <w:rPr>
                <w:lang w:val="en-US"/>
              </w:rPr>
              <w:t xml:space="preserve">or </w:t>
            </w:r>
            <w:r w:rsidR="007D1F9D" w:rsidRPr="00D8548E">
              <w:rPr>
                <w:lang w:val="en-US"/>
              </w:rPr>
              <w:t xml:space="preserve">the </w:t>
            </w:r>
            <w:r w:rsidR="00BE5A89" w:rsidRPr="00D8548E">
              <w:rPr>
                <w:lang w:val="en-US"/>
              </w:rPr>
              <w:t>2019-2020 influenza season</w:t>
            </w:r>
          </w:p>
        </w:tc>
        <w:tc>
          <w:tcPr>
            <w:tcW w:w="471" w:type="pct"/>
            <w:shd w:val="clear" w:color="auto" w:fill="auto"/>
            <w:vAlign w:val="center"/>
          </w:tcPr>
          <w:p w14:paraId="4A529D74" w14:textId="327C3E1C" w:rsidR="005A1103" w:rsidRPr="00D8548E" w:rsidRDefault="005A1103" w:rsidP="001E3C4E">
            <w:pPr>
              <w:pStyle w:val="TableText0"/>
              <w:jc w:val="center"/>
              <w:rPr>
                <w:vertAlign w:val="superscript"/>
                <w:lang w:val="en-US"/>
              </w:rPr>
            </w:pPr>
            <w:r w:rsidRPr="00D8548E">
              <w:rPr>
                <w:lang w:val="en-US"/>
              </w:rPr>
              <w:t>Uncertain</w:t>
            </w:r>
          </w:p>
        </w:tc>
        <w:tc>
          <w:tcPr>
            <w:tcW w:w="707" w:type="pct"/>
            <w:shd w:val="clear" w:color="auto" w:fill="auto"/>
            <w:vAlign w:val="center"/>
          </w:tcPr>
          <w:p w14:paraId="5E6F456D" w14:textId="636783B3" w:rsidR="005A1103" w:rsidRPr="00D8548E" w:rsidRDefault="005A1103" w:rsidP="001E3C4E">
            <w:pPr>
              <w:pStyle w:val="TableText0"/>
              <w:jc w:val="center"/>
              <w:rPr>
                <w:lang w:val="en-US"/>
              </w:rPr>
            </w:pPr>
            <w:r w:rsidRPr="00D8548E">
              <w:t>≥</w:t>
            </w:r>
            <w:r w:rsidR="000864EE" w:rsidRPr="00D8548E">
              <w:t xml:space="preserve"> </w:t>
            </w:r>
            <w:r w:rsidRPr="00D8548E">
              <w:t>65 years</w:t>
            </w:r>
          </w:p>
        </w:tc>
        <w:tc>
          <w:tcPr>
            <w:tcW w:w="1073" w:type="pct"/>
            <w:shd w:val="clear" w:color="auto" w:fill="auto"/>
            <w:vAlign w:val="center"/>
          </w:tcPr>
          <w:p w14:paraId="150A804C" w14:textId="4FE3B6CF" w:rsidR="005A1103" w:rsidRPr="00D8548E" w:rsidRDefault="008A22C6" w:rsidP="008A22C6">
            <w:pPr>
              <w:pStyle w:val="TableText0"/>
              <w:jc w:val="center"/>
              <w:rPr>
                <w:lang w:val="en-US"/>
              </w:rPr>
            </w:pPr>
            <w:r w:rsidRPr="00D8548E">
              <w:rPr>
                <w:lang w:val="en-US"/>
              </w:rPr>
              <w:t>rVE, i</w:t>
            </w:r>
            <w:r w:rsidR="005A1103" w:rsidRPr="00D8548E">
              <w:rPr>
                <w:lang w:val="en-US"/>
              </w:rPr>
              <w:t xml:space="preserve">nfluenza hospital encounters, </w:t>
            </w:r>
            <w:r w:rsidRPr="00D8548E">
              <w:rPr>
                <w:lang w:val="en-US"/>
              </w:rPr>
              <w:t>i</w:t>
            </w:r>
            <w:r w:rsidR="005A1103" w:rsidRPr="00D8548E">
              <w:rPr>
                <w:lang w:val="en-US"/>
              </w:rPr>
              <w:t>nfluenza inpatient stays</w:t>
            </w:r>
          </w:p>
        </w:tc>
      </w:tr>
      <w:tr w:rsidR="00BE5A89" w:rsidRPr="00D8548E" w14:paraId="666484A2" w14:textId="77777777" w:rsidTr="00C0776A">
        <w:trPr>
          <w:cantSplit/>
        </w:trPr>
        <w:tc>
          <w:tcPr>
            <w:tcW w:w="658" w:type="pct"/>
            <w:shd w:val="clear" w:color="auto" w:fill="auto"/>
            <w:vAlign w:val="center"/>
          </w:tcPr>
          <w:p w14:paraId="7C70C8FC" w14:textId="1A7094CF" w:rsidR="00BE5A89" w:rsidRPr="00D8548E" w:rsidRDefault="00BE5A89" w:rsidP="007D1F9D">
            <w:pPr>
              <w:pStyle w:val="TableText0"/>
            </w:pPr>
            <w:r w:rsidRPr="00D8548E">
              <w:t>Izurieta et al., 2020</w:t>
            </w:r>
          </w:p>
        </w:tc>
        <w:tc>
          <w:tcPr>
            <w:tcW w:w="663" w:type="pct"/>
            <w:shd w:val="clear" w:color="auto" w:fill="auto"/>
            <w:vAlign w:val="center"/>
          </w:tcPr>
          <w:p w14:paraId="0DDB623D" w14:textId="0222738B" w:rsidR="00BE5A89" w:rsidRPr="00D8548E" w:rsidRDefault="00BE5A89" w:rsidP="00BE5A89">
            <w:pPr>
              <w:pStyle w:val="TableText0"/>
              <w:jc w:val="center"/>
              <w:rPr>
                <w:lang w:val="en-US"/>
              </w:rPr>
            </w:pPr>
            <w:r w:rsidRPr="00D8548E">
              <w:rPr>
                <w:lang w:val="en-US"/>
              </w:rPr>
              <w:t>12.8 million (2% received RIV4)</w:t>
            </w:r>
          </w:p>
        </w:tc>
        <w:tc>
          <w:tcPr>
            <w:tcW w:w="1428" w:type="pct"/>
            <w:shd w:val="clear" w:color="auto" w:fill="auto"/>
            <w:vAlign w:val="center"/>
          </w:tcPr>
          <w:p w14:paraId="345466D9" w14:textId="4D8CE3C5" w:rsidR="00BE5A89" w:rsidRPr="00D8548E" w:rsidRDefault="00BE5A89" w:rsidP="00BE5A89">
            <w:pPr>
              <w:pStyle w:val="TableText0"/>
              <w:jc w:val="center"/>
              <w:rPr>
                <w:lang w:val="en-US"/>
              </w:rPr>
            </w:pPr>
            <w:r w:rsidRPr="00D8548E">
              <w:rPr>
                <w:lang w:val="en-US"/>
              </w:rPr>
              <w:t xml:space="preserve">Retrospective cohort using US Medicare claims data for </w:t>
            </w:r>
            <w:r w:rsidR="007D1F9D" w:rsidRPr="00D8548E">
              <w:rPr>
                <w:lang w:val="en-US"/>
              </w:rPr>
              <w:t xml:space="preserve">the </w:t>
            </w:r>
            <w:r w:rsidRPr="00D8548E">
              <w:rPr>
                <w:lang w:val="en-US"/>
              </w:rPr>
              <w:t xml:space="preserve">2017-2018 influenza season </w:t>
            </w:r>
          </w:p>
        </w:tc>
        <w:tc>
          <w:tcPr>
            <w:tcW w:w="471" w:type="pct"/>
            <w:shd w:val="clear" w:color="auto" w:fill="auto"/>
            <w:vAlign w:val="center"/>
          </w:tcPr>
          <w:p w14:paraId="24FA5E83" w14:textId="716E187B" w:rsidR="00BE5A89" w:rsidRPr="00D8548E" w:rsidRDefault="00BE5A89" w:rsidP="00BE5A89">
            <w:pPr>
              <w:pStyle w:val="TableText0"/>
              <w:jc w:val="center"/>
              <w:rPr>
                <w:lang w:val="en-US"/>
              </w:rPr>
            </w:pPr>
            <w:r w:rsidRPr="00D8548E">
              <w:rPr>
                <w:lang w:val="en-US"/>
              </w:rPr>
              <w:t>Uncertain</w:t>
            </w:r>
          </w:p>
        </w:tc>
        <w:tc>
          <w:tcPr>
            <w:tcW w:w="707" w:type="pct"/>
            <w:shd w:val="clear" w:color="auto" w:fill="auto"/>
            <w:vAlign w:val="center"/>
          </w:tcPr>
          <w:p w14:paraId="34088C9A" w14:textId="27AE1581" w:rsidR="00BE5A89" w:rsidRPr="00D8548E" w:rsidRDefault="00BE5A89" w:rsidP="00BE5A89">
            <w:pPr>
              <w:pStyle w:val="TableText0"/>
              <w:jc w:val="center"/>
            </w:pPr>
            <w:r w:rsidRPr="00D8548E">
              <w:t>≥ 65 years</w:t>
            </w:r>
          </w:p>
        </w:tc>
        <w:tc>
          <w:tcPr>
            <w:tcW w:w="1073" w:type="pct"/>
            <w:shd w:val="clear" w:color="auto" w:fill="auto"/>
            <w:vAlign w:val="center"/>
          </w:tcPr>
          <w:p w14:paraId="4706AE96" w14:textId="5C7BC237" w:rsidR="00BE5A89" w:rsidRPr="00D8548E" w:rsidRDefault="00BE5A89" w:rsidP="00BE5A89">
            <w:pPr>
              <w:pStyle w:val="TableText0"/>
              <w:jc w:val="center"/>
              <w:rPr>
                <w:lang w:val="en-US"/>
              </w:rPr>
            </w:pPr>
            <w:r w:rsidRPr="00D8548E">
              <w:rPr>
                <w:lang w:val="en-US"/>
              </w:rPr>
              <w:t>rVE, influenza hospital encounters, influenza inpatient stays</w:t>
            </w:r>
          </w:p>
        </w:tc>
      </w:tr>
      <w:tr w:rsidR="001E3C4E" w:rsidRPr="00D8548E" w14:paraId="79EF31EF" w14:textId="77777777" w:rsidTr="00530B71">
        <w:trPr>
          <w:cantSplit/>
        </w:trPr>
        <w:tc>
          <w:tcPr>
            <w:tcW w:w="5000" w:type="pct"/>
            <w:gridSpan w:val="6"/>
            <w:shd w:val="clear" w:color="auto" w:fill="auto"/>
          </w:tcPr>
          <w:p w14:paraId="36C68BD5" w14:textId="7815AD38" w:rsidR="001E3C4E" w:rsidRPr="00D8548E" w:rsidRDefault="008D13B1" w:rsidP="001E3C4E">
            <w:pPr>
              <w:pStyle w:val="TableText0"/>
              <w:rPr>
                <w:b/>
                <w:bCs w:val="0"/>
                <w:highlight w:val="yellow"/>
                <w:lang w:val="en-US"/>
              </w:rPr>
            </w:pPr>
            <w:r w:rsidRPr="00D8548E">
              <w:rPr>
                <w:b/>
                <w:bCs w:val="0"/>
                <w:lang w:val="en-US"/>
              </w:rPr>
              <w:t>RIV4 v</w:t>
            </w:r>
            <w:r w:rsidR="006D646D" w:rsidRPr="00D8548E">
              <w:rPr>
                <w:b/>
                <w:bCs w:val="0"/>
                <w:lang w:val="en-US"/>
              </w:rPr>
              <w:t>ersu</w:t>
            </w:r>
            <w:r w:rsidRPr="00D8548E">
              <w:rPr>
                <w:b/>
                <w:bCs w:val="0"/>
                <w:lang w:val="en-US"/>
              </w:rPr>
              <w:t>s aTIV (and TIV-HD)</w:t>
            </w:r>
          </w:p>
        </w:tc>
      </w:tr>
      <w:tr w:rsidR="005A1103" w:rsidRPr="00D8548E" w14:paraId="6DAFAEAF" w14:textId="77777777" w:rsidTr="00C0776A">
        <w:trPr>
          <w:cantSplit/>
        </w:trPr>
        <w:tc>
          <w:tcPr>
            <w:tcW w:w="658" w:type="pct"/>
            <w:shd w:val="clear" w:color="auto" w:fill="auto"/>
          </w:tcPr>
          <w:p w14:paraId="76F0584C" w14:textId="7DD83F03" w:rsidR="005A1103" w:rsidRPr="00D8548E" w:rsidRDefault="005A1103" w:rsidP="001E3C4E">
            <w:pPr>
              <w:pStyle w:val="TableText0"/>
              <w:rPr>
                <w:lang w:val="en-US"/>
              </w:rPr>
            </w:pPr>
            <w:r w:rsidRPr="00D8548E">
              <w:t>Belongia et al., 2020</w:t>
            </w:r>
          </w:p>
        </w:tc>
        <w:tc>
          <w:tcPr>
            <w:tcW w:w="663" w:type="pct"/>
            <w:shd w:val="clear" w:color="auto" w:fill="auto"/>
            <w:vAlign w:val="center"/>
          </w:tcPr>
          <w:p w14:paraId="7D785F8E" w14:textId="34E396D8" w:rsidR="005A1103" w:rsidRPr="00D8548E" w:rsidRDefault="005A1103" w:rsidP="001E3C4E">
            <w:pPr>
              <w:pStyle w:val="TableText0"/>
              <w:jc w:val="center"/>
              <w:rPr>
                <w:lang w:val="en-US"/>
              </w:rPr>
            </w:pPr>
            <w:r w:rsidRPr="00D8548E">
              <w:rPr>
                <w:lang w:val="en-US"/>
              </w:rPr>
              <w:t>89</w:t>
            </w:r>
          </w:p>
        </w:tc>
        <w:tc>
          <w:tcPr>
            <w:tcW w:w="1428" w:type="pct"/>
            <w:shd w:val="clear" w:color="auto" w:fill="auto"/>
            <w:vAlign w:val="center"/>
          </w:tcPr>
          <w:p w14:paraId="0DF6C5D9" w14:textId="4F3220DF" w:rsidR="005A1103" w:rsidRPr="00D8548E" w:rsidRDefault="005A1103" w:rsidP="001E3C4E">
            <w:pPr>
              <w:pStyle w:val="TableText0"/>
              <w:jc w:val="center"/>
              <w:rPr>
                <w:lang w:val="en-US"/>
              </w:rPr>
            </w:pPr>
            <w:r w:rsidRPr="00D8548E">
              <w:rPr>
                <w:lang w:val="en-US"/>
              </w:rPr>
              <w:t>R, controlled</w:t>
            </w:r>
          </w:p>
          <w:p w14:paraId="4F10C1AA" w14:textId="210CB915" w:rsidR="005A1103" w:rsidRPr="00D8548E" w:rsidRDefault="005A1103" w:rsidP="001E3C4E">
            <w:pPr>
              <w:pStyle w:val="TableText0"/>
              <w:jc w:val="center"/>
              <w:rPr>
                <w:lang w:val="en-US"/>
              </w:rPr>
            </w:pPr>
            <w:r w:rsidRPr="00D8548E">
              <w:rPr>
                <w:lang w:val="en-US"/>
              </w:rPr>
              <w:t>2 year</w:t>
            </w:r>
          </w:p>
        </w:tc>
        <w:tc>
          <w:tcPr>
            <w:tcW w:w="471" w:type="pct"/>
            <w:shd w:val="clear" w:color="auto" w:fill="auto"/>
            <w:vAlign w:val="center"/>
          </w:tcPr>
          <w:p w14:paraId="50E27A90" w14:textId="403C6F81" w:rsidR="005A1103" w:rsidRPr="00D8548E" w:rsidRDefault="000864EE" w:rsidP="001E3C4E">
            <w:pPr>
              <w:pStyle w:val="TableText0"/>
              <w:jc w:val="center"/>
              <w:rPr>
                <w:lang w:val="en-US"/>
              </w:rPr>
            </w:pPr>
            <w:r w:rsidRPr="00D8548E">
              <w:rPr>
                <w:lang w:val="en-US"/>
              </w:rPr>
              <w:t>NA</w:t>
            </w:r>
          </w:p>
        </w:tc>
        <w:tc>
          <w:tcPr>
            <w:tcW w:w="707" w:type="pct"/>
            <w:shd w:val="clear" w:color="auto" w:fill="auto"/>
            <w:vAlign w:val="center"/>
          </w:tcPr>
          <w:p w14:paraId="1B84BE0E" w14:textId="5A5E8DE7" w:rsidR="005A1103" w:rsidRPr="00D8548E" w:rsidRDefault="005A1103" w:rsidP="001E3C4E">
            <w:pPr>
              <w:pStyle w:val="TableText0"/>
              <w:jc w:val="center"/>
              <w:rPr>
                <w:lang w:val="en-US"/>
              </w:rPr>
            </w:pPr>
            <w:r w:rsidRPr="00D8548E">
              <w:rPr>
                <w:lang w:val="en-US"/>
              </w:rPr>
              <w:t>Age 65-74</w:t>
            </w:r>
          </w:p>
        </w:tc>
        <w:tc>
          <w:tcPr>
            <w:tcW w:w="1073" w:type="pct"/>
            <w:shd w:val="clear" w:color="auto" w:fill="auto"/>
            <w:vAlign w:val="center"/>
          </w:tcPr>
          <w:p w14:paraId="0351A18F" w14:textId="4ABA09AF" w:rsidR="005A1103" w:rsidRPr="00D8548E" w:rsidRDefault="005A1103" w:rsidP="001E3C4E">
            <w:pPr>
              <w:pStyle w:val="TableText0"/>
              <w:jc w:val="center"/>
              <w:rPr>
                <w:lang w:val="en-US"/>
              </w:rPr>
            </w:pPr>
            <w:r w:rsidRPr="00D8548E">
              <w:rPr>
                <w:lang w:val="en-US"/>
              </w:rPr>
              <w:t xml:space="preserve">Immunogenicity, rate of </w:t>
            </w:r>
            <w:r w:rsidR="008A22C6" w:rsidRPr="00D8548E">
              <w:rPr>
                <w:lang w:val="en-US"/>
              </w:rPr>
              <w:t>in</w:t>
            </w:r>
            <w:r w:rsidRPr="00D8548E">
              <w:rPr>
                <w:lang w:val="en-US"/>
              </w:rPr>
              <w:t>flu</w:t>
            </w:r>
            <w:r w:rsidR="008A22C6" w:rsidRPr="00D8548E">
              <w:rPr>
                <w:lang w:val="en-US"/>
              </w:rPr>
              <w:t>enza</w:t>
            </w:r>
            <w:r w:rsidRPr="00D8548E">
              <w:rPr>
                <w:lang w:val="en-US"/>
              </w:rPr>
              <w:t xml:space="preserve"> events</w:t>
            </w:r>
          </w:p>
        </w:tc>
      </w:tr>
      <w:tr w:rsidR="001E3C4E" w:rsidRPr="00D8548E" w14:paraId="53032E94" w14:textId="77777777" w:rsidTr="00530B71">
        <w:trPr>
          <w:cantSplit/>
        </w:trPr>
        <w:tc>
          <w:tcPr>
            <w:tcW w:w="5000" w:type="pct"/>
            <w:gridSpan w:val="6"/>
            <w:shd w:val="clear" w:color="auto" w:fill="auto"/>
            <w:vAlign w:val="center"/>
          </w:tcPr>
          <w:p w14:paraId="23D8E62E" w14:textId="2A38752F" w:rsidR="001E3C4E" w:rsidRPr="00D8548E" w:rsidRDefault="008D13B1" w:rsidP="008D13B1">
            <w:pPr>
              <w:pStyle w:val="TableText0"/>
              <w:rPr>
                <w:b/>
                <w:bCs w:val="0"/>
                <w:lang w:val="en-US"/>
              </w:rPr>
            </w:pPr>
            <w:r w:rsidRPr="00D8548E">
              <w:rPr>
                <w:b/>
                <w:bCs w:val="0"/>
                <w:lang w:val="en-US"/>
              </w:rPr>
              <w:t xml:space="preserve">RIV4 </w:t>
            </w:r>
            <w:r w:rsidR="00790303" w:rsidRPr="00D8548E">
              <w:rPr>
                <w:b/>
                <w:bCs w:val="0"/>
                <w:lang w:val="en-US"/>
              </w:rPr>
              <w:t xml:space="preserve">and </w:t>
            </w:r>
            <w:r w:rsidR="00215897" w:rsidRPr="00D8548E">
              <w:rPr>
                <w:b/>
                <w:bCs w:val="0"/>
                <w:lang w:val="en-US"/>
              </w:rPr>
              <w:t xml:space="preserve">aTIV (and </w:t>
            </w:r>
            <w:r w:rsidRPr="00D8548E">
              <w:rPr>
                <w:b/>
                <w:bCs w:val="0"/>
                <w:lang w:val="en-US"/>
              </w:rPr>
              <w:t>QIVe v</w:t>
            </w:r>
            <w:r w:rsidR="006D646D" w:rsidRPr="00D8548E">
              <w:rPr>
                <w:b/>
                <w:bCs w:val="0"/>
                <w:lang w:val="en-US"/>
              </w:rPr>
              <w:t>ersu</w:t>
            </w:r>
            <w:r w:rsidRPr="00D8548E">
              <w:rPr>
                <w:b/>
                <w:bCs w:val="0"/>
                <w:lang w:val="en-US"/>
              </w:rPr>
              <w:t>s TIV-HD</w:t>
            </w:r>
            <w:r w:rsidR="00215897" w:rsidRPr="00D8548E">
              <w:rPr>
                <w:b/>
                <w:bCs w:val="0"/>
                <w:lang w:val="en-US"/>
              </w:rPr>
              <w:t>)</w:t>
            </w:r>
          </w:p>
        </w:tc>
      </w:tr>
      <w:tr w:rsidR="005A1103" w:rsidRPr="00D8548E" w14:paraId="28762BB8" w14:textId="77777777" w:rsidTr="00C0776A">
        <w:trPr>
          <w:cantSplit/>
        </w:trPr>
        <w:tc>
          <w:tcPr>
            <w:tcW w:w="658" w:type="pct"/>
            <w:shd w:val="clear" w:color="auto" w:fill="auto"/>
            <w:vAlign w:val="center"/>
          </w:tcPr>
          <w:p w14:paraId="04CC38D8" w14:textId="576BD5F8" w:rsidR="005A1103" w:rsidRPr="00D8548E" w:rsidRDefault="005A1103" w:rsidP="001E3C4E">
            <w:pPr>
              <w:pStyle w:val="TableText0"/>
              <w:rPr>
                <w:lang w:val="en-US"/>
              </w:rPr>
            </w:pPr>
            <w:r w:rsidRPr="00D8548E">
              <w:t xml:space="preserve">Cowling 2020 </w:t>
            </w:r>
          </w:p>
        </w:tc>
        <w:tc>
          <w:tcPr>
            <w:tcW w:w="663" w:type="pct"/>
            <w:shd w:val="clear" w:color="auto" w:fill="auto"/>
            <w:vAlign w:val="center"/>
          </w:tcPr>
          <w:p w14:paraId="6163C9BC" w14:textId="77777777" w:rsidR="005A1103" w:rsidRPr="00D8548E" w:rsidRDefault="005A1103" w:rsidP="001E3C4E">
            <w:pPr>
              <w:pStyle w:val="TableText0"/>
              <w:jc w:val="center"/>
              <w:rPr>
                <w:lang w:val="en-US"/>
              </w:rPr>
            </w:pPr>
            <w:r w:rsidRPr="00D8548E">
              <w:rPr>
                <w:lang w:val="en-US"/>
              </w:rPr>
              <w:t>1,861</w:t>
            </w:r>
          </w:p>
          <w:p w14:paraId="29AD5FAE" w14:textId="49B68415" w:rsidR="005A1103" w:rsidRPr="00D8548E" w:rsidRDefault="005A1103" w:rsidP="001E3C4E">
            <w:pPr>
              <w:pStyle w:val="TableText0"/>
              <w:jc w:val="center"/>
              <w:rPr>
                <w:lang w:val="en-US"/>
              </w:rPr>
            </w:pPr>
            <w:r w:rsidRPr="00D8548E">
              <w:rPr>
                <w:lang w:val="en-US"/>
              </w:rPr>
              <w:t>200 pairs in immunogenicity analysis</w:t>
            </w:r>
          </w:p>
        </w:tc>
        <w:tc>
          <w:tcPr>
            <w:tcW w:w="1428" w:type="pct"/>
            <w:shd w:val="clear" w:color="auto" w:fill="auto"/>
            <w:vAlign w:val="center"/>
          </w:tcPr>
          <w:p w14:paraId="3DA5A0E8" w14:textId="77777777" w:rsidR="005A1103" w:rsidRPr="00D8548E" w:rsidRDefault="005A1103" w:rsidP="001E3C4E">
            <w:pPr>
              <w:pStyle w:val="TableText0"/>
              <w:jc w:val="center"/>
              <w:rPr>
                <w:lang w:val="en-US"/>
              </w:rPr>
            </w:pPr>
            <w:r w:rsidRPr="00D8548E">
              <w:rPr>
                <w:lang w:val="en-US"/>
              </w:rPr>
              <w:t>R, DB,</w:t>
            </w:r>
          </w:p>
          <w:p w14:paraId="7B3C6C4D" w14:textId="505E891A" w:rsidR="005A1103" w:rsidRPr="00D8548E" w:rsidRDefault="005A1103" w:rsidP="001E3C4E">
            <w:pPr>
              <w:pStyle w:val="TableText0"/>
              <w:jc w:val="center"/>
              <w:rPr>
                <w:lang w:val="en-US"/>
              </w:rPr>
            </w:pPr>
            <w:r w:rsidRPr="00D8548E">
              <w:rPr>
                <w:lang w:val="en-US"/>
              </w:rPr>
              <w:t>2017/18 northern hemisphere flu season</w:t>
            </w:r>
          </w:p>
        </w:tc>
        <w:tc>
          <w:tcPr>
            <w:tcW w:w="471" w:type="pct"/>
            <w:shd w:val="clear" w:color="auto" w:fill="auto"/>
            <w:vAlign w:val="center"/>
          </w:tcPr>
          <w:p w14:paraId="5813BADC" w14:textId="17C2AE37" w:rsidR="005A1103" w:rsidRPr="00D8548E" w:rsidRDefault="000864EE" w:rsidP="001E3C4E">
            <w:pPr>
              <w:pStyle w:val="TableText0"/>
              <w:jc w:val="center"/>
              <w:rPr>
                <w:lang w:val="en-US"/>
              </w:rPr>
            </w:pPr>
            <w:r w:rsidRPr="00D8548E">
              <w:rPr>
                <w:lang w:val="en-US"/>
              </w:rPr>
              <w:t>NA</w:t>
            </w:r>
          </w:p>
        </w:tc>
        <w:tc>
          <w:tcPr>
            <w:tcW w:w="707" w:type="pct"/>
            <w:shd w:val="clear" w:color="auto" w:fill="auto"/>
            <w:vAlign w:val="center"/>
          </w:tcPr>
          <w:p w14:paraId="3C86AB60" w14:textId="77777777" w:rsidR="005A1103" w:rsidRPr="00D8548E" w:rsidRDefault="005A1103" w:rsidP="001E3C4E">
            <w:pPr>
              <w:pStyle w:val="TableText0"/>
              <w:jc w:val="center"/>
              <w:rPr>
                <w:lang w:val="en-US"/>
              </w:rPr>
            </w:pPr>
            <w:r w:rsidRPr="00D8548E">
              <w:rPr>
                <w:lang w:val="en-US"/>
              </w:rPr>
              <w:t>Age 65-82 years</w:t>
            </w:r>
          </w:p>
          <w:p w14:paraId="07F4718D" w14:textId="22CFE41F" w:rsidR="005A1103" w:rsidRPr="00D8548E" w:rsidRDefault="005A1103" w:rsidP="001E3C4E">
            <w:pPr>
              <w:pStyle w:val="TableText0"/>
              <w:jc w:val="center"/>
              <w:rPr>
                <w:lang w:val="en-US"/>
              </w:rPr>
            </w:pPr>
            <w:r w:rsidRPr="00D8548E">
              <w:rPr>
                <w:lang w:val="en-US"/>
              </w:rPr>
              <w:t>Hong Kong</w:t>
            </w:r>
          </w:p>
        </w:tc>
        <w:tc>
          <w:tcPr>
            <w:tcW w:w="1073" w:type="pct"/>
            <w:shd w:val="clear" w:color="auto" w:fill="auto"/>
            <w:vAlign w:val="center"/>
          </w:tcPr>
          <w:p w14:paraId="0276F3DE" w14:textId="5273D722" w:rsidR="005A1103" w:rsidRPr="00D8548E" w:rsidRDefault="005A1103" w:rsidP="001E3C4E">
            <w:pPr>
              <w:pStyle w:val="TableText0"/>
              <w:jc w:val="center"/>
              <w:rPr>
                <w:lang w:val="en-US"/>
              </w:rPr>
            </w:pPr>
            <w:r w:rsidRPr="00D8548E">
              <w:rPr>
                <w:lang w:val="en-US"/>
              </w:rPr>
              <w:t xml:space="preserve">Immunogenicity, rate of </w:t>
            </w:r>
            <w:r w:rsidR="008A22C6" w:rsidRPr="00D8548E">
              <w:rPr>
                <w:lang w:val="en-US"/>
              </w:rPr>
              <w:t>in</w:t>
            </w:r>
            <w:r w:rsidRPr="00D8548E">
              <w:rPr>
                <w:lang w:val="en-US"/>
              </w:rPr>
              <w:t>flu</w:t>
            </w:r>
            <w:r w:rsidR="008A22C6" w:rsidRPr="00D8548E">
              <w:rPr>
                <w:lang w:val="en-US"/>
              </w:rPr>
              <w:t>enza</w:t>
            </w:r>
            <w:r w:rsidRPr="00D8548E">
              <w:rPr>
                <w:lang w:val="en-US"/>
              </w:rPr>
              <w:t xml:space="preserve"> events, safety</w:t>
            </w:r>
          </w:p>
        </w:tc>
      </w:tr>
      <w:tr w:rsidR="001E3C4E" w:rsidRPr="00D8548E" w14:paraId="3EECFDB3" w14:textId="77777777" w:rsidTr="00530B71">
        <w:trPr>
          <w:cantSplit/>
        </w:trPr>
        <w:tc>
          <w:tcPr>
            <w:tcW w:w="5000" w:type="pct"/>
            <w:gridSpan w:val="6"/>
            <w:shd w:val="clear" w:color="auto" w:fill="auto"/>
            <w:vAlign w:val="center"/>
          </w:tcPr>
          <w:p w14:paraId="7B77D32A" w14:textId="4656FA9F" w:rsidR="001E3C4E" w:rsidRPr="00D8548E" w:rsidRDefault="008D13B1" w:rsidP="001E3C4E">
            <w:pPr>
              <w:pStyle w:val="TableText0"/>
              <w:rPr>
                <w:b/>
                <w:bCs w:val="0"/>
                <w:lang w:val="en-US"/>
              </w:rPr>
            </w:pPr>
            <w:r w:rsidRPr="00D8548E">
              <w:rPr>
                <w:b/>
                <w:bCs w:val="0"/>
                <w:lang w:val="en-US"/>
              </w:rPr>
              <w:t>aQIV</w:t>
            </w:r>
            <w:r w:rsidR="006D646D" w:rsidRPr="00D8548E">
              <w:rPr>
                <w:b/>
                <w:bCs w:val="0"/>
                <w:lang w:val="en-US"/>
              </w:rPr>
              <w:t xml:space="preserve"> versus</w:t>
            </w:r>
            <w:r w:rsidR="001E3C4E" w:rsidRPr="00D8548E">
              <w:rPr>
                <w:b/>
                <w:bCs w:val="0"/>
                <w:lang w:val="en-US"/>
              </w:rPr>
              <w:t xml:space="preserve"> </w:t>
            </w:r>
            <w:r w:rsidRPr="00D8548E">
              <w:rPr>
                <w:b/>
                <w:bCs w:val="0"/>
                <w:lang w:val="en-US"/>
              </w:rPr>
              <w:t>aTIV</w:t>
            </w:r>
            <w:r w:rsidR="001E3C4E" w:rsidRPr="00D8548E">
              <w:rPr>
                <w:b/>
                <w:bCs w:val="0"/>
                <w:lang w:val="en-US"/>
              </w:rPr>
              <w:t xml:space="preserve">-1, </w:t>
            </w:r>
            <w:r w:rsidR="006D646D" w:rsidRPr="00D8548E">
              <w:rPr>
                <w:b/>
                <w:bCs w:val="0"/>
                <w:lang w:val="en-US"/>
              </w:rPr>
              <w:t>versus</w:t>
            </w:r>
            <w:r w:rsidR="001E3C4E" w:rsidRPr="00D8548E">
              <w:rPr>
                <w:b/>
                <w:bCs w:val="0"/>
                <w:lang w:val="en-US"/>
              </w:rPr>
              <w:t xml:space="preserve"> </w:t>
            </w:r>
            <w:r w:rsidRPr="00D8548E">
              <w:rPr>
                <w:b/>
                <w:bCs w:val="0"/>
                <w:lang w:val="en-US"/>
              </w:rPr>
              <w:t>aTIV</w:t>
            </w:r>
            <w:r w:rsidR="001E3C4E" w:rsidRPr="00D8548E">
              <w:rPr>
                <w:b/>
                <w:bCs w:val="0"/>
                <w:lang w:val="en-US"/>
              </w:rPr>
              <w:t>-2</w:t>
            </w:r>
          </w:p>
        </w:tc>
      </w:tr>
      <w:tr w:rsidR="005A1103" w:rsidRPr="00D8548E" w14:paraId="6BB16954" w14:textId="77777777" w:rsidTr="00C0776A">
        <w:trPr>
          <w:cantSplit/>
        </w:trPr>
        <w:tc>
          <w:tcPr>
            <w:tcW w:w="658" w:type="pct"/>
            <w:shd w:val="clear" w:color="auto" w:fill="auto"/>
            <w:vAlign w:val="center"/>
          </w:tcPr>
          <w:p w14:paraId="587801CB" w14:textId="32101C93" w:rsidR="005A1103" w:rsidRPr="00D8548E" w:rsidRDefault="005A1103" w:rsidP="001E3C4E">
            <w:pPr>
              <w:pStyle w:val="TableText0"/>
              <w:rPr>
                <w:lang w:val="en-US"/>
              </w:rPr>
            </w:pPr>
            <w:r w:rsidRPr="00D8548E">
              <w:t>Essink et al., 2020</w:t>
            </w:r>
          </w:p>
        </w:tc>
        <w:tc>
          <w:tcPr>
            <w:tcW w:w="663" w:type="pct"/>
            <w:shd w:val="clear" w:color="auto" w:fill="auto"/>
            <w:vAlign w:val="center"/>
          </w:tcPr>
          <w:p w14:paraId="0EE9B253" w14:textId="5687FC3D" w:rsidR="005A1103" w:rsidRPr="00D8548E" w:rsidRDefault="001C02D4" w:rsidP="001E3C4E">
            <w:pPr>
              <w:pStyle w:val="TableText0"/>
              <w:jc w:val="center"/>
              <w:rPr>
                <w:lang w:val="en-US"/>
              </w:rPr>
            </w:pPr>
            <w:r w:rsidRPr="00D8548E">
              <w:rPr>
                <w:lang w:val="en-US"/>
              </w:rPr>
              <w:t>1,778</w:t>
            </w:r>
          </w:p>
        </w:tc>
        <w:tc>
          <w:tcPr>
            <w:tcW w:w="1428" w:type="pct"/>
            <w:shd w:val="clear" w:color="auto" w:fill="auto"/>
            <w:vAlign w:val="center"/>
          </w:tcPr>
          <w:p w14:paraId="4EA81D0B" w14:textId="77777777" w:rsidR="005A1103" w:rsidRPr="00D8548E" w:rsidRDefault="005A1103" w:rsidP="001E3C4E">
            <w:pPr>
              <w:pStyle w:val="TableText0"/>
              <w:jc w:val="center"/>
              <w:rPr>
                <w:lang w:val="en-US"/>
              </w:rPr>
            </w:pPr>
            <w:r w:rsidRPr="00D8548E">
              <w:rPr>
                <w:lang w:val="en-US"/>
              </w:rPr>
              <w:t>R, DB</w:t>
            </w:r>
          </w:p>
          <w:p w14:paraId="366ACB02" w14:textId="25A4427C" w:rsidR="005A1103" w:rsidRPr="00D8548E" w:rsidRDefault="005A1103" w:rsidP="001E3C4E">
            <w:pPr>
              <w:pStyle w:val="TableText0"/>
              <w:jc w:val="center"/>
              <w:rPr>
                <w:lang w:val="en-US"/>
              </w:rPr>
            </w:pPr>
            <w:r w:rsidRPr="00D8548E">
              <w:rPr>
                <w:lang w:val="en-US"/>
              </w:rPr>
              <w:t>2017/18 northern hemisphere flu season</w:t>
            </w:r>
          </w:p>
        </w:tc>
        <w:tc>
          <w:tcPr>
            <w:tcW w:w="471" w:type="pct"/>
            <w:shd w:val="clear" w:color="auto" w:fill="auto"/>
            <w:vAlign w:val="center"/>
          </w:tcPr>
          <w:p w14:paraId="39FACFB0" w14:textId="45B5F84D" w:rsidR="005A1103" w:rsidRPr="00D8548E" w:rsidRDefault="000864EE" w:rsidP="001E3C4E">
            <w:pPr>
              <w:pStyle w:val="TableText0"/>
              <w:jc w:val="center"/>
              <w:rPr>
                <w:lang w:val="en-US"/>
              </w:rPr>
            </w:pPr>
            <w:r w:rsidRPr="00D8548E">
              <w:rPr>
                <w:lang w:val="en-US"/>
              </w:rPr>
              <w:t>NA</w:t>
            </w:r>
          </w:p>
        </w:tc>
        <w:tc>
          <w:tcPr>
            <w:tcW w:w="707" w:type="pct"/>
            <w:shd w:val="clear" w:color="auto" w:fill="auto"/>
            <w:vAlign w:val="center"/>
          </w:tcPr>
          <w:p w14:paraId="65FE631C" w14:textId="0BB03204" w:rsidR="005A1103" w:rsidRPr="00D8548E" w:rsidRDefault="005A1103" w:rsidP="001E3C4E">
            <w:pPr>
              <w:pStyle w:val="TableText0"/>
              <w:jc w:val="center"/>
              <w:rPr>
                <w:lang w:val="en-US"/>
              </w:rPr>
            </w:pPr>
            <w:r w:rsidRPr="00D8548E">
              <w:t>≥</w:t>
            </w:r>
            <w:r w:rsidR="003D3E52" w:rsidRPr="00D8548E">
              <w:t xml:space="preserve"> </w:t>
            </w:r>
            <w:r w:rsidRPr="00D8548E">
              <w:t>65 years</w:t>
            </w:r>
          </w:p>
        </w:tc>
        <w:tc>
          <w:tcPr>
            <w:tcW w:w="1073" w:type="pct"/>
            <w:shd w:val="clear" w:color="auto" w:fill="auto"/>
            <w:vAlign w:val="center"/>
          </w:tcPr>
          <w:p w14:paraId="3AE4843A" w14:textId="17AD68EA" w:rsidR="005A1103" w:rsidRPr="00D8548E" w:rsidRDefault="005A1103" w:rsidP="001E3C4E">
            <w:pPr>
              <w:pStyle w:val="TableText0"/>
              <w:jc w:val="center"/>
              <w:rPr>
                <w:lang w:val="en-US"/>
              </w:rPr>
            </w:pPr>
            <w:r w:rsidRPr="00D8548E">
              <w:rPr>
                <w:lang w:val="en-US"/>
              </w:rPr>
              <w:t>Immunogenicity, safety</w:t>
            </w:r>
          </w:p>
        </w:tc>
      </w:tr>
    </w:tbl>
    <w:p w14:paraId="107C1CD2" w14:textId="1B5DE090" w:rsidR="007B4808" w:rsidRPr="00D8548E" w:rsidRDefault="00045017" w:rsidP="00EC5836">
      <w:pPr>
        <w:pStyle w:val="FooterTableFigure"/>
      </w:pPr>
      <w:r w:rsidRPr="00D8548E">
        <w:t xml:space="preserve">Source: </w:t>
      </w:r>
      <w:r w:rsidR="00B43DFD" w:rsidRPr="00D8548E">
        <w:t>Sections 2.3 and 2.4</w:t>
      </w:r>
      <w:r w:rsidRPr="00D8548E">
        <w:t>, pp</w:t>
      </w:r>
      <w:r w:rsidR="00B43DFD" w:rsidRPr="00D8548E">
        <w:t xml:space="preserve"> 24-38</w:t>
      </w:r>
      <w:r w:rsidRPr="00D8548E">
        <w:t xml:space="preserve"> of the submission.</w:t>
      </w:r>
    </w:p>
    <w:p w14:paraId="5089AFD1" w14:textId="2EC55543" w:rsidR="00612742" w:rsidRPr="00D8548E" w:rsidRDefault="008E4A8A" w:rsidP="0073365E">
      <w:pPr>
        <w:pStyle w:val="FooterTableFigure"/>
        <w:rPr>
          <w:vertAlign w:val="superscript"/>
        </w:rPr>
      </w:pPr>
      <w:r w:rsidRPr="00D8548E">
        <w:rPr>
          <w:rFonts w:eastAsia="Calibri" w:cs="Calibri"/>
          <w:szCs w:val="18"/>
          <w:lang w:eastAsia="en-US"/>
        </w:rPr>
        <w:t xml:space="preserve">aQIV = adjuvanted quadrivalent influenza vaccine (Fluad Quad); aTIV = adjuvanted trivalent influenza vaccine (Fluad); </w:t>
      </w:r>
      <w:r w:rsidRPr="00D8548E">
        <w:t xml:space="preserve">DB = double blind; </w:t>
      </w:r>
      <w:r w:rsidR="000864EE" w:rsidRPr="00D8548E">
        <w:t xml:space="preserve">NA = not assessed; </w:t>
      </w:r>
      <w:r w:rsidRPr="00D8548E">
        <w:rPr>
          <w:rFonts w:eastAsia="Calibri" w:cs="Calibri"/>
          <w:szCs w:val="18"/>
          <w:lang w:eastAsia="en-US"/>
        </w:rPr>
        <w:t>QIVc = cell-based quadrivalent subunit influenza virus vaccine (Flucelvax</w:t>
      </w:r>
      <w:r w:rsidRPr="00D8548E">
        <w:rPr>
          <w:rFonts w:eastAsia="Calibri" w:cs="Calibri"/>
          <w:szCs w:val="18"/>
          <w:vertAlign w:val="superscript"/>
          <w:lang w:eastAsia="en-US"/>
        </w:rPr>
        <w:t>®</w:t>
      </w:r>
      <w:r w:rsidRPr="00D8548E">
        <w:rPr>
          <w:rFonts w:eastAsia="Calibri" w:cs="Calibri"/>
          <w:szCs w:val="18"/>
          <w:lang w:eastAsia="en-US"/>
        </w:rPr>
        <w:t xml:space="preserve"> Quad), QIVe = egg-based quadrivalent subunit influenza virus vaccine; </w:t>
      </w:r>
      <w:r w:rsidRPr="00D8548E">
        <w:t xml:space="preserve">R = randomised; </w:t>
      </w:r>
      <w:r w:rsidRPr="00D8548E">
        <w:rPr>
          <w:rFonts w:eastAsia="Calibri" w:cs="Calibri"/>
          <w:szCs w:val="18"/>
          <w:lang w:eastAsia="en-US"/>
        </w:rPr>
        <w:t xml:space="preserve">RIV4 = quadrivalent recombinant influenza vaccine (Flublok Quad); rVE = </w:t>
      </w:r>
      <w:r w:rsidRPr="00D8548E">
        <w:t xml:space="preserve">relative vaccine effectiveness; </w:t>
      </w:r>
      <w:r w:rsidRPr="00D8548E">
        <w:rPr>
          <w:rFonts w:eastAsia="Calibri" w:cs="Calibri"/>
          <w:szCs w:val="18"/>
          <w:lang w:eastAsia="en-US"/>
        </w:rPr>
        <w:t>TIV-HD = high dose inactivated trivalent influenza vaccine (Fluzone High-Dose)</w:t>
      </w:r>
      <w:r w:rsidR="00AA72BA" w:rsidRPr="00D8548E">
        <w:rPr>
          <w:rFonts w:eastAsia="Calibri" w:cs="Calibri"/>
          <w:szCs w:val="18"/>
          <w:lang w:eastAsia="en-US"/>
        </w:rPr>
        <w:t>.</w:t>
      </w:r>
      <w:r w:rsidRPr="00D8548E">
        <w:rPr>
          <w:rFonts w:eastAsia="Calibri" w:cs="Calibri"/>
          <w:szCs w:val="18"/>
          <w:lang w:eastAsia="en-US"/>
        </w:rPr>
        <w:t xml:space="preserve"> </w:t>
      </w:r>
    </w:p>
    <w:p w14:paraId="5ADBC951" w14:textId="00429A40" w:rsidR="005A7618" w:rsidRPr="00D8548E" w:rsidRDefault="004950E3" w:rsidP="00423E3A">
      <w:pPr>
        <w:pStyle w:val="3-BodyText"/>
      </w:pPr>
      <w:r w:rsidRPr="00D8548E">
        <w:t xml:space="preserve">The </w:t>
      </w:r>
      <w:r w:rsidR="007B4808" w:rsidRPr="00D8548E">
        <w:t>ATAGI pre-submission advice stated “</w:t>
      </w:r>
      <w:r w:rsidR="000864EE" w:rsidRPr="00D8548E">
        <w:t>t</w:t>
      </w:r>
      <w:r w:rsidR="007B4808" w:rsidRPr="00D8548E">
        <w:t xml:space="preserve">he Izurieta 2021 study was based on a retrospective analysis of US Medicare claims data with an uncertain risk of bias. The </w:t>
      </w:r>
      <w:r w:rsidR="007B4808" w:rsidRPr="00D8548E">
        <w:lastRenderedPageBreak/>
        <w:t xml:space="preserve">study attempted to minimise the risk of bias by using an </w:t>
      </w:r>
      <w:r w:rsidR="004D4114" w:rsidRPr="00D8548E">
        <w:t xml:space="preserve">IPTW </w:t>
      </w:r>
      <w:r w:rsidR="007B4808" w:rsidRPr="00D8548E">
        <w:t>approach which utilised propensity weighting to adjust for differences between treatment groups (demographics, region of residence, month of vaccination, chronic health conditions, frailty, prior medical encounters and use of preventative services). The publication noted that after adjustment, most covariates were well-balanced between treatment groups with the exception of month of vaccination (with RIV4 vaccination typically occurring later in the influenza season compared to the other vaccines). However, the publication acknowledged that the potential for residual confounding due to unmeasured variables could not be excluded.”</w:t>
      </w:r>
      <w:r w:rsidRPr="00D8548E">
        <w:t xml:space="preserve"> </w:t>
      </w:r>
      <w:r w:rsidR="00612742" w:rsidRPr="00D8548E">
        <w:t>Other issues previously identified with parallel publications from previous influenza seasons (e.g. Izurieta 2017-18 used to support the PBAC consideration of TIV-HD) included</w:t>
      </w:r>
      <w:r w:rsidR="007D1F9D" w:rsidRPr="00D8548E">
        <w:t>:</w:t>
      </w:r>
      <w:r w:rsidR="00612742" w:rsidRPr="00D8548E">
        <w:t xml:space="preserve"> the applicability given seasonal variation of influenza strains (e.g. due to egg-adaptation)</w:t>
      </w:r>
      <w:r w:rsidR="007D1F9D" w:rsidRPr="00D8548E">
        <w:t>;</w:t>
      </w:r>
      <w:r w:rsidR="00612742" w:rsidRPr="00D8548E">
        <w:t xml:space="preserve"> and the exclusion of </w:t>
      </w:r>
      <w:r w:rsidR="0048391A" w:rsidRPr="00D8548E">
        <w:t>aged</w:t>
      </w:r>
      <w:r w:rsidR="00612742" w:rsidRPr="00D8548E">
        <w:t xml:space="preserve"> care facility residents.</w:t>
      </w:r>
      <w:r w:rsidR="001C3C06">
        <w:t xml:space="preserve"> A further limitation was that lack of access to virological case confirmation.</w:t>
      </w:r>
    </w:p>
    <w:p w14:paraId="1FCB52AD" w14:textId="108DEDAF" w:rsidR="00E7796B" w:rsidRPr="00D8548E" w:rsidRDefault="00E7796B" w:rsidP="006E06EF">
      <w:pPr>
        <w:pStyle w:val="3-BodyText"/>
        <w:keepNext/>
        <w:keepLines/>
      </w:pPr>
      <w:r w:rsidRPr="00D8548E">
        <w:t xml:space="preserve">With regards to </w:t>
      </w:r>
      <w:r w:rsidR="00E15362" w:rsidRPr="00D8548E">
        <w:t>the</w:t>
      </w:r>
      <w:r w:rsidRPr="00D8548E">
        <w:t xml:space="preserve"> immunogenicity studies, the ATAGI post-submission advice noted:</w:t>
      </w:r>
    </w:p>
    <w:p w14:paraId="21AE471F" w14:textId="12AC6B3F" w:rsidR="00E7796B" w:rsidRPr="00D8548E" w:rsidRDefault="00E7796B" w:rsidP="0073365E">
      <w:pPr>
        <w:pStyle w:val="3-BodyText"/>
        <w:keepNext/>
        <w:keepLines/>
        <w:numPr>
          <w:ilvl w:val="0"/>
          <w:numId w:val="31"/>
        </w:numPr>
        <w:ind w:left="1134"/>
      </w:pPr>
      <w:r w:rsidRPr="00D8548E">
        <w:t xml:space="preserve">Neither </w:t>
      </w:r>
      <w:r w:rsidR="00E15362" w:rsidRPr="00D8548E">
        <w:t xml:space="preserve">Belongia 2020 nor Cowling 2020 </w:t>
      </w:r>
      <w:r w:rsidRPr="00D8548E">
        <w:t>provided comparative immunogenicity outcomes of RIV4 versus adjuvant quadrivalent vaccines in individuals aged ≥ 65 years.</w:t>
      </w:r>
    </w:p>
    <w:p w14:paraId="1C3F135F" w14:textId="6A8B37C9" w:rsidR="00E7796B" w:rsidRPr="00D8548E" w:rsidRDefault="00E7796B" w:rsidP="0073365E">
      <w:pPr>
        <w:pStyle w:val="3-BodyText"/>
        <w:numPr>
          <w:ilvl w:val="0"/>
          <w:numId w:val="31"/>
        </w:numPr>
        <w:ind w:left="1134"/>
      </w:pPr>
      <w:r w:rsidRPr="00D8548E">
        <w:t xml:space="preserve">There appeared to be incomplete reporting of outcomes </w:t>
      </w:r>
      <w:r w:rsidR="005B5232" w:rsidRPr="00D8548E">
        <w:t>in</w:t>
      </w:r>
      <w:r w:rsidRPr="00D8548E">
        <w:t xml:space="preserve"> Belongia 2020, with the publication only reporting microneutralisation assay results for the H3N2 strain at Day 28, while the trial protocol indicate</w:t>
      </w:r>
      <w:r w:rsidR="00FC6F4C" w:rsidRPr="00D8548E">
        <w:t>d</w:t>
      </w:r>
      <w:r w:rsidRPr="00D8548E">
        <w:t xml:space="preserve"> that analyses of all strains were conducted using both haemagglutination inhibition and microneutralisation assays at both Day 28 and Month 6.</w:t>
      </w:r>
    </w:p>
    <w:p w14:paraId="4836B237" w14:textId="10A680C1" w:rsidR="00E7796B" w:rsidRPr="00D8548E" w:rsidRDefault="00E7796B" w:rsidP="0073365E">
      <w:pPr>
        <w:pStyle w:val="3-BodyText"/>
        <w:numPr>
          <w:ilvl w:val="0"/>
          <w:numId w:val="31"/>
        </w:numPr>
        <w:ind w:left="1134"/>
      </w:pPr>
      <w:r w:rsidRPr="00D8548E">
        <w:t xml:space="preserve">The robustness of Belongia 2020 was unclear as the sub-study comparing RIV4 to other enhanced vaccines was based on a small sample size without formal statistical power calculations and did not include any adjustment for multiplicity of testing despite a large number of comparisons being conducted. Additionally, Cowling 2020 was based on a selected subset of 200 </w:t>
      </w:r>
      <w:r w:rsidR="00DA0D69">
        <w:t>individuals</w:t>
      </w:r>
      <w:r w:rsidRPr="00D8548E">
        <w:t xml:space="preserve"> from each treatment arm rather than all randomised </w:t>
      </w:r>
      <w:r w:rsidR="00DA0D69">
        <w:t>individuals</w:t>
      </w:r>
      <w:r w:rsidRPr="00D8548E">
        <w:t xml:space="preserve"> (although characteristics appeared broadly similar between the first-year immunogenicity subset and overall trial population) and the analyses were only powered to detect statistical differences between the enhanced vaccines (RIV4, a</w:t>
      </w:r>
      <w:r w:rsidR="00790303" w:rsidRPr="00D8548E">
        <w:t>TIV and TIV-HD) versus</w:t>
      </w:r>
      <w:r w:rsidRPr="00D8548E">
        <w:t xml:space="preserve"> </w:t>
      </w:r>
      <w:r w:rsidR="00790303" w:rsidRPr="00D8548E">
        <w:t>QIVe</w:t>
      </w:r>
      <w:r w:rsidRPr="00D8548E">
        <w:t>.</w:t>
      </w:r>
    </w:p>
    <w:p w14:paraId="4A4FE085" w14:textId="1B9B24BA" w:rsidR="00B60939" w:rsidRPr="00C9624D" w:rsidRDefault="00B60939" w:rsidP="00EC5836">
      <w:pPr>
        <w:pStyle w:val="4-SubsectionHeading"/>
      </w:pPr>
      <w:bookmarkStart w:id="27" w:name="_Toc22897641"/>
      <w:bookmarkStart w:id="28" w:name="_Toc156912786"/>
      <w:r w:rsidRPr="00C9624D">
        <w:t>Comparative effectiveness</w:t>
      </w:r>
      <w:bookmarkEnd w:id="27"/>
      <w:bookmarkEnd w:id="28"/>
    </w:p>
    <w:p w14:paraId="6A13D78D" w14:textId="2E8DD2D5" w:rsidR="008E4492" w:rsidRPr="00D8548E" w:rsidDel="00772606" w:rsidRDefault="006D646D" w:rsidP="00FE5DFA">
      <w:pPr>
        <w:pStyle w:val="3-BodyText"/>
      </w:pPr>
      <w:r w:rsidRPr="00D8548E">
        <w:t xml:space="preserve">The </w:t>
      </w:r>
      <w:r w:rsidR="004D4114" w:rsidRPr="00D8548E">
        <w:t xml:space="preserve">unadjusted </w:t>
      </w:r>
      <w:r w:rsidRPr="00D8548E">
        <w:t xml:space="preserve">results of </w:t>
      </w:r>
      <w:r w:rsidR="00632980" w:rsidRPr="00D8548E">
        <w:t>Izurieta 2021</w:t>
      </w:r>
      <w:r w:rsidRPr="00D8548E">
        <w:t xml:space="preserve"> </w:t>
      </w:r>
      <w:r w:rsidR="00772606" w:rsidRPr="00D8548E">
        <w:t xml:space="preserve">(2019-20 Northern Hemisphere influenza season) </w:t>
      </w:r>
      <w:r w:rsidR="004D4114" w:rsidRPr="00D8548E">
        <w:t xml:space="preserve">for the outcomes of influenza hospital encounters and inpatient stays </w:t>
      </w:r>
      <w:r w:rsidRPr="00D8548E">
        <w:t xml:space="preserve">are presented in </w:t>
      </w:r>
      <w:r w:rsidRPr="00D8548E">
        <w:fldChar w:fldCharType="begin" w:fldLock="1"/>
      </w:r>
      <w:r w:rsidRPr="00D8548E">
        <w:instrText xml:space="preserve"> REF _Ref151730973 \h </w:instrText>
      </w:r>
      <w:r w:rsidR="008E4492" w:rsidRPr="00D8548E">
        <w:instrText xml:space="preserve"> \* MERGEFORMAT </w:instrText>
      </w:r>
      <w:r w:rsidRPr="00D8548E">
        <w:fldChar w:fldCharType="separate"/>
      </w:r>
      <w:r w:rsidR="00C364E6" w:rsidRPr="00D8548E">
        <w:t xml:space="preserve">Table </w:t>
      </w:r>
      <w:r w:rsidR="00C364E6">
        <w:t>5</w:t>
      </w:r>
      <w:r w:rsidRPr="00D8548E">
        <w:fldChar w:fldCharType="end"/>
      </w:r>
      <w:r w:rsidR="008E4A8A" w:rsidRPr="00D8548E">
        <w:t xml:space="preserve">. </w:t>
      </w:r>
    </w:p>
    <w:p w14:paraId="046786E6" w14:textId="6DD05D60" w:rsidR="00632980" w:rsidRPr="00D8548E" w:rsidRDefault="000C7152" w:rsidP="008E4492">
      <w:pPr>
        <w:pStyle w:val="TableFigureHeading"/>
      </w:pPr>
      <w:bookmarkStart w:id="29" w:name="_Ref151730973"/>
      <w:bookmarkStart w:id="30" w:name="_Hlk156811313"/>
      <w:r w:rsidRPr="00D8548E">
        <w:lastRenderedPageBreak/>
        <w:t xml:space="preserve">Table </w:t>
      </w:r>
      <w:r w:rsidR="005362BD">
        <w:fldChar w:fldCharType="begin" w:fldLock="1"/>
      </w:r>
      <w:r w:rsidR="005362BD">
        <w:instrText xml:space="preserve"> SEQ Table \* ARABIC </w:instrText>
      </w:r>
      <w:r w:rsidR="005362BD">
        <w:fldChar w:fldCharType="separate"/>
      </w:r>
      <w:r w:rsidR="00C364E6">
        <w:rPr>
          <w:noProof/>
        </w:rPr>
        <w:t>5</w:t>
      </w:r>
      <w:r w:rsidR="005362BD">
        <w:rPr>
          <w:noProof/>
        </w:rPr>
        <w:fldChar w:fldCharType="end"/>
      </w:r>
      <w:bookmarkEnd w:id="29"/>
      <w:r w:rsidR="00632980" w:rsidRPr="00D8548E">
        <w:t xml:space="preserve">: Unadjusted </w:t>
      </w:r>
      <w:r w:rsidR="004D4114" w:rsidRPr="00D8548E">
        <w:t>o</w:t>
      </w:r>
      <w:r w:rsidR="00632980" w:rsidRPr="00D8548E">
        <w:t xml:space="preserve">utcome </w:t>
      </w:r>
      <w:r w:rsidR="004D4114" w:rsidRPr="00D8548E">
        <w:t>r</w:t>
      </w:r>
      <w:r w:rsidR="00632980" w:rsidRPr="00D8548E">
        <w:t xml:space="preserve">ates in 2019–2020 </w:t>
      </w:r>
      <w:r w:rsidR="004D4114" w:rsidRPr="00D8548E">
        <w:t>influenza s</w:t>
      </w:r>
      <w:r w:rsidR="00632980" w:rsidRPr="00D8548E">
        <w:t>eason</w:t>
      </w:r>
      <w:r w:rsidR="007D74F5" w:rsidRPr="00D8548E">
        <w:t>, Izurieta 2021</w:t>
      </w:r>
    </w:p>
    <w:tbl>
      <w:tblPr>
        <w:tblStyle w:val="TableGrid"/>
        <w:tblW w:w="5000" w:type="pct"/>
        <w:tblLook w:val="04A0" w:firstRow="1" w:lastRow="0" w:firstColumn="1" w:lastColumn="0" w:noHBand="0" w:noVBand="1"/>
        <w:tblCaption w:val="Table 5: Unadjusted outcome rates in 2019–2020 influenza season, Izurieta 2021"/>
      </w:tblPr>
      <w:tblGrid>
        <w:gridCol w:w="1341"/>
        <w:gridCol w:w="1980"/>
        <w:gridCol w:w="1555"/>
        <w:gridCol w:w="1351"/>
        <w:gridCol w:w="2790"/>
      </w:tblGrid>
      <w:tr w:rsidR="00AB0269" w:rsidRPr="00D8548E" w14:paraId="0EC91D07" w14:textId="77777777" w:rsidTr="00AB0269">
        <w:tc>
          <w:tcPr>
            <w:tcW w:w="744" w:type="pct"/>
          </w:tcPr>
          <w:p w14:paraId="0E57ABB4" w14:textId="59D2BBA8" w:rsidR="00AB0269" w:rsidRPr="00D8548E" w:rsidRDefault="00AB0269" w:rsidP="00AB0269">
            <w:pPr>
              <w:pStyle w:val="TableFigureHeading"/>
              <w:rPr>
                <w:szCs w:val="20"/>
                <w:highlight w:val="yellow"/>
              </w:rPr>
            </w:pPr>
            <w:r w:rsidRPr="00D8548E">
              <w:rPr>
                <w:szCs w:val="20"/>
              </w:rPr>
              <w:t>Cohort</w:t>
            </w:r>
          </w:p>
        </w:tc>
        <w:tc>
          <w:tcPr>
            <w:tcW w:w="1098" w:type="pct"/>
            <w:vAlign w:val="center"/>
          </w:tcPr>
          <w:p w14:paraId="5462DC33" w14:textId="11D97ACF" w:rsidR="00AB0269" w:rsidRPr="00D8548E" w:rsidRDefault="006E4397" w:rsidP="00AB0269">
            <w:pPr>
              <w:pStyle w:val="TableFigureHeading"/>
              <w:jc w:val="center"/>
              <w:rPr>
                <w:szCs w:val="20"/>
                <w:highlight w:val="yellow"/>
              </w:rPr>
            </w:pPr>
            <w:r w:rsidRPr="00D8548E">
              <w:rPr>
                <w:szCs w:val="20"/>
              </w:rPr>
              <w:t xml:space="preserve">Percent </w:t>
            </w:r>
            <w:r w:rsidR="00AB0269" w:rsidRPr="00D8548E">
              <w:rPr>
                <w:szCs w:val="20"/>
              </w:rPr>
              <w:t>of cohort</w:t>
            </w:r>
          </w:p>
        </w:tc>
        <w:tc>
          <w:tcPr>
            <w:tcW w:w="862" w:type="pct"/>
            <w:vAlign w:val="center"/>
          </w:tcPr>
          <w:p w14:paraId="6FA67920" w14:textId="3DD62D21" w:rsidR="00AB0269" w:rsidRPr="00D8548E" w:rsidRDefault="00AB0269" w:rsidP="00AB0269">
            <w:pPr>
              <w:pStyle w:val="TableFigureHeading"/>
              <w:jc w:val="center"/>
              <w:rPr>
                <w:szCs w:val="20"/>
                <w:highlight w:val="yellow"/>
              </w:rPr>
            </w:pPr>
            <w:r w:rsidRPr="00D8548E">
              <w:rPr>
                <w:szCs w:val="20"/>
              </w:rPr>
              <w:t>Number of events</w:t>
            </w:r>
          </w:p>
        </w:tc>
        <w:tc>
          <w:tcPr>
            <w:tcW w:w="749" w:type="pct"/>
            <w:vAlign w:val="center"/>
          </w:tcPr>
          <w:p w14:paraId="6081B057" w14:textId="329FECAB" w:rsidR="00AB0269" w:rsidRPr="00D8548E" w:rsidRDefault="00AB0269" w:rsidP="00AB0269">
            <w:pPr>
              <w:pStyle w:val="TableFigureHeading"/>
              <w:jc w:val="center"/>
              <w:rPr>
                <w:szCs w:val="20"/>
                <w:highlight w:val="yellow"/>
              </w:rPr>
            </w:pPr>
            <w:r w:rsidRPr="00D8548E">
              <w:rPr>
                <w:szCs w:val="20"/>
              </w:rPr>
              <w:t>Total person time</w:t>
            </w:r>
            <w:r w:rsidR="0052127A" w:rsidRPr="00D8548E">
              <w:rPr>
                <w:szCs w:val="20"/>
                <w:vertAlign w:val="superscript"/>
              </w:rPr>
              <w:t>a</w:t>
            </w:r>
          </w:p>
        </w:tc>
        <w:tc>
          <w:tcPr>
            <w:tcW w:w="1547" w:type="pct"/>
            <w:vAlign w:val="center"/>
          </w:tcPr>
          <w:p w14:paraId="24BD5741" w14:textId="38E8814D" w:rsidR="00AB0269" w:rsidRPr="00D8548E" w:rsidRDefault="00AB0269" w:rsidP="00AB0269">
            <w:pPr>
              <w:pStyle w:val="TableFigureHeading"/>
              <w:jc w:val="center"/>
              <w:rPr>
                <w:szCs w:val="20"/>
                <w:highlight w:val="yellow"/>
                <w:vertAlign w:val="superscript"/>
              </w:rPr>
            </w:pPr>
            <w:r w:rsidRPr="00D8548E">
              <w:rPr>
                <w:szCs w:val="20"/>
              </w:rPr>
              <w:t>Outcome rate (95% CI)</w:t>
            </w:r>
            <w:r w:rsidR="0052127A" w:rsidRPr="00D8548E">
              <w:rPr>
                <w:szCs w:val="20"/>
                <w:vertAlign w:val="superscript"/>
              </w:rPr>
              <w:t>b</w:t>
            </w:r>
          </w:p>
        </w:tc>
      </w:tr>
      <w:tr w:rsidR="00632980" w:rsidRPr="00D8548E" w14:paraId="15A358F3" w14:textId="77777777" w:rsidTr="00AB0269">
        <w:tc>
          <w:tcPr>
            <w:tcW w:w="5000" w:type="pct"/>
            <w:gridSpan w:val="5"/>
          </w:tcPr>
          <w:p w14:paraId="67BE9692" w14:textId="0E2B25BA" w:rsidR="00632980" w:rsidRPr="00D8548E" w:rsidRDefault="004D4114" w:rsidP="00632980">
            <w:pPr>
              <w:pStyle w:val="TableText0"/>
              <w:rPr>
                <w:rStyle w:val="Small"/>
                <w:rFonts w:ascii="Arial Narrow" w:hAnsi="Arial Narrow"/>
                <w:b/>
                <w:bCs w:val="0"/>
                <w:sz w:val="20"/>
                <w:szCs w:val="20"/>
              </w:rPr>
            </w:pPr>
            <w:r w:rsidRPr="00D8548E">
              <w:rPr>
                <w:rStyle w:val="Small"/>
                <w:rFonts w:ascii="Arial Narrow" w:hAnsi="Arial Narrow"/>
                <w:b/>
                <w:bCs w:val="0"/>
                <w:sz w:val="20"/>
                <w:szCs w:val="20"/>
              </w:rPr>
              <w:t>I</w:t>
            </w:r>
            <w:r w:rsidRPr="00D8548E">
              <w:rPr>
                <w:rStyle w:val="Small"/>
                <w:rFonts w:ascii="Arial Narrow" w:hAnsi="Arial Narrow"/>
                <w:b/>
                <w:sz w:val="20"/>
                <w:szCs w:val="20"/>
              </w:rPr>
              <w:t>nfluenza</w:t>
            </w:r>
            <w:r w:rsidR="00632980" w:rsidRPr="00D8548E">
              <w:rPr>
                <w:rStyle w:val="Small"/>
                <w:rFonts w:ascii="Arial Narrow" w:hAnsi="Arial Narrow"/>
                <w:b/>
                <w:bCs w:val="0"/>
                <w:sz w:val="20"/>
                <w:szCs w:val="20"/>
              </w:rPr>
              <w:t xml:space="preserve"> hospital encounters</w:t>
            </w:r>
          </w:p>
        </w:tc>
      </w:tr>
      <w:tr w:rsidR="00AB0269" w:rsidRPr="00D8548E" w14:paraId="68F35752" w14:textId="77777777" w:rsidTr="00AB0269">
        <w:tc>
          <w:tcPr>
            <w:tcW w:w="744" w:type="pct"/>
          </w:tcPr>
          <w:p w14:paraId="700427CB" w14:textId="508BE9CE" w:rsidR="00AB0269" w:rsidRPr="00D8548E" w:rsidRDefault="00AB0269" w:rsidP="00AB0269">
            <w:pPr>
              <w:pStyle w:val="TableText0"/>
              <w:rPr>
                <w:rStyle w:val="Small"/>
                <w:rFonts w:ascii="Arial Narrow" w:hAnsi="Arial Narrow"/>
                <w:sz w:val="20"/>
                <w:szCs w:val="20"/>
              </w:rPr>
            </w:pPr>
            <w:r w:rsidRPr="00D8548E">
              <w:rPr>
                <w:szCs w:val="20"/>
              </w:rPr>
              <w:t>RIV4</w:t>
            </w:r>
          </w:p>
        </w:tc>
        <w:tc>
          <w:tcPr>
            <w:tcW w:w="1098" w:type="pct"/>
            <w:vAlign w:val="center"/>
          </w:tcPr>
          <w:p w14:paraId="6A7785F0" w14:textId="22957235" w:rsidR="00AB0269" w:rsidRPr="00D8548E" w:rsidRDefault="00AB0269" w:rsidP="00AB0269">
            <w:pPr>
              <w:pStyle w:val="TableText0"/>
              <w:jc w:val="center"/>
              <w:rPr>
                <w:rStyle w:val="Small"/>
                <w:rFonts w:ascii="Arial Narrow" w:hAnsi="Arial Narrow"/>
                <w:sz w:val="20"/>
                <w:szCs w:val="20"/>
              </w:rPr>
            </w:pPr>
            <w:r w:rsidRPr="00D8548E">
              <w:rPr>
                <w:rStyle w:val="Small"/>
                <w:rFonts w:ascii="Arial Narrow" w:hAnsi="Arial Narrow"/>
                <w:sz w:val="20"/>
                <w:szCs w:val="20"/>
              </w:rPr>
              <w:t>5.0%</w:t>
            </w:r>
          </w:p>
        </w:tc>
        <w:tc>
          <w:tcPr>
            <w:tcW w:w="862" w:type="pct"/>
            <w:vAlign w:val="center"/>
          </w:tcPr>
          <w:p w14:paraId="065A374F" w14:textId="5A4B2415" w:rsidR="00AB0269" w:rsidRPr="00D8548E" w:rsidRDefault="00AB0269" w:rsidP="00AB0269">
            <w:pPr>
              <w:pStyle w:val="TableText0"/>
              <w:jc w:val="center"/>
              <w:rPr>
                <w:rStyle w:val="Small"/>
                <w:rFonts w:ascii="Arial Narrow" w:hAnsi="Arial Narrow"/>
                <w:sz w:val="20"/>
                <w:szCs w:val="20"/>
              </w:rPr>
            </w:pPr>
            <w:r w:rsidRPr="00D8548E">
              <w:rPr>
                <w:rStyle w:val="Small"/>
                <w:rFonts w:ascii="Arial Narrow" w:hAnsi="Arial Narrow"/>
                <w:sz w:val="20"/>
                <w:szCs w:val="20"/>
              </w:rPr>
              <w:t>1,179</w:t>
            </w:r>
          </w:p>
        </w:tc>
        <w:tc>
          <w:tcPr>
            <w:tcW w:w="749" w:type="pct"/>
            <w:vAlign w:val="center"/>
          </w:tcPr>
          <w:p w14:paraId="4E08937C" w14:textId="0FB428C0" w:rsidR="00AB0269" w:rsidRPr="00D8548E" w:rsidRDefault="00AB0269" w:rsidP="00AB0269">
            <w:pPr>
              <w:pStyle w:val="TableText0"/>
              <w:jc w:val="center"/>
              <w:rPr>
                <w:rStyle w:val="Small"/>
                <w:rFonts w:ascii="Arial Narrow" w:hAnsi="Arial Narrow"/>
                <w:sz w:val="20"/>
                <w:szCs w:val="20"/>
              </w:rPr>
            </w:pPr>
            <w:r w:rsidRPr="00D8548E">
              <w:rPr>
                <w:rStyle w:val="Small"/>
                <w:rFonts w:ascii="Arial Narrow" w:hAnsi="Arial Narrow"/>
                <w:sz w:val="20"/>
                <w:szCs w:val="20"/>
              </w:rPr>
              <w:t>770</w:t>
            </w:r>
          </w:p>
        </w:tc>
        <w:tc>
          <w:tcPr>
            <w:tcW w:w="1547" w:type="pct"/>
            <w:vAlign w:val="center"/>
          </w:tcPr>
          <w:p w14:paraId="3A0EE852" w14:textId="0D8C0F8A" w:rsidR="00AB0269" w:rsidRPr="00D8548E" w:rsidRDefault="00AB0269" w:rsidP="00AB0269">
            <w:pPr>
              <w:pStyle w:val="TableText0"/>
              <w:jc w:val="center"/>
              <w:rPr>
                <w:rStyle w:val="Small"/>
                <w:rFonts w:ascii="Arial Narrow" w:hAnsi="Arial Narrow"/>
                <w:sz w:val="20"/>
                <w:szCs w:val="20"/>
              </w:rPr>
            </w:pPr>
            <w:r w:rsidRPr="00D8548E">
              <w:rPr>
                <w:rStyle w:val="Small"/>
                <w:rFonts w:ascii="Arial Narrow" w:hAnsi="Arial Narrow"/>
                <w:sz w:val="20"/>
                <w:szCs w:val="20"/>
              </w:rPr>
              <w:t>1.53 (1.44, 1.62)</w:t>
            </w:r>
          </w:p>
        </w:tc>
      </w:tr>
      <w:tr w:rsidR="00AB0269" w:rsidRPr="00D8548E" w14:paraId="5BB0A532" w14:textId="77777777" w:rsidTr="00AB0269">
        <w:tc>
          <w:tcPr>
            <w:tcW w:w="744" w:type="pct"/>
          </w:tcPr>
          <w:p w14:paraId="31EE8139" w14:textId="23E3E41F" w:rsidR="00AB0269" w:rsidRPr="00D8548E" w:rsidRDefault="00AB0269" w:rsidP="00AB0269">
            <w:pPr>
              <w:pStyle w:val="TableText0"/>
              <w:rPr>
                <w:szCs w:val="20"/>
              </w:rPr>
            </w:pPr>
            <w:r w:rsidRPr="00D8548E">
              <w:rPr>
                <w:rStyle w:val="Small"/>
                <w:rFonts w:ascii="Arial Narrow" w:hAnsi="Arial Narrow"/>
                <w:sz w:val="20"/>
                <w:szCs w:val="20"/>
              </w:rPr>
              <w:t>QIVe</w:t>
            </w:r>
          </w:p>
        </w:tc>
        <w:tc>
          <w:tcPr>
            <w:tcW w:w="1098" w:type="pct"/>
            <w:vAlign w:val="center"/>
          </w:tcPr>
          <w:p w14:paraId="25E03DE0" w14:textId="78B350B3"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12.3%</w:t>
            </w:r>
          </w:p>
        </w:tc>
        <w:tc>
          <w:tcPr>
            <w:tcW w:w="862" w:type="pct"/>
            <w:vAlign w:val="center"/>
          </w:tcPr>
          <w:p w14:paraId="26B28FDF" w14:textId="78E948BB"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3,956</w:t>
            </w:r>
          </w:p>
        </w:tc>
        <w:tc>
          <w:tcPr>
            <w:tcW w:w="749" w:type="pct"/>
            <w:vAlign w:val="center"/>
          </w:tcPr>
          <w:p w14:paraId="2B461B28" w14:textId="4FB3215D"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1,832</w:t>
            </w:r>
          </w:p>
        </w:tc>
        <w:tc>
          <w:tcPr>
            <w:tcW w:w="1547" w:type="pct"/>
            <w:vAlign w:val="center"/>
          </w:tcPr>
          <w:p w14:paraId="197FECEB" w14:textId="75703AC8"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2.16 (2.09,</w:t>
            </w:r>
            <w:r w:rsidR="002E4DBD" w:rsidRPr="00D8548E">
              <w:rPr>
                <w:rStyle w:val="Small"/>
                <w:rFonts w:ascii="Arial Narrow" w:hAnsi="Arial Narrow"/>
                <w:sz w:val="20"/>
                <w:szCs w:val="20"/>
              </w:rPr>
              <w:t xml:space="preserve"> </w:t>
            </w:r>
            <w:r w:rsidRPr="00D8548E">
              <w:rPr>
                <w:rStyle w:val="Small"/>
                <w:rFonts w:ascii="Arial Narrow" w:hAnsi="Arial Narrow"/>
                <w:sz w:val="20"/>
                <w:szCs w:val="20"/>
              </w:rPr>
              <w:t>2.23)</w:t>
            </w:r>
          </w:p>
        </w:tc>
      </w:tr>
      <w:tr w:rsidR="00AB0269" w:rsidRPr="00D8548E" w14:paraId="62A1BA15" w14:textId="77777777" w:rsidTr="00AB0269">
        <w:tc>
          <w:tcPr>
            <w:tcW w:w="744" w:type="pct"/>
          </w:tcPr>
          <w:p w14:paraId="7D8FA8A8" w14:textId="3C6C4FF4" w:rsidR="00AB0269" w:rsidRPr="00D8548E" w:rsidRDefault="004D4114" w:rsidP="00AB0269">
            <w:pPr>
              <w:pStyle w:val="TableText0"/>
              <w:rPr>
                <w:szCs w:val="20"/>
              </w:rPr>
            </w:pPr>
            <w:r w:rsidRPr="00D8548E">
              <w:rPr>
                <w:szCs w:val="20"/>
              </w:rPr>
              <w:t>QIVc</w:t>
            </w:r>
          </w:p>
        </w:tc>
        <w:tc>
          <w:tcPr>
            <w:tcW w:w="1098" w:type="pct"/>
            <w:vAlign w:val="center"/>
          </w:tcPr>
          <w:p w14:paraId="0B462162" w14:textId="3806EF95"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6.4%</w:t>
            </w:r>
          </w:p>
        </w:tc>
        <w:tc>
          <w:tcPr>
            <w:tcW w:w="862" w:type="pct"/>
            <w:vAlign w:val="center"/>
          </w:tcPr>
          <w:p w14:paraId="1C7B52E4" w14:textId="289819AF"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2,092</w:t>
            </w:r>
          </w:p>
        </w:tc>
        <w:tc>
          <w:tcPr>
            <w:tcW w:w="749" w:type="pct"/>
            <w:vAlign w:val="center"/>
          </w:tcPr>
          <w:p w14:paraId="4227C7B3" w14:textId="1986BE8F"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965</w:t>
            </w:r>
          </w:p>
        </w:tc>
        <w:tc>
          <w:tcPr>
            <w:tcW w:w="1547" w:type="pct"/>
            <w:vAlign w:val="center"/>
          </w:tcPr>
          <w:p w14:paraId="23AA984E" w14:textId="6D8BF534"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2.17 (2.08,</w:t>
            </w:r>
            <w:r w:rsidR="002E4DBD" w:rsidRPr="00D8548E">
              <w:rPr>
                <w:rStyle w:val="Small"/>
                <w:rFonts w:ascii="Arial Narrow" w:hAnsi="Arial Narrow"/>
                <w:sz w:val="20"/>
                <w:szCs w:val="20"/>
              </w:rPr>
              <w:t xml:space="preserve"> </w:t>
            </w:r>
            <w:r w:rsidRPr="00D8548E">
              <w:rPr>
                <w:rStyle w:val="Small"/>
                <w:rFonts w:ascii="Arial Narrow" w:hAnsi="Arial Narrow"/>
                <w:sz w:val="20"/>
                <w:szCs w:val="20"/>
              </w:rPr>
              <w:t>2.26)</w:t>
            </w:r>
          </w:p>
        </w:tc>
      </w:tr>
      <w:tr w:rsidR="00AB0269" w:rsidRPr="00D8548E" w14:paraId="6E1702FB" w14:textId="77777777" w:rsidTr="00AB0269">
        <w:tc>
          <w:tcPr>
            <w:tcW w:w="744" w:type="pct"/>
          </w:tcPr>
          <w:p w14:paraId="6E0F8F03" w14:textId="56464A0E" w:rsidR="00AB0269" w:rsidRPr="00D8548E" w:rsidRDefault="004D4114" w:rsidP="00AB0269">
            <w:pPr>
              <w:pStyle w:val="TableText0"/>
              <w:rPr>
                <w:szCs w:val="20"/>
              </w:rPr>
            </w:pPr>
            <w:r w:rsidRPr="00D8548E">
              <w:rPr>
                <w:szCs w:val="20"/>
              </w:rPr>
              <w:t>aTIV</w:t>
            </w:r>
          </w:p>
        </w:tc>
        <w:tc>
          <w:tcPr>
            <w:tcW w:w="1098" w:type="pct"/>
            <w:vAlign w:val="center"/>
          </w:tcPr>
          <w:p w14:paraId="65EE58A7" w14:textId="3EF4FCF8"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20.1%</w:t>
            </w:r>
          </w:p>
        </w:tc>
        <w:tc>
          <w:tcPr>
            <w:tcW w:w="862" w:type="pct"/>
            <w:vAlign w:val="center"/>
          </w:tcPr>
          <w:p w14:paraId="03CBF489" w14:textId="6E1E09D7"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4,991</w:t>
            </w:r>
          </w:p>
        </w:tc>
        <w:tc>
          <w:tcPr>
            <w:tcW w:w="749" w:type="pct"/>
            <w:vAlign w:val="center"/>
          </w:tcPr>
          <w:p w14:paraId="4270D488" w14:textId="2613C1C1"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3,017</w:t>
            </w:r>
          </w:p>
        </w:tc>
        <w:tc>
          <w:tcPr>
            <w:tcW w:w="1547" w:type="pct"/>
            <w:vAlign w:val="center"/>
          </w:tcPr>
          <w:p w14:paraId="06F131FA" w14:textId="2D4AB11F"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1.65 (1.61,</w:t>
            </w:r>
            <w:r w:rsidR="002E4DBD" w:rsidRPr="00D8548E">
              <w:rPr>
                <w:rStyle w:val="Small"/>
                <w:rFonts w:ascii="Arial Narrow" w:hAnsi="Arial Narrow"/>
                <w:sz w:val="20"/>
                <w:szCs w:val="20"/>
              </w:rPr>
              <w:t xml:space="preserve"> </w:t>
            </w:r>
            <w:r w:rsidRPr="00D8548E">
              <w:rPr>
                <w:rStyle w:val="Small"/>
                <w:rFonts w:ascii="Arial Narrow" w:hAnsi="Arial Narrow"/>
                <w:sz w:val="20"/>
                <w:szCs w:val="20"/>
              </w:rPr>
              <w:t>1.70)</w:t>
            </w:r>
          </w:p>
        </w:tc>
      </w:tr>
      <w:tr w:rsidR="00AB0269" w:rsidRPr="00D8548E" w14:paraId="1497A2BB" w14:textId="77777777" w:rsidTr="00AB0269">
        <w:tc>
          <w:tcPr>
            <w:tcW w:w="744" w:type="pct"/>
          </w:tcPr>
          <w:p w14:paraId="6B0C5AA3" w14:textId="746BC2B6" w:rsidR="00AB0269" w:rsidRPr="00D8548E" w:rsidRDefault="004D4114" w:rsidP="00AB0269">
            <w:pPr>
              <w:pStyle w:val="TableText0"/>
              <w:rPr>
                <w:szCs w:val="20"/>
              </w:rPr>
            </w:pPr>
            <w:r w:rsidRPr="00D8548E">
              <w:rPr>
                <w:szCs w:val="20"/>
              </w:rPr>
              <w:t>TIV-HD</w:t>
            </w:r>
          </w:p>
        </w:tc>
        <w:tc>
          <w:tcPr>
            <w:tcW w:w="1098" w:type="pct"/>
            <w:vAlign w:val="center"/>
          </w:tcPr>
          <w:p w14:paraId="53FE0F75" w14:textId="06E1F954"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56.2%</w:t>
            </w:r>
          </w:p>
        </w:tc>
        <w:tc>
          <w:tcPr>
            <w:tcW w:w="862" w:type="pct"/>
            <w:vAlign w:val="center"/>
          </w:tcPr>
          <w:p w14:paraId="54A3D93D" w14:textId="116C70F3"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14,612</w:t>
            </w:r>
          </w:p>
        </w:tc>
        <w:tc>
          <w:tcPr>
            <w:tcW w:w="749" w:type="pct"/>
            <w:vAlign w:val="center"/>
          </w:tcPr>
          <w:p w14:paraId="2CD1DBEB" w14:textId="5EFCE234"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8,429</w:t>
            </w:r>
          </w:p>
        </w:tc>
        <w:tc>
          <w:tcPr>
            <w:tcW w:w="1547" w:type="pct"/>
            <w:vAlign w:val="center"/>
          </w:tcPr>
          <w:p w14:paraId="1F1570DD" w14:textId="6DCEEDBE"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1.73 (1.71. 1.76)</w:t>
            </w:r>
          </w:p>
        </w:tc>
      </w:tr>
      <w:tr w:rsidR="00AB0269" w:rsidRPr="00D8548E" w14:paraId="116B1ED5" w14:textId="77777777" w:rsidTr="00AB0269">
        <w:tc>
          <w:tcPr>
            <w:tcW w:w="5000" w:type="pct"/>
            <w:gridSpan w:val="5"/>
          </w:tcPr>
          <w:p w14:paraId="0734D8BA" w14:textId="435A40B0" w:rsidR="00AB0269" w:rsidRPr="00D8548E" w:rsidRDefault="004D4114" w:rsidP="00AB0269">
            <w:pPr>
              <w:pStyle w:val="TableText0"/>
              <w:rPr>
                <w:rStyle w:val="Small"/>
                <w:rFonts w:ascii="Arial Narrow" w:hAnsi="Arial Narrow"/>
                <w:b/>
                <w:bCs w:val="0"/>
                <w:sz w:val="20"/>
                <w:szCs w:val="20"/>
              </w:rPr>
            </w:pPr>
            <w:r w:rsidRPr="00D8548E">
              <w:rPr>
                <w:rStyle w:val="Small"/>
                <w:rFonts w:ascii="Arial Narrow" w:hAnsi="Arial Narrow"/>
                <w:b/>
                <w:bCs w:val="0"/>
                <w:sz w:val="20"/>
                <w:szCs w:val="20"/>
              </w:rPr>
              <w:t>I</w:t>
            </w:r>
            <w:r w:rsidRPr="00D8548E">
              <w:rPr>
                <w:rStyle w:val="Small"/>
                <w:rFonts w:ascii="Arial Narrow" w:hAnsi="Arial Narrow"/>
                <w:b/>
                <w:sz w:val="20"/>
                <w:szCs w:val="20"/>
              </w:rPr>
              <w:t>nfluenza</w:t>
            </w:r>
            <w:r w:rsidR="00AB0269" w:rsidRPr="00D8548E">
              <w:rPr>
                <w:rStyle w:val="Small"/>
                <w:rFonts w:ascii="Arial Narrow" w:hAnsi="Arial Narrow"/>
                <w:b/>
                <w:bCs w:val="0"/>
                <w:sz w:val="20"/>
                <w:szCs w:val="20"/>
              </w:rPr>
              <w:t xml:space="preserve"> inpatient stays</w:t>
            </w:r>
          </w:p>
        </w:tc>
      </w:tr>
      <w:tr w:rsidR="00AB0269" w:rsidRPr="00D8548E" w14:paraId="32544F83" w14:textId="77777777" w:rsidTr="00AB0269">
        <w:tc>
          <w:tcPr>
            <w:tcW w:w="744" w:type="pct"/>
          </w:tcPr>
          <w:p w14:paraId="1EB8F11D" w14:textId="77E7613E" w:rsidR="00AB0269" w:rsidRPr="00D8548E" w:rsidRDefault="00AB0269" w:rsidP="00AB0269">
            <w:pPr>
              <w:pStyle w:val="TableText0"/>
              <w:rPr>
                <w:szCs w:val="20"/>
              </w:rPr>
            </w:pPr>
            <w:r w:rsidRPr="00D8548E">
              <w:rPr>
                <w:szCs w:val="20"/>
              </w:rPr>
              <w:t>RIV4</w:t>
            </w:r>
          </w:p>
        </w:tc>
        <w:tc>
          <w:tcPr>
            <w:tcW w:w="1098" w:type="pct"/>
            <w:vAlign w:val="center"/>
          </w:tcPr>
          <w:p w14:paraId="3806A274" w14:textId="028A91EC" w:rsidR="00AB0269" w:rsidRPr="00D8548E" w:rsidRDefault="00AB0269" w:rsidP="00AB0269">
            <w:pPr>
              <w:pStyle w:val="TableText0"/>
              <w:jc w:val="center"/>
              <w:rPr>
                <w:rStyle w:val="Small"/>
                <w:rFonts w:ascii="Arial Narrow" w:hAnsi="Arial Narrow"/>
                <w:sz w:val="20"/>
                <w:szCs w:val="20"/>
              </w:rPr>
            </w:pPr>
            <w:r w:rsidRPr="00D8548E">
              <w:rPr>
                <w:szCs w:val="20"/>
              </w:rPr>
              <w:t>5.0%</w:t>
            </w:r>
          </w:p>
        </w:tc>
        <w:tc>
          <w:tcPr>
            <w:tcW w:w="862" w:type="pct"/>
            <w:vAlign w:val="center"/>
          </w:tcPr>
          <w:p w14:paraId="71930977" w14:textId="190CAABB" w:rsidR="00AB0269" w:rsidRPr="00D8548E" w:rsidRDefault="00AB0269" w:rsidP="00AB0269">
            <w:pPr>
              <w:pStyle w:val="TableText0"/>
              <w:jc w:val="center"/>
              <w:rPr>
                <w:rStyle w:val="Small"/>
                <w:rFonts w:ascii="Arial Narrow" w:hAnsi="Arial Narrow"/>
                <w:sz w:val="20"/>
                <w:szCs w:val="20"/>
              </w:rPr>
            </w:pPr>
            <w:r w:rsidRPr="00D8548E">
              <w:rPr>
                <w:szCs w:val="20"/>
              </w:rPr>
              <w:t>640</w:t>
            </w:r>
          </w:p>
        </w:tc>
        <w:tc>
          <w:tcPr>
            <w:tcW w:w="749" w:type="pct"/>
            <w:vAlign w:val="center"/>
          </w:tcPr>
          <w:p w14:paraId="30DF0574" w14:textId="15FE90EB" w:rsidR="00AB0269" w:rsidRPr="00D8548E" w:rsidRDefault="00AB0269" w:rsidP="00AB0269">
            <w:pPr>
              <w:pStyle w:val="TableText0"/>
              <w:jc w:val="center"/>
              <w:rPr>
                <w:rStyle w:val="Small"/>
                <w:rFonts w:ascii="Arial Narrow" w:hAnsi="Arial Narrow"/>
                <w:sz w:val="20"/>
                <w:szCs w:val="20"/>
              </w:rPr>
            </w:pPr>
            <w:r w:rsidRPr="00D8548E">
              <w:rPr>
                <w:szCs w:val="20"/>
              </w:rPr>
              <w:t>770</w:t>
            </w:r>
          </w:p>
        </w:tc>
        <w:tc>
          <w:tcPr>
            <w:tcW w:w="1547" w:type="pct"/>
            <w:vAlign w:val="center"/>
          </w:tcPr>
          <w:p w14:paraId="76E10A47" w14:textId="620A4EB3" w:rsidR="00AB0269" w:rsidRPr="00D8548E" w:rsidRDefault="00AB0269" w:rsidP="00AB0269">
            <w:pPr>
              <w:pStyle w:val="TableText0"/>
              <w:jc w:val="center"/>
              <w:rPr>
                <w:rStyle w:val="Small"/>
                <w:rFonts w:ascii="Arial Narrow" w:hAnsi="Arial Narrow"/>
                <w:sz w:val="20"/>
                <w:szCs w:val="20"/>
              </w:rPr>
            </w:pPr>
            <w:r w:rsidRPr="00D8548E">
              <w:rPr>
                <w:szCs w:val="20"/>
              </w:rPr>
              <w:t>0.83 (0.77, 0.90)</w:t>
            </w:r>
          </w:p>
        </w:tc>
      </w:tr>
      <w:tr w:rsidR="00AB0269" w:rsidRPr="00D8548E" w14:paraId="0D24D6DC" w14:textId="77777777" w:rsidTr="00AB0269">
        <w:tc>
          <w:tcPr>
            <w:tcW w:w="744" w:type="pct"/>
          </w:tcPr>
          <w:p w14:paraId="6FFF7763" w14:textId="3FACB608" w:rsidR="00AB0269" w:rsidRPr="00D8548E" w:rsidRDefault="00AB0269" w:rsidP="00AB0269">
            <w:pPr>
              <w:pStyle w:val="TableText0"/>
              <w:rPr>
                <w:szCs w:val="20"/>
              </w:rPr>
            </w:pPr>
            <w:r w:rsidRPr="00D8548E">
              <w:rPr>
                <w:szCs w:val="20"/>
              </w:rPr>
              <w:t>QIVe</w:t>
            </w:r>
          </w:p>
        </w:tc>
        <w:tc>
          <w:tcPr>
            <w:tcW w:w="1098" w:type="pct"/>
            <w:vAlign w:val="center"/>
          </w:tcPr>
          <w:p w14:paraId="36940B06" w14:textId="5FD017C9"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12.3%</w:t>
            </w:r>
          </w:p>
        </w:tc>
        <w:tc>
          <w:tcPr>
            <w:tcW w:w="862" w:type="pct"/>
            <w:vAlign w:val="center"/>
          </w:tcPr>
          <w:p w14:paraId="6877BAF8" w14:textId="121AC2B0"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2,309</w:t>
            </w:r>
          </w:p>
        </w:tc>
        <w:tc>
          <w:tcPr>
            <w:tcW w:w="749" w:type="pct"/>
            <w:vAlign w:val="center"/>
          </w:tcPr>
          <w:p w14:paraId="544CBB79" w14:textId="267EBD9C"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1,833</w:t>
            </w:r>
          </w:p>
        </w:tc>
        <w:tc>
          <w:tcPr>
            <w:tcW w:w="1547" w:type="pct"/>
            <w:vAlign w:val="center"/>
          </w:tcPr>
          <w:p w14:paraId="68C5F3BF" w14:textId="403EBB79"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1.26 (1.21, 1.31)</w:t>
            </w:r>
          </w:p>
        </w:tc>
      </w:tr>
      <w:tr w:rsidR="00AB0269" w:rsidRPr="00D8548E" w14:paraId="595B5E95" w14:textId="77777777" w:rsidTr="00AB0269">
        <w:tc>
          <w:tcPr>
            <w:tcW w:w="744" w:type="pct"/>
          </w:tcPr>
          <w:p w14:paraId="6DF13764" w14:textId="74C0D8B1" w:rsidR="00AB0269" w:rsidRPr="00D8548E" w:rsidRDefault="004D4114" w:rsidP="00AB0269">
            <w:pPr>
              <w:pStyle w:val="TableText0"/>
              <w:rPr>
                <w:szCs w:val="20"/>
              </w:rPr>
            </w:pPr>
            <w:r w:rsidRPr="00D8548E">
              <w:rPr>
                <w:szCs w:val="20"/>
              </w:rPr>
              <w:t>QIVc</w:t>
            </w:r>
          </w:p>
        </w:tc>
        <w:tc>
          <w:tcPr>
            <w:tcW w:w="1098" w:type="pct"/>
            <w:vAlign w:val="center"/>
          </w:tcPr>
          <w:p w14:paraId="59E6E9F8" w14:textId="6F9B7DD1"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6.4%</w:t>
            </w:r>
          </w:p>
        </w:tc>
        <w:tc>
          <w:tcPr>
            <w:tcW w:w="862" w:type="pct"/>
            <w:vAlign w:val="center"/>
          </w:tcPr>
          <w:p w14:paraId="0AAAA5A4" w14:textId="27AB8878"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1,235</w:t>
            </w:r>
          </w:p>
        </w:tc>
        <w:tc>
          <w:tcPr>
            <w:tcW w:w="749" w:type="pct"/>
            <w:vAlign w:val="center"/>
          </w:tcPr>
          <w:p w14:paraId="4FA13030" w14:textId="3D9EB3C5"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965</w:t>
            </w:r>
          </w:p>
        </w:tc>
        <w:tc>
          <w:tcPr>
            <w:tcW w:w="1547" w:type="pct"/>
            <w:vAlign w:val="center"/>
          </w:tcPr>
          <w:p w14:paraId="3F5C7759" w14:textId="2FA289E4"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1.30 (1.23, 1.37)</w:t>
            </w:r>
          </w:p>
        </w:tc>
      </w:tr>
      <w:tr w:rsidR="00AB0269" w:rsidRPr="00D8548E" w14:paraId="27F150E4" w14:textId="77777777" w:rsidTr="00AB0269">
        <w:tc>
          <w:tcPr>
            <w:tcW w:w="744" w:type="pct"/>
          </w:tcPr>
          <w:p w14:paraId="5709994A" w14:textId="6FBA99BF" w:rsidR="00AB0269" w:rsidRPr="00D8548E" w:rsidRDefault="004D4114" w:rsidP="00AB0269">
            <w:pPr>
              <w:pStyle w:val="TableText0"/>
              <w:rPr>
                <w:szCs w:val="20"/>
              </w:rPr>
            </w:pPr>
            <w:r w:rsidRPr="00D8548E">
              <w:rPr>
                <w:szCs w:val="20"/>
              </w:rPr>
              <w:t>aTIV</w:t>
            </w:r>
          </w:p>
        </w:tc>
        <w:tc>
          <w:tcPr>
            <w:tcW w:w="1098" w:type="pct"/>
            <w:vAlign w:val="center"/>
          </w:tcPr>
          <w:p w14:paraId="264A9ADA" w14:textId="35502EAD"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20.1%</w:t>
            </w:r>
          </w:p>
        </w:tc>
        <w:tc>
          <w:tcPr>
            <w:tcW w:w="862" w:type="pct"/>
            <w:vAlign w:val="center"/>
          </w:tcPr>
          <w:p w14:paraId="17237769" w14:textId="7A9F35B6"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2,783</w:t>
            </w:r>
          </w:p>
        </w:tc>
        <w:tc>
          <w:tcPr>
            <w:tcW w:w="749" w:type="pct"/>
            <w:vAlign w:val="center"/>
          </w:tcPr>
          <w:p w14:paraId="46A8C54B" w14:textId="673CBF8B"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3,018</w:t>
            </w:r>
          </w:p>
        </w:tc>
        <w:tc>
          <w:tcPr>
            <w:tcW w:w="1547" w:type="pct"/>
            <w:vAlign w:val="center"/>
          </w:tcPr>
          <w:p w14:paraId="17C627CB" w14:textId="0CC2D7BF"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0.92 (0.89, 0.96)</w:t>
            </w:r>
          </w:p>
        </w:tc>
      </w:tr>
      <w:tr w:rsidR="00AB0269" w:rsidRPr="00D8548E" w14:paraId="5C36BBB8" w14:textId="77777777" w:rsidTr="00AB0269">
        <w:tc>
          <w:tcPr>
            <w:tcW w:w="744" w:type="pct"/>
          </w:tcPr>
          <w:p w14:paraId="6CCAE112" w14:textId="0948823B" w:rsidR="00AB0269" w:rsidRPr="00D8548E" w:rsidRDefault="004D4114" w:rsidP="00AB0269">
            <w:pPr>
              <w:pStyle w:val="TableText0"/>
              <w:rPr>
                <w:szCs w:val="20"/>
              </w:rPr>
            </w:pPr>
            <w:r w:rsidRPr="00D8548E">
              <w:rPr>
                <w:szCs w:val="20"/>
              </w:rPr>
              <w:t>TIV-HD</w:t>
            </w:r>
          </w:p>
        </w:tc>
        <w:tc>
          <w:tcPr>
            <w:tcW w:w="1098" w:type="pct"/>
            <w:vAlign w:val="center"/>
          </w:tcPr>
          <w:p w14:paraId="3E296C5F" w14:textId="35D0F076"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56.2%</w:t>
            </w:r>
          </w:p>
        </w:tc>
        <w:tc>
          <w:tcPr>
            <w:tcW w:w="862" w:type="pct"/>
            <w:vAlign w:val="center"/>
          </w:tcPr>
          <w:p w14:paraId="562F43AA" w14:textId="48DC8A51"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8,192</w:t>
            </w:r>
          </w:p>
        </w:tc>
        <w:tc>
          <w:tcPr>
            <w:tcW w:w="749" w:type="pct"/>
            <w:vAlign w:val="center"/>
          </w:tcPr>
          <w:p w14:paraId="6E43B1B6" w14:textId="208D2857"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8,433</w:t>
            </w:r>
          </w:p>
        </w:tc>
        <w:tc>
          <w:tcPr>
            <w:tcW w:w="1547" w:type="pct"/>
            <w:vAlign w:val="center"/>
          </w:tcPr>
          <w:p w14:paraId="0F30BFB2" w14:textId="3117A313" w:rsidR="00AB0269" w:rsidRPr="00D8548E" w:rsidRDefault="00AB0269" w:rsidP="00AB0269">
            <w:pPr>
              <w:pStyle w:val="TableText0"/>
              <w:jc w:val="center"/>
              <w:rPr>
                <w:szCs w:val="20"/>
                <w:highlight w:val="yellow"/>
              </w:rPr>
            </w:pPr>
            <w:r w:rsidRPr="00D8548E">
              <w:rPr>
                <w:rStyle w:val="Small"/>
                <w:rFonts w:ascii="Arial Narrow" w:hAnsi="Arial Narrow"/>
                <w:sz w:val="20"/>
                <w:szCs w:val="20"/>
              </w:rPr>
              <w:t>0.97 (0.95, 0.99)</w:t>
            </w:r>
          </w:p>
        </w:tc>
      </w:tr>
    </w:tbl>
    <w:p w14:paraId="14BEE8DC" w14:textId="77777777" w:rsidR="008E4A8A" w:rsidRPr="00D8548E" w:rsidRDefault="00DE6156" w:rsidP="008E4A8A">
      <w:pPr>
        <w:pStyle w:val="FooterTableFigure"/>
      </w:pPr>
      <w:r w:rsidRPr="00D8548E">
        <w:t>Source: Table 2-19, p39 of the submission.</w:t>
      </w:r>
    </w:p>
    <w:p w14:paraId="650DCF45" w14:textId="2FDFDCDF" w:rsidR="008E4A8A" w:rsidRPr="00D8548E" w:rsidRDefault="008E4A8A" w:rsidP="008E4A8A">
      <w:pPr>
        <w:pStyle w:val="FooterTableFigure"/>
        <w:rPr>
          <w:rFonts w:eastAsia="Calibri" w:cs="Calibri"/>
          <w:szCs w:val="18"/>
          <w:lang w:eastAsia="en-US"/>
        </w:rPr>
      </w:pPr>
      <w:r w:rsidRPr="00D8548E">
        <w:rPr>
          <w:rFonts w:eastAsia="Calibri" w:cs="Calibri"/>
          <w:szCs w:val="18"/>
          <w:lang w:eastAsia="en-US"/>
        </w:rPr>
        <w:t xml:space="preserve">aQIV = adjuvanted quadrivalent influenza vaccine (Fluad Quad); aTIV = adjuvanted trivalent influenza vaccine (Fluad); QIVc = cell-based quadrivalent subunit influenza virus vaccine (Flucelvax® Quad), QIVe = egg-based quadrivalent subunit influenza virus vaccine; RIV4 = quadrivalent recombinant influenza vaccine (Flublok Quad); TIV-HD = high dose inactivated trivalent influenza vaccine (Fluzone High-Dose). </w:t>
      </w:r>
    </w:p>
    <w:p w14:paraId="16C44379" w14:textId="2BF6FCA2" w:rsidR="0052127A" w:rsidRPr="00D8548E" w:rsidRDefault="0052127A" w:rsidP="00DE6156">
      <w:pPr>
        <w:pStyle w:val="FooterTableFigure"/>
      </w:pPr>
      <w:r w:rsidRPr="00D8548E">
        <w:rPr>
          <w:vertAlign w:val="superscript"/>
        </w:rPr>
        <w:t>a</w:t>
      </w:r>
      <w:r w:rsidR="008E4A8A" w:rsidRPr="00D8548E">
        <w:t xml:space="preserve"> </w:t>
      </w:r>
      <w:r w:rsidR="00E1408E" w:rsidRPr="00D8548E">
        <w:t>Person time is in 10</w:t>
      </w:r>
      <w:r w:rsidRPr="00D8548E">
        <w:t>,</w:t>
      </w:r>
      <w:r w:rsidR="00E1408E" w:rsidRPr="00D8548E">
        <w:t xml:space="preserve">000 person weeks. </w:t>
      </w:r>
    </w:p>
    <w:p w14:paraId="6752267D" w14:textId="0D25D11F" w:rsidR="006C0B51" w:rsidRPr="00D8548E" w:rsidRDefault="0052127A" w:rsidP="00DE6156">
      <w:pPr>
        <w:pStyle w:val="FooterTableFigure"/>
      </w:pPr>
      <w:r w:rsidRPr="00D8548E">
        <w:rPr>
          <w:vertAlign w:val="superscript"/>
        </w:rPr>
        <w:t>b</w:t>
      </w:r>
      <w:r w:rsidRPr="00D8548E">
        <w:t xml:space="preserve"> </w:t>
      </w:r>
      <w:r w:rsidR="00E1408E" w:rsidRPr="00D8548E">
        <w:t>Outcome rates are calculated in the high influenza period only</w:t>
      </w:r>
      <w:r w:rsidR="00D16C67" w:rsidRPr="00D8548E">
        <w:t>.</w:t>
      </w:r>
      <w:bookmarkEnd w:id="30"/>
    </w:p>
    <w:p w14:paraId="50F48763" w14:textId="670CD8B5" w:rsidR="006D7FA3" w:rsidRPr="00D8548E" w:rsidRDefault="00772606" w:rsidP="006D7FA3">
      <w:pPr>
        <w:pStyle w:val="3-BodyText"/>
      </w:pPr>
      <w:r w:rsidRPr="00D8548E">
        <w:t xml:space="preserve">The IPTW-adjusted pairwise rVE estimates from Izurieta 2021 are in </w:t>
      </w:r>
      <w:r w:rsidRPr="00D8548E">
        <w:fldChar w:fldCharType="begin" w:fldLock="1"/>
      </w:r>
      <w:r w:rsidRPr="00D8548E">
        <w:instrText xml:space="preserve"> REF _Ref155596822 \h </w:instrText>
      </w:r>
      <w:r w:rsidR="00D8548E" w:rsidRPr="00D8548E">
        <w:instrText xml:space="preserve"> \* MERGEFORMAT </w:instrText>
      </w:r>
      <w:r w:rsidRPr="00D8548E">
        <w:fldChar w:fldCharType="separate"/>
      </w:r>
      <w:r w:rsidR="00C364E6" w:rsidRPr="00D8548E">
        <w:t xml:space="preserve">Table </w:t>
      </w:r>
      <w:r w:rsidR="00C364E6">
        <w:rPr>
          <w:noProof/>
        </w:rPr>
        <w:t>6</w:t>
      </w:r>
      <w:r w:rsidRPr="00D8548E">
        <w:fldChar w:fldCharType="end"/>
      </w:r>
      <w:r w:rsidRPr="00D8548E">
        <w:t>.</w:t>
      </w:r>
      <w:r w:rsidR="00C077F8" w:rsidRPr="00D8548E">
        <w:t xml:space="preserve">  </w:t>
      </w:r>
    </w:p>
    <w:p w14:paraId="665D08B2" w14:textId="5D9364C0" w:rsidR="00DE6156" w:rsidRPr="00D8548E" w:rsidRDefault="004D4114" w:rsidP="004D4114">
      <w:pPr>
        <w:pStyle w:val="Caption"/>
        <w:jc w:val="left"/>
      </w:pPr>
      <w:bookmarkStart w:id="31" w:name="_Ref155596822"/>
      <w:r w:rsidRPr="00D8548E">
        <w:t xml:space="preserve">Table </w:t>
      </w:r>
      <w:r w:rsidR="005362BD">
        <w:fldChar w:fldCharType="begin" w:fldLock="1"/>
      </w:r>
      <w:r w:rsidR="005362BD">
        <w:instrText xml:space="preserve"> SEQ Table \* ARABIC </w:instrText>
      </w:r>
      <w:r w:rsidR="005362BD">
        <w:fldChar w:fldCharType="separate"/>
      </w:r>
      <w:r w:rsidR="00C364E6">
        <w:rPr>
          <w:noProof/>
        </w:rPr>
        <w:t>6</w:t>
      </w:r>
      <w:r w:rsidR="005362BD">
        <w:rPr>
          <w:noProof/>
        </w:rPr>
        <w:fldChar w:fldCharType="end"/>
      </w:r>
      <w:bookmarkEnd w:id="31"/>
      <w:r w:rsidRPr="00D8548E">
        <w:t xml:space="preserve">: </w:t>
      </w:r>
      <w:r w:rsidR="00DE6156" w:rsidRPr="00D8548E">
        <w:t xml:space="preserve">IPTW </w:t>
      </w:r>
      <w:r w:rsidRPr="00D8548E">
        <w:t>a</w:t>
      </w:r>
      <w:r w:rsidR="00DE6156" w:rsidRPr="00D8548E">
        <w:t xml:space="preserve">djusted </w:t>
      </w:r>
      <w:r w:rsidRPr="00D8548E">
        <w:t>p</w:t>
      </w:r>
      <w:r w:rsidR="00DE6156" w:rsidRPr="00D8548E">
        <w:t xml:space="preserve">airwise rVE </w:t>
      </w:r>
      <w:r w:rsidRPr="00D8548E">
        <w:t>e</w:t>
      </w:r>
      <w:r w:rsidR="00DE6156" w:rsidRPr="00D8548E">
        <w:t xml:space="preserve">stimates for 2019–2020 </w:t>
      </w:r>
      <w:r w:rsidRPr="00D8548E">
        <w:t>influenza s</w:t>
      </w:r>
      <w:r w:rsidR="00DE6156" w:rsidRPr="00D8548E">
        <w:t>eason</w:t>
      </w:r>
      <w:r w:rsidR="007D74F5" w:rsidRPr="00D8548E">
        <w:t>, Izurieta 2021</w:t>
      </w:r>
    </w:p>
    <w:tbl>
      <w:tblPr>
        <w:tblStyle w:val="TableGrid"/>
        <w:tblW w:w="5000" w:type="pct"/>
        <w:tblLook w:val="04A0" w:firstRow="1" w:lastRow="0" w:firstColumn="1" w:lastColumn="0" w:noHBand="0" w:noVBand="1"/>
        <w:tblCaption w:val="Table 6: IPTW adjusted pairwise rVE estimates for 2019–2020 influenza season, Izurieta 2021"/>
      </w:tblPr>
      <w:tblGrid>
        <w:gridCol w:w="1804"/>
        <w:gridCol w:w="1804"/>
        <w:gridCol w:w="1803"/>
        <w:gridCol w:w="1803"/>
        <w:gridCol w:w="1803"/>
      </w:tblGrid>
      <w:tr w:rsidR="00EE244F" w:rsidRPr="00D8548E" w14:paraId="5450A2A2" w14:textId="77777777" w:rsidTr="00EE244F">
        <w:tc>
          <w:tcPr>
            <w:tcW w:w="1000" w:type="pct"/>
          </w:tcPr>
          <w:p w14:paraId="3C08865C" w14:textId="77777777" w:rsidR="00EE244F" w:rsidRPr="00D8548E" w:rsidRDefault="00EE244F" w:rsidP="00DE6156">
            <w:pPr>
              <w:pStyle w:val="TableFigureHeading"/>
            </w:pPr>
          </w:p>
        </w:tc>
        <w:tc>
          <w:tcPr>
            <w:tcW w:w="4000" w:type="pct"/>
            <w:gridSpan w:val="4"/>
          </w:tcPr>
          <w:p w14:paraId="25AC0BE2" w14:textId="16CE8138" w:rsidR="00EE244F" w:rsidRPr="00D8548E" w:rsidRDefault="00EE244F" w:rsidP="00DE6156">
            <w:pPr>
              <w:pStyle w:val="TableFigureHeading"/>
              <w:jc w:val="center"/>
            </w:pPr>
            <w:r w:rsidRPr="00D8548E">
              <w:t xml:space="preserve">Reference group, </w:t>
            </w:r>
            <w:r w:rsidR="006E4397" w:rsidRPr="00D8548E">
              <w:t xml:space="preserve">relative </w:t>
            </w:r>
            <w:r w:rsidRPr="00D8548E">
              <w:t>vaccine efficacy</w:t>
            </w:r>
          </w:p>
        </w:tc>
      </w:tr>
      <w:tr w:rsidR="00DE6156" w:rsidRPr="00D8548E" w14:paraId="23362C91" w14:textId="77777777" w:rsidTr="002621BF">
        <w:tc>
          <w:tcPr>
            <w:tcW w:w="1000" w:type="pct"/>
          </w:tcPr>
          <w:p w14:paraId="5E3C1AB8" w14:textId="77777777" w:rsidR="00DE6156" w:rsidRPr="00D8548E" w:rsidRDefault="00DE6156" w:rsidP="00DE6156">
            <w:pPr>
              <w:pStyle w:val="TableFigureHeading"/>
            </w:pPr>
            <w:r w:rsidRPr="00D8548E">
              <w:t>Cohort</w:t>
            </w:r>
          </w:p>
        </w:tc>
        <w:tc>
          <w:tcPr>
            <w:tcW w:w="1000" w:type="pct"/>
          </w:tcPr>
          <w:p w14:paraId="09B288BA" w14:textId="77777777" w:rsidR="00DE6156" w:rsidRPr="00D8548E" w:rsidRDefault="00DE6156" w:rsidP="00DE6156">
            <w:pPr>
              <w:pStyle w:val="TableFigureHeading"/>
              <w:jc w:val="center"/>
            </w:pPr>
            <w:r w:rsidRPr="00D8548E">
              <w:t>QIVe</w:t>
            </w:r>
          </w:p>
          <w:p w14:paraId="42D9F948" w14:textId="0CE26003" w:rsidR="006E4397" w:rsidRPr="00D8548E" w:rsidRDefault="006E4397" w:rsidP="006E4397">
            <w:pPr>
              <w:pStyle w:val="In-tableHeading"/>
              <w:jc w:val="center"/>
              <w:rPr>
                <w:lang w:val="en-AU"/>
              </w:rPr>
            </w:pPr>
            <w:r w:rsidRPr="00D8548E">
              <w:rPr>
                <w:lang w:val="en-AU"/>
              </w:rPr>
              <w:t>% (95% CI)</w:t>
            </w:r>
          </w:p>
        </w:tc>
        <w:tc>
          <w:tcPr>
            <w:tcW w:w="1000" w:type="pct"/>
          </w:tcPr>
          <w:p w14:paraId="69A03E36" w14:textId="77777777" w:rsidR="00DE6156" w:rsidRPr="00D8548E" w:rsidRDefault="004D4114" w:rsidP="00DE6156">
            <w:pPr>
              <w:pStyle w:val="TableFigureHeading"/>
              <w:jc w:val="center"/>
            </w:pPr>
            <w:r w:rsidRPr="00D8548E">
              <w:t>aTIV</w:t>
            </w:r>
          </w:p>
          <w:p w14:paraId="3F3D2356" w14:textId="50D8C039" w:rsidR="006E4397" w:rsidRPr="00D8548E" w:rsidRDefault="006E4397" w:rsidP="006E4397">
            <w:pPr>
              <w:pStyle w:val="In-tableHeading"/>
              <w:jc w:val="center"/>
              <w:rPr>
                <w:highlight w:val="yellow"/>
                <w:lang w:val="en-AU"/>
              </w:rPr>
            </w:pPr>
            <w:r w:rsidRPr="00D8548E">
              <w:rPr>
                <w:lang w:val="en-AU"/>
              </w:rPr>
              <w:t>% (95% CI)</w:t>
            </w:r>
          </w:p>
        </w:tc>
        <w:tc>
          <w:tcPr>
            <w:tcW w:w="1000" w:type="pct"/>
          </w:tcPr>
          <w:p w14:paraId="6B2FA587" w14:textId="77777777" w:rsidR="00DE6156" w:rsidRPr="00D8548E" w:rsidRDefault="004D4114" w:rsidP="00DE6156">
            <w:pPr>
              <w:pStyle w:val="TableFigureHeading"/>
              <w:jc w:val="center"/>
            </w:pPr>
            <w:r w:rsidRPr="00D8548E">
              <w:t>TIV-HD</w:t>
            </w:r>
          </w:p>
          <w:p w14:paraId="27816E77" w14:textId="09A1E887" w:rsidR="006E4397" w:rsidRPr="00D8548E" w:rsidRDefault="006E4397" w:rsidP="006E4397">
            <w:pPr>
              <w:pStyle w:val="In-tableHeading"/>
              <w:jc w:val="center"/>
              <w:rPr>
                <w:highlight w:val="yellow"/>
                <w:lang w:val="en-AU"/>
              </w:rPr>
            </w:pPr>
            <w:r w:rsidRPr="00D8548E">
              <w:rPr>
                <w:lang w:val="en-AU"/>
              </w:rPr>
              <w:t>% (95% CI)</w:t>
            </w:r>
          </w:p>
        </w:tc>
        <w:tc>
          <w:tcPr>
            <w:tcW w:w="1000" w:type="pct"/>
          </w:tcPr>
          <w:p w14:paraId="1C6D6C51" w14:textId="77777777" w:rsidR="00DE6156" w:rsidRPr="00D8548E" w:rsidRDefault="00E1408E" w:rsidP="00DE6156">
            <w:pPr>
              <w:pStyle w:val="TableFigureHeading"/>
              <w:jc w:val="center"/>
            </w:pPr>
            <w:r w:rsidRPr="00D8548E">
              <w:t>RIV4</w:t>
            </w:r>
          </w:p>
          <w:p w14:paraId="2B778500" w14:textId="4C2BA839" w:rsidR="006E4397" w:rsidRPr="00D8548E" w:rsidRDefault="006E4397" w:rsidP="006E4397">
            <w:pPr>
              <w:pStyle w:val="In-tableHeading"/>
              <w:jc w:val="center"/>
              <w:rPr>
                <w:highlight w:val="yellow"/>
                <w:lang w:val="en-AU"/>
              </w:rPr>
            </w:pPr>
            <w:r w:rsidRPr="00D8548E">
              <w:rPr>
                <w:lang w:val="en-AU"/>
              </w:rPr>
              <w:t>% (95% CI)</w:t>
            </w:r>
          </w:p>
        </w:tc>
      </w:tr>
      <w:tr w:rsidR="00DE6156" w:rsidRPr="00D8548E" w14:paraId="0AB96E2C" w14:textId="77777777" w:rsidTr="00245D06">
        <w:tc>
          <w:tcPr>
            <w:tcW w:w="5000" w:type="pct"/>
            <w:gridSpan w:val="5"/>
          </w:tcPr>
          <w:p w14:paraId="705868CD" w14:textId="65FA4225" w:rsidR="00DE6156" w:rsidRPr="00D8548E" w:rsidRDefault="004D4114" w:rsidP="00245D06">
            <w:pPr>
              <w:pStyle w:val="TableText0"/>
              <w:rPr>
                <w:rStyle w:val="Small"/>
                <w:rFonts w:ascii="Arial Narrow" w:hAnsi="Arial Narrow"/>
                <w:b/>
                <w:bCs w:val="0"/>
                <w:sz w:val="20"/>
              </w:rPr>
            </w:pPr>
            <w:r w:rsidRPr="00D8548E">
              <w:rPr>
                <w:rStyle w:val="Small"/>
                <w:rFonts w:ascii="Arial Narrow" w:hAnsi="Arial Narrow"/>
                <w:b/>
                <w:bCs w:val="0"/>
                <w:sz w:val="20"/>
                <w:szCs w:val="20"/>
              </w:rPr>
              <w:t>I</w:t>
            </w:r>
            <w:r w:rsidRPr="00D8548E">
              <w:rPr>
                <w:rStyle w:val="Small"/>
                <w:rFonts w:ascii="Arial Narrow" w:hAnsi="Arial Narrow"/>
                <w:b/>
                <w:sz w:val="20"/>
                <w:szCs w:val="20"/>
              </w:rPr>
              <w:t>nfluenza</w:t>
            </w:r>
            <w:r w:rsidRPr="00D8548E">
              <w:rPr>
                <w:rStyle w:val="Small"/>
                <w:rFonts w:ascii="Arial Narrow" w:hAnsi="Arial Narrow"/>
                <w:b/>
                <w:bCs w:val="0"/>
                <w:sz w:val="20"/>
                <w:szCs w:val="20"/>
              </w:rPr>
              <w:t xml:space="preserve"> hospital encounters</w:t>
            </w:r>
          </w:p>
        </w:tc>
      </w:tr>
      <w:tr w:rsidR="00273EB5" w:rsidRPr="00D8548E" w14:paraId="6558C2FD" w14:textId="77777777" w:rsidTr="002621BF">
        <w:tc>
          <w:tcPr>
            <w:tcW w:w="1000" w:type="pct"/>
          </w:tcPr>
          <w:p w14:paraId="06C43E78" w14:textId="16D07DA0" w:rsidR="00273EB5" w:rsidRPr="00D8548E" w:rsidRDefault="004D4114" w:rsidP="00273EB5">
            <w:pPr>
              <w:pStyle w:val="TableText0"/>
              <w:rPr>
                <w:rStyle w:val="Small"/>
              </w:rPr>
            </w:pPr>
            <w:r w:rsidRPr="00D8548E">
              <w:t>QIVc</w:t>
            </w:r>
          </w:p>
        </w:tc>
        <w:tc>
          <w:tcPr>
            <w:tcW w:w="1000" w:type="pct"/>
            <w:vAlign w:val="center"/>
          </w:tcPr>
          <w:p w14:paraId="319D22B7" w14:textId="0B3FF473" w:rsidR="00273EB5" w:rsidRPr="00D8548E" w:rsidRDefault="00273EB5" w:rsidP="002621BF">
            <w:pPr>
              <w:pStyle w:val="TableText0"/>
              <w:jc w:val="center"/>
              <w:rPr>
                <w:rStyle w:val="Small"/>
                <w:rFonts w:ascii="Arial Narrow" w:hAnsi="Arial Narrow"/>
                <w:sz w:val="20"/>
              </w:rPr>
            </w:pPr>
            <w:r w:rsidRPr="00D8548E">
              <w:rPr>
                <w:rStyle w:val="Small"/>
                <w:rFonts w:ascii="Arial Narrow" w:hAnsi="Arial Narrow"/>
                <w:sz w:val="20"/>
              </w:rPr>
              <w:t>2.8 (-2.8, 8.2)</w:t>
            </w:r>
          </w:p>
        </w:tc>
        <w:tc>
          <w:tcPr>
            <w:tcW w:w="1000" w:type="pct"/>
            <w:vAlign w:val="center"/>
          </w:tcPr>
          <w:p w14:paraId="744984E5" w14:textId="2F918E9C" w:rsidR="00273EB5" w:rsidRPr="00D8548E" w:rsidRDefault="00273EB5" w:rsidP="002621BF">
            <w:pPr>
              <w:pStyle w:val="TableText0"/>
              <w:jc w:val="center"/>
              <w:rPr>
                <w:rStyle w:val="Small"/>
                <w:rFonts w:ascii="Arial Narrow" w:hAnsi="Arial Narrow"/>
                <w:b/>
                <w:bCs w:val="0"/>
                <w:sz w:val="20"/>
                <w:highlight w:val="yellow"/>
              </w:rPr>
            </w:pPr>
            <w:r w:rsidRPr="00D8548E">
              <w:rPr>
                <w:rStyle w:val="Small"/>
                <w:rFonts w:ascii="Arial Narrow" w:hAnsi="Arial Narrow"/>
                <w:b/>
                <w:bCs w:val="0"/>
                <w:sz w:val="20"/>
              </w:rPr>
              <w:t>-5.8 (-11.7, -0.3)</w:t>
            </w:r>
          </w:p>
        </w:tc>
        <w:tc>
          <w:tcPr>
            <w:tcW w:w="1000" w:type="pct"/>
            <w:vAlign w:val="bottom"/>
          </w:tcPr>
          <w:p w14:paraId="437C2ACB" w14:textId="7E18BE4D" w:rsidR="00273EB5" w:rsidRPr="00D8548E" w:rsidRDefault="00273EB5" w:rsidP="002621BF">
            <w:pPr>
              <w:pStyle w:val="TableText0"/>
              <w:jc w:val="center"/>
              <w:rPr>
                <w:rStyle w:val="Small"/>
                <w:rFonts w:ascii="Arial Narrow" w:hAnsi="Arial Narrow"/>
                <w:sz w:val="20"/>
                <w:highlight w:val="yellow"/>
              </w:rPr>
            </w:pPr>
            <w:r w:rsidRPr="00D8548E">
              <w:t>-4.2</w:t>
            </w:r>
            <w:r w:rsidR="004D4114" w:rsidRPr="00D8548E">
              <w:t xml:space="preserve"> </w:t>
            </w:r>
            <w:r w:rsidRPr="00D8548E">
              <w:t>(-9.4, 0.8)</w:t>
            </w:r>
          </w:p>
        </w:tc>
        <w:tc>
          <w:tcPr>
            <w:tcW w:w="1000" w:type="pct"/>
            <w:vAlign w:val="center"/>
          </w:tcPr>
          <w:p w14:paraId="0D829347" w14:textId="164982B1" w:rsidR="00273EB5" w:rsidRPr="00D8548E" w:rsidRDefault="00273EB5" w:rsidP="002621BF">
            <w:pPr>
              <w:pStyle w:val="TableText0"/>
              <w:jc w:val="center"/>
              <w:rPr>
                <w:rStyle w:val="Small"/>
                <w:rFonts w:ascii="Arial Narrow" w:hAnsi="Arial Narrow"/>
                <w:b/>
                <w:bCs w:val="0"/>
                <w:sz w:val="20"/>
                <w:highlight w:val="yellow"/>
              </w:rPr>
            </w:pPr>
            <w:r w:rsidRPr="00D8548E">
              <w:rPr>
                <w:b/>
                <w:bCs w:val="0"/>
              </w:rPr>
              <w:t>-12.1 (-20.6, -4.2)</w:t>
            </w:r>
          </w:p>
        </w:tc>
      </w:tr>
      <w:tr w:rsidR="00273EB5" w:rsidRPr="00D8548E" w14:paraId="4C09F6B7" w14:textId="77777777" w:rsidTr="002621BF">
        <w:tc>
          <w:tcPr>
            <w:tcW w:w="1000" w:type="pct"/>
          </w:tcPr>
          <w:p w14:paraId="193D4698" w14:textId="3072B56C" w:rsidR="00273EB5" w:rsidRPr="00D8548E" w:rsidRDefault="004D4114" w:rsidP="00273EB5">
            <w:pPr>
              <w:pStyle w:val="TableText0"/>
            </w:pPr>
            <w:r w:rsidRPr="00D8548E">
              <w:t>RIV4</w:t>
            </w:r>
          </w:p>
        </w:tc>
        <w:tc>
          <w:tcPr>
            <w:tcW w:w="1000" w:type="pct"/>
            <w:shd w:val="clear" w:color="auto" w:fill="auto"/>
          </w:tcPr>
          <w:p w14:paraId="5EC9F129" w14:textId="1D277760" w:rsidR="00273EB5" w:rsidRPr="00D8548E" w:rsidRDefault="00273EB5" w:rsidP="002621BF">
            <w:pPr>
              <w:pStyle w:val="TableText0"/>
              <w:jc w:val="center"/>
              <w:rPr>
                <w:b/>
                <w:bCs w:val="0"/>
              </w:rPr>
            </w:pPr>
            <w:r w:rsidRPr="00D8548E">
              <w:rPr>
                <w:rStyle w:val="Small"/>
                <w:rFonts w:ascii="Arial Narrow" w:hAnsi="Arial Narrow"/>
                <w:b/>
                <w:bCs w:val="0"/>
                <w:sz w:val="20"/>
              </w:rPr>
              <w:t>13.3 (7.4, 18.9)</w:t>
            </w:r>
          </w:p>
        </w:tc>
        <w:tc>
          <w:tcPr>
            <w:tcW w:w="1000" w:type="pct"/>
          </w:tcPr>
          <w:p w14:paraId="043597BA" w14:textId="0E1B64C3" w:rsidR="00273EB5" w:rsidRPr="00D8548E" w:rsidRDefault="00273EB5" w:rsidP="002621BF">
            <w:pPr>
              <w:pStyle w:val="TableText0"/>
              <w:jc w:val="center"/>
              <w:rPr>
                <w:highlight w:val="yellow"/>
              </w:rPr>
            </w:pPr>
            <w:r w:rsidRPr="00D8548E">
              <w:t>5.6 (-0.6, 11.4)</w:t>
            </w:r>
          </w:p>
        </w:tc>
        <w:tc>
          <w:tcPr>
            <w:tcW w:w="1000" w:type="pct"/>
            <w:vAlign w:val="bottom"/>
          </w:tcPr>
          <w:p w14:paraId="170A6848" w14:textId="4BF539DF" w:rsidR="00273EB5" w:rsidRPr="00D8548E" w:rsidRDefault="00273EB5" w:rsidP="002621BF">
            <w:pPr>
              <w:pStyle w:val="TableText0"/>
              <w:jc w:val="center"/>
              <w:rPr>
                <w:b/>
                <w:bCs w:val="0"/>
                <w:highlight w:val="yellow"/>
              </w:rPr>
            </w:pPr>
            <w:r w:rsidRPr="00D8548E">
              <w:rPr>
                <w:b/>
                <w:bCs w:val="0"/>
              </w:rPr>
              <w:t>7.0 (1.4, 12.4)</w:t>
            </w:r>
          </w:p>
        </w:tc>
        <w:tc>
          <w:tcPr>
            <w:tcW w:w="1000" w:type="pct"/>
            <w:vAlign w:val="center"/>
          </w:tcPr>
          <w:p w14:paraId="054F3DFE" w14:textId="36DF299F" w:rsidR="00273EB5" w:rsidRPr="00D8548E" w:rsidRDefault="00273EB5" w:rsidP="002621BF">
            <w:pPr>
              <w:pStyle w:val="TableText0"/>
              <w:jc w:val="center"/>
              <w:rPr>
                <w:highlight w:val="yellow"/>
              </w:rPr>
            </w:pPr>
          </w:p>
        </w:tc>
      </w:tr>
      <w:tr w:rsidR="00273EB5" w:rsidRPr="00D8548E" w14:paraId="1AAEFB8A" w14:textId="77777777" w:rsidTr="002621BF">
        <w:tc>
          <w:tcPr>
            <w:tcW w:w="1000" w:type="pct"/>
          </w:tcPr>
          <w:p w14:paraId="354AA239" w14:textId="4ABC3AE6" w:rsidR="00273EB5" w:rsidRPr="00D8548E" w:rsidRDefault="004D4114" w:rsidP="00273EB5">
            <w:pPr>
              <w:pStyle w:val="TableText0"/>
            </w:pPr>
            <w:r w:rsidRPr="00D8548E">
              <w:t>TIV-HD</w:t>
            </w:r>
          </w:p>
        </w:tc>
        <w:tc>
          <w:tcPr>
            <w:tcW w:w="1000" w:type="pct"/>
            <w:shd w:val="clear" w:color="auto" w:fill="auto"/>
          </w:tcPr>
          <w:p w14:paraId="0B3E3316" w14:textId="19BA0039" w:rsidR="00273EB5" w:rsidRPr="00D8548E" w:rsidRDefault="00273EB5" w:rsidP="002621BF">
            <w:pPr>
              <w:pStyle w:val="TableText0"/>
              <w:jc w:val="center"/>
              <w:rPr>
                <w:b/>
                <w:bCs w:val="0"/>
              </w:rPr>
            </w:pPr>
            <w:r w:rsidRPr="00D8548E">
              <w:rPr>
                <w:rStyle w:val="Small"/>
                <w:rFonts w:ascii="Arial Narrow" w:hAnsi="Arial Narrow"/>
                <w:b/>
                <w:bCs w:val="0"/>
                <w:sz w:val="20"/>
              </w:rPr>
              <w:t>6.8 (3.3, 10.1)</w:t>
            </w:r>
          </w:p>
        </w:tc>
        <w:tc>
          <w:tcPr>
            <w:tcW w:w="1000" w:type="pct"/>
          </w:tcPr>
          <w:p w14:paraId="6C3A8651" w14:textId="0FA746E1" w:rsidR="00273EB5" w:rsidRPr="00D8548E" w:rsidRDefault="00273EB5" w:rsidP="002621BF">
            <w:pPr>
              <w:pStyle w:val="TableText0"/>
              <w:jc w:val="center"/>
              <w:rPr>
                <w:highlight w:val="yellow"/>
              </w:rPr>
            </w:pPr>
            <w:r w:rsidRPr="00D8548E">
              <w:t>-1.6 (-4.8, 1.6)</w:t>
            </w:r>
          </w:p>
        </w:tc>
        <w:tc>
          <w:tcPr>
            <w:tcW w:w="1000" w:type="pct"/>
            <w:vAlign w:val="center"/>
          </w:tcPr>
          <w:p w14:paraId="1C3FBB87" w14:textId="5C2EE03B" w:rsidR="00273EB5" w:rsidRPr="00D8548E" w:rsidRDefault="00273EB5" w:rsidP="002621BF">
            <w:pPr>
              <w:pStyle w:val="TableText0"/>
              <w:jc w:val="center"/>
              <w:rPr>
                <w:highlight w:val="yellow"/>
              </w:rPr>
            </w:pPr>
          </w:p>
        </w:tc>
        <w:tc>
          <w:tcPr>
            <w:tcW w:w="1000" w:type="pct"/>
            <w:vAlign w:val="center"/>
          </w:tcPr>
          <w:p w14:paraId="5409E54F" w14:textId="72AC6F18" w:rsidR="00273EB5" w:rsidRPr="00D8548E" w:rsidRDefault="00273EB5" w:rsidP="002621BF">
            <w:pPr>
              <w:pStyle w:val="TableText0"/>
              <w:jc w:val="center"/>
              <w:rPr>
                <w:highlight w:val="yellow"/>
              </w:rPr>
            </w:pPr>
          </w:p>
        </w:tc>
      </w:tr>
      <w:tr w:rsidR="00DE6156" w:rsidRPr="00D8548E" w14:paraId="57F9A451" w14:textId="77777777" w:rsidTr="002621BF">
        <w:tc>
          <w:tcPr>
            <w:tcW w:w="1000" w:type="pct"/>
          </w:tcPr>
          <w:p w14:paraId="45F4AFEE" w14:textId="40CC5474" w:rsidR="00DE6156" w:rsidRPr="00D8548E" w:rsidRDefault="004D4114" w:rsidP="00DE6156">
            <w:pPr>
              <w:pStyle w:val="TableText0"/>
            </w:pPr>
            <w:r w:rsidRPr="00D8548E">
              <w:t>aTIV</w:t>
            </w:r>
          </w:p>
        </w:tc>
        <w:tc>
          <w:tcPr>
            <w:tcW w:w="1000" w:type="pct"/>
            <w:shd w:val="clear" w:color="auto" w:fill="auto"/>
          </w:tcPr>
          <w:p w14:paraId="570E0C49" w14:textId="1F56D3BF" w:rsidR="00DE6156" w:rsidRPr="00D8548E" w:rsidRDefault="00DE6156" w:rsidP="002621BF">
            <w:pPr>
              <w:pStyle w:val="TableText0"/>
              <w:jc w:val="center"/>
              <w:rPr>
                <w:b/>
                <w:bCs w:val="0"/>
              </w:rPr>
            </w:pPr>
            <w:r w:rsidRPr="00D8548E">
              <w:rPr>
                <w:rStyle w:val="Small"/>
                <w:rFonts w:ascii="Arial Narrow" w:hAnsi="Arial Narrow"/>
                <w:b/>
                <w:bCs w:val="0"/>
                <w:sz w:val="20"/>
              </w:rPr>
              <w:t>8.2 (4.2, 12.0)</w:t>
            </w:r>
          </w:p>
        </w:tc>
        <w:tc>
          <w:tcPr>
            <w:tcW w:w="1000" w:type="pct"/>
          </w:tcPr>
          <w:p w14:paraId="50FA29A8" w14:textId="00745133" w:rsidR="00DE6156" w:rsidRPr="00D8548E" w:rsidRDefault="00DE6156" w:rsidP="002621BF">
            <w:pPr>
              <w:pStyle w:val="TableText0"/>
              <w:jc w:val="center"/>
              <w:rPr>
                <w:highlight w:val="yellow"/>
              </w:rPr>
            </w:pPr>
          </w:p>
        </w:tc>
        <w:tc>
          <w:tcPr>
            <w:tcW w:w="1000" w:type="pct"/>
            <w:vAlign w:val="center"/>
          </w:tcPr>
          <w:p w14:paraId="281CE368" w14:textId="5057F102" w:rsidR="00DE6156" w:rsidRPr="00D8548E" w:rsidRDefault="00DE6156" w:rsidP="002621BF">
            <w:pPr>
              <w:pStyle w:val="TableText0"/>
              <w:jc w:val="center"/>
              <w:rPr>
                <w:highlight w:val="yellow"/>
              </w:rPr>
            </w:pPr>
          </w:p>
        </w:tc>
        <w:tc>
          <w:tcPr>
            <w:tcW w:w="1000" w:type="pct"/>
            <w:vAlign w:val="center"/>
          </w:tcPr>
          <w:p w14:paraId="774CCA4B" w14:textId="3AB1C178" w:rsidR="00DE6156" w:rsidRPr="00D8548E" w:rsidRDefault="00DE6156" w:rsidP="002621BF">
            <w:pPr>
              <w:pStyle w:val="TableText0"/>
              <w:jc w:val="center"/>
              <w:rPr>
                <w:highlight w:val="yellow"/>
              </w:rPr>
            </w:pPr>
          </w:p>
        </w:tc>
      </w:tr>
      <w:tr w:rsidR="00DE6156" w:rsidRPr="00D8548E" w14:paraId="6DDBA8CA" w14:textId="77777777" w:rsidTr="00245D06">
        <w:tc>
          <w:tcPr>
            <w:tcW w:w="5000" w:type="pct"/>
            <w:gridSpan w:val="5"/>
          </w:tcPr>
          <w:p w14:paraId="4D19B258" w14:textId="4F1BA42C" w:rsidR="00DE6156" w:rsidRPr="00D8548E" w:rsidRDefault="002E4DBD" w:rsidP="00DE6156">
            <w:pPr>
              <w:pStyle w:val="TableText0"/>
              <w:rPr>
                <w:rStyle w:val="Small"/>
                <w:rFonts w:ascii="Arial Narrow" w:hAnsi="Arial Narrow"/>
                <w:b/>
                <w:bCs w:val="0"/>
                <w:sz w:val="20"/>
              </w:rPr>
            </w:pPr>
            <w:r w:rsidRPr="00D8548E">
              <w:rPr>
                <w:rStyle w:val="Small"/>
                <w:rFonts w:ascii="Arial Narrow" w:hAnsi="Arial Narrow"/>
                <w:b/>
                <w:bCs w:val="0"/>
                <w:sz w:val="20"/>
              </w:rPr>
              <w:t>I</w:t>
            </w:r>
            <w:r w:rsidRPr="00D8548E">
              <w:rPr>
                <w:rStyle w:val="Small"/>
                <w:rFonts w:ascii="Arial Narrow" w:hAnsi="Arial Narrow"/>
                <w:b/>
              </w:rPr>
              <w:t>nfluenza</w:t>
            </w:r>
            <w:r w:rsidR="00DE6156" w:rsidRPr="00D8548E">
              <w:rPr>
                <w:rStyle w:val="Small"/>
                <w:rFonts w:ascii="Arial Narrow" w:hAnsi="Arial Narrow"/>
                <w:b/>
                <w:bCs w:val="0"/>
                <w:sz w:val="20"/>
              </w:rPr>
              <w:t xml:space="preserve"> inpatient stays</w:t>
            </w:r>
          </w:p>
        </w:tc>
      </w:tr>
      <w:tr w:rsidR="004D4114" w:rsidRPr="00D8548E" w14:paraId="20A14820" w14:textId="77777777" w:rsidTr="002621BF">
        <w:tc>
          <w:tcPr>
            <w:tcW w:w="1000" w:type="pct"/>
          </w:tcPr>
          <w:p w14:paraId="1EE750E2" w14:textId="43CA18AA" w:rsidR="004D4114" w:rsidRPr="00D8548E" w:rsidRDefault="004D4114" w:rsidP="004D4114">
            <w:pPr>
              <w:pStyle w:val="TableText0"/>
              <w:rPr>
                <w:rStyle w:val="Small"/>
              </w:rPr>
            </w:pPr>
            <w:r w:rsidRPr="00D8548E">
              <w:t>QIVc</w:t>
            </w:r>
          </w:p>
        </w:tc>
        <w:tc>
          <w:tcPr>
            <w:tcW w:w="1000" w:type="pct"/>
          </w:tcPr>
          <w:p w14:paraId="2B16BF8D" w14:textId="61060E17" w:rsidR="004D4114" w:rsidRPr="00D8548E" w:rsidRDefault="004D4114" w:rsidP="004D4114">
            <w:pPr>
              <w:pStyle w:val="TableText0"/>
              <w:jc w:val="center"/>
              <w:rPr>
                <w:rStyle w:val="Small"/>
              </w:rPr>
            </w:pPr>
            <w:r w:rsidRPr="00D8548E">
              <w:t>3.7 (-3.9, 10.7)</w:t>
            </w:r>
          </w:p>
        </w:tc>
        <w:tc>
          <w:tcPr>
            <w:tcW w:w="1000" w:type="pct"/>
          </w:tcPr>
          <w:p w14:paraId="22BF48B6" w14:textId="4057820A" w:rsidR="004D4114" w:rsidRPr="00D8548E" w:rsidRDefault="004D4114" w:rsidP="004D4114">
            <w:pPr>
              <w:pStyle w:val="TableText0"/>
              <w:jc w:val="center"/>
              <w:rPr>
                <w:rStyle w:val="Small"/>
                <w:rFonts w:ascii="Arial Narrow" w:hAnsi="Arial Narrow"/>
                <w:sz w:val="20"/>
                <w:highlight w:val="yellow"/>
              </w:rPr>
            </w:pPr>
            <w:r w:rsidRPr="00D8548E">
              <w:t>-3.4 (-11.0, 3.8)</w:t>
            </w:r>
          </w:p>
        </w:tc>
        <w:tc>
          <w:tcPr>
            <w:tcW w:w="1000" w:type="pct"/>
            <w:vAlign w:val="bottom"/>
          </w:tcPr>
          <w:p w14:paraId="1F552258" w14:textId="782492DF" w:rsidR="004D4114" w:rsidRPr="00D8548E" w:rsidRDefault="004D4114" w:rsidP="004D4114">
            <w:pPr>
              <w:pStyle w:val="TableText0"/>
              <w:jc w:val="center"/>
              <w:rPr>
                <w:rStyle w:val="Small"/>
                <w:rFonts w:ascii="Arial Narrow" w:hAnsi="Arial Narrow"/>
                <w:sz w:val="20"/>
                <w:highlight w:val="yellow"/>
              </w:rPr>
            </w:pPr>
            <w:r w:rsidRPr="00D8548E">
              <w:t>-3.5 (-9.4, 0.8)</w:t>
            </w:r>
          </w:p>
        </w:tc>
        <w:tc>
          <w:tcPr>
            <w:tcW w:w="1000" w:type="pct"/>
            <w:vAlign w:val="center"/>
          </w:tcPr>
          <w:p w14:paraId="20135499" w14:textId="2E235BAA" w:rsidR="004D4114" w:rsidRPr="00D8548E" w:rsidRDefault="004D4114" w:rsidP="004D4114">
            <w:pPr>
              <w:pStyle w:val="TableText0"/>
              <w:jc w:val="center"/>
              <w:rPr>
                <w:rStyle w:val="Small"/>
                <w:rFonts w:ascii="Arial Narrow" w:hAnsi="Arial Narrow"/>
                <w:b/>
                <w:bCs w:val="0"/>
                <w:sz w:val="20"/>
                <w:highlight w:val="yellow"/>
              </w:rPr>
            </w:pPr>
            <w:r w:rsidRPr="00D8548E">
              <w:rPr>
                <w:b/>
                <w:bCs w:val="0"/>
              </w:rPr>
              <w:t>-15.7 (-27.7, -4.8)</w:t>
            </w:r>
          </w:p>
        </w:tc>
      </w:tr>
      <w:tr w:rsidR="004D4114" w:rsidRPr="00D8548E" w14:paraId="00661F00" w14:textId="77777777" w:rsidTr="002621BF">
        <w:tc>
          <w:tcPr>
            <w:tcW w:w="1000" w:type="pct"/>
          </w:tcPr>
          <w:p w14:paraId="6658C598" w14:textId="7C03728E" w:rsidR="004D4114" w:rsidRPr="00D8548E" w:rsidRDefault="004D4114" w:rsidP="004D4114">
            <w:pPr>
              <w:pStyle w:val="TableText0"/>
            </w:pPr>
            <w:r w:rsidRPr="00D8548E">
              <w:t>RIV4</w:t>
            </w:r>
          </w:p>
        </w:tc>
        <w:tc>
          <w:tcPr>
            <w:tcW w:w="1000" w:type="pct"/>
          </w:tcPr>
          <w:p w14:paraId="76A14D7A" w14:textId="1D805CE8" w:rsidR="004D4114" w:rsidRPr="00D8548E" w:rsidRDefault="004D4114" w:rsidP="004D4114">
            <w:pPr>
              <w:pStyle w:val="TableText0"/>
              <w:jc w:val="center"/>
              <w:rPr>
                <w:b/>
                <w:bCs w:val="0"/>
              </w:rPr>
            </w:pPr>
            <w:r w:rsidRPr="00D8548E">
              <w:rPr>
                <w:b/>
                <w:bCs w:val="0"/>
              </w:rPr>
              <w:t>16.8 (9.0, 23.8)</w:t>
            </w:r>
          </w:p>
        </w:tc>
        <w:tc>
          <w:tcPr>
            <w:tcW w:w="1000" w:type="pct"/>
          </w:tcPr>
          <w:p w14:paraId="25264BCA" w14:textId="6078E315" w:rsidR="004D4114" w:rsidRPr="00D8548E" w:rsidRDefault="004D4114" w:rsidP="004D4114">
            <w:pPr>
              <w:pStyle w:val="TableText0"/>
              <w:jc w:val="center"/>
              <w:rPr>
                <w:b/>
                <w:bCs w:val="0"/>
                <w:highlight w:val="yellow"/>
              </w:rPr>
            </w:pPr>
            <w:r w:rsidRPr="00D8548E">
              <w:rPr>
                <w:b/>
                <w:bCs w:val="0"/>
              </w:rPr>
              <w:t>10.7 (2.7, 17.9)</w:t>
            </w:r>
          </w:p>
        </w:tc>
        <w:tc>
          <w:tcPr>
            <w:tcW w:w="1000" w:type="pct"/>
            <w:vAlign w:val="bottom"/>
          </w:tcPr>
          <w:p w14:paraId="493651A2" w14:textId="18AC7C51" w:rsidR="004D4114" w:rsidRPr="00D8548E" w:rsidRDefault="004D4114" w:rsidP="004D4114">
            <w:pPr>
              <w:pStyle w:val="TableText0"/>
              <w:jc w:val="center"/>
              <w:rPr>
                <w:b/>
                <w:bCs w:val="0"/>
                <w:highlight w:val="yellow"/>
              </w:rPr>
            </w:pPr>
            <w:r w:rsidRPr="00D8548E">
              <w:rPr>
                <w:b/>
                <w:bCs w:val="0"/>
              </w:rPr>
              <w:t>10.6 (3.1, 17.4)</w:t>
            </w:r>
          </w:p>
        </w:tc>
        <w:tc>
          <w:tcPr>
            <w:tcW w:w="1000" w:type="pct"/>
            <w:vAlign w:val="center"/>
          </w:tcPr>
          <w:p w14:paraId="43E6981B" w14:textId="19BF4C38" w:rsidR="004D4114" w:rsidRPr="00D8548E" w:rsidRDefault="004D4114" w:rsidP="004D4114">
            <w:pPr>
              <w:pStyle w:val="TableText0"/>
              <w:jc w:val="center"/>
              <w:rPr>
                <w:highlight w:val="yellow"/>
              </w:rPr>
            </w:pPr>
          </w:p>
        </w:tc>
      </w:tr>
      <w:tr w:rsidR="004D4114" w:rsidRPr="00D8548E" w14:paraId="7DD2772A" w14:textId="77777777" w:rsidTr="002621BF">
        <w:tc>
          <w:tcPr>
            <w:tcW w:w="1000" w:type="pct"/>
          </w:tcPr>
          <w:p w14:paraId="68BFF8A6" w14:textId="042FCDC2" w:rsidR="004D4114" w:rsidRPr="00D8548E" w:rsidRDefault="004D4114" w:rsidP="004D4114">
            <w:pPr>
              <w:pStyle w:val="TableText0"/>
            </w:pPr>
            <w:r w:rsidRPr="00D8548E">
              <w:t>TIV-HD</w:t>
            </w:r>
          </w:p>
        </w:tc>
        <w:tc>
          <w:tcPr>
            <w:tcW w:w="1000" w:type="pct"/>
          </w:tcPr>
          <w:p w14:paraId="27B2D43F" w14:textId="2C29E12E" w:rsidR="004D4114" w:rsidRPr="00D8548E" w:rsidRDefault="004D4114" w:rsidP="004D4114">
            <w:pPr>
              <w:pStyle w:val="TableText0"/>
              <w:jc w:val="center"/>
              <w:rPr>
                <w:b/>
                <w:bCs w:val="0"/>
              </w:rPr>
            </w:pPr>
            <w:r w:rsidRPr="00D8548E">
              <w:rPr>
                <w:b/>
                <w:bCs w:val="0"/>
              </w:rPr>
              <w:t>6.9 (2.3, 11.4)</w:t>
            </w:r>
          </w:p>
        </w:tc>
        <w:tc>
          <w:tcPr>
            <w:tcW w:w="1000" w:type="pct"/>
          </w:tcPr>
          <w:p w14:paraId="128531E2" w14:textId="5DB06C90" w:rsidR="004D4114" w:rsidRPr="00D8548E" w:rsidRDefault="004D4114" w:rsidP="004D4114">
            <w:pPr>
              <w:pStyle w:val="TableText0"/>
              <w:jc w:val="center"/>
              <w:rPr>
                <w:highlight w:val="yellow"/>
              </w:rPr>
            </w:pPr>
            <w:r w:rsidRPr="00D8548E">
              <w:t>0.1 (-1.4, 4.2)</w:t>
            </w:r>
          </w:p>
        </w:tc>
        <w:tc>
          <w:tcPr>
            <w:tcW w:w="1000" w:type="pct"/>
            <w:vAlign w:val="center"/>
          </w:tcPr>
          <w:p w14:paraId="1AD75909" w14:textId="4A6BA31F" w:rsidR="004D4114" w:rsidRPr="00D8548E" w:rsidRDefault="004D4114" w:rsidP="004D4114">
            <w:pPr>
              <w:pStyle w:val="TableText0"/>
              <w:jc w:val="center"/>
              <w:rPr>
                <w:highlight w:val="yellow"/>
              </w:rPr>
            </w:pPr>
          </w:p>
        </w:tc>
        <w:tc>
          <w:tcPr>
            <w:tcW w:w="1000" w:type="pct"/>
            <w:vAlign w:val="center"/>
          </w:tcPr>
          <w:p w14:paraId="527F6F02" w14:textId="51B5E6FF" w:rsidR="004D4114" w:rsidRPr="00D8548E" w:rsidRDefault="004D4114" w:rsidP="004D4114">
            <w:pPr>
              <w:pStyle w:val="TableText0"/>
              <w:jc w:val="center"/>
              <w:rPr>
                <w:highlight w:val="yellow"/>
              </w:rPr>
            </w:pPr>
          </w:p>
        </w:tc>
      </w:tr>
      <w:tr w:rsidR="004D4114" w:rsidRPr="00D8548E" w14:paraId="57256133" w14:textId="77777777" w:rsidTr="002621BF">
        <w:tc>
          <w:tcPr>
            <w:tcW w:w="1000" w:type="pct"/>
          </w:tcPr>
          <w:p w14:paraId="0E32857D" w14:textId="33BF0557" w:rsidR="004D4114" w:rsidRPr="00D8548E" w:rsidRDefault="004D4114" w:rsidP="004D4114">
            <w:pPr>
              <w:pStyle w:val="TableText0"/>
            </w:pPr>
            <w:r w:rsidRPr="00D8548E">
              <w:t>aTIV</w:t>
            </w:r>
          </w:p>
        </w:tc>
        <w:tc>
          <w:tcPr>
            <w:tcW w:w="1000" w:type="pct"/>
          </w:tcPr>
          <w:p w14:paraId="4337D05F" w14:textId="5441BBC2" w:rsidR="004D4114" w:rsidRPr="00D8548E" w:rsidRDefault="004D4114" w:rsidP="004D4114">
            <w:pPr>
              <w:pStyle w:val="TableText0"/>
              <w:jc w:val="center"/>
              <w:rPr>
                <w:b/>
                <w:bCs w:val="0"/>
              </w:rPr>
            </w:pPr>
            <w:r w:rsidRPr="00D8548E">
              <w:rPr>
                <w:b/>
                <w:bCs w:val="0"/>
              </w:rPr>
              <w:t>6.8 (1.4, 11.9)</w:t>
            </w:r>
          </w:p>
        </w:tc>
        <w:tc>
          <w:tcPr>
            <w:tcW w:w="1000" w:type="pct"/>
            <w:vAlign w:val="center"/>
          </w:tcPr>
          <w:p w14:paraId="4F419CAF" w14:textId="050F7828" w:rsidR="004D4114" w:rsidRPr="00D8548E" w:rsidRDefault="004D4114" w:rsidP="004D4114">
            <w:pPr>
              <w:pStyle w:val="TableText0"/>
              <w:jc w:val="center"/>
              <w:rPr>
                <w:highlight w:val="yellow"/>
              </w:rPr>
            </w:pPr>
          </w:p>
        </w:tc>
        <w:tc>
          <w:tcPr>
            <w:tcW w:w="1000" w:type="pct"/>
            <w:vAlign w:val="center"/>
          </w:tcPr>
          <w:p w14:paraId="2324CD0D" w14:textId="4627EF2D" w:rsidR="004D4114" w:rsidRPr="00D8548E" w:rsidRDefault="004D4114" w:rsidP="004D4114">
            <w:pPr>
              <w:pStyle w:val="TableText0"/>
              <w:jc w:val="center"/>
              <w:rPr>
                <w:highlight w:val="yellow"/>
              </w:rPr>
            </w:pPr>
          </w:p>
        </w:tc>
        <w:tc>
          <w:tcPr>
            <w:tcW w:w="1000" w:type="pct"/>
            <w:vAlign w:val="center"/>
          </w:tcPr>
          <w:p w14:paraId="55DB3FA4" w14:textId="0120108F" w:rsidR="004D4114" w:rsidRPr="00D8548E" w:rsidRDefault="004D4114" w:rsidP="004D4114">
            <w:pPr>
              <w:pStyle w:val="TableText0"/>
              <w:jc w:val="center"/>
              <w:rPr>
                <w:highlight w:val="yellow"/>
              </w:rPr>
            </w:pPr>
          </w:p>
        </w:tc>
      </w:tr>
    </w:tbl>
    <w:p w14:paraId="15D2565D" w14:textId="155B4091" w:rsidR="00DE6156" w:rsidRPr="00D8548E" w:rsidRDefault="00EE244F" w:rsidP="00EE244F">
      <w:pPr>
        <w:pStyle w:val="FooterTableFigure"/>
      </w:pPr>
      <w:r w:rsidRPr="00D8548E">
        <w:t xml:space="preserve">Source: Table 2-20, p39 of the submission </w:t>
      </w:r>
    </w:p>
    <w:p w14:paraId="68C8AF0C" w14:textId="3FD7EA5F" w:rsidR="008E4A8A" w:rsidRDefault="008E4A8A" w:rsidP="00FC56DD">
      <w:pPr>
        <w:pStyle w:val="FooterTableFigure"/>
        <w:spacing w:after="240"/>
        <w:rPr>
          <w:rFonts w:eastAsia="Calibri" w:cs="Calibri"/>
          <w:szCs w:val="18"/>
          <w:lang w:eastAsia="en-US"/>
        </w:rPr>
      </w:pPr>
      <w:r w:rsidRPr="00D8548E">
        <w:rPr>
          <w:rFonts w:eastAsia="Calibri" w:cs="Calibri"/>
          <w:szCs w:val="18"/>
          <w:lang w:eastAsia="en-US"/>
        </w:rPr>
        <w:t xml:space="preserve">aQIV = adjuvanted quadrivalent influenza vaccine (Fluad Quad); aTIV = adjuvanted trivalent influenza vaccine (Fluad); IPTW = inverse probability of treatment weighting; QIVc = cell-based quadrivalent subunit influenza virus vaccine (Flucelvax® Quad), QIVe = egg-based quadrivalent subunit influenza virus vaccine; RIV4 = quadrivalent recombinant influenza vaccine (Flublok Quad); rVE = </w:t>
      </w:r>
      <w:r w:rsidRPr="00D8548E">
        <w:t>relative vaccine effectiveness;</w:t>
      </w:r>
      <w:r w:rsidRPr="00D8548E">
        <w:rPr>
          <w:rFonts w:eastAsia="Calibri" w:cs="Calibri"/>
          <w:szCs w:val="18"/>
          <w:lang w:eastAsia="en-US"/>
        </w:rPr>
        <w:t xml:space="preserve"> TIV-HD = high dose inactivated trivalent influenza vaccine (Fluzone High-Dose)</w:t>
      </w:r>
      <w:r w:rsidR="00167A2A" w:rsidRPr="00D8548E">
        <w:rPr>
          <w:rFonts w:eastAsia="Calibri" w:cs="Calibri"/>
          <w:szCs w:val="18"/>
          <w:lang w:eastAsia="en-US"/>
        </w:rPr>
        <w:t>.</w:t>
      </w:r>
    </w:p>
    <w:p w14:paraId="355DA2B5" w14:textId="7483167C" w:rsidR="006C7CED" w:rsidRPr="00D8548E" w:rsidRDefault="006C7CED" w:rsidP="0073365E">
      <w:pPr>
        <w:pStyle w:val="FooterTableFigure"/>
      </w:pPr>
      <w:r w:rsidRPr="00D8548E">
        <w:rPr>
          <w:b/>
          <w:bCs/>
        </w:rPr>
        <w:t>Bold</w:t>
      </w:r>
      <w:r w:rsidRPr="00D8548E">
        <w:t xml:space="preserve"> indicates values that are </w:t>
      </w:r>
      <w:r>
        <w:t xml:space="preserve">statistically </w:t>
      </w:r>
      <w:r w:rsidRPr="00D8548E">
        <w:t>significant</w:t>
      </w:r>
      <w:r>
        <w:t>.</w:t>
      </w:r>
    </w:p>
    <w:p w14:paraId="2921A7CA" w14:textId="68BE24CC" w:rsidR="004D4114" w:rsidRPr="00D8548E" w:rsidRDefault="00AA72BA" w:rsidP="002E4DBD">
      <w:pPr>
        <w:pStyle w:val="3-BodyText"/>
      </w:pPr>
      <w:r w:rsidRPr="00D8548E">
        <w:t xml:space="preserve">In the IPTW-adjusted pairwise analysis, there was no statistically significant difference </w:t>
      </w:r>
      <w:r w:rsidR="00CD38BA" w:rsidRPr="00D8548E">
        <w:t xml:space="preserve">in rVE </w:t>
      </w:r>
      <w:r w:rsidRPr="00D8548E">
        <w:t>between RIV4 and aTIV f</w:t>
      </w:r>
      <w:r w:rsidR="002E4DBD" w:rsidRPr="00D8548E">
        <w:t>or the outcome of influenza hospital encounters</w:t>
      </w:r>
      <w:r w:rsidRPr="00D8548E">
        <w:t xml:space="preserve"> (5.6%, 95% CI: -0.6</w:t>
      </w:r>
      <w:r w:rsidR="000E0589" w:rsidRPr="00D8548E">
        <w:t>%</w:t>
      </w:r>
      <w:r w:rsidRPr="00D8548E">
        <w:t>, 11.4</w:t>
      </w:r>
      <w:r w:rsidR="000E0589" w:rsidRPr="00D8548E">
        <w:t>%</w:t>
      </w:r>
      <w:r w:rsidRPr="00D8548E">
        <w:t>)</w:t>
      </w:r>
      <w:r w:rsidR="002E4DBD" w:rsidRPr="00D8548E">
        <w:t xml:space="preserve">, </w:t>
      </w:r>
      <w:r w:rsidR="004D4114" w:rsidRPr="00D8548E">
        <w:t xml:space="preserve">while </w:t>
      </w:r>
      <w:r w:rsidR="002E4DBD" w:rsidRPr="00D8548E">
        <w:t>RIV4 was associated with a statistically significant improvement in</w:t>
      </w:r>
      <w:r w:rsidR="004D4114" w:rsidRPr="00D8548E">
        <w:t xml:space="preserve"> </w:t>
      </w:r>
      <w:r w:rsidR="00CD38BA" w:rsidRPr="00D8548E">
        <w:t xml:space="preserve">influenza inpatient stays </w:t>
      </w:r>
      <w:r w:rsidR="002E4DBD" w:rsidRPr="00D8548E">
        <w:t>versus aTIV (</w:t>
      </w:r>
      <w:r w:rsidR="004D4114" w:rsidRPr="00D8548E">
        <w:t>10.7%</w:t>
      </w:r>
      <w:r w:rsidR="00CD38BA" w:rsidRPr="00D8548E">
        <w:t>,</w:t>
      </w:r>
      <w:r w:rsidR="004D4114" w:rsidRPr="00D8548E">
        <w:t xml:space="preserve"> 95% CI</w:t>
      </w:r>
      <w:r w:rsidR="005B0FBD" w:rsidRPr="00D8548E">
        <w:t>:</w:t>
      </w:r>
      <w:r w:rsidR="004D4114" w:rsidRPr="00D8548E">
        <w:t xml:space="preserve"> 2.7%</w:t>
      </w:r>
      <w:r w:rsidR="000E0589" w:rsidRPr="00D8548E">
        <w:t>,</w:t>
      </w:r>
      <w:r w:rsidR="004D4114" w:rsidRPr="00D8548E">
        <w:t xml:space="preserve"> 17.9%). </w:t>
      </w:r>
    </w:p>
    <w:p w14:paraId="6B5374F0" w14:textId="2FE3FF02" w:rsidR="007B4808" w:rsidRPr="00D8548E" w:rsidRDefault="00612742" w:rsidP="007B4808">
      <w:pPr>
        <w:pStyle w:val="3-BodyText"/>
      </w:pPr>
      <w:r w:rsidRPr="00D8548E">
        <w:t xml:space="preserve">The </w:t>
      </w:r>
      <w:r w:rsidR="007B4808" w:rsidRPr="00D8548E">
        <w:t>ATAGI pre-submission advice state</w:t>
      </w:r>
      <w:r w:rsidR="00CD38BA" w:rsidRPr="00D8548E">
        <w:t>d</w:t>
      </w:r>
      <w:r w:rsidR="007B4808" w:rsidRPr="00D8548E">
        <w:t xml:space="preserve"> “The submission argued that vaccine efficacy estimates for trivalent adjuvanted vaccine could be used as a proxy for quadrivalent adjuvanted vaccine on the basis that quadrivalent vaccines were unlikely to be advantaged during the 2019-2020 Northern Hemisphere influenza season (which was </w:t>
      </w:r>
      <w:r w:rsidR="007B4808" w:rsidRPr="00D8548E">
        <w:lastRenderedPageBreak/>
        <w:t>dominated by the A/H1N1 and B/Victoria strains that were common to both the trivalent and quadrivalent vaccines). Therefore, the submission argued that RIV4 was non-inferior to a</w:t>
      </w:r>
      <w:r w:rsidRPr="00D8548E">
        <w:t>QIV</w:t>
      </w:r>
      <w:r w:rsidR="007B4808" w:rsidRPr="00D8548E">
        <w:t xml:space="preserve"> based on vaccine efficacy</w:t>
      </w:r>
      <w:r w:rsidR="0071175E">
        <w:t>.</w:t>
      </w:r>
      <w:r w:rsidRPr="00D8548E">
        <w:t>”</w:t>
      </w:r>
    </w:p>
    <w:p w14:paraId="001142A6" w14:textId="58BABE8D" w:rsidR="007B4808" w:rsidRPr="00D8548E" w:rsidRDefault="00612742" w:rsidP="00B65A55">
      <w:pPr>
        <w:pStyle w:val="3-BodyText"/>
      </w:pPr>
      <w:r w:rsidRPr="00D8548E">
        <w:t>The ATAGI pre-submission advice further state</w:t>
      </w:r>
      <w:r w:rsidR="003C25FE" w:rsidRPr="00D8548E">
        <w:t>d</w:t>
      </w:r>
      <w:r w:rsidRPr="00D8548E">
        <w:t xml:space="preserve"> “</w:t>
      </w:r>
      <w:r w:rsidR="007B4808" w:rsidRPr="00D8548E">
        <w:t>The PBAC has previously considered that there are differences between adjuvanted trivalent and quadrivalent vaccines with the PBAC noting that adjuvanted trivalent vaccine was non-inferior to egg-based quadrivalent vaccines while adjuvanted quadrivalent vaccines were superior to egg-based quadrivalent vaccines in individuals ≥ 65 years (</w:t>
      </w:r>
      <w:r w:rsidR="005A1155">
        <w:t>P</w:t>
      </w:r>
      <w:r w:rsidR="007B4808" w:rsidRPr="00D8548E">
        <w:t>ara</w:t>
      </w:r>
      <w:r w:rsidR="005A1155">
        <w:t>graphs</w:t>
      </w:r>
      <w:r w:rsidR="007B4808" w:rsidRPr="00D8548E">
        <w:t xml:space="preserve"> 7.8 and 7.14, adjuvant trivalent and quadrivalent influenza vaccine Public Summary Document, August 2019 PBAC meeting). Therefore, it is unclear whether the current evidence is sufficient to support a non-inferiority claim between RIV4 and a</w:t>
      </w:r>
      <w:r w:rsidR="003C25FE" w:rsidRPr="00D8548E">
        <w:t>QIV</w:t>
      </w:r>
      <w:r w:rsidR="007B4808" w:rsidRPr="00D8548E">
        <w:t>.”</w:t>
      </w:r>
      <w:r w:rsidR="006E06EF" w:rsidRPr="00D8548E">
        <w:t xml:space="preserve"> Refer to</w:t>
      </w:r>
      <w:r w:rsidR="008108C0" w:rsidRPr="00D8548E">
        <w:t xml:space="preserve"> P</w:t>
      </w:r>
      <w:r w:rsidR="006E06EF" w:rsidRPr="00D8548E">
        <w:t xml:space="preserve">aragraphs </w:t>
      </w:r>
      <w:r w:rsidR="006E06EF" w:rsidRPr="00D8548E">
        <w:fldChar w:fldCharType="begin" w:fldLock="1"/>
      </w:r>
      <w:r w:rsidR="006E06EF" w:rsidRPr="00D8548E">
        <w:instrText xml:space="preserve"> REF _Ref159326319 \r \h </w:instrText>
      </w:r>
      <w:r w:rsidR="00D8548E" w:rsidRPr="00D8548E">
        <w:instrText xml:space="preserve"> \* MERGEFORMAT </w:instrText>
      </w:r>
      <w:r w:rsidR="006E06EF" w:rsidRPr="00D8548E">
        <w:fldChar w:fldCharType="separate"/>
      </w:r>
      <w:r w:rsidR="00C364E6">
        <w:t>6.23</w:t>
      </w:r>
      <w:r w:rsidR="006E06EF" w:rsidRPr="00D8548E">
        <w:fldChar w:fldCharType="end"/>
      </w:r>
      <w:r w:rsidR="002E7EED" w:rsidRPr="00D8548E">
        <w:t xml:space="preserve"> </w:t>
      </w:r>
      <w:r w:rsidR="006E06EF" w:rsidRPr="00D8548E">
        <w:t xml:space="preserve">to </w:t>
      </w:r>
      <w:r w:rsidR="006E06EF" w:rsidRPr="00D8548E">
        <w:fldChar w:fldCharType="begin" w:fldLock="1"/>
      </w:r>
      <w:r w:rsidR="006E06EF" w:rsidRPr="00D8548E">
        <w:instrText xml:space="preserve"> REF _Ref159326320 \r \h </w:instrText>
      </w:r>
      <w:r w:rsidR="00D8548E" w:rsidRPr="00D8548E">
        <w:instrText xml:space="preserve"> \* MERGEFORMAT </w:instrText>
      </w:r>
      <w:r w:rsidR="006E06EF" w:rsidRPr="00D8548E">
        <w:fldChar w:fldCharType="separate"/>
      </w:r>
      <w:r w:rsidR="00C364E6">
        <w:t>6.25</w:t>
      </w:r>
      <w:r w:rsidR="006E06EF" w:rsidRPr="00D8548E">
        <w:fldChar w:fldCharType="end"/>
      </w:r>
      <w:r w:rsidR="006E06EF" w:rsidRPr="00D8548E">
        <w:t xml:space="preserve"> (‘Immunogenicity studies: aQIV versus aTIV’).</w:t>
      </w:r>
    </w:p>
    <w:p w14:paraId="4172C271" w14:textId="2C32A481" w:rsidR="007B4808" w:rsidRPr="00D8548E" w:rsidRDefault="007B4808" w:rsidP="007B4808">
      <w:pPr>
        <w:pStyle w:val="3-BodyText"/>
      </w:pPr>
      <w:r w:rsidRPr="00D8548E">
        <w:t xml:space="preserve">ATAGI concluded “The claim of ‘at least’ equivalent vaccine effectiveness </w:t>
      </w:r>
      <w:r w:rsidR="00F24108" w:rsidRPr="00D8548E">
        <w:t>[i.e. that RIV4 can be regarded as at least as effective as a</w:t>
      </w:r>
      <w:r w:rsidR="003C25FE" w:rsidRPr="00D8548E">
        <w:t>QIV</w:t>
      </w:r>
      <w:r w:rsidR="00F24108" w:rsidRPr="00D8548E">
        <w:t xml:space="preserve"> in those aged ≥ 65 years] </w:t>
      </w:r>
      <w:r w:rsidRPr="00D8548E">
        <w:t xml:space="preserve">was based on the assumption that the relative vaccine efficacy of adjuvant trivalent vaccine versus RIV4 in the Izurieta study could be used as a proxy for the relative vaccine efficacy of adjuvant quadrivalent vaccine versus RIV4. ATAGI noted that there was only limited circulation of B/Yamagata in the 2019-2020 influenza season and also noted that there has been only sporadic detection of this strain after the introduction of infection control measures associated with the COVID-19 pandemic (there are currently only three influenza strains in common circulation: A/H1N1, A/H3N3, B/Victoria). Based on the available data, ATAGI had reasonable confidence that RIV4 is </w:t>
      </w:r>
      <w:r w:rsidR="00BC4074" w:rsidRPr="00D8548E">
        <w:t>‘</w:t>
      </w:r>
      <w:r w:rsidRPr="00D8548E">
        <w:t xml:space="preserve">at least’ equivalent to adjuvanted vaccines in this </w:t>
      </w:r>
      <w:r w:rsidR="0048391A" w:rsidRPr="00D8548E">
        <w:t>population but</w:t>
      </w:r>
      <w:r w:rsidRPr="00D8548E">
        <w:t xml:space="preserve"> was less confident that the available data were sufficient to support a claim of superiority.”</w:t>
      </w:r>
    </w:p>
    <w:p w14:paraId="11FAED3F" w14:textId="37761450" w:rsidR="008A22C6" w:rsidRPr="00D8548E" w:rsidRDefault="008A22C6" w:rsidP="003955B2">
      <w:pPr>
        <w:pStyle w:val="3-BodyText"/>
        <w:numPr>
          <w:ilvl w:val="0"/>
          <w:numId w:val="0"/>
        </w:numPr>
        <w:outlineLvl w:val="2"/>
        <w:rPr>
          <w:u w:val="single"/>
        </w:rPr>
      </w:pPr>
      <w:bookmarkStart w:id="32" w:name="_Hlk159242611"/>
      <w:r w:rsidRPr="00D8548E">
        <w:rPr>
          <w:u w:val="single"/>
        </w:rPr>
        <w:t>Immunogenicity studies</w:t>
      </w:r>
      <w:r w:rsidR="00790303" w:rsidRPr="00D8548E">
        <w:rPr>
          <w:u w:val="single"/>
        </w:rPr>
        <w:t>: RIV4 versus aTIV</w:t>
      </w:r>
    </w:p>
    <w:bookmarkEnd w:id="32"/>
    <w:p w14:paraId="45BE07C6" w14:textId="632AF58F" w:rsidR="008A22C6" w:rsidRPr="00D8548E" w:rsidRDefault="00B86FC5" w:rsidP="007B4808">
      <w:pPr>
        <w:pStyle w:val="3-BodyText"/>
      </w:pPr>
      <w:r w:rsidRPr="00D8548E">
        <w:t>The r</w:t>
      </w:r>
      <w:r w:rsidR="008A22C6" w:rsidRPr="00D8548E">
        <w:t xml:space="preserve">esults </w:t>
      </w:r>
      <w:r w:rsidR="000374ED" w:rsidRPr="00D8548E">
        <w:t xml:space="preserve">from Belongia et al 2020 </w:t>
      </w:r>
      <w:r w:rsidR="003955B2" w:rsidRPr="00D8548E">
        <w:t>for</w:t>
      </w:r>
      <w:r w:rsidR="008A22C6" w:rsidRPr="00D8548E">
        <w:t xml:space="preserve"> the pairwise comparison of </w:t>
      </w:r>
      <w:r w:rsidR="007569F9" w:rsidRPr="00D8548E">
        <w:t>geometric mean fold rise</w:t>
      </w:r>
      <w:r w:rsidR="008A22C6" w:rsidRPr="00D8548E">
        <w:t xml:space="preserve">, by </w:t>
      </w:r>
      <w:r w:rsidR="007569F9" w:rsidRPr="00D8548E">
        <w:t xml:space="preserve">vaccine group and </w:t>
      </w:r>
      <w:r w:rsidR="008A22C6" w:rsidRPr="00D8548E">
        <w:t>strain, are summarised in</w:t>
      </w:r>
      <w:r w:rsidR="007569F9" w:rsidRPr="00D8548E">
        <w:t xml:space="preserve"> </w:t>
      </w:r>
      <w:r w:rsidR="007569F9" w:rsidRPr="00D8548E">
        <w:fldChar w:fldCharType="begin" w:fldLock="1"/>
      </w:r>
      <w:r w:rsidR="007569F9" w:rsidRPr="00D8548E">
        <w:instrText xml:space="preserve"> REF _Ref155610274 \h </w:instrText>
      </w:r>
      <w:r w:rsidR="00D8548E" w:rsidRPr="00D8548E">
        <w:instrText xml:space="preserve"> \* MERGEFORMAT </w:instrText>
      </w:r>
      <w:r w:rsidR="007569F9" w:rsidRPr="00D8548E">
        <w:fldChar w:fldCharType="separate"/>
      </w:r>
      <w:r w:rsidR="00C364E6" w:rsidRPr="00D8548E">
        <w:t xml:space="preserve">Table </w:t>
      </w:r>
      <w:r w:rsidR="00C364E6">
        <w:rPr>
          <w:noProof/>
        </w:rPr>
        <w:t>7</w:t>
      </w:r>
      <w:r w:rsidR="007569F9" w:rsidRPr="00D8548E">
        <w:fldChar w:fldCharType="end"/>
      </w:r>
      <w:r w:rsidR="008A22C6" w:rsidRPr="00D8548E">
        <w:t xml:space="preserve">.  </w:t>
      </w:r>
    </w:p>
    <w:p w14:paraId="6F229517" w14:textId="0D710A13" w:rsidR="000374ED" w:rsidRPr="00D8548E" w:rsidRDefault="007569F9" w:rsidP="003955B2">
      <w:pPr>
        <w:pStyle w:val="Caption"/>
      </w:pPr>
      <w:bookmarkStart w:id="33" w:name="_Ref155610274"/>
      <w:bookmarkStart w:id="34" w:name="_Toc149039856"/>
      <w:bookmarkStart w:id="35" w:name="_Toc149549692"/>
      <w:bookmarkStart w:id="36" w:name="_Hlk156814091"/>
      <w:r w:rsidRPr="00D8548E">
        <w:t xml:space="preserve">Table </w:t>
      </w:r>
      <w:r w:rsidR="005362BD">
        <w:fldChar w:fldCharType="begin" w:fldLock="1"/>
      </w:r>
      <w:r w:rsidR="005362BD">
        <w:instrText xml:space="preserve"> SEQ Table \* ARABIC </w:instrText>
      </w:r>
      <w:r w:rsidR="005362BD">
        <w:fldChar w:fldCharType="separate"/>
      </w:r>
      <w:r w:rsidR="00C364E6">
        <w:rPr>
          <w:noProof/>
        </w:rPr>
        <w:t>7</w:t>
      </w:r>
      <w:r w:rsidR="005362BD">
        <w:rPr>
          <w:noProof/>
        </w:rPr>
        <w:fldChar w:fldCharType="end"/>
      </w:r>
      <w:bookmarkEnd w:id="33"/>
      <w:r w:rsidR="000374ED" w:rsidRPr="00D8548E">
        <w:t xml:space="preserve">: Pairwise comparison of </w:t>
      </w:r>
      <w:r w:rsidR="003955B2" w:rsidRPr="00D8548E">
        <w:t>geometric mean fold rise (GMFR)</w:t>
      </w:r>
      <w:r w:rsidR="000374ED" w:rsidRPr="00D8548E">
        <w:t xml:space="preserve"> by vaccine group and strain.</w:t>
      </w:r>
      <w:bookmarkEnd w:id="34"/>
      <w:bookmarkEnd w:id="35"/>
      <w:r w:rsidR="000374ED" w:rsidRPr="00D8548E">
        <w:t xml:space="preserve"> </w:t>
      </w:r>
    </w:p>
    <w:tbl>
      <w:tblPr>
        <w:tblStyle w:val="TableGrid"/>
        <w:tblW w:w="5000" w:type="pct"/>
        <w:tblLook w:val="04A0" w:firstRow="1" w:lastRow="0" w:firstColumn="1" w:lastColumn="0" w:noHBand="0" w:noVBand="1"/>
        <w:tblCaption w:val="Table 7: Pairwise comparison of geometric mean fold rise (GMFR) by vaccine group and strain. "/>
      </w:tblPr>
      <w:tblGrid>
        <w:gridCol w:w="2975"/>
        <w:gridCol w:w="1342"/>
        <w:gridCol w:w="1192"/>
        <w:gridCol w:w="1194"/>
        <w:gridCol w:w="1192"/>
        <w:gridCol w:w="1122"/>
      </w:tblGrid>
      <w:tr w:rsidR="000374ED" w:rsidRPr="00D8548E" w14:paraId="7F9C7361" w14:textId="77777777" w:rsidTr="005B0FBD">
        <w:tc>
          <w:tcPr>
            <w:tcW w:w="1650" w:type="pct"/>
            <w:vMerge w:val="restart"/>
            <w:shd w:val="clear" w:color="auto" w:fill="FFFFFF" w:themeFill="background1"/>
            <w:vAlign w:val="bottom"/>
          </w:tcPr>
          <w:p w14:paraId="1CBE98BB" w14:textId="12879A63" w:rsidR="000374ED" w:rsidRPr="00D8548E" w:rsidRDefault="007569F9" w:rsidP="003955B2">
            <w:pPr>
              <w:pStyle w:val="Table"/>
              <w:keepNext/>
              <w:keepLines/>
              <w:rPr>
                <w:rStyle w:val="Small"/>
                <w:rFonts w:ascii="Arial Narrow" w:hAnsi="Arial Narrow"/>
                <w:b/>
                <w:bCs/>
                <w:sz w:val="20"/>
                <w:szCs w:val="20"/>
              </w:rPr>
            </w:pPr>
            <w:r w:rsidRPr="00D8548E">
              <w:rPr>
                <w:rFonts w:ascii="Arial Narrow" w:hAnsi="Arial Narrow"/>
                <w:b/>
                <w:bCs/>
                <w:sz w:val="20"/>
                <w:szCs w:val="20"/>
              </w:rPr>
              <w:t>A(H3N2) strain</w:t>
            </w:r>
          </w:p>
        </w:tc>
        <w:tc>
          <w:tcPr>
            <w:tcW w:w="2067" w:type="pct"/>
            <w:gridSpan w:val="3"/>
            <w:shd w:val="clear" w:color="auto" w:fill="FFFFFF" w:themeFill="background1"/>
          </w:tcPr>
          <w:p w14:paraId="56F5FDB2" w14:textId="77777777" w:rsidR="000374ED" w:rsidRPr="00D8548E" w:rsidRDefault="000374ED" w:rsidP="003955B2">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GMFR (95% CI)</w:t>
            </w:r>
          </w:p>
        </w:tc>
        <w:tc>
          <w:tcPr>
            <w:tcW w:w="1283" w:type="pct"/>
            <w:gridSpan w:val="2"/>
            <w:shd w:val="clear" w:color="auto" w:fill="FFFFFF" w:themeFill="background1"/>
          </w:tcPr>
          <w:p w14:paraId="3612859C" w14:textId="77777777" w:rsidR="000374ED" w:rsidRPr="00D8548E" w:rsidRDefault="000374ED" w:rsidP="003955B2">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p-value</w:t>
            </w:r>
          </w:p>
        </w:tc>
      </w:tr>
      <w:tr w:rsidR="000374ED" w:rsidRPr="00D8548E" w14:paraId="739D8AFC" w14:textId="77777777" w:rsidTr="008C5856">
        <w:tc>
          <w:tcPr>
            <w:tcW w:w="1650" w:type="pct"/>
            <w:vMerge/>
            <w:shd w:val="clear" w:color="auto" w:fill="FFFFFF" w:themeFill="background1"/>
          </w:tcPr>
          <w:p w14:paraId="30035BE8" w14:textId="77777777" w:rsidR="000374ED" w:rsidRPr="00D8548E" w:rsidRDefault="000374ED" w:rsidP="003955B2">
            <w:pPr>
              <w:pStyle w:val="Table"/>
              <w:keepNext/>
              <w:keepLines/>
              <w:rPr>
                <w:rStyle w:val="Small"/>
                <w:rFonts w:ascii="Arial Narrow" w:hAnsi="Arial Narrow"/>
                <w:sz w:val="20"/>
                <w:szCs w:val="20"/>
              </w:rPr>
            </w:pPr>
          </w:p>
        </w:tc>
        <w:tc>
          <w:tcPr>
            <w:tcW w:w="744" w:type="pct"/>
            <w:shd w:val="clear" w:color="auto" w:fill="FFFFFF" w:themeFill="background1"/>
            <w:vAlign w:val="center"/>
          </w:tcPr>
          <w:p w14:paraId="0BE99CF0" w14:textId="216C663B" w:rsidR="000374ED" w:rsidRPr="00D8548E" w:rsidRDefault="007569F9" w:rsidP="008C5856">
            <w:pPr>
              <w:pStyle w:val="Table"/>
              <w:keepNext/>
              <w:keepLines/>
              <w:jc w:val="center"/>
              <w:rPr>
                <w:rStyle w:val="Small"/>
                <w:rFonts w:ascii="Arial Narrow" w:hAnsi="Arial Narrow"/>
                <w:b/>
                <w:bCs/>
                <w:sz w:val="20"/>
                <w:szCs w:val="20"/>
              </w:rPr>
            </w:pPr>
            <w:r w:rsidRPr="00D8548E">
              <w:rPr>
                <w:rStyle w:val="Small"/>
                <w:rFonts w:ascii="Arial Narrow" w:hAnsi="Arial Narrow"/>
                <w:b/>
                <w:bCs/>
                <w:sz w:val="20"/>
                <w:szCs w:val="20"/>
              </w:rPr>
              <w:t>TIV-HD</w:t>
            </w:r>
          </w:p>
        </w:tc>
        <w:tc>
          <w:tcPr>
            <w:tcW w:w="661" w:type="pct"/>
            <w:shd w:val="clear" w:color="auto" w:fill="FFFFFF" w:themeFill="background1"/>
            <w:vAlign w:val="center"/>
          </w:tcPr>
          <w:p w14:paraId="1C366BDF" w14:textId="100772FF" w:rsidR="000374ED" w:rsidRPr="00D8548E" w:rsidRDefault="007569F9"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aTIV</w:t>
            </w:r>
          </w:p>
        </w:tc>
        <w:tc>
          <w:tcPr>
            <w:tcW w:w="661" w:type="pct"/>
            <w:shd w:val="clear" w:color="auto" w:fill="FFFFFF" w:themeFill="background1"/>
            <w:vAlign w:val="center"/>
          </w:tcPr>
          <w:p w14:paraId="6ED504D4" w14:textId="336FD5E0" w:rsidR="000374ED" w:rsidRPr="00D8548E" w:rsidRDefault="007569F9"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RIV4</w:t>
            </w:r>
          </w:p>
        </w:tc>
        <w:tc>
          <w:tcPr>
            <w:tcW w:w="661" w:type="pct"/>
            <w:shd w:val="clear" w:color="auto" w:fill="FFFFFF" w:themeFill="background1"/>
            <w:vAlign w:val="center"/>
          </w:tcPr>
          <w:p w14:paraId="69B9F91E" w14:textId="26CFAD31" w:rsidR="003955B2" w:rsidRPr="00D8548E" w:rsidRDefault="007569F9"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RIV4</w:t>
            </w:r>
            <w:r w:rsidR="000374ED" w:rsidRPr="00D8548E">
              <w:rPr>
                <w:rStyle w:val="Small"/>
                <w:rFonts w:ascii="Arial Narrow" w:hAnsi="Arial Narrow"/>
                <w:b/>
                <w:bCs/>
                <w:sz w:val="20"/>
                <w:szCs w:val="20"/>
              </w:rPr>
              <w:t xml:space="preserve"> v</w:t>
            </w:r>
            <w:r w:rsidR="003955B2" w:rsidRPr="00D8548E">
              <w:rPr>
                <w:rStyle w:val="Small"/>
                <w:rFonts w:ascii="Arial Narrow" w:hAnsi="Arial Narrow"/>
                <w:b/>
                <w:bCs/>
                <w:sz w:val="20"/>
                <w:szCs w:val="20"/>
              </w:rPr>
              <w:t>e</w:t>
            </w:r>
            <w:r w:rsidR="003955B2" w:rsidRPr="00D8548E">
              <w:rPr>
                <w:rStyle w:val="Small"/>
                <w:rFonts w:ascii="Arial Narrow" w:hAnsi="Arial Narrow"/>
                <w:b/>
                <w:bCs/>
              </w:rPr>
              <w:t>rsus</w:t>
            </w:r>
          </w:p>
          <w:p w14:paraId="7D272968" w14:textId="7FD356E8" w:rsidR="000374ED" w:rsidRPr="00D8548E" w:rsidRDefault="007569F9"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TIV-</w:t>
            </w:r>
            <w:r w:rsidR="000374ED" w:rsidRPr="00D8548E">
              <w:rPr>
                <w:rStyle w:val="Small"/>
                <w:rFonts w:ascii="Arial Narrow" w:hAnsi="Arial Narrow"/>
                <w:b/>
                <w:bCs/>
                <w:sz w:val="20"/>
                <w:szCs w:val="20"/>
              </w:rPr>
              <w:t>HD</w:t>
            </w:r>
          </w:p>
        </w:tc>
        <w:tc>
          <w:tcPr>
            <w:tcW w:w="622" w:type="pct"/>
            <w:shd w:val="clear" w:color="auto" w:fill="FFFFFF" w:themeFill="background1"/>
            <w:vAlign w:val="center"/>
          </w:tcPr>
          <w:p w14:paraId="626C664D" w14:textId="5A6B7EEA" w:rsidR="000374ED" w:rsidRPr="00D8548E" w:rsidRDefault="007569F9"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 xml:space="preserve">RIV4 </w:t>
            </w:r>
            <w:r w:rsidR="000374ED" w:rsidRPr="00D8548E">
              <w:rPr>
                <w:rStyle w:val="Small"/>
                <w:rFonts w:ascii="Arial Narrow" w:hAnsi="Arial Narrow"/>
                <w:b/>
                <w:bCs/>
                <w:sz w:val="20"/>
                <w:szCs w:val="20"/>
              </w:rPr>
              <w:t>v</w:t>
            </w:r>
            <w:r w:rsidR="003955B2" w:rsidRPr="00D8548E">
              <w:rPr>
                <w:rStyle w:val="Small"/>
                <w:rFonts w:ascii="Arial Narrow" w:hAnsi="Arial Narrow"/>
                <w:b/>
                <w:bCs/>
                <w:sz w:val="20"/>
                <w:szCs w:val="20"/>
              </w:rPr>
              <w:t>e</w:t>
            </w:r>
            <w:r w:rsidR="003955B2" w:rsidRPr="00D8548E">
              <w:rPr>
                <w:rStyle w:val="Small"/>
                <w:rFonts w:ascii="Arial Narrow" w:hAnsi="Arial Narrow"/>
                <w:b/>
                <w:bCs/>
              </w:rPr>
              <w:t>rsus</w:t>
            </w:r>
            <w:r w:rsidR="000374ED" w:rsidRPr="00D8548E">
              <w:rPr>
                <w:rStyle w:val="Small"/>
                <w:rFonts w:ascii="Arial Narrow" w:hAnsi="Arial Narrow"/>
                <w:b/>
                <w:bCs/>
                <w:sz w:val="20"/>
                <w:szCs w:val="20"/>
              </w:rPr>
              <w:t xml:space="preserve"> </w:t>
            </w:r>
            <w:r w:rsidRPr="00D8548E">
              <w:rPr>
                <w:rStyle w:val="Small"/>
                <w:rFonts w:ascii="Arial Narrow" w:hAnsi="Arial Narrow"/>
                <w:b/>
                <w:bCs/>
                <w:sz w:val="20"/>
                <w:szCs w:val="20"/>
              </w:rPr>
              <w:t>aTIV</w:t>
            </w:r>
          </w:p>
        </w:tc>
      </w:tr>
      <w:tr w:rsidR="000374ED" w:rsidRPr="00D8548E" w14:paraId="7C7CD7ED" w14:textId="77777777" w:rsidTr="008C5856">
        <w:tc>
          <w:tcPr>
            <w:tcW w:w="1650" w:type="pct"/>
            <w:shd w:val="clear" w:color="auto" w:fill="FFFFFF" w:themeFill="background1"/>
          </w:tcPr>
          <w:p w14:paraId="7DE9DEC7" w14:textId="77777777" w:rsidR="000374ED" w:rsidRPr="00D8548E" w:rsidRDefault="000374ED" w:rsidP="003955B2">
            <w:pPr>
              <w:pStyle w:val="Table"/>
              <w:keepNext/>
              <w:keepLines/>
              <w:rPr>
                <w:rStyle w:val="Small"/>
                <w:rFonts w:ascii="Arial Narrow" w:hAnsi="Arial Narrow"/>
                <w:sz w:val="20"/>
                <w:szCs w:val="20"/>
              </w:rPr>
            </w:pPr>
            <w:r w:rsidRPr="00D8548E">
              <w:rPr>
                <w:rFonts w:ascii="Arial Narrow" w:hAnsi="Arial Narrow"/>
                <w:sz w:val="20"/>
                <w:szCs w:val="20"/>
              </w:rPr>
              <w:t>A/Hong Kong/4801/2014</w:t>
            </w:r>
          </w:p>
          <w:p w14:paraId="1014749A" w14:textId="77777777" w:rsidR="000374ED" w:rsidRPr="00D8548E" w:rsidRDefault="000374ED" w:rsidP="003955B2">
            <w:pPr>
              <w:pStyle w:val="Table"/>
              <w:keepNext/>
              <w:keepLines/>
              <w:rPr>
                <w:rStyle w:val="Small"/>
                <w:rFonts w:ascii="Arial Narrow" w:hAnsi="Arial Narrow"/>
                <w:sz w:val="20"/>
                <w:szCs w:val="20"/>
              </w:rPr>
            </w:pPr>
            <w:r w:rsidRPr="00D8548E">
              <w:rPr>
                <w:rStyle w:val="Small"/>
                <w:rFonts w:ascii="Arial Narrow" w:hAnsi="Arial Narrow"/>
                <w:sz w:val="20"/>
                <w:szCs w:val="20"/>
              </w:rPr>
              <w:t>HK4801 (clade 3c.2a)</w:t>
            </w:r>
          </w:p>
        </w:tc>
        <w:tc>
          <w:tcPr>
            <w:tcW w:w="744" w:type="pct"/>
            <w:shd w:val="clear" w:color="auto" w:fill="FFFFFF" w:themeFill="background1"/>
            <w:vAlign w:val="center"/>
          </w:tcPr>
          <w:p w14:paraId="7BC9F89B" w14:textId="77777777" w:rsidR="000374ED" w:rsidRPr="00D8548E" w:rsidRDefault="000374ED" w:rsidP="008C5856">
            <w:pPr>
              <w:pStyle w:val="Table"/>
              <w:keepNext/>
              <w:keepLines/>
              <w:jc w:val="center"/>
              <w:rPr>
                <w:rStyle w:val="Small"/>
                <w:rFonts w:ascii="Arial Narrow" w:hAnsi="Arial Narrow"/>
                <w:sz w:val="20"/>
                <w:szCs w:val="20"/>
              </w:rPr>
            </w:pPr>
            <w:r w:rsidRPr="00D8548E">
              <w:rPr>
                <w:rStyle w:val="Small"/>
                <w:rFonts w:ascii="Arial Narrow" w:hAnsi="Arial Narrow"/>
                <w:sz w:val="20"/>
                <w:szCs w:val="20"/>
              </w:rPr>
              <w:t>1.6 (1.3-1.8)</w:t>
            </w:r>
          </w:p>
        </w:tc>
        <w:tc>
          <w:tcPr>
            <w:tcW w:w="661" w:type="pct"/>
            <w:shd w:val="clear" w:color="auto" w:fill="FFFFFF" w:themeFill="background1"/>
            <w:vAlign w:val="center"/>
          </w:tcPr>
          <w:p w14:paraId="0E534926"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1.6 (1.3-2.0)</w:t>
            </w:r>
          </w:p>
        </w:tc>
        <w:tc>
          <w:tcPr>
            <w:tcW w:w="661" w:type="pct"/>
            <w:shd w:val="clear" w:color="auto" w:fill="FFFFFF" w:themeFill="background1"/>
            <w:vAlign w:val="center"/>
          </w:tcPr>
          <w:p w14:paraId="2C29ED94"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2.0 (1.7-2.5)</w:t>
            </w:r>
          </w:p>
        </w:tc>
        <w:tc>
          <w:tcPr>
            <w:tcW w:w="661" w:type="pct"/>
            <w:shd w:val="clear" w:color="auto" w:fill="FFFFFF" w:themeFill="background1"/>
            <w:vAlign w:val="center"/>
          </w:tcPr>
          <w:p w14:paraId="5F8C1823" w14:textId="77777777" w:rsidR="000374ED" w:rsidRPr="00D8548E" w:rsidRDefault="000374ED"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0.04</w:t>
            </w:r>
          </w:p>
        </w:tc>
        <w:tc>
          <w:tcPr>
            <w:tcW w:w="622" w:type="pct"/>
            <w:shd w:val="clear" w:color="auto" w:fill="FFFFFF" w:themeFill="background1"/>
            <w:vAlign w:val="center"/>
          </w:tcPr>
          <w:p w14:paraId="1C86DA99"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0.10</w:t>
            </w:r>
          </w:p>
        </w:tc>
      </w:tr>
      <w:tr w:rsidR="000374ED" w:rsidRPr="00D8548E" w14:paraId="73C6D08D" w14:textId="77777777" w:rsidTr="008C5856">
        <w:tc>
          <w:tcPr>
            <w:tcW w:w="1650" w:type="pct"/>
            <w:shd w:val="clear" w:color="auto" w:fill="FFFFFF" w:themeFill="background1"/>
          </w:tcPr>
          <w:p w14:paraId="5C748FB7" w14:textId="77777777" w:rsidR="000374ED" w:rsidRPr="00D8548E" w:rsidRDefault="000374ED" w:rsidP="003955B2">
            <w:pPr>
              <w:pStyle w:val="Table"/>
              <w:keepNext/>
              <w:keepLines/>
              <w:rPr>
                <w:rStyle w:val="Small"/>
                <w:rFonts w:ascii="Arial Narrow" w:hAnsi="Arial Narrow"/>
                <w:sz w:val="20"/>
                <w:szCs w:val="20"/>
              </w:rPr>
            </w:pPr>
            <w:r w:rsidRPr="00D8548E">
              <w:rPr>
                <w:rFonts w:ascii="Arial Narrow" w:hAnsi="Arial Narrow"/>
                <w:sz w:val="20"/>
                <w:szCs w:val="20"/>
              </w:rPr>
              <w:t>A/Singapore/INFIMH-16-0019/2016</w:t>
            </w:r>
          </w:p>
          <w:p w14:paraId="7EBA399E" w14:textId="77777777" w:rsidR="000374ED" w:rsidRPr="00D8548E" w:rsidRDefault="000374ED" w:rsidP="003955B2">
            <w:pPr>
              <w:pStyle w:val="Table"/>
              <w:keepNext/>
              <w:keepLines/>
              <w:rPr>
                <w:rStyle w:val="Small"/>
                <w:rFonts w:ascii="Arial Narrow" w:hAnsi="Arial Narrow"/>
                <w:sz w:val="20"/>
                <w:szCs w:val="20"/>
              </w:rPr>
            </w:pPr>
            <w:r w:rsidRPr="00D8548E">
              <w:rPr>
                <w:rStyle w:val="Small"/>
                <w:rFonts w:ascii="Arial Narrow" w:hAnsi="Arial Narrow"/>
                <w:sz w:val="20"/>
                <w:szCs w:val="20"/>
              </w:rPr>
              <w:t>SI16 (clade 3C.2a.1)</w:t>
            </w:r>
          </w:p>
        </w:tc>
        <w:tc>
          <w:tcPr>
            <w:tcW w:w="744" w:type="pct"/>
            <w:shd w:val="clear" w:color="auto" w:fill="FFFFFF" w:themeFill="background1"/>
            <w:vAlign w:val="center"/>
          </w:tcPr>
          <w:p w14:paraId="49414FF2" w14:textId="77777777" w:rsidR="000374ED" w:rsidRPr="00D8548E" w:rsidRDefault="000374ED" w:rsidP="008C5856">
            <w:pPr>
              <w:pStyle w:val="Table"/>
              <w:keepNext/>
              <w:keepLines/>
              <w:jc w:val="center"/>
              <w:rPr>
                <w:rStyle w:val="Small"/>
                <w:rFonts w:ascii="Arial Narrow" w:hAnsi="Arial Narrow"/>
                <w:sz w:val="20"/>
                <w:szCs w:val="20"/>
              </w:rPr>
            </w:pPr>
            <w:r w:rsidRPr="00D8548E">
              <w:rPr>
                <w:rStyle w:val="Small"/>
                <w:rFonts w:ascii="Arial Narrow" w:hAnsi="Arial Narrow"/>
                <w:sz w:val="20"/>
                <w:szCs w:val="20"/>
              </w:rPr>
              <w:t>1.4 (1.1-1.8)</w:t>
            </w:r>
          </w:p>
        </w:tc>
        <w:tc>
          <w:tcPr>
            <w:tcW w:w="661" w:type="pct"/>
            <w:shd w:val="clear" w:color="auto" w:fill="FFFFFF" w:themeFill="background1"/>
            <w:vAlign w:val="center"/>
          </w:tcPr>
          <w:p w14:paraId="69A4BFF8"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1.7 (1.4-2.2)</w:t>
            </w:r>
          </w:p>
        </w:tc>
        <w:tc>
          <w:tcPr>
            <w:tcW w:w="661" w:type="pct"/>
            <w:shd w:val="clear" w:color="auto" w:fill="FFFFFF" w:themeFill="background1"/>
            <w:vAlign w:val="center"/>
          </w:tcPr>
          <w:p w14:paraId="70656AC0"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3.3 (2.4-4.5)</w:t>
            </w:r>
          </w:p>
        </w:tc>
        <w:tc>
          <w:tcPr>
            <w:tcW w:w="661" w:type="pct"/>
            <w:shd w:val="clear" w:color="auto" w:fill="FFFFFF" w:themeFill="background1"/>
            <w:vAlign w:val="center"/>
          </w:tcPr>
          <w:p w14:paraId="7DBD49E6" w14:textId="77777777" w:rsidR="000374ED" w:rsidRPr="00D8548E" w:rsidRDefault="000374ED"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0.0001</w:t>
            </w:r>
          </w:p>
        </w:tc>
        <w:tc>
          <w:tcPr>
            <w:tcW w:w="622" w:type="pct"/>
            <w:shd w:val="clear" w:color="auto" w:fill="FFFFFF" w:themeFill="background1"/>
            <w:vAlign w:val="center"/>
          </w:tcPr>
          <w:p w14:paraId="61C8EA06" w14:textId="77777777" w:rsidR="000374ED" w:rsidRPr="00D8548E" w:rsidRDefault="000374ED"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0.002</w:t>
            </w:r>
          </w:p>
        </w:tc>
      </w:tr>
      <w:tr w:rsidR="000374ED" w:rsidRPr="00D8548E" w14:paraId="76E22658" w14:textId="77777777" w:rsidTr="008C5856">
        <w:tc>
          <w:tcPr>
            <w:tcW w:w="1650" w:type="pct"/>
            <w:shd w:val="clear" w:color="auto" w:fill="FFFFFF" w:themeFill="background1"/>
          </w:tcPr>
          <w:p w14:paraId="2D3BB267" w14:textId="77777777" w:rsidR="000374ED" w:rsidRPr="00D8548E" w:rsidRDefault="000374ED" w:rsidP="003955B2">
            <w:pPr>
              <w:pStyle w:val="Table"/>
              <w:keepNext/>
              <w:keepLines/>
              <w:rPr>
                <w:rStyle w:val="Small"/>
                <w:rFonts w:ascii="Arial Narrow" w:hAnsi="Arial Narrow"/>
                <w:sz w:val="20"/>
                <w:szCs w:val="20"/>
              </w:rPr>
            </w:pPr>
            <w:r w:rsidRPr="00D8548E">
              <w:rPr>
                <w:rFonts w:ascii="Arial Narrow" w:hAnsi="Arial Narrow"/>
                <w:sz w:val="20"/>
                <w:szCs w:val="20"/>
              </w:rPr>
              <w:t>A/Kentucky/29/2017</w:t>
            </w:r>
          </w:p>
          <w:p w14:paraId="6637D296" w14:textId="77777777" w:rsidR="000374ED" w:rsidRPr="00D8548E" w:rsidRDefault="000374ED" w:rsidP="003955B2">
            <w:pPr>
              <w:pStyle w:val="Table"/>
              <w:keepNext/>
              <w:keepLines/>
              <w:rPr>
                <w:rStyle w:val="Small"/>
                <w:rFonts w:ascii="Arial Narrow" w:hAnsi="Arial Narrow"/>
                <w:sz w:val="20"/>
                <w:szCs w:val="20"/>
              </w:rPr>
            </w:pPr>
            <w:r w:rsidRPr="00D8548E">
              <w:rPr>
                <w:rStyle w:val="Small"/>
                <w:rFonts w:ascii="Arial Narrow" w:hAnsi="Arial Narrow"/>
                <w:sz w:val="20"/>
                <w:szCs w:val="20"/>
              </w:rPr>
              <w:t>KY29 (clade 3C.2a2)</w:t>
            </w:r>
          </w:p>
        </w:tc>
        <w:tc>
          <w:tcPr>
            <w:tcW w:w="744" w:type="pct"/>
            <w:shd w:val="clear" w:color="auto" w:fill="FFFFFF" w:themeFill="background1"/>
            <w:vAlign w:val="center"/>
          </w:tcPr>
          <w:p w14:paraId="0696B50A" w14:textId="77777777" w:rsidR="000374ED" w:rsidRPr="00D8548E" w:rsidRDefault="000374ED" w:rsidP="008C5856">
            <w:pPr>
              <w:pStyle w:val="Table"/>
              <w:keepNext/>
              <w:keepLines/>
              <w:jc w:val="center"/>
              <w:rPr>
                <w:rStyle w:val="Small"/>
                <w:rFonts w:ascii="Arial Narrow" w:hAnsi="Arial Narrow"/>
                <w:sz w:val="20"/>
                <w:szCs w:val="20"/>
              </w:rPr>
            </w:pPr>
            <w:r w:rsidRPr="00D8548E">
              <w:rPr>
                <w:rStyle w:val="Small"/>
                <w:rFonts w:ascii="Arial Narrow" w:hAnsi="Arial Narrow"/>
                <w:sz w:val="20"/>
                <w:szCs w:val="20"/>
              </w:rPr>
              <w:t>1.6 (1.2-2.0)</w:t>
            </w:r>
          </w:p>
        </w:tc>
        <w:tc>
          <w:tcPr>
            <w:tcW w:w="661" w:type="pct"/>
            <w:shd w:val="clear" w:color="auto" w:fill="FFFFFF" w:themeFill="background1"/>
            <w:vAlign w:val="center"/>
          </w:tcPr>
          <w:p w14:paraId="5EABED5D"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1.6 (1.2-2.0)</w:t>
            </w:r>
          </w:p>
        </w:tc>
        <w:tc>
          <w:tcPr>
            <w:tcW w:w="661" w:type="pct"/>
            <w:shd w:val="clear" w:color="auto" w:fill="FFFFFF" w:themeFill="background1"/>
            <w:vAlign w:val="center"/>
          </w:tcPr>
          <w:p w14:paraId="04BDF37D"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3.5 (2.7-4.7)</w:t>
            </w:r>
          </w:p>
        </w:tc>
        <w:tc>
          <w:tcPr>
            <w:tcW w:w="661" w:type="pct"/>
            <w:shd w:val="clear" w:color="auto" w:fill="FFFFFF" w:themeFill="background1"/>
            <w:vAlign w:val="center"/>
          </w:tcPr>
          <w:p w14:paraId="0632A8B4" w14:textId="77777777" w:rsidR="000374ED" w:rsidRPr="00D8548E" w:rsidRDefault="000374ED"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&lt;0.0001</w:t>
            </w:r>
          </w:p>
        </w:tc>
        <w:tc>
          <w:tcPr>
            <w:tcW w:w="622" w:type="pct"/>
            <w:shd w:val="clear" w:color="auto" w:fill="FFFFFF" w:themeFill="background1"/>
            <w:vAlign w:val="center"/>
          </w:tcPr>
          <w:p w14:paraId="607EADE5" w14:textId="77777777" w:rsidR="000374ED" w:rsidRPr="00D8548E" w:rsidRDefault="000374ED"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&lt;0.0001</w:t>
            </w:r>
          </w:p>
        </w:tc>
      </w:tr>
      <w:tr w:rsidR="000374ED" w:rsidRPr="00D8548E" w14:paraId="67D2DB99" w14:textId="77777777" w:rsidTr="008C5856">
        <w:tc>
          <w:tcPr>
            <w:tcW w:w="1650" w:type="pct"/>
            <w:shd w:val="clear" w:color="auto" w:fill="FFFFFF" w:themeFill="background1"/>
          </w:tcPr>
          <w:p w14:paraId="5CE5FD58" w14:textId="77777777" w:rsidR="000374ED" w:rsidRPr="00D8548E" w:rsidRDefault="000374ED" w:rsidP="003955B2">
            <w:pPr>
              <w:pStyle w:val="Table"/>
              <w:keepNext/>
              <w:keepLines/>
              <w:rPr>
                <w:rStyle w:val="Small"/>
                <w:rFonts w:ascii="Arial Narrow" w:hAnsi="Arial Narrow"/>
                <w:sz w:val="20"/>
                <w:szCs w:val="20"/>
              </w:rPr>
            </w:pPr>
            <w:r w:rsidRPr="00D8548E">
              <w:rPr>
                <w:rFonts w:ascii="Arial Narrow" w:hAnsi="Arial Narrow"/>
                <w:sz w:val="20"/>
                <w:szCs w:val="20"/>
              </w:rPr>
              <w:t>A/Kansas/14/2017</w:t>
            </w:r>
          </w:p>
          <w:p w14:paraId="7E351113" w14:textId="77777777" w:rsidR="000374ED" w:rsidRPr="00D8548E" w:rsidRDefault="000374ED" w:rsidP="003955B2">
            <w:pPr>
              <w:pStyle w:val="Table"/>
              <w:keepNext/>
              <w:keepLines/>
              <w:rPr>
                <w:rStyle w:val="Small"/>
                <w:rFonts w:ascii="Arial Narrow" w:hAnsi="Arial Narrow"/>
                <w:sz w:val="20"/>
                <w:szCs w:val="20"/>
              </w:rPr>
            </w:pPr>
            <w:r w:rsidRPr="00D8548E">
              <w:rPr>
                <w:rStyle w:val="Small"/>
                <w:rFonts w:ascii="Arial Narrow" w:hAnsi="Arial Narrow"/>
                <w:sz w:val="20"/>
                <w:szCs w:val="20"/>
              </w:rPr>
              <w:t>KS14 (clade 3c.3a)</w:t>
            </w:r>
          </w:p>
        </w:tc>
        <w:tc>
          <w:tcPr>
            <w:tcW w:w="744" w:type="pct"/>
            <w:shd w:val="clear" w:color="auto" w:fill="FFFFFF" w:themeFill="background1"/>
            <w:vAlign w:val="center"/>
          </w:tcPr>
          <w:p w14:paraId="54DD0C9F" w14:textId="77777777" w:rsidR="000374ED" w:rsidRPr="00D8548E" w:rsidRDefault="000374ED" w:rsidP="008C5856">
            <w:pPr>
              <w:pStyle w:val="Table"/>
              <w:keepNext/>
              <w:keepLines/>
              <w:jc w:val="center"/>
              <w:rPr>
                <w:rStyle w:val="Small"/>
                <w:rFonts w:ascii="Arial Narrow" w:hAnsi="Arial Narrow"/>
                <w:sz w:val="20"/>
                <w:szCs w:val="20"/>
              </w:rPr>
            </w:pPr>
            <w:r w:rsidRPr="00D8548E">
              <w:rPr>
                <w:rStyle w:val="Small"/>
                <w:rFonts w:ascii="Arial Narrow" w:hAnsi="Arial Narrow"/>
                <w:sz w:val="20"/>
                <w:szCs w:val="20"/>
              </w:rPr>
              <w:t>1.3 (1.1-1.6)</w:t>
            </w:r>
          </w:p>
        </w:tc>
        <w:tc>
          <w:tcPr>
            <w:tcW w:w="661" w:type="pct"/>
            <w:shd w:val="clear" w:color="auto" w:fill="FFFFFF" w:themeFill="background1"/>
            <w:vAlign w:val="center"/>
          </w:tcPr>
          <w:p w14:paraId="3F3A2061"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1.7 (1.3-2.1)</w:t>
            </w:r>
          </w:p>
        </w:tc>
        <w:tc>
          <w:tcPr>
            <w:tcW w:w="661" w:type="pct"/>
            <w:shd w:val="clear" w:color="auto" w:fill="FFFFFF" w:themeFill="background1"/>
            <w:vAlign w:val="center"/>
          </w:tcPr>
          <w:p w14:paraId="33F9034E" w14:textId="77777777" w:rsidR="000374ED" w:rsidRPr="00D8548E" w:rsidRDefault="000374ED" w:rsidP="008C5856">
            <w:pPr>
              <w:pStyle w:val="TableCentre"/>
              <w:keepNext/>
              <w:keepLines/>
              <w:rPr>
                <w:rStyle w:val="Small"/>
                <w:rFonts w:ascii="Arial Narrow" w:hAnsi="Arial Narrow"/>
                <w:sz w:val="20"/>
                <w:szCs w:val="20"/>
              </w:rPr>
            </w:pPr>
            <w:r w:rsidRPr="00D8548E">
              <w:rPr>
                <w:rStyle w:val="Small"/>
                <w:rFonts w:ascii="Arial Narrow" w:hAnsi="Arial Narrow"/>
                <w:sz w:val="20"/>
                <w:szCs w:val="20"/>
              </w:rPr>
              <w:t>2.9 (2.0-4.3)</w:t>
            </w:r>
          </w:p>
        </w:tc>
        <w:tc>
          <w:tcPr>
            <w:tcW w:w="661" w:type="pct"/>
            <w:shd w:val="clear" w:color="auto" w:fill="FFFFFF" w:themeFill="background1"/>
            <w:vAlign w:val="center"/>
          </w:tcPr>
          <w:p w14:paraId="7300878C" w14:textId="77777777" w:rsidR="000374ED" w:rsidRPr="00D8548E" w:rsidRDefault="000374ED"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0.0004</w:t>
            </w:r>
          </w:p>
        </w:tc>
        <w:tc>
          <w:tcPr>
            <w:tcW w:w="622" w:type="pct"/>
            <w:shd w:val="clear" w:color="auto" w:fill="FFFFFF" w:themeFill="background1"/>
            <w:vAlign w:val="center"/>
          </w:tcPr>
          <w:p w14:paraId="765CF93F" w14:textId="77777777" w:rsidR="000374ED" w:rsidRPr="00D8548E" w:rsidRDefault="000374ED" w:rsidP="008C5856">
            <w:pPr>
              <w:pStyle w:val="TableCentre"/>
              <w:keepNext/>
              <w:keepLines/>
              <w:rPr>
                <w:rStyle w:val="Small"/>
                <w:rFonts w:ascii="Arial Narrow" w:hAnsi="Arial Narrow"/>
                <w:b/>
                <w:bCs/>
                <w:sz w:val="20"/>
                <w:szCs w:val="20"/>
              </w:rPr>
            </w:pPr>
            <w:r w:rsidRPr="00D8548E">
              <w:rPr>
                <w:rStyle w:val="Small"/>
                <w:rFonts w:ascii="Arial Narrow" w:hAnsi="Arial Narrow"/>
                <w:b/>
                <w:bCs/>
                <w:sz w:val="20"/>
                <w:szCs w:val="20"/>
              </w:rPr>
              <w:t>0.01</w:t>
            </w:r>
          </w:p>
        </w:tc>
      </w:tr>
    </w:tbl>
    <w:p w14:paraId="1F3F6436" w14:textId="5B30DC5B" w:rsidR="000374ED" w:rsidRPr="00D8548E" w:rsidRDefault="000374ED" w:rsidP="003955B2">
      <w:pPr>
        <w:pStyle w:val="CaptionFootnote"/>
        <w:keepNext/>
        <w:keepLines/>
        <w:rPr>
          <w:rFonts w:ascii="Arial Narrow" w:hAnsi="Arial Narrow"/>
        </w:rPr>
      </w:pPr>
      <w:r w:rsidRPr="00D8548E">
        <w:rPr>
          <w:rFonts w:ascii="Arial Narrow" w:hAnsi="Arial Narrow"/>
        </w:rPr>
        <w:t xml:space="preserve">Source: </w:t>
      </w:r>
      <w:r w:rsidR="007569F9" w:rsidRPr="00D8548E">
        <w:rPr>
          <w:rFonts w:ascii="Arial Narrow" w:hAnsi="Arial Narrow"/>
        </w:rPr>
        <w:t xml:space="preserve">Table 2-25, p42 of the submission </w:t>
      </w:r>
    </w:p>
    <w:p w14:paraId="596C903B" w14:textId="0C3174E0" w:rsidR="006C7CED" w:rsidRDefault="00167A2A" w:rsidP="003955B2">
      <w:pPr>
        <w:pStyle w:val="CaptionFootnote"/>
        <w:keepNext/>
        <w:keepLines/>
        <w:rPr>
          <w:rFonts w:ascii="Arial Narrow" w:eastAsia="Calibri" w:hAnsi="Arial Narrow" w:cs="Calibri"/>
        </w:rPr>
      </w:pPr>
      <w:r w:rsidRPr="00D8548E">
        <w:rPr>
          <w:rFonts w:ascii="Arial Narrow" w:eastAsia="Calibri" w:hAnsi="Arial Narrow" w:cs="Calibri"/>
        </w:rPr>
        <w:t xml:space="preserve">aTIV = adjuvanted trivalent influenza vaccine (Fluad); </w:t>
      </w:r>
      <w:r w:rsidR="001663B3">
        <w:rPr>
          <w:rFonts w:ascii="Arial Narrow" w:eastAsia="Calibri" w:hAnsi="Arial Narrow" w:cs="Calibri"/>
        </w:rPr>
        <w:t xml:space="preserve">CI = confidence interval; </w:t>
      </w:r>
      <w:r w:rsidRPr="00D8548E">
        <w:rPr>
          <w:rFonts w:ascii="Arial Narrow" w:hAnsi="Arial Narrow"/>
        </w:rPr>
        <w:t>GMFR = geometric mean fold rise;</w:t>
      </w:r>
      <w:r w:rsidR="003955B2" w:rsidRPr="00D8548E">
        <w:rPr>
          <w:rFonts w:ascii="Arial Narrow" w:hAnsi="Arial Narrow"/>
        </w:rPr>
        <w:t xml:space="preserve"> RIV4 = quadrivalent recombinant influenza vaccine (Flublok Quad); </w:t>
      </w:r>
      <w:r w:rsidR="003955B2" w:rsidRPr="00D8548E">
        <w:rPr>
          <w:rFonts w:ascii="Arial Narrow" w:eastAsia="Calibri" w:hAnsi="Arial Narrow" w:cs="Calibri"/>
        </w:rPr>
        <w:t>TIV-HD = high dose inactivated trivalent influenza vaccine (Fluzone High-Dose)</w:t>
      </w:r>
    </w:p>
    <w:p w14:paraId="7C827C4D" w14:textId="0D333069" w:rsidR="00167A2A" w:rsidRPr="00D8548E" w:rsidRDefault="006C7CED" w:rsidP="0073365E">
      <w:pPr>
        <w:pStyle w:val="FooterTableFigure"/>
      </w:pPr>
      <w:r w:rsidRPr="00D8548E">
        <w:rPr>
          <w:b/>
          <w:bCs/>
        </w:rPr>
        <w:t>Bold</w:t>
      </w:r>
      <w:r w:rsidRPr="00D8548E">
        <w:t xml:space="preserve"> indicates values that are </w:t>
      </w:r>
      <w:r>
        <w:t xml:space="preserve">statistically </w:t>
      </w:r>
      <w:r w:rsidRPr="00D8548E">
        <w:t>significant</w:t>
      </w:r>
      <w:r>
        <w:t>.</w:t>
      </w:r>
    </w:p>
    <w:bookmarkEnd w:id="36"/>
    <w:p w14:paraId="39F84FB9" w14:textId="2C39F3D9" w:rsidR="000374ED" w:rsidRPr="00D8548E" w:rsidRDefault="003955B2" w:rsidP="005B0FBD">
      <w:pPr>
        <w:pStyle w:val="3-BodyText"/>
        <w:spacing w:before="120"/>
      </w:pPr>
      <w:r w:rsidRPr="00D8548E">
        <w:lastRenderedPageBreak/>
        <w:t xml:space="preserve">RIV4 was associated with a greater geometric mean fold rise against three of the representative circulating viruses (i.e. SI16 (clade 3C.2a1), KY29 (clade 3C.2a2) and KS14 (clade 3c.3a) compared with either TIV-HD or aTIV. </w:t>
      </w:r>
      <w:r w:rsidR="000374ED" w:rsidRPr="00D8548E">
        <w:t xml:space="preserve">Overall, the study authors concluded that </w:t>
      </w:r>
      <w:r w:rsidR="00B86FC5" w:rsidRPr="00D8548E">
        <w:t xml:space="preserve">RIV4 </w:t>
      </w:r>
      <w:r w:rsidR="000374ED" w:rsidRPr="00D8548E">
        <w:t xml:space="preserve">generated a higher level of cross-protective antibodies against antigenically advanced viruses compared to egg-derived vaccines in older adults. However, </w:t>
      </w:r>
      <w:r w:rsidRPr="00D8548E">
        <w:t xml:space="preserve">the authors further stated that </w:t>
      </w:r>
      <w:r w:rsidR="000374ED" w:rsidRPr="00D8548E">
        <w:t>the mechanism and clinical relevance remain</w:t>
      </w:r>
      <w:r w:rsidR="007D74F5" w:rsidRPr="00D8548E">
        <w:t>ed</w:t>
      </w:r>
      <w:r w:rsidR="000374ED" w:rsidRPr="00D8548E">
        <w:t xml:space="preserve"> unclear, particularly since post vaccination titres were relatively low in all groups. </w:t>
      </w:r>
    </w:p>
    <w:p w14:paraId="13BAF442" w14:textId="0F2D045D" w:rsidR="000374ED" w:rsidRPr="00D8548E" w:rsidRDefault="00B86FC5" w:rsidP="00B86FC5">
      <w:pPr>
        <w:pStyle w:val="3-BodyText"/>
      </w:pPr>
      <w:r w:rsidRPr="00D8548E">
        <w:t>The results f</w:t>
      </w:r>
      <w:r w:rsidR="000374ED" w:rsidRPr="00D8548E">
        <w:t>rom Cowling et al 2020</w:t>
      </w:r>
      <w:r w:rsidRPr="00D8548E">
        <w:t xml:space="preserve"> for </w:t>
      </w:r>
      <w:r w:rsidR="000374ED" w:rsidRPr="00D8548E">
        <w:t xml:space="preserve">the comparison of pre- and post-vaccination antibody titres and </w:t>
      </w:r>
      <w:r w:rsidR="005B3254" w:rsidRPr="00D8548E">
        <w:t xml:space="preserve">the corresponding mean </w:t>
      </w:r>
      <w:r w:rsidR="000374ED" w:rsidRPr="00D8548E">
        <w:t xml:space="preserve">fold rises across vaccines is summarised in </w:t>
      </w:r>
      <w:r w:rsidR="007569F9" w:rsidRPr="00D8548E">
        <w:fldChar w:fldCharType="begin" w:fldLock="1"/>
      </w:r>
      <w:r w:rsidR="007569F9" w:rsidRPr="00D8548E">
        <w:instrText xml:space="preserve"> REF _Ref155610292 \h </w:instrText>
      </w:r>
      <w:r w:rsidR="00D8548E" w:rsidRPr="00D8548E">
        <w:instrText xml:space="preserve"> \* MERGEFORMAT </w:instrText>
      </w:r>
      <w:r w:rsidR="007569F9" w:rsidRPr="00D8548E">
        <w:fldChar w:fldCharType="separate"/>
      </w:r>
      <w:r w:rsidR="00C364E6" w:rsidRPr="00D8548E">
        <w:t xml:space="preserve">Table </w:t>
      </w:r>
      <w:r w:rsidR="00C364E6">
        <w:rPr>
          <w:noProof/>
        </w:rPr>
        <w:t>8</w:t>
      </w:r>
      <w:r w:rsidR="007569F9" w:rsidRPr="00D8548E">
        <w:fldChar w:fldCharType="end"/>
      </w:r>
      <w:r w:rsidR="000374ED" w:rsidRPr="00D8548E">
        <w:t xml:space="preserve">. </w:t>
      </w:r>
    </w:p>
    <w:p w14:paraId="27E3D232" w14:textId="4120C50B" w:rsidR="000374ED" w:rsidRPr="00D8548E" w:rsidRDefault="007569F9" w:rsidP="0073365E">
      <w:pPr>
        <w:pStyle w:val="Caption"/>
      </w:pPr>
      <w:bookmarkStart w:id="37" w:name="_Ref155610292"/>
      <w:bookmarkStart w:id="38" w:name="_Toc149549693"/>
      <w:r w:rsidRPr="00D8548E">
        <w:lastRenderedPageBreak/>
        <w:t xml:space="preserve">Table </w:t>
      </w:r>
      <w:r w:rsidR="005362BD">
        <w:fldChar w:fldCharType="begin" w:fldLock="1"/>
      </w:r>
      <w:r w:rsidR="005362BD">
        <w:instrText xml:space="preserve"> SEQ Table \* ARABIC </w:instrText>
      </w:r>
      <w:r w:rsidR="005362BD">
        <w:fldChar w:fldCharType="separate"/>
      </w:r>
      <w:r w:rsidR="00C364E6">
        <w:rPr>
          <w:noProof/>
        </w:rPr>
        <w:t>8</w:t>
      </w:r>
      <w:r w:rsidR="005362BD">
        <w:rPr>
          <w:noProof/>
        </w:rPr>
        <w:fldChar w:fldCharType="end"/>
      </w:r>
      <w:bookmarkEnd w:id="37"/>
      <w:r w:rsidRPr="00D8548E">
        <w:t xml:space="preserve">: </w:t>
      </w:r>
      <w:r w:rsidR="000374ED" w:rsidRPr="00D8548E">
        <w:t>Summary of pre- and post-vaccination antibody titres and fold rises by group</w:t>
      </w:r>
      <w:bookmarkEnd w:id="38"/>
    </w:p>
    <w:tbl>
      <w:tblPr>
        <w:tblStyle w:val="TableGrid"/>
        <w:tblW w:w="5000" w:type="pct"/>
        <w:tblLook w:val="04A0" w:firstRow="1" w:lastRow="0" w:firstColumn="1" w:lastColumn="0" w:noHBand="0" w:noVBand="1"/>
        <w:tblCaption w:val="Table 8: Summary of pre- and post-vaccination antibody titres and fold rises by group"/>
      </w:tblPr>
      <w:tblGrid>
        <w:gridCol w:w="2938"/>
        <w:gridCol w:w="1401"/>
        <w:gridCol w:w="1540"/>
        <w:gridCol w:w="1540"/>
        <w:gridCol w:w="1598"/>
      </w:tblGrid>
      <w:tr w:rsidR="000374ED" w:rsidRPr="00D8548E" w14:paraId="063C7E75" w14:textId="77777777" w:rsidTr="00123F69">
        <w:tc>
          <w:tcPr>
            <w:tcW w:w="1629" w:type="pct"/>
            <w:vMerge w:val="restart"/>
            <w:shd w:val="clear" w:color="auto" w:fill="FFFFFF" w:themeFill="background1"/>
          </w:tcPr>
          <w:p w14:paraId="6A037FE9" w14:textId="77777777" w:rsidR="000374ED" w:rsidRPr="00D8548E" w:rsidRDefault="000374ED" w:rsidP="0073365E">
            <w:pPr>
              <w:pStyle w:val="TableText0"/>
              <w:keepLines/>
              <w:rPr>
                <w:rStyle w:val="Small"/>
                <w:rFonts w:ascii="Arial Narrow" w:hAnsi="Arial Narrow"/>
                <w:b/>
                <w:bCs w:val="0"/>
                <w:sz w:val="20"/>
                <w:szCs w:val="20"/>
              </w:rPr>
            </w:pPr>
            <w:r w:rsidRPr="00D8548E">
              <w:rPr>
                <w:rStyle w:val="Small"/>
                <w:rFonts w:ascii="Arial Narrow" w:hAnsi="Arial Narrow"/>
                <w:b/>
                <w:bCs w:val="0"/>
                <w:sz w:val="20"/>
                <w:szCs w:val="20"/>
              </w:rPr>
              <w:t>Assay</w:t>
            </w:r>
          </w:p>
          <w:p w14:paraId="234EECE1" w14:textId="77777777" w:rsidR="000374ED" w:rsidRPr="00D8548E" w:rsidRDefault="000374ED" w:rsidP="0073365E">
            <w:pPr>
              <w:pStyle w:val="TableText0"/>
              <w:keepLines/>
              <w:rPr>
                <w:rStyle w:val="Small"/>
                <w:rFonts w:ascii="Arial Narrow" w:hAnsi="Arial Narrow"/>
                <w:b/>
                <w:bCs w:val="0"/>
                <w:sz w:val="20"/>
                <w:szCs w:val="20"/>
              </w:rPr>
            </w:pPr>
            <w:r w:rsidRPr="00D8548E">
              <w:rPr>
                <w:rStyle w:val="Small"/>
                <w:rFonts w:ascii="Arial Narrow" w:hAnsi="Arial Narrow"/>
                <w:b/>
                <w:bCs w:val="0"/>
                <w:sz w:val="20"/>
                <w:szCs w:val="20"/>
              </w:rPr>
              <w:t>Strain</w:t>
            </w:r>
          </w:p>
        </w:tc>
        <w:tc>
          <w:tcPr>
            <w:tcW w:w="777" w:type="pct"/>
            <w:shd w:val="clear" w:color="auto" w:fill="FFFFFF" w:themeFill="background1"/>
          </w:tcPr>
          <w:p w14:paraId="25E24869" w14:textId="08BB8920" w:rsidR="000374ED" w:rsidRPr="00D8548E" w:rsidRDefault="000374ED" w:rsidP="0073365E">
            <w:pPr>
              <w:pStyle w:val="TableText0"/>
              <w:keepLines/>
              <w:jc w:val="center"/>
              <w:rPr>
                <w:rStyle w:val="Small"/>
                <w:rFonts w:ascii="Arial Narrow" w:hAnsi="Arial Narrow"/>
                <w:b/>
                <w:bCs w:val="0"/>
                <w:sz w:val="20"/>
              </w:rPr>
            </w:pPr>
            <w:r w:rsidRPr="00D8548E">
              <w:rPr>
                <w:rStyle w:val="Small"/>
                <w:rFonts w:ascii="Arial Narrow" w:hAnsi="Arial Narrow"/>
                <w:b/>
                <w:bCs w:val="0"/>
                <w:sz w:val="20"/>
              </w:rPr>
              <w:t>QIVe</w:t>
            </w:r>
          </w:p>
          <w:p w14:paraId="7500A15C" w14:textId="77777777" w:rsidR="000374ED" w:rsidRPr="00D8548E" w:rsidRDefault="000374ED" w:rsidP="0073365E">
            <w:pPr>
              <w:pStyle w:val="TableText0"/>
              <w:keepLines/>
              <w:jc w:val="center"/>
              <w:rPr>
                <w:rStyle w:val="Small"/>
                <w:rFonts w:ascii="Arial Narrow" w:hAnsi="Arial Narrow"/>
                <w:b/>
                <w:bCs w:val="0"/>
                <w:sz w:val="20"/>
              </w:rPr>
            </w:pPr>
            <w:r w:rsidRPr="00D8548E">
              <w:rPr>
                <w:rStyle w:val="Small"/>
                <w:rFonts w:ascii="Arial Narrow" w:hAnsi="Arial Narrow"/>
                <w:b/>
                <w:bCs w:val="0"/>
                <w:sz w:val="20"/>
              </w:rPr>
              <w:t>n=200</w:t>
            </w:r>
          </w:p>
        </w:tc>
        <w:tc>
          <w:tcPr>
            <w:tcW w:w="854" w:type="pct"/>
            <w:shd w:val="clear" w:color="auto" w:fill="FFFFFF" w:themeFill="background1"/>
          </w:tcPr>
          <w:p w14:paraId="343B2F9F" w14:textId="262CE806" w:rsidR="000374ED" w:rsidRPr="00D8548E" w:rsidRDefault="000374ED" w:rsidP="0073365E">
            <w:pPr>
              <w:pStyle w:val="TableText0"/>
              <w:keepLines/>
              <w:jc w:val="center"/>
              <w:rPr>
                <w:rStyle w:val="Small"/>
                <w:rFonts w:ascii="Arial Narrow" w:hAnsi="Arial Narrow"/>
                <w:b/>
                <w:bCs w:val="0"/>
                <w:sz w:val="20"/>
              </w:rPr>
            </w:pPr>
            <w:r w:rsidRPr="00D8548E">
              <w:rPr>
                <w:rStyle w:val="Small"/>
                <w:rFonts w:ascii="Arial Narrow" w:hAnsi="Arial Narrow"/>
                <w:b/>
                <w:bCs w:val="0"/>
                <w:sz w:val="20"/>
              </w:rPr>
              <w:t>aTIV</w:t>
            </w:r>
          </w:p>
          <w:p w14:paraId="5D9EC180" w14:textId="77777777" w:rsidR="000374ED" w:rsidRPr="00D8548E" w:rsidRDefault="000374ED" w:rsidP="0073365E">
            <w:pPr>
              <w:pStyle w:val="TableText0"/>
              <w:keepLines/>
              <w:jc w:val="center"/>
              <w:rPr>
                <w:rStyle w:val="Small"/>
                <w:rFonts w:ascii="Arial Narrow" w:hAnsi="Arial Narrow"/>
                <w:b/>
                <w:bCs w:val="0"/>
                <w:sz w:val="20"/>
              </w:rPr>
            </w:pPr>
            <w:r w:rsidRPr="00D8548E">
              <w:rPr>
                <w:rStyle w:val="Small"/>
                <w:rFonts w:ascii="Arial Narrow" w:hAnsi="Arial Narrow"/>
                <w:b/>
                <w:bCs w:val="0"/>
                <w:sz w:val="20"/>
              </w:rPr>
              <w:t>n=200</w:t>
            </w:r>
          </w:p>
        </w:tc>
        <w:tc>
          <w:tcPr>
            <w:tcW w:w="854" w:type="pct"/>
            <w:shd w:val="clear" w:color="auto" w:fill="FFFFFF" w:themeFill="background1"/>
          </w:tcPr>
          <w:p w14:paraId="2E722411" w14:textId="4533E408" w:rsidR="000374ED" w:rsidRPr="00D8548E" w:rsidRDefault="000374ED" w:rsidP="0073365E">
            <w:pPr>
              <w:pStyle w:val="TableText0"/>
              <w:keepLines/>
              <w:jc w:val="center"/>
              <w:rPr>
                <w:rStyle w:val="Small"/>
                <w:rFonts w:ascii="Arial Narrow" w:hAnsi="Arial Narrow"/>
                <w:b/>
                <w:bCs w:val="0"/>
                <w:sz w:val="20"/>
              </w:rPr>
            </w:pPr>
            <w:r w:rsidRPr="00D8548E">
              <w:rPr>
                <w:rStyle w:val="Small"/>
                <w:rFonts w:ascii="Arial Narrow" w:hAnsi="Arial Narrow"/>
                <w:b/>
                <w:bCs w:val="0"/>
                <w:sz w:val="20"/>
              </w:rPr>
              <w:t>TIV-HD</w:t>
            </w:r>
          </w:p>
          <w:p w14:paraId="6BDE6E79" w14:textId="77777777" w:rsidR="000374ED" w:rsidRPr="00D8548E" w:rsidRDefault="000374ED" w:rsidP="0073365E">
            <w:pPr>
              <w:pStyle w:val="TableText0"/>
              <w:keepLines/>
              <w:jc w:val="center"/>
              <w:rPr>
                <w:rStyle w:val="Small"/>
                <w:rFonts w:ascii="Arial Narrow" w:hAnsi="Arial Narrow"/>
                <w:b/>
                <w:bCs w:val="0"/>
                <w:sz w:val="20"/>
              </w:rPr>
            </w:pPr>
            <w:r w:rsidRPr="00D8548E">
              <w:rPr>
                <w:rStyle w:val="Small"/>
                <w:rFonts w:ascii="Arial Narrow" w:hAnsi="Arial Narrow"/>
                <w:b/>
                <w:bCs w:val="0"/>
                <w:sz w:val="20"/>
              </w:rPr>
              <w:t>n=200</w:t>
            </w:r>
          </w:p>
        </w:tc>
        <w:tc>
          <w:tcPr>
            <w:tcW w:w="886" w:type="pct"/>
            <w:shd w:val="clear" w:color="auto" w:fill="FFFFFF" w:themeFill="background1"/>
          </w:tcPr>
          <w:p w14:paraId="4F41110A" w14:textId="743CC951" w:rsidR="000374ED" w:rsidRPr="00D8548E" w:rsidRDefault="000374ED" w:rsidP="0073365E">
            <w:pPr>
              <w:pStyle w:val="TableText0"/>
              <w:keepLines/>
              <w:jc w:val="center"/>
              <w:rPr>
                <w:rStyle w:val="Small"/>
                <w:rFonts w:ascii="Arial Narrow" w:hAnsi="Arial Narrow"/>
                <w:b/>
                <w:bCs w:val="0"/>
                <w:sz w:val="20"/>
              </w:rPr>
            </w:pPr>
            <w:r w:rsidRPr="00D8548E">
              <w:rPr>
                <w:rStyle w:val="Small"/>
                <w:rFonts w:ascii="Arial Narrow" w:hAnsi="Arial Narrow"/>
                <w:b/>
                <w:bCs w:val="0"/>
                <w:sz w:val="20"/>
              </w:rPr>
              <w:t>RIV4</w:t>
            </w:r>
          </w:p>
          <w:p w14:paraId="0E379ADB" w14:textId="77777777" w:rsidR="000374ED" w:rsidRPr="00D8548E" w:rsidRDefault="000374ED" w:rsidP="0073365E">
            <w:pPr>
              <w:pStyle w:val="TableText0"/>
              <w:keepLines/>
              <w:jc w:val="center"/>
              <w:rPr>
                <w:rStyle w:val="Small"/>
                <w:rFonts w:ascii="Arial Narrow" w:hAnsi="Arial Narrow"/>
                <w:b/>
                <w:bCs w:val="0"/>
                <w:sz w:val="20"/>
              </w:rPr>
            </w:pPr>
            <w:r w:rsidRPr="00D8548E">
              <w:rPr>
                <w:rStyle w:val="Small"/>
                <w:rFonts w:ascii="Arial Narrow" w:hAnsi="Arial Narrow"/>
                <w:b/>
                <w:bCs w:val="0"/>
                <w:sz w:val="20"/>
              </w:rPr>
              <w:t>n=200</w:t>
            </w:r>
          </w:p>
        </w:tc>
      </w:tr>
      <w:tr w:rsidR="000374ED" w:rsidRPr="00D8548E" w14:paraId="0F6057D5" w14:textId="77777777" w:rsidTr="00123F69">
        <w:tc>
          <w:tcPr>
            <w:tcW w:w="1629" w:type="pct"/>
            <w:vMerge/>
            <w:shd w:val="clear" w:color="auto" w:fill="FFFFFF" w:themeFill="background1"/>
          </w:tcPr>
          <w:p w14:paraId="59CBF923" w14:textId="77777777" w:rsidR="000374ED" w:rsidRPr="00D8548E" w:rsidRDefault="000374ED" w:rsidP="0073365E">
            <w:pPr>
              <w:pStyle w:val="TableText0"/>
              <w:keepLines/>
              <w:rPr>
                <w:rStyle w:val="Small"/>
                <w:rFonts w:ascii="Arial Narrow" w:hAnsi="Arial Narrow"/>
                <w:b/>
                <w:bCs w:val="0"/>
                <w:sz w:val="20"/>
                <w:szCs w:val="20"/>
              </w:rPr>
            </w:pPr>
          </w:p>
        </w:tc>
        <w:tc>
          <w:tcPr>
            <w:tcW w:w="777" w:type="pct"/>
            <w:shd w:val="clear" w:color="auto" w:fill="FFFFFF" w:themeFill="background1"/>
          </w:tcPr>
          <w:p w14:paraId="01219B1F" w14:textId="77777777" w:rsidR="000374ED" w:rsidRPr="00D8548E" w:rsidRDefault="000374ED" w:rsidP="0073365E">
            <w:pPr>
              <w:pStyle w:val="TableText0"/>
              <w:keepLines/>
              <w:jc w:val="center"/>
              <w:rPr>
                <w:rStyle w:val="Small"/>
                <w:rFonts w:ascii="Arial Narrow" w:hAnsi="Arial Narrow"/>
                <w:b/>
                <w:bCs w:val="0"/>
                <w:sz w:val="20"/>
                <w:szCs w:val="20"/>
              </w:rPr>
            </w:pPr>
            <w:r w:rsidRPr="00D8548E">
              <w:rPr>
                <w:rStyle w:val="Small"/>
                <w:rFonts w:ascii="Arial Narrow" w:hAnsi="Arial Narrow"/>
                <w:b/>
                <w:bCs w:val="0"/>
                <w:sz w:val="20"/>
                <w:szCs w:val="20"/>
              </w:rPr>
              <w:t>Estimate</w:t>
            </w:r>
          </w:p>
          <w:p w14:paraId="01489ADB" w14:textId="77777777" w:rsidR="000374ED" w:rsidRPr="00D8548E" w:rsidRDefault="000374ED" w:rsidP="0073365E">
            <w:pPr>
              <w:pStyle w:val="TableText0"/>
              <w:keepLines/>
              <w:jc w:val="center"/>
              <w:rPr>
                <w:rStyle w:val="Small"/>
                <w:rFonts w:ascii="Arial Narrow" w:hAnsi="Arial Narrow"/>
                <w:b/>
                <w:bCs w:val="0"/>
                <w:sz w:val="20"/>
                <w:szCs w:val="20"/>
              </w:rPr>
            </w:pPr>
            <w:r w:rsidRPr="00D8548E">
              <w:rPr>
                <w:rStyle w:val="Small"/>
                <w:rFonts w:ascii="Arial Narrow" w:hAnsi="Arial Narrow"/>
                <w:b/>
                <w:bCs w:val="0"/>
                <w:sz w:val="20"/>
                <w:szCs w:val="20"/>
              </w:rPr>
              <w:t>(95% CI)</w:t>
            </w:r>
          </w:p>
        </w:tc>
        <w:tc>
          <w:tcPr>
            <w:tcW w:w="854" w:type="pct"/>
            <w:shd w:val="clear" w:color="auto" w:fill="FFFFFF" w:themeFill="background1"/>
          </w:tcPr>
          <w:p w14:paraId="59696593" w14:textId="77777777" w:rsidR="000374ED" w:rsidRPr="00D8548E" w:rsidRDefault="000374ED" w:rsidP="0073365E">
            <w:pPr>
              <w:pStyle w:val="TableText0"/>
              <w:keepLines/>
              <w:jc w:val="center"/>
              <w:rPr>
                <w:rStyle w:val="Small"/>
                <w:rFonts w:ascii="Arial Narrow" w:hAnsi="Arial Narrow"/>
                <w:b/>
                <w:bCs w:val="0"/>
                <w:sz w:val="20"/>
                <w:szCs w:val="20"/>
              </w:rPr>
            </w:pPr>
            <w:r w:rsidRPr="00D8548E">
              <w:rPr>
                <w:rStyle w:val="Small"/>
                <w:rFonts w:ascii="Arial Narrow" w:hAnsi="Arial Narrow"/>
                <w:b/>
                <w:bCs w:val="0"/>
                <w:sz w:val="20"/>
                <w:szCs w:val="20"/>
              </w:rPr>
              <w:t>Estimate</w:t>
            </w:r>
          </w:p>
          <w:p w14:paraId="3B6AAF93" w14:textId="77777777" w:rsidR="000374ED" w:rsidRPr="00D8548E" w:rsidRDefault="000374ED" w:rsidP="0073365E">
            <w:pPr>
              <w:pStyle w:val="TableText0"/>
              <w:keepLines/>
              <w:jc w:val="center"/>
              <w:rPr>
                <w:rStyle w:val="Small"/>
                <w:rFonts w:ascii="Arial Narrow" w:hAnsi="Arial Narrow"/>
                <w:b/>
                <w:bCs w:val="0"/>
                <w:sz w:val="20"/>
                <w:szCs w:val="20"/>
              </w:rPr>
            </w:pPr>
            <w:r w:rsidRPr="00D8548E">
              <w:rPr>
                <w:rStyle w:val="Small"/>
                <w:rFonts w:ascii="Arial Narrow" w:hAnsi="Arial Narrow"/>
                <w:b/>
                <w:bCs w:val="0"/>
                <w:sz w:val="20"/>
                <w:szCs w:val="20"/>
              </w:rPr>
              <w:t>(95% CI)</w:t>
            </w:r>
          </w:p>
        </w:tc>
        <w:tc>
          <w:tcPr>
            <w:tcW w:w="854" w:type="pct"/>
            <w:shd w:val="clear" w:color="auto" w:fill="FFFFFF" w:themeFill="background1"/>
          </w:tcPr>
          <w:p w14:paraId="06DE6C9A" w14:textId="77777777" w:rsidR="000374ED" w:rsidRPr="00D8548E" w:rsidRDefault="000374ED" w:rsidP="0073365E">
            <w:pPr>
              <w:pStyle w:val="TableText0"/>
              <w:keepLines/>
              <w:jc w:val="center"/>
              <w:rPr>
                <w:rStyle w:val="Small"/>
                <w:rFonts w:ascii="Arial Narrow" w:hAnsi="Arial Narrow"/>
                <w:b/>
                <w:bCs w:val="0"/>
                <w:sz w:val="20"/>
                <w:szCs w:val="20"/>
              </w:rPr>
            </w:pPr>
            <w:r w:rsidRPr="00D8548E">
              <w:rPr>
                <w:rStyle w:val="Small"/>
                <w:rFonts w:ascii="Arial Narrow" w:hAnsi="Arial Narrow"/>
                <w:b/>
                <w:bCs w:val="0"/>
                <w:sz w:val="20"/>
                <w:szCs w:val="20"/>
              </w:rPr>
              <w:t>Estimate</w:t>
            </w:r>
          </w:p>
          <w:p w14:paraId="1DF90D64" w14:textId="77777777" w:rsidR="000374ED" w:rsidRPr="00D8548E" w:rsidRDefault="000374ED" w:rsidP="0073365E">
            <w:pPr>
              <w:pStyle w:val="TableText0"/>
              <w:keepLines/>
              <w:jc w:val="center"/>
              <w:rPr>
                <w:rStyle w:val="Small"/>
                <w:rFonts w:ascii="Arial Narrow" w:hAnsi="Arial Narrow"/>
                <w:b/>
                <w:bCs w:val="0"/>
                <w:sz w:val="20"/>
                <w:szCs w:val="20"/>
              </w:rPr>
            </w:pPr>
            <w:r w:rsidRPr="00D8548E">
              <w:rPr>
                <w:rStyle w:val="Small"/>
                <w:rFonts w:ascii="Arial Narrow" w:hAnsi="Arial Narrow"/>
                <w:b/>
                <w:bCs w:val="0"/>
                <w:sz w:val="20"/>
                <w:szCs w:val="20"/>
              </w:rPr>
              <w:t>(95% CI)</w:t>
            </w:r>
          </w:p>
        </w:tc>
        <w:tc>
          <w:tcPr>
            <w:tcW w:w="886" w:type="pct"/>
            <w:shd w:val="clear" w:color="auto" w:fill="FFFFFF" w:themeFill="background1"/>
          </w:tcPr>
          <w:p w14:paraId="768366B4" w14:textId="77777777" w:rsidR="000374ED" w:rsidRPr="00D8548E" w:rsidRDefault="000374ED" w:rsidP="0073365E">
            <w:pPr>
              <w:pStyle w:val="TableText0"/>
              <w:keepLines/>
              <w:jc w:val="center"/>
              <w:rPr>
                <w:rStyle w:val="Small"/>
                <w:rFonts w:ascii="Arial Narrow" w:hAnsi="Arial Narrow"/>
                <w:b/>
                <w:bCs w:val="0"/>
                <w:sz w:val="20"/>
                <w:szCs w:val="20"/>
              </w:rPr>
            </w:pPr>
            <w:r w:rsidRPr="00D8548E">
              <w:rPr>
                <w:rStyle w:val="Small"/>
                <w:rFonts w:ascii="Arial Narrow" w:hAnsi="Arial Narrow"/>
                <w:b/>
                <w:bCs w:val="0"/>
                <w:sz w:val="20"/>
                <w:szCs w:val="20"/>
              </w:rPr>
              <w:t>Estimate</w:t>
            </w:r>
          </w:p>
          <w:p w14:paraId="2A07FC21" w14:textId="77777777" w:rsidR="000374ED" w:rsidRPr="00D8548E" w:rsidRDefault="000374ED" w:rsidP="0073365E">
            <w:pPr>
              <w:pStyle w:val="TableText0"/>
              <w:keepLines/>
              <w:jc w:val="center"/>
              <w:rPr>
                <w:rStyle w:val="Small"/>
                <w:rFonts w:ascii="Arial Narrow" w:hAnsi="Arial Narrow"/>
                <w:b/>
                <w:bCs w:val="0"/>
                <w:sz w:val="20"/>
                <w:szCs w:val="20"/>
              </w:rPr>
            </w:pPr>
            <w:r w:rsidRPr="00D8548E">
              <w:rPr>
                <w:rStyle w:val="Small"/>
                <w:rFonts w:ascii="Arial Narrow" w:hAnsi="Arial Narrow"/>
                <w:b/>
                <w:bCs w:val="0"/>
                <w:sz w:val="20"/>
                <w:szCs w:val="20"/>
              </w:rPr>
              <w:t>(95% CI)</w:t>
            </w:r>
          </w:p>
        </w:tc>
      </w:tr>
      <w:tr w:rsidR="000374ED" w:rsidRPr="00D8548E" w14:paraId="347D0654" w14:textId="77777777" w:rsidTr="00123F69">
        <w:tc>
          <w:tcPr>
            <w:tcW w:w="5000" w:type="pct"/>
            <w:gridSpan w:val="5"/>
            <w:shd w:val="clear" w:color="auto" w:fill="FFFFFF" w:themeFill="background1"/>
          </w:tcPr>
          <w:p w14:paraId="7E1631AF" w14:textId="77777777" w:rsidR="000374ED" w:rsidRPr="00D8548E" w:rsidRDefault="000374ED" w:rsidP="0073365E">
            <w:pPr>
              <w:pStyle w:val="TableText0"/>
              <w:keepLines/>
              <w:rPr>
                <w:b/>
                <w:bCs w:val="0"/>
              </w:rPr>
            </w:pPr>
            <w:r w:rsidRPr="00D8548E">
              <w:rPr>
                <w:b/>
                <w:bCs w:val="0"/>
              </w:rPr>
              <w:t>HAI</w:t>
            </w:r>
          </w:p>
        </w:tc>
      </w:tr>
      <w:tr w:rsidR="000374ED" w:rsidRPr="00D8548E" w14:paraId="35D52EA6" w14:textId="77777777" w:rsidTr="00123F69">
        <w:tc>
          <w:tcPr>
            <w:tcW w:w="5000" w:type="pct"/>
            <w:gridSpan w:val="5"/>
            <w:shd w:val="clear" w:color="auto" w:fill="FFFFFF" w:themeFill="background1"/>
          </w:tcPr>
          <w:p w14:paraId="3B6892D1" w14:textId="77777777" w:rsidR="000374ED" w:rsidRPr="00D8548E" w:rsidRDefault="000374ED" w:rsidP="0073365E">
            <w:pPr>
              <w:pStyle w:val="TableText0"/>
              <w:keepLines/>
              <w:rPr>
                <w:b/>
                <w:bCs w:val="0"/>
              </w:rPr>
            </w:pPr>
            <w:r w:rsidRPr="00D8548E">
              <w:rPr>
                <w:b/>
                <w:bCs w:val="0"/>
              </w:rPr>
              <w:t>A/Michigan/45/2015 (H1N1)</w:t>
            </w:r>
          </w:p>
        </w:tc>
      </w:tr>
      <w:tr w:rsidR="000374ED" w:rsidRPr="00D8548E" w14:paraId="1B7539B7" w14:textId="77777777" w:rsidTr="00123F69">
        <w:tc>
          <w:tcPr>
            <w:tcW w:w="1629" w:type="pct"/>
            <w:shd w:val="clear" w:color="auto" w:fill="FFFFFF" w:themeFill="background1"/>
          </w:tcPr>
          <w:p w14:paraId="4E6B5E29" w14:textId="77777777" w:rsidR="000374ED" w:rsidRPr="00D8548E" w:rsidRDefault="000374ED" w:rsidP="0073365E">
            <w:pPr>
              <w:pStyle w:val="TableText0"/>
              <w:keepLines/>
            </w:pPr>
            <w:r w:rsidRPr="00D8548E">
              <w:t>Day 0 GMT</w:t>
            </w:r>
          </w:p>
        </w:tc>
        <w:tc>
          <w:tcPr>
            <w:tcW w:w="777" w:type="pct"/>
            <w:shd w:val="clear" w:color="auto" w:fill="FFFFFF" w:themeFill="background1"/>
          </w:tcPr>
          <w:p w14:paraId="08082C28" w14:textId="77777777" w:rsidR="000374ED" w:rsidRPr="00D8548E" w:rsidRDefault="000374ED" w:rsidP="0073365E">
            <w:pPr>
              <w:pStyle w:val="TableText0"/>
              <w:keepLines/>
              <w:jc w:val="center"/>
            </w:pPr>
            <w:r w:rsidRPr="00D8548E">
              <w:t>17 (14–20)</w:t>
            </w:r>
          </w:p>
        </w:tc>
        <w:tc>
          <w:tcPr>
            <w:tcW w:w="854" w:type="pct"/>
            <w:shd w:val="clear" w:color="auto" w:fill="FFFFFF" w:themeFill="background1"/>
          </w:tcPr>
          <w:p w14:paraId="3C92A52A" w14:textId="77777777" w:rsidR="000374ED" w:rsidRPr="00D8548E" w:rsidRDefault="000374ED" w:rsidP="0073365E">
            <w:pPr>
              <w:pStyle w:val="TableText0"/>
              <w:keepLines/>
              <w:jc w:val="center"/>
            </w:pPr>
            <w:r w:rsidRPr="00D8548E">
              <w:t>17 (15–20)</w:t>
            </w:r>
          </w:p>
        </w:tc>
        <w:tc>
          <w:tcPr>
            <w:tcW w:w="854" w:type="pct"/>
            <w:shd w:val="clear" w:color="auto" w:fill="FFFFFF" w:themeFill="background1"/>
          </w:tcPr>
          <w:p w14:paraId="60D723A8" w14:textId="77777777" w:rsidR="000374ED" w:rsidRPr="00D8548E" w:rsidRDefault="000374ED" w:rsidP="0073365E">
            <w:pPr>
              <w:pStyle w:val="TableText0"/>
              <w:keepLines/>
              <w:jc w:val="center"/>
            </w:pPr>
            <w:r w:rsidRPr="00D8548E">
              <w:t>20 (17–24)</w:t>
            </w:r>
          </w:p>
        </w:tc>
        <w:tc>
          <w:tcPr>
            <w:tcW w:w="886" w:type="pct"/>
            <w:shd w:val="clear" w:color="auto" w:fill="FFFFFF" w:themeFill="background1"/>
          </w:tcPr>
          <w:p w14:paraId="387FD759" w14:textId="77777777" w:rsidR="000374ED" w:rsidRPr="00D8548E" w:rsidRDefault="000374ED" w:rsidP="0073365E">
            <w:pPr>
              <w:pStyle w:val="TableText0"/>
              <w:keepLines/>
              <w:jc w:val="center"/>
            </w:pPr>
            <w:r w:rsidRPr="00D8548E">
              <w:t>16 (14–19)</w:t>
            </w:r>
          </w:p>
        </w:tc>
      </w:tr>
      <w:tr w:rsidR="000374ED" w:rsidRPr="00D8548E" w14:paraId="3F543B8E" w14:textId="77777777" w:rsidTr="00123F69">
        <w:tc>
          <w:tcPr>
            <w:tcW w:w="1629" w:type="pct"/>
            <w:shd w:val="clear" w:color="auto" w:fill="FFFFFF" w:themeFill="background1"/>
          </w:tcPr>
          <w:p w14:paraId="7B33E6C9" w14:textId="77777777" w:rsidR="000374ED" w:rsidRPr="00D8548E" w:rsidRDefault="000374ED" w:rsidP="0073365E">
            <w:pPr>
              <w:pStyle w:val="TableText0"/>
              <w:keepLines/>
            </w:pPr>
            <w:r w:rsidRPr="00D8548E">
              <w:t>Day 30 GMT</w:t>
            </w:r>
          </w:p>
        </w:tc>
        <w:tc>
          <w:tcPr>
            <w:tcW w:w="777" w:type="pct"/>
            <w:shd w:val="clear" w:color="auto" w:fill="FFFFFF" w:themeFill="background1"/>
          </w:tcPr>
          <w:p w14:paraId="1129ADE6" w14:textId="77777777" w:rsidR="000374ED" w:rsidRPr="00D8548E" w:rsidRDefault="000374ED" w:rsidP="0073365E">
            <w:pPr>
              <w:pStyle w:val="TableText0"/>
              <w:keepLines/>
              <w:jc w:val="center"/>
            </w:pPr>
            <w:r w:rsidRPr="00D8548E">
              <w:t>69 (58–83)</w:t>
            </w:r>
          </w:p>
        </w:tc>
        <w:tc>
          <w:tcPr>
            <w:tcW w:w="854" w:type="pct"/>
            <w:shd w:val="clear" w:color="auto" w:fill="FFFFFF" w:themeFill="background1"/>
          </w:tcPr>
          <w:p w14:paraId="07011438" w14:textId="77777777" w:rsidR="000374ED" w:rsidRPr="00D8548E" w:rsidRDefault="000374ED" w:rsidP="0073365E">
            <w:pPr>
              <w:pStyle w:val="TableText0"/>
              <w:keepLines/>
              <w:jc w:val="center"/>
              <w:rPr>
                <w:b/>
                <w:bCs w:val="0"/>
              </w:rPr>
            </w:pPr>
            <w:r w:rsidRPr="00D8548E">
              <w:rPr>
                <w:b/>
                <w:bCs w:val="0"/>
              </w:rPr>
              <w:t>94 (78–114)</w:t>
            </w:r>
          </w:p>
        </w:tc>
        <w:tc>
          <w:tcPr>
            <w:tcW w:w="854" w:type="pct"/>
            <w:shd w:val="clear" w:color="auto" w:fill="FFFFFF" w:themeFill="background1"/>
          </w:tcPr>
          <w:p w14:paraId="4F715CA5" w14:textId="77777777" w:rsidR="000374ED" w:rsidRPr="00D8548E" w:rsidRDefault="000374ED" w:rsidP="0073365E">
            <w:pPr>
              <w:pStyle w:val="TableText0"/>
              <w:keepLines/>
              <w:jc w:val="center"/>
              <w:rPr>
                <w:b/>
                <w:bCs w:val="0"/>
              </w:rPr>
            </w:pPr>
            <w:r w:rsidRPr="00D8548E">
              <w:rPr>
                <w:b/>
                <w:bCs w:val="0"/>
              </w:rPr>
              <w:t>125 (102–152)</w:t>
            </w:r>
          </w:p>
        </w:tc>
        <w:tc>
          <w:tcPr>
            <w:tcW w:w="886" w:type="pct"/>
            <w:shd w:val="clear" w:color="auto" w:fill="FFFFFF" w:themeFill="background1"/>
          </w:tcPr>
          <w:p w14:paraId="4AFBF78A" w14:textId="77777777" w:rsidR="000374ED" w:rsidRPr="00D8548E" w:rsidRDefault="000374ED" w:rsidP="0073365E">
            <w:pPr>
              <w:pStyle w:val="TableText0"/>
              <w:keepLines/>
              <w:jc w:val="center"/>
            </w:pPr>
            <w:r w:rsidRPr="00D8548E">
              <w:t>85 (69–105)</w:t>
            </w:r>
          </w:p>
        </w:tc>
      </w:tr>
      <w:tr w:rsidR="000374ED" w:rsidRPr="00D8548E" w14:paraId="5E17DD08" w14:textId="77777777" w:rsidTr="00123F69">
        <w:tc>
          <w:tcPr>
            <w:tcW w:w="1629" w:type="pct"/>
            <w:shd w:val="clear" w:color="auto" w:fill="FFFFFF" w:themeFill="background1"/>
          </w:tcPr>
          <w:p w14:paraId="1D7D88EF" w14:textId="77777777" w:rsidR="000374ED" w:rsidRPr="00D8548E" w:rsidRDefault="000374ED" w:rsidP="0073365E">
            <w:pPr>
              <w:pStyle w:val="TableText0"/>
              <w:keepLines/>
            </w:pPr>
            <w:r w:rsidRPr="00D8548E">
              <w:t>Mean fold rise from D0 to D30</w:t>
            </w:r>
          </w:p>
        </w:tc>
        <w:tc>
          <w:tcPr>
            <w:tcW w:w="777" w:type="pct"/>
            <w:shd w:val="clear" w:color="auto" w:fill="FFFFFF" w:themeFill="background1"/>
          </w:tcPr>
          <w:p w14:paraId="73FB0433" w14:textId="77777777" w:rsidR="000374ED" w:rsidRPr="00D8548E" w:rsidRDefault="000374ED" w:rsidP="0073365E">
            <w:pPr>
              <w:pStyle w:val="TableText0"/>
              <w:keepLines/>
              <w:jc w:val="center"/>
            </w:pPr>
            <w:r w:rsidRPr="00D8548E">
              <w:t>4.1 (3.5–4.9)</w:t>
            </w:r>
          </w:p>
        </w:tc>
        <w:tc>
          <w:tcPr>
            <w:tcW w:w="854" w:type="pct"/>
            <w:shd w:val="clear" w:color="auto" w:fill="FFFFFF" w:themeFill="background1"/>
          </w:tcPr>
          <w:p w14:paraId="7FDD0E63" w14:textId="77777777" w:rsidR="000374ED" w:rsidRPr="00D8548E" w:rsidRDefault="000374ED" w:rsidP="0073365E">
            <w:pPr>
              <w:pStyle w:val="TableText0"/>
              <w:keepLines/>
              <w:jc w:val="center"/>
              <w:rPr>
                <w:b/>
                <w:bCs w:val="0"/>
              </w:rPr>
            </w:pPr>
            <w:r w:rsidRPr="00D8548E">
              <w:rPr>
                <w:b/>
                <w:bCs w:val="0"/>
              </w:rPr>
              <w:t>5.5 (4.6–6.6)</w:t>
            </w:r>
          </w:p>
        </w:tc>
        <w:tc>
          <w:tcPr>
            <w:tcW w:w="854" w:type="pct"/>
            <w:shd w:val="clear" w:color="auto" w:fill="FFFFFF" w:themeFill="background1"/>
          </w:tcPr>
          <w:p w14:paraId="5E7DE187" w14:textId="77777777" w:rsidR="000374ED" w:rsidRPr="00D8548E" w:rsidRDefault="000374ED" w:rsidP="0073365E">
            <w:pPr>
              <w:pStyle w:val="TableText0"/>
              <w:keepLines/>
              <w:jc w:val="center"/>
              <w:rPr>
                <w:b/>
                <w:bCs w:val="0"/>
              </w:rPr>
            </w:pPr>
            <w:r w:rsidRPr="00D8548E">
              <w:rPr>
                <w:b/>
                <w:bCs w:val="0"/>
              </w:rPr>
              <w:t>6.1 (5.1–7.3)</w:t>
            </w:r>
          </w:p>
        </w:tc>
        <w:tc>
          <w:tcPr>
            <w:tcW w:w="886" w:type="pct"/>
            <w:shd w:val="clear" w:color="auto" w:fill="FFFFFF" w:themeFill="background1"/>
          </w:tcPr>
          <w:p w14:paraId="1E41D1BC" w14:textId="77777777" w:rsidR="000374ED" w:rsidRPr="00D8548E" w:rsidRDefault="000374ED" w:rsidP="0073365E">
            <w:pPr>
              <w:pStyle w:val="TableText0"/>
              <w:keepLines/>
              <w:jc w:val="center"/>
              <w:rPr>
                <w:b/>
                <w:bCs w:val="0"/>
              </w:rPr>
            </w:pPr>
            <w:r w:rsidRPr="00D8548E">
              <w:rPr>
                <w:b/>
                <w:bCs w:val="0"/>
              </w:rPr>
              <w:t>5.3 (4.4–6.3)</w:t>
            </w:r>
          </w:p>
        </w:tc>
      </w:tr>
      <w:tr w:rsidR="000374ED" w:rsidRPr="00D8548E" w14:paraId="31FBC91A" w14:textId="77777777" w:rsidTr="00123F69">
        <w:tc>
          <w:tcPr>
            <w:tcW w:w="1629" w:type="pct"/>
            <w:shd w:val="clear" w:color="auto" w:fill="FFFFFF" w:themeFill="background1"/>
          </w:tcPr>
          <w:p w14:paraId="54875D89" w14:textId="77777777" w:rsidR="000374ED" w:rsidRPr="00D8548E" w:rsidRDefault="000374ED" w:rsidP="0073365E">
            <w:pPr>
              <w:pStyle w:val="TableText0"/>
              <w:keepLines/>
            </w:pPr>
            <w:r w:rsidRPr="00D8548E">
              <w:t>% with ≥4-fold rise from D0 to D30</w:t>
            </w:r>
            <w:r w:rsidRPr="00D8548E">
              <w:rPr>
                <w:rStyle w:val="SmallSuperscript"/>
              </w:rPr>
              <w:t>b</w:t>
            </w:r>
          </w:p>
        </w:tc>
        <w:tc>
          <w:tcPr>
            <w:tcW w:w="777" w:type="pct"/>
            <w:shd w:val="clear" w:color="auto" w:fill="FFFFFF" w:themeFill="background1"/>
          </w:tcPr>
          <w:p w14:paraId="681C449B" w14:textId="77777777" w:rsidR="000374ED" w:rsidRPr="00D8548E" w:rsidRDefault="000374ED" w:rsidP="0073365E">
            <w:pPr>
              <w:pStyle w:val="TableText0"/>
              <w:keepLines/>
              <w:jc w:val="center"/>
            </w:pPr>
            <w:r w:rsidRPr="00D8548E">
              <w:t>42% (36–50%)</w:t>
            </w:r>
          </w:p>
        </w:tc>
        <w:tc>
          <w:tcPr>
            <w:tcW w:w="854" w:type="pct"/>
            <w:shd w:val="clear" w:color="auto" w:fill="FFFFFF" w:themeFill="background1"/>
          </w:tcPr>
          <w:p w14:paraId="1F80E778" w14:textId="77777777" w:rsidR="000374ED" w:rsidRPr="00D8548E" w:rsidRDefault="000374ED" w:rsidP="0073365E">
            <w:pPr>
              <w:pStyle w:val="TableText0"/>
              <w:keepLines/>
              <w:jc w:val="center"/>
              <w:rPr>
                <w:b/>
                <w:bCs w:val="0"/>
              </w:rPr>
            </w:pPr>
            <w:r w:rsidRPr="00D8548E">
              <w:rPr>
                <w:b/>
                <w:bCs w:val="0"/>
              </w:rPr>
              <w:t>60% (53–67%)</w:t>
            </w:r>
          </w:p>
        </w:tc>
        <w:tc>
          <w:tcPr>
            <w:tcW w:w="854" w:type="pct"/>
            <w:shd w:val="clear" w:color="auto" w:fill="FFFFFF" w:themeFill="background1"/>
          </w:tcPr>
          <w:p w14:paraId="2F3CB56B" w14:textId="77777777" w:rsidR="000374ED" w:rsidRPr="00D8548E" w:rsidRDefault="000374ED" w:rsidP="0073365E">
            <w:pPr>
              <w:pStyle w:val="TableText0"/>
              <w:keepLines/>
              <w:jc w:val="center"/>
              <w:rPr>
                <w:b/>
                <w:bCs w:val="0"/>
              </w:rPr>
            </w:pPr>
            <w:r w:rsidRPr="00D8548E">
              <w:rPr>
                <w:b/>
                <w:bCs w:val="0"/>
              </w:rPr>
              <w:t>59% (52–66%)</w:t>
            </w:r>
          </w:p>
        </w:tc>
        <w:tc>
          <w:tcPr>
            <w:tcW w:w="886" w:type="pct"/>
            <w:shd w:val="clear" w:color="auto" w:fill="FFFFFF" w:themeFill="background1"/>
          </w:tcPr>
          <w:p w14:paraId="4708A702" w14:textId="77777777" w:rsidR="000374ED" w:rsidRPr="00D8548E" w:rsidRDefault="000374ED" w:rsidP="0073365E">
            <w:pPr>
              <w:pStyle w:val="TableText0"/>
              <w:keepLines/>
              <w:jc w:val="center"/>
              <w:rPr>
                <w:b/>
                <w:bCs w:val="0"/>
              </w:rPr>
            </w:pPr>
            <w:r w:rsidRPr="00D8548E">
              <w:rPr>
                <w:b/>
                <w:bCs w:val="0"/>
              </w:rPr>
              <w:t>60% (53–67%)</w:t>
            </w:r>
          </w:p>
        </w:tc>
      </w:tr>
      <w:tr w:rsidR="000374ED" w:rsidRPr="00D8548E" w14:paraId="015E6715" w14:textId="77777777" w:rsidTr="00123F69">
        <w:trPr>
          <w:trHeight w:val="69"/>
        </w:trPr>
        <w:tc>
          <w:tcPr>
            <w:tcW w:w="5000" w:type="pct"/>
            <w:gridSpan w:val="5"/>
            <w:shd w:val="clear" w:color="auto" w:fill="FFFFFF" w:themeFill="background1"/>
          </w:tcPr>
          <w:p w14:paraId="235EA7F7" w14:textId="77777777" w:rsidR="000374ED" w:rsidRPr="00D8548E" w:rsidRDefault="000374ED" w:rsidP="0073365E">
            <w:pPr>
              <w:pStyle w:val="TableText0"/>
              <w:keepLines/>
              <w:rPr>
                <w:b/>
                <w:bCs w:val="0"/>
              </w:rPr>
            </w:pPr>
            <w:r w:rsidRPr="00D8548E">
              <w:rPr>
                <w:b/>
                <w:bCs w:val="0"/>
              </w:rPr>
              <w:t>HAI</w:t>
            </w:r>
          </w:p>
        </w:tc>
      </w:tr>
      <w:tr w:rsidR="000374ED" w:rsidRPr="00D8548E" w14:paraId="65DCAC61" w14:textId="77777777" w:rsidTr="00123F69">
        <w:tc>
          <w:tcPr>
            <w:tcW w:w="5000" w:type="pct"/>
            <w:gridSpan w:val="5"/>
            <w:shd w:val="clear" w:color="auto" w:fill="FFFFFF" w:themeFill="background1"/>
          </w:tcPr>
          <w:p w14:paraId="1DA53486" w14:textId="77777777" w:rsidR="000374ED" w:rsidRPr="00D8548E" w:rsidRDefault="000374ED" w:rsidP="0073365E">
            <w:pPr>
              <w:pStyle w:val="TableText0"/>
              <w:keepLines/>
              <w:rPr>
                <w:b/>
                <w:bCs w:val="0"/>
              </w:rPr>
            </w:pPr>
            <w:r w:rsidRPr="00D8548E">
              <w:rPr>
                <w:b/>
                <w:bCs w:val="0"/>
              </w:rPr>
              <w:t>A/Hong Kong/4801/2014 (H3N2) egg-like</w:t>
            </w:r>
          </w:p>
        </w:tc>
      </w:tr>
      <w:tr w:rsidR="000374ED" w:rsidRPr="00D8548E" w14:paraId="18E82284" w14:textId="77777777" w:rsidTr="00123F69">
        <w:tc>
          <w:tcPr>
            <w:tcW w:w="1629" w:type="pct"/>
            <w:shd w:val="clear" w:color="auto" w:fill="FFFFFF" w:themeFill="background1"/>
          </w:tcPr>
          <w:p w14:paraId="5DCDF751" w14:textId="77777777" w:rsidR="000374ED" w:rsidRPr="00D8548E" w:rsidRDefault="000374ED" w:rsidP="0073365E">
            <w:pPr>
              <w:pStyle w:val="TableText0"/>
              <w:keepLines/>
            </w:pPr>
            <w:r w:rsidRPr="00D8548E">
              <w:t>Day 0 GMT</w:t>
            </w:r>
          </w:p>
        </w:tc>
        <w:tc>
          <w:tcPr>
            <w:tcW w:w="777" w:type="pct"/>
            <w:shd w:val="clear" w:color="auto" w:fill="FFFFFF" w:themeFill="background1"/>
          </w:tcPr>
          <w:p w14:paraId="4195BA23" w14:textId="77777777" w:rsidR="000374ED" w:rsidRPr="00D8548E" w:rsidRDefault="000374ED" w:rsidP="0073365E">
            <w:pPr>
              <w:pStyle w:val="TableText0"/>
              <w:keepLines/>
              <w:jc w:val="center"/>
            </w:pPr>
            <w:r w:rsidRPr="00D8548E">
              <w:t>46 (39–56)</w:t>
            </w:r>
          </w:p>
        </w:tc>
        <w:tc>
          <w:tcPr>
            <w:tcW w:w="854" w:type="pct"/>
            <w:shd w:val="clear" w:color="auto" w:fill="FFFFFF" w:themeFill="background1"/>
          </w:tcPr>
          <w:p w14:paraId="2812B725" w14:textId="77777777" w:rsidR="000374ED" w:rsidRPr="00D8548E" w:rsidRDefault="000374ED" w:rsidP="0073365E">
            <w:pPr>
              <w:pStyle w:val="TableText0"/>
              <w:keepLines/>
              <w:jc w:val="center"/>
            </w:pPr>
            <w:r w:rsidRPr="00D8548E">
              <w:t>49 (41–59)</w:t>
            </w:r>
          </w:p>
        </w:tc>
        <w:tc>
          <w:tcPr>
            <w:tcW w:w="854" w:type="pct"/>
            <w:shd w:val="clear" w:color="auto" w:fill="FFFFFF" w:themeFill="background1"/>
          </w:tcPr>
          <w:p w14:paraId="7108C587" w14:textId="77777777" w:rsidR="000374ED" w:rsidRPr="00D8548E" w:rsidRDefault="000374ED" w:rsidP="0073365E">
            <w:pPr>
              <w:pStyle w:val="TableText0"/>
              <w:keepLines/>
              <w:jc w:val="center"/>
            </w:pPr>
            <w:r w:rsidRPr="00D8548E">
              <w:t>45 (38–54)</w:t>
            </w:r>
          </w:p>
        </w:tc>
        <w:tc>
          <w:tcPr>
            <w:tcW w:w="886" w:type="pct"/>
            <w:shd w:val="clear" w:color="auto" w:fill="FFFFFF" w:themeFill="background1"/>
          </w:tcPr>
          <w:p w14:paraId="788EC9FF" w14:textId="77777777" w:rsidR="000374ED" w:rsidRPr="00D8548E" w:rsidRDefault="000374ED" w:rsidP="0073365E">
            <w:pPr>
              <w:pStyle w:val="TableText0"/>
              <w:keepLines/>
              <w:jc w:val="center"/>
            </w:pPr>
            <w:r w:rsidRPr="00D8548E">
              <w:t>54 (45–64)</w:t>
            </w:r>
          </w:p>
        </w:tc>
      </w:tr>
      <w:tr w:rsidR="000374ED" w:rsidRPr="00D8548E" w14:paraId="7CD31EF0" w14:textId="77777777" w:rsidTr="00123F69">
        <w:tc>
          <w:tcPr>
            <w:tcW w:w="1629" w:type="pct"/>
            <w:shd w:val="clear" w:color="auto" w:fill="FFFFFF" w:themeFill="background1"/>
          </w:tcPr>
          <w:p w14:paraId="1C80E491" w14:textId="77777777" w:rsidR="000374ED" w:rsidRPr="00D8548E" w:rsidRDefault="000374ED" w:rsidP="0073365E">
            <w:pPr>
              <w:pStyle w:val="TableText0"/>
              <w:keepLines/>
            </w:pPr>
            <w:r w:rsidRPr="00D8548E">
              <w:t>Day 30 GMT</w:t>
            </w:r>
          </w:p>
        </w:tc>
        <w:tc>
          <w:tcPr>
            <w:tcW w:w="777" w:type="pct"/>
            <w:shd w:val="clear" w:color="auto" w:fill="FFFFFF" w:themeFill="background1"/>
          </w:tcPr>
          <w:p w14:paraId="17CD5483" w14:textId="77777777" w:rsidR="000374ED" w:rsidRPr="00D8548E" w:rsidRDefault="000374ED" w:rsidP="0073365E">
            <w:pPr>
              <w:pStyle w:val="TableText0"/>
              <w:keepLines/>
              <w:jc w:val="center"/>
            </w:pPr>
            <w:r w:rsidRPr="00D8548E">
              <w:t>158 (135–186)</w:t>
            </w:r>
          </w:p>
        </w:tc>
        <w:tc>
          <w:tcPr>
            <w:tcW w:w="854" w:type="pct"/>
            <w:shd w:val="clear" w:color="auto" w:fill="FFFFFF" w:themeFill="background1"/>
          </w:tcPr>
          <w:p w14:paraId="3B2FE428" w14:textId="77777777" w:rsidR="000374ED" w:rsidRPr="00D8548E" w:rsidRDefault="000374ED" w:rsidP="0073365E">
            <w:pPr>
              <w:pStyle w:val="TableText0"/>
              <w:keepLines/>
              <w:jc w:val="center"/>
              <w:rPr>
                <w:b/>
                <w:bCs w:val="0"/>
              </w:rPr>
            </w:pPr>
            <w:r w:rsidRPr="00D8548E">
              <w:rPr>
                <w:b/>
                <w:bCs w:val="0"/>
              </w:rPr>
              <w:t>207 (178–241)</w:t>
            </w:r>
          </w:p>
        </w:tc>
        <w:tc>
          <w:tcPr>
            <w:tcW w:w="854" w:type="pct"/>
            <w:shd w:val="clear" w:color="auto" w:fill="FFFFFF" w:themeFill="background1"/>
          </w:tcPr>
          <w:p w14:paraId="37509FB5" w14:textId="77777777" w:rsidR="000374ED" w:rsidRPr="00D8548E" w:rsidRDefault="000374ED" w:rsidP="0073365E">
            <w:pPr>
              <w:pStyle w:val="TableText0"/>
              <w:keepLines/>
              <w:jc w:val="center"/>
              <w:rPr>
                <w:b/>
                <w:bCs w:val="0"/>
              </w:rPr>
            </w:pPr>
            <w:r w:rsidRPr="00D8548E">
              <w:rPr>
                <w:b/>
                <w:bCs w:val="0"/>
              </w:rPr>
              <w:t>214 (183–250)</w:t>
            </w:r>
          </w:p>
        </w:tc>
        <w:tc>
          <w:tcPr>
            <w:tcW w:w="886" w:type="pct"/>
            <w:shd w:val="clear" w:color="auto" w:fill="FFFFFF" w:themeFill="background1"/>
          </w:tcPr>
          <w:p w14:paraId="2B0BC00B" w14:textId="77777777" w:rsidR="000374ED" w:rsidRPr="00D8548E" w:rsidRDefault="000374ED" w:rsidP="0073365E">
            <w:pPr>
              <w:pStyle w:val="TableText0"/>
              <w:keepLines/>
              <w:jc w:val="center"/>
              <w:rPr>
                <w:b/>
                <w:bCs w:val="0"/>
              </w:rPr>
            </w:pPr>
            <w:r w:rsidRPr="00D8548E">
              <w:rPr>
                <w:b/>
                <w:bCs w:val="0"/>
              </w:rPr>
              <w:t>254 (218–295)</w:t>
            </w:r>
          </w:p>
        </w:tc>
      </w:tr>
      <w:tr w:rsidR="000374ED" w:rsidRPr="00D8548E" w14:paraId="2BFDF001" w14:textId="77777777" w:rsidTr="00123F69">
        <w:tc>
          <w:tcPr>
            <w:tcW w:w="1629" w:type="pct"/>
            <w:shd w:val="clear" w:color="auto" w:fill="FFFFFF" w:themeFill="background1"/>
          </w:tcPr>
          <w:p w14:paraId="4A56DF30" w14:textId="77777777" w:rsidR="000374ED" w:rsidRPr="00D8548E" w:rsidRDefault="000374ED" w:rsidP="0073365E">
            <w:pPr>
              <w:pStyle w:val="TableText0"/>
              <w:keepLines/>
            </w:pPr>
            <w:r w:rsidRPr="00D8548E">
              <w:t>Mean fold rise from D0 to D30</w:t>
            </w:r>
          </w:p>
        </w:tc>
        <w:tc>
          <w:tcPr>
            <w:tcW w:w="777" w:type="pct"/>
            <w:shd w:val="clear" w:color="auto" w:fill="FFFFFF" w:themeFill="background1"/>
          </w:tcPr>
          <w:p w14:paraId="01BD13FA" w14:textId="77777777" w:rsidR="000374ED" w:rsidRPr="00D8548E" w:rsidRDefault="000374ED" w:rsidP="0073365E">
            <w:pPr>
              <w:pStyle w:val="TableText0"/>
              <w:keepLines/>
              <w:jc w:val="center"/>
            </w:pPr>
            <w:r w:rsidRPr="00D8548E">
              <w:t>3.4 (2.8–4.1)</w:t>
            </w:r>
          </w:p>
        </w:tc>
        <w:tc>
          <w:tcPr>
            <w:tcW w:w="854" w:type="pct"/>
            <w:shd w:val="clear" w:color="auto" w:fill="FFFFFF" w:themeFill="background1"/>
          </w:tcPr>
          <w:p w14:paraId="4DB401A3" w14:textId="77777777" w:rsidR="000374ED" w:rsidRPr="00D8548E" w:rsidRDefault="000374ED" w:rsidP="0073365E">
            <w:pPr>
              <w:pStyle w:val="TableText0"/>
              <w:keepLines/>
              <w:jc w:val="center"/>
              <w:rPr>
                <w:b/>
                <w:bCs w:val="0"/>
              </w:rPr>
            </w:pPr>
            <w:r w:rsidRPr="00D8548E">
              <w:rPr>
                <w:b/>
                <w:bCs w:val="0"/>
              </w:rPr>
              <w:t>4.2 (3.5–5.1)</w:t>
            </w:r>
          </w:p>
        </w:tc>
        <w:tc>
          <w:tcPr>
            <w:tcW w:w="854" w:type="pct"/>
            <w:shd w:val="clear" w:color="auto" w:fill="FFFFFF" w:themeFill="background1"/>
          </w:tcPr>
          <w:p w14:paraId="0DAF9D51" w14:textId="77777777" w:rsidR="000374ED" w:rsidRPr="00D8548E" w:rsidRDefault="000374ED" w:rsidP="0073365E">
            <w:pPr>
              <w:pStyle w:val="TableText0"/>
              <w:keepLines/>
              <w:jc w:val="center"/>
              <w:rPr>
                <w:b/>
                <w:bCs w:val="0"/>
              </w:rPr>
            </w:pPr>
            <w:r w:rsidRPr="00D8548E">
              <w:rPr>
                <w:b/>
                <w:bCs w:val="0"/>
              </w:rPr>
              <w:t>4.7 (3.9–5.7)</w:t>
            </w:r>
          </w:p>
        </w:tc>
        <w:tc>
          <w:tcPr>
            <w:tcW w:w="886" w:type="pct"/>
            <w:shd w:val="clear" w:color="auto" w:fill="FFFFFF" w:themeFill="background1"/>
          </w:tcPr>
          <w:p w14:paraId="2532E167" w14:textId="77777777" w:rsidR="000374ED" w:rsidRPr="00D8548E" w:rsidRDefault="000374ED" w:rsidP="0073365E">
            <w:pPr>
              <w:pStyle w:val="TableText0"/>
              <w:keepLines/>
              <w:jc w:val="center"/>
              <w:rPr>
                <w:b/>
                <w:bCs w:val="0"/>
              </w:rPr>
            </w:pPr>
            <w:r w:rsidRPr="00D8548E">
              <w:rPr>
                <w:b/>
                <w:bCs w:val="0"/>
              </w:rPr>
              <w:t>4.7 (3.9–5.7)</w:t>
            </w:r>
          </w:p>
        </w:tc>
      </w:tr>
      <w:tr w:rsidR="000374ED" w:rsidRPr="00D8548E" w14:paraId="5834C0B5" w14:textId="77777777" w:rsidTr="00123F69">
        <w:tc>
          <w:tcPr>
            <w:tcW w:w="1629" w:type="pct"/>
            <w:shd w:val="clear" w:color="auto" w:fill="FFFFFF" w:themeFill="background1"/>
          </w:tcPr>
          <w:p w14:paraId="47ED2A0F" w14:textId="77777777" w:rsidR="000374ED" w:rsidRPr="00D8548E" w:rsidRDefault="000374ED" w:rsidP="0073365E">
            <w:pPr>
              <w:pStyle w:val="TableText0"/>
              <w:keepLines/>
            </w:pPr>
            <w:r w:rsidRPr="00D8548E">
              <w:t>% with ≥4-fold rise from D0 to D30</w:t>
            </w:r>
            <w:r w:rsidRPr="00D8548E">
              <w:rPr>
                <w:rStyle w:val="SmallSuperscript"/>
              </w:rPr>
              <w:t>a</w:t>
            </w:r>
          </w:p>
        </w:tc>
        <w:tc>
          <w:tcPr>
            <w:tcW w:w="777" w:type="pct"/>
            <w:shd w:val="clear" w:color="auto" w:fill="FFFFFF" w:themeFill="background1"/>
          </w:tcPr>
          <w:p w14:paraId="7073572A" w14:textId="77777777" w:rsidR="000374ED" w:rsidRPr="00D8548E" w:rsidRDefault="000374ED" w:rsidP="0073365E">
            <w:pPr>
              <w:pStyle w:val="TableText0"/>
              <w:keepLines/>
              <w:jc w:val="center"/>
            </w:pPr>
            <w:r w:rsidRPr="00D8548E">
              <w:t>41% (34–48%)</w:t>
            </w:r>
          </w:p>
        </w:tc>
        <w:tc>
          <w:tcPr>
            <w:tcW w:w="854" w:type="pct"/>
            <w:shd w:val="clear" w:color="auto" w:fill="FFFFFF" w:themeFill="background1"/>
          </w:tcPr>
          <w:p w14:paraId="13E3DEAC" w14:textId="77777777" w:rsidR="000374ED" w:rsidRPr="00D8548E" w:rsidRDefault="000374ED" w:rsidP="0073365E">
            <w:pPr>
              <w:pStyle w:val="TableText0"/>
              <w:keepLines/>
              <w:jc w:val="center"/>
            </w:pPr>
            <w:r w:rsidRPr="00D8548E">
              <w:t>48% (40–55%)</w:t>
            </w:r>
          </w:p>
        </w:tc>
        <w:tc>
          <w:tcPr>
            <w:tcW w:w="854" w:type="pct"/>
            <w:shd w:val="clear" w:color="auto" w:fill="FFFFFF" w:themeFill="background1"/>
          </w:tcPr>
          <w:p w14:paraId="27E21C11" w14:textId="77777777" w:rsidR="000374ED" w:rsidRPr="00D8548E" w:rsidRDefault="000374ED" w:rsidP="0073365E">
            <w:pPr>
              <w:pStyle w:val="TableText0"/>
              <w:keepLines/>
              <w:jc w:val="center"/>
              <w:rPr>
                <w:b/>
                <w:bCs w:val="0"/>
              </w:rPr>
            </w:pPr>
            <w:r w:rsidRPr="00D8548E">
              <w:rPr>
                <w:b/>
                <w:bCs w:val="0"/>
              </w:rPr>
              <w:t>54% (46–61%)</w:t>
            </w:r>
          </w:p>
        </w:tc>
        <w:tc>
          <w:tcPr>
            <w:tcW w:w="886" w:type="pct"/>
            <w:shd w:val="clear" w:color="auto" w:fill="FFFFFF" w:themeFill="background1"/>
          </w:tcPr>
          <w:p w14:paraId="285B78C4" w14:textId="77777777" w:rsidR="000374ED" w:rsidRPr="00D8548E" w:rsidRDefault="000374ED" w:rsidP="0073365E">
            <w:pPr>
              <w:pStyle w:val="TableText0"/>
              <w:keepLines/>
              <w:jc w:val="center"/>
              <w:rPr>
                <w:b/>
                <w:bCs w:val="0"/>
              </w:rPr>
            </w:pPr>
            <w:r w:rsidRPr="00D8548E">
              <w:rPr>
                <w:b/>
                <w:bCs w:val="0"/>
              </w:rPr>
              <w:t>56% (48–63%)</w:t>
            </w:r>
          </w:p>
        </w:tc>
      </w:tr>
      <w:tr w:rsidR="000374ED" w:rsidRPr="00D8548E" w14:paraId="5BE0A158" w14:textId="77777777" w:rsidTr="00123F69">
        <w:tc>
          <w:tcPr>
            <w:tcW w:w="5000" w:type="pct"/>
            <w:gridSpan w:val="5"/>
            <w:shd w:val="clear" w:color="auto" w:fill="FFFFFF" w:themeFill="background1"/>
          </w:tcPr>
          <w:p w14:paraId="7AD1C0DC" w14:textId="2F28F0E7" w:rsidR="000374ED" w:rsidRPr="00D8548E" w:rsidRDefault="005B3254" w:rsidP="0073365E">
            <w:pPr>
              <w:pStyle w:val="TableText0"/>
              <w:keepLines/>
              <w:rPr>
                <w:b/>
                <w:bCs w:val="0"/>
              </w:rPr>
            </w:pPr>
            <w:r w:rsidRPr="00D8548E">
              <w:rPr>
                <w:b/>
                <w:bCs w:val="0"/>
              </w:rPr>
              <w:t>Microneutralization</w:t>
            </w:r>
          </w:p>
        </w:tc>
      </w:tr>
      <w:tr w:rsidR="000374ED" w:rsidRPr="00D8548E" w14:paraId="6D79DF1B" w14:textId="77777777" w:rsidTr="00123F69">
        <w:tc>
          <w:tcPr>
            <w:tcW w:w="5000" w:type="pct"/>
            <w:gridSpan w:val="5"/>
            <w:shd w:val="clear" w:color="auto" w:fill="FFFFFF" w:themeFill="background1"/>
          </w:tcPr>
          <w:p w14:paraId="539A9CB0" w14:textId="77777777" w:rsidR="000374ED" w:rsidRPr="00D8548E" w:rsidRDefault="000374ED" w:rsidP="0073365E">
            <w:pPr>
              <w:pStyle w:val="TableText0"/>
              <w:keepLines/>
              <w:rPr>
                <w:b/>
                <w:bCs w:val="0"/>
              </w:rPr>
            </w:pPr>
            <w:r w:rsidRPr="00D8548E">
              <w:rPr>
                <w:b/>
                <w:bCs w:val="0"/>
              </w:rPr>
              <w:t>A/Hong Kong/4801/2014 (H3N2) cell-like</w:t>
            </w:r>
          </w:p>
        </w:tc>
      </w:tr>
      <w:tr w:rsidR="000374ED" w:rsidRPr="00D8548E" w14:paraId="1B858295" w14:textId="77777777" w:rsidTr="00123F69">
        <w:tc>
          <w:tcPr>
            <w:tcW w:w="1629" w:type="pct"/>
            <w:shd w:val="clear" w:color="auto" w:fill="FFFFFF" w:themeFill="background1"/>
          </w:tcPr>
          <w:p w14:paraId="77710079" w14:textId="77777777" w:rsidR="000374ED" w:rsidRPr="00D8548E" w:rsidRDefault="000374ED" w:rsidP="0073365E">
            <w:pPr>
              <w:pStyle w:val="TableText0"/>
              <w:keepLines/>
            </w:pPr>
            <w:r w:rsidRPr="00D8548E">
              <w:t>Day 0 GMT</w:t>
            </w:r>
          </w:p>
        </w:tc>
        <w:tc>
          <w:tcPr>
            <w:tcW w:w="777" w:type="pct"/>
            <w:shd w:val="clear" w:color="auto" w:fill="FFFFFF" w:themeFill="background1"/>
          </w:tcPr>
          <w:p w14:paraId="452C10ED" w14:textId="77777777" w:rsidR="000374ED" w:rsidRPr="00D8548E" w:rsidRDefault="000374ED" w:rsidP="0073365E">
            <w:pPr>
              <w:pStyle w:val="TableText0"/>
              <w:keepLines/>
              <w:jc w:val="center"/>
            </w:pPr>
            <w:r w:rsidRPr="00D8548E">
              <w:t>38 (31–46)</w:t>
            </w:r>
          </w:p>
        </w:tc>
        <w:tc>
          <w:tcPr>
            <w:tcW w:w="854" w:type="pct"/>
            <w:shd w:val="clear" w:color="auto" w:fill="FFFFFF" w:themeFill="background1"/>
          </w:tcPr>
          <w:p w14:paraId="46922E63" w14:textId="77777777" w:rsidR="000374ED" w:rsidRPr="00D8548E" w:rsidRDefault="000374ED" w:rsidP="0073365E">
            <w:pPr>
              <w:pStyle w:val="TableText0"/>
              <w:keepLines/>
              <w:jc w:val="center"/>
            </w:pPr>
            <w:r w:rsidRPr="00D8548E">
              <w:t>43 (35–53)</w:t>
            </w:r>
          </w:p>
        </w:tc>
        <w:tc>
          <w:tcPr>
            <w:tcW w:w="854" w:type="pct"/>
            <w:shd w:val="clear" w:color="auto" w:fill="FFFFFF" w:themeFill="background1"/>
          </w:tcPr>
          <w:p w14:paraId="710A6115" w14:textId="77777777" w:rsidR="000374ED" w:rsidRPr="00D8548E" w:rsidRDefault="000374ED" w:rsidP="0073365E">
            <w:pPr>
              <w:pStyle w:val="TableText0"/>
              <w:keepLines/>
              <w:jc w:val="center"/>
            </w:pPr>
            <w:r w:rsidRPr="00D8548E">
              <w:t>34 (28–41)</w:t>
            </w:r>
          </w:p>
        </w:tc>
        <w:tc>
          <w:tcPr>
            <w:tcW w:w="886" w:type="pct"/>
            <w:shd w:val="clear" w:color="auto" w:fill="FFFFFF" w:themeFill="background1"/>
          </w:tcPr>
          <w:p w14:paraId="363B49A8" w14:textId="77777777" w:rsidR="000374ED" w:rsidRPr="00D8548E" w:rsidRDefault="000374ED" w:rsidP="0073365E">
            <w:pPr>
              <w:pStyle w:val="TableText0"/>
              <w:keepLines/>
              <w:jc w:val="center"/>
            </w:pPr>
            <w:r w:rsidRPr="00D8548E">
              <w:t>48 (39–59)</w:t>
            </w:r>
          </w:p>
        </w:tc>
      </w:tr>
      <w:tr w:rsidR="000374ED" w:rsidRPr="00D8548E" w14:paraId="219D1E26" w14:textId="77777777" w:rsidTr="00123F69">
        <w:tc>
          <w:tcPr>
            <w:tcW w:w="1629" w:type="pct"/>
            <w:shd w:val="clear" w:color="auto" w:fill="FFFFFF" w:themeFill="background1"/>
          </w:tcPr>
          <w:p w14:paraId="6BEF4BB8" w14:textId="77777777" w:rsidR="000374ED" w:rsidRPr="00D8548E" w:rsidRDefault="000374ED" w:rsidP="0073365E">
            <w:pPr>
              <w:pStyle w:val="TableText0"/>
              <w:keepLines/>
            </w:pPr>
            <w:r w:rsidRPr="00D8548E">
              <w:t>Day 30 GMT</w:t>
            </w:r>
          </w:p>
        </w:tc>
        <w:tc>
          <w:tcPr>
            <w:tcW w:w="777" w:type="pct"/>
            <w:shd w:val="clear" w:color="auto" w:fill="FFFFFF" w:themeFill="background1"/>
          </w:tcPr>
          <w:p w14:paraId="5638B785" w14:textId="77777777" w:rsidR="000374ED" w:rsidRPr="00D8548E" w:rsidRDefault="000374ED" w:rsidP="0073365E">
            <w:pPr>
              <w:pStyle w:val="TableText0"/>
              <w:keepLines/>
              <w:jc w:val="center"/>
            </w:pPr>
            <w:r w:rsidRPr="00D8548E">
              <w:t>87 (72–106)</w:t>
            </w:r>
          </w:p>
        </w:tc>
        <w:tc>
          <w:tcPr>
            <w:tcW w:w="854" w:type="pct"/>
            <w:shd w:val="clear" w:color="auto" w:fill="FFFFFF" w:themeFill="background1"/>
          </w:tcPr>
          <w:p w14:paraId="58E555E3" w14:textId="77777777" w:rsidR="000374ED" w:rsidRPr="00D8548E" w:rsidRDefault="000374ED" w:rsidP="0073365E">
            <w:pPr>
              <w:pStyle w:val="TableText0"/>
              <w:keepLines/>
              <w:jc w:val="center"/>
              <w:rPr>
                <w:b/>
                <w:bCs w:val="0"/>
              </w:rPr>
            </w:pPr>
            <w:r w:rsidRPr="00D8548E">
              <w:rPr>
                <w:b/>
                <w:bCs w:val="0"/>
              </w:rPr>
              <w:t>125 (102–152)</w:t>
            </w:r>
          </w:p>
        </w:tc>
        <w:tc>
          <w:tcPr>
            <w:tcW w:w="854" w:type="pct"/>
            <w:shd w:val="clear" w:color="auto" w:fill="FFFFFF" w:themeFill="background1"/>
          </w:tcPr>
          <w:p w14:paraId="711CC6DE" w14:textId="77777777" w:rsidR="000374ED" w:rsidRPr="00D8548E" w:rsidRDefault="000374ED" w:rsidP="0073365E">
            <w:pPr>
              <w:pStyle w:val="TableText0"/>
              <w:keepLines/>
              <w:jc w:val="center"/>
              <w:rPr>
                <w:b/>
                <w:bCs w:val="0"/>
              </w:rPr>
            </w:pPr>
            <w:r w:rsidRPr="00D8548E">
              <w:rPr>
                <w:b/>
                <w:bCs w:val="0"/>
              </w:rPr>
              <w:t>116 (95–141)</w:t>
            </w:r>
          </w:p>
        </w:tc>
        <w:tc>
          <w:tcPr>
            <w:tcW w:w="886" w:type="pct"/>
            <w:shd w:val="clear" w:color="auto" w:fill="FFFFFF" w:themeFill="background1"/>
          </w:tcPr>
          <w:p w14:paraId="780637F1" w14:textId="77777777" w:rsidR="000374ED" w:rsidRPr="00D8548E" w:rsidRDefault="000374ED" w:rsidP="0073365E">
            <w:pPr>
              <w:pStyle w:val="TableText0"/>
              <w:keepLines/>
              <w:jc w:val="center"/>
              <w:rPr>
                <w:b/>
                <w:bCs w:val="0"/>
              </w:rPr>
            </w:pPr>
            <w:r w:rsidRPr="00D8548E">
              <w:rPr>
                <w:b/>
                <w:bCs w:val="0"/>
              </w:rPr>
              <w:t>223 (189–263)</w:t>
            </w:r>
          </w:p>
        </w:tc>
      </w:tr>
      <w:tr w:rsidR="000374ED" w:rsidRPr="00D8548E" w14:paraId="150EFB04" w14:textId="77777777" w:rsidTr="00123F69">
        <w:tc>
          <w:tcPr>
            <w:tcW w:w="1629" w:type="pct"/>
            <w:shd w:val="clear" w:color="auto" w:fill="FFFFFF" w:themeFill="background1"/>
          </w:tcPr>
          <w:p w14:paraId="239A6C8D" w14:textId="77777777" w:rsidR="000374ED" w:rsidRPr="00D8548E" w:rsidRDefault="000374ED" w:rsidP="0073365E">
            <w:pPr>
              <w:pStyle w:val="TableText0"/>
              <w:keepLines/>
            </w:pPr>
            <w:r w:rsidRPr="00D8548E">
              <w:t>Mean fold rise from D0 to D30</w:t>
            </w:r>
          </w:p>
        </w:tc>
        <w:tc>
          <w:tcPr>
            <w:tcW w:w="777" w:type="pct"/>
            <w:shd w:val="clear" w:color="auto" w:fill="FFFFFF" w:themeFill="background1"/>
          </w:tcPr>
          <w:p w14:paraId="76432168" w14:textId="77777777" w:rsidR="000374ED" w:rsidRPr="00D8548E" w:rsidRDefault="000374ED" w:rsidP="0073365E">
            <w:pPr>
              <w:pStyle w:val="TableText0"/>
              <w:keepLines/>
              <w:jc w:val="center"/>
            </w:pPr>
            <w:r w:rsidRPr="00D8548E">
              <w:t>2.3 (2.0–2.6)</w:t>
            </w:r>
          </w:p>
        </w:tc>
        <w:tc>
          <w:tcPr>
            <w:tcW w:w="854" w:type="pct"/>
            <w:shd w:val="clear" w:color="auto" w:fill="FFFFFF" w:themeFill="background1"/>
          </w:tcPr>
          <w:p w14:paraId="086577DD" w14:textId="77777777" w:rsidR="000374ED" w:rsidRPr="00D8548E" w:rsidRDefault="000374ED" w:rsidP="0073365E">
            <w:pPr>
              <w:pStyle w:val="TableText0"/>
              <w:keepLines/>
              <w:jc w:val="center"/>
              <w:rPr>
                <w:b/>
                <w:bCs w:val="0"/>
              </w:rPr>
            </w:pPr>
            <w:r w:rsidRPr="00D8548E">
              <w:rPr>
                <w:b/>
                <w:bCs w:val="0"/>
              </w:rPr>
              <w:t>2.9 (2.5–3.4)</w:t>
            </w:r>
          </w:p>
        </w:tc>
        <w:tc>
          <w:tcPr>
            <w:tcW w:w="854" w:type="pct"/>
            <w:shd w:val="clear" w:color="auto" w:fill="FFFFFF" w:themeFill="background1"/>
          </w:tcPr>
          <w:p w14:paraId="37B40E1C" w14:textId="77777777" w:rsidR="000374ED" w:rsidRPr="00D8548E" w:rsidRDefault="000374ED" w:rsidP="0073365E">
            <w:pPr>
              <w:pStyle w:val="TableText0"/>
              <w:keepLines/>
              <w:jc w:val="center"/>
              <w:rPr>
                <w:b/>
                <w:bCs w:val="0"/>
              </w:rPr>
            </w:pPr>
            <w:r w:rsidRPr="00D8548E">
              <w:rPr>
                <w:b/>
                <w:bCs w:val="0"/>
              </w:rPr>
              <w:t>3.4 (2.9–4.0)</w:t>
            </w:r>
          </w:p>
        </w:tc>
        <w:tc>
          <w:tcPr>
            <w:tcW w:w="886" w:type="pct"/>
            <w:shd w:val="clear" w:color="auto" w:fill="FFFFFF" w:themeFill="background1"/>
          </w:tcPr>
          <w:p w14:paraId="118E2430" w14:textId="77777777" w:rsidR="000374ED" w:rsidRPr="00D8548E" w:rsidRDefault="000374ED" w:rsidP="0073365E">
            <w:pPr>
              <w:pStyle w:val="TableText0"/>
              <w:keepLines/>
              <w:jc w:val="center"/>
              <w:rPr>
                <w:b/>
                <w:bCs w:val="0"/>
              </w:rPr>
            </w:pPr>
            <w:r w:rsidRPr="00D8548E">
              <w:rPr>
                <w:b/>
                <w:bCs w:val="0"/>
              </w:rPr>
              <w:t>4.7 (3.9–5.6)</w:t>
            </w:r>
          </w:p>
        </w:tc>
      </w:tr>
      <w:tr w:rsidR="000374ED" w:rsidRPr="00D8548E" w14:paraId="27AACBA0" w14:textId="77777777" w:rsidTr="00123F69">
        <w:tc>
          <w:tcPr>
            <w:tcW w:w="1629" w:type="pct"/>
            <w:shd w:val="clear" w:color="auto" w:fill="FFFFFF" w:themeFill="background1"/>
          </w:tcPr>
          <w:p w14:paraId="7AC0770E" w14:textId="77777777" w:rsidR="000374ED" w:rsidRPr="00D8548E" w:rsidRDefault="000374ED" w:rsidP="0073365E">
            <w:pPr>
              <w:pStyle w:val="TableText0"/>
              <w:keepLines/>
            </w:pPr>
            <w:r w:rsidRPr="00D8548E">
              <w:t>% with ≥4-fold rise from D0 to D30</w:t>
            </w:r>
            <w:r w:rsidRPr="00D8548E">
              <w:rPr>
                <w:rStyle w:val="SmallSuperscript"/>
              </w:rPr>
              <w:t>a</w:t>
            </w:r>
          </w:p>
        </w:tc>
        <w:tc>
          <w:tcPr>
            <w:tcW w:w="777" w:type="pct"/>
            <w:shd w:val="clear" w:color="auto" w:fill="FFFFFF" w:themeFill="background1"/>
          </w:tcPr>
          <w:p w14:paraId="44A4538A" w14:textId="77777777" w:rsidR="000374ED" w:rsidRPr="00D8548E" w:rsidRDefault="000374ED" w:rsidP="0073365E">
            <w:pPr>
              <w:pStyle w:val="TableText0"/>
              <w:keepLines/>
              <w:jc w:val="center"/>
            </w:pPr>
            <w:r w:rsidRPr="00D8548E">
              <w:t>28% (22–35%)</w:t>
            </w:r>
          </w:p>
        </w:tc>
        <w:tc>
          <w:tcPr>
            <w:tcW w:w="854" w:type="pct"/>
            <w:shd w:val="clear" w:color="auto" w:fill="FFFFFF" w:themeFill="background1"/>
          </w:tcPr>
          <w:p w14:paraId="6F25ADEC" w14:textId="77777777" w:rsidR="000374ED" w:rsidRPr="00D8548E" w:rsidRDefault="000374ED" w:rsidP="0073365E">
            <w:pPr>
              <w:pStyle w:val="TableText0"/>
              <w:keepLines/>
              <w:jc w:val="center"/>
              <w:rPr>
                <w:b/>
                <w:bCs w:val="0"/>
              </w:rPr>
            </w:pPr>
            <w:r w:rsidRPr="00D8548E">
              <w:rPr>
                <w:b/>
                <w:bCs w:val="0"/>
              </w:rPr>
              <w:t>39% (32–46%)</w:t>
            </w:r>
          </w:p>
        </w:tc>
        <w:tc>
          <w:tcPr>
            <w:tcW w:w="854" w:type="pct"/>
            <w:shd w:val="clear" w:color="auto" w:fill="FFFFFF" w:themeFill="background1"/>
          </w:tcPr>
          <w:p w14:paraId="138E19F1" w14:textId="77777777" w:rsidR="000374ED" w:rsidRPr="00D8548E" w:rsidRDefault="000374ED" w:rsidP="0073365E">
            <w:pPr>
              <w:pStyle w:val="TableText0"/>
              <w:keepLines/>
              <w:jc w:val="center"/>
              <w:rPr>
                <w:b/>
                <w:bCs w:val="0"/>
              </w:rPr>
            </w:pPr>
            <w:r w:rsidRPr="00D8548E">
              <w:rPr>
                <w:b/>
                <w:bCs w:val="0"/>
              </w:rPr>
              <w:t>47% (40–54%)</w:t>
            </w:r>
          </w:p>
        </w:tc>
        <w:tc>
          <w:tcPr>
            <w:tcW w:w="886" w:type="pct"/>
            <w:shd w:val="clear" w:color="auto" w:fill="FFFFFF" w:themeFill="background1"/>
          </w:tcPr>
          <w:p w14:paraId="4D85F8E8" w14:textId="77777777" w:rsidR="000374ED" w:rsidRPr="00D8548E" w:rsidRDefault="000374ED" w:rsidP="0073365E">
            <w:pPr>
              <w:pStyle w:val="TableText0"/>
              <w:keepLines/>
              <w:jc w:val="center"/>
              <w:rPr>
                <w:b/>
                <w:bCs w:val="0"/>
              </w:rPr>
            </w:pPr>
            <w:r w:rsidRPr="00D8548E">
              <w:rPr>
                <w:b/>
                <w:bCs w:val="0"/>
              </w:rPr>
              <w:t>57% (50–64%)</w:t>
            </w:r>
          </w:p>
        </w:tc>
      </w:tr>
      <w:tr w:rsidR="000374ED" w:rsidRPr="00D8548E" w14:paraId="206424D6" w14:textId="77777777" w:rsidTr="00123F69">
        <w:tc>
          <w:tcPr>
            <w:tcW w:w="5000" w:type="pct"/>
            <w:gridSpan w:val="5"/>
            <w:shd w:val="clear" w:color="auto" w:fill="FFFFFF" w:themeFill="background1"/>
          </w:tcPr>
          <w:p w14:paraId="5E528FD1" w14:textId="77777777" w:rsidR="000374ED" w:rsidRPr="00D8548E" w:rsidRDefault="000374ED" w:rsidP="0073365E">
            <w:pPr>
              <w:pStyle w:val="TableText0"/>
              <w:keepLines/>
              <w:rPr>
                <w:b/>
                <w:bCs w:val="0"/>
              </w:rPr>
            </w:pPr>
            <w:r w:rsidRPr="00D8548E">
              <w:rPr>
                <w:b/>
                <w:bCs w:val="0"/>
              </w:rPr>
              <w:t>HAI</w:t>
            </w:r>
          </w:p>
        </w:tc>
      </w:tr>
      <w:tr w:rsidR="000374ED" w:rsidRPr="00D8548E" w14:paraId="5BAAE9E8" w14:textId="77777777" w:rsidTr="00123F69">
        <w:tc>
          <w:tcPr>
            <w:tcW w:w="5000" w:type="pct"/>
            <w:gridSpan w:val="5"/>
            <w:shd w:val="clear" w:color="auto" w:fill="FFFFFF" w:themeFill="background1"/>
          </w:tcPr>
          <w:p w14:paraId="3CE5EC66" w14:textId="77777777" w:rsidR="000374ED" w:rsidRPr="00D8548E" w:rsidRDefault="000374ED" w:rsidP="0073365E">
            <w:pPr>
              <w:pStyle w:val="TableText0"/>
              <w:keepLines/>
              <w:rPr>
                <w:b/>
                <w:bCs w:val="0"/>
              </w:rPr>
            </w:pPr>
            <w:r w:rsidRPr="00D8548E">
              <w:rPr>
                <w:b/>
                <w:bCs w:val="0"/>
              </w:rPr>
              <w:t>B/Brisbane/60/2008 (Victoria lineage)</w:t>
            </w:r>
          </w:p>
        </w:tc>
      </w:tr>
      <w:tr w:rsidR="000374ED" w:rsidRPr="00D8548E" w14:paraId="6A85F30E" w14:textId="77777777" w:rsidTr="00123F69">
        <w:tc>
          <w:tcPr>
            <w:tcW w:w="1629" w:type="pct"/>
            <w:shd w:val="clear" w:color="auto" w:fill="FFFFFF" w:themeFill="background1"/>
          </w:tcPr>
          <w:p w14:paraId="46DC55DA" w14:textId="77777777" w:rsidR="000374ED" w:rsidRPr="00D8548E" w:rsidRDefault="000374ED" w:rsidP="0073365E">
            <w:pPr>
              <w:pStyle w:val="TableText0"/>
              <w:keepLines/>
            </w:pPr>
            <w:r w:rsidRPr="00D8548E">
              <w:t>Day 0 GMT</w:t>
            </w:r>
          </w:p>
        </w:tc>
        <w:tc>
          <w:tcPr>
            <w:tcW w:w="777" w:type="pct"/>
            <w:shd w:val="clear" w:color="auto" w:fill="FFFFFF" w:themeFill="background1"/>
          </w:tcPr>
          <w:p w14:paraId="0DD66D9B" w14:textId="77777777" w:rsidR="000374ED" w:rsidRPr="00D8548E" w:rsidRDefault="000374ED" w:rsidP="0073365E">
            <w:pPr>
              <w:pStyle w:val="TableText0"/>
              <w:keepLines/>
              <w:jc w:val="center"/>
            </w:pPr>
            <w:r w:rsidRPr="00D8548E">
              <w:t>24 (20–28)</w:t>
            </w:r>
          </w:p>
        </w:tc>
        <w:tc>
          <w:tcPr>
            <w:tcW w:w="854" w:type="pct"/>
            <w:shd w:val="clear" w:color="auto" w:fill="FFFFFF" w:themeFill="background1"/>
          </w:tcPr>
          <w:p w14:paraId="76378BE0" w14:textId="77777777" w:rsidR="000374ED" w:rsidRPr="00D8548E" w:rsidRDefault="000374ED" w:rsidP="0073365E">
            <w:pPr>
              <w:pStyle w:val="TableText0"/>
              <w:keepLines/>
              <w:jc w:val="center"/>
              <w:rPr>
                <w:b/>
                <w:bCs w:val="0"/>
              </w:rPr>
            </w:pPr>
            <w:r w:rsidRPr="00D8548E">
              <w:rPr>
                <w:b/>
                <w:bCs w:val="0"/>
              </w:rPr>
              <w:t>31 (26–38)</w:t>
            </w:r>
          </w:p>
        </w:tc>
        <w:tc>
          <w:tcPr>
            <w:tcW w:w="854" w:type="pct"/>
            <w:shd w:val="clear" w:color="auto" w:fill="FFFFFF" w:themeFill="background1"/>
          </w:tcPr>
          <w:p w14:paraId="4BFE15E6" w14:textId="77777777" w:rsidR="000374ED" w:rsidRPr="00D8548E" w:rsidRDefault="000374ED" w:rsidP="0073365E">
            <w:pPr>
              <w:pStyle w:val="TableText0"/>
              <w:keepLines/>
              <w:jc w:val="center"/>
              <w:rPr>
                <w:b/>
                <w:bCs w:val="0"/>
              </w:rPr>
            </w:pPr>
            <w:r w:rsidRPr="00D8548E">
              <w:rPr>
                <w:b/>
                <w:bCs w:val="0"/>
              </w:rPr>
              <w:t>31 (26–37)</w:t>
            </w:r>
          </w:p>
        </w:tc>
        <w:tc>
          <w:tcPr>
            <w:tcW w:w="886" w:type="pct"/>
            <w:shd w:val="clear" w:color="auto" w:fill="FFFFFF" w:themeFill="background1"/>
          </w:tcPr>
          <w:p w14:paraId="6D9AE667" w14:textId="77777777" w:rsidR="000374ED" w:rsidRPr="00D8548E" w:rsidRDefault="000374ED" w:rsidP="0073365E">
            <w:pPr>
              <w:pStyle w:val="TableText0"/>
              <w:keepLines/>
              <w:jc w:val="center"/>
              <w:rPr>
                <w:b/>
                <w:bCs w:val="0"/>
              </w:rPr>
            </w:pPr>
            <w:r w:rsidRPr="00D8548E">
              <w:rPr>
                <w:b/>
                <w:bCs w:val="0"/>
              </w:rPr>
              <w:t>29 (25–35)</w:t>
            </w:r>
          </w:p>
        </w:tc>
      </w:tr>
      <w:tr w:rsidR="000374ED" w:rsidRPr="00D8548E" w14:paraId="1D3A16B3" w14:textId="77777777" w:rsidTr="00123F69">
        <w:tc>
          <w:tcPr>
            <w:tcW w:w="1629" w:type="pct"/>
            <w:shd w:val="clear" w:color="auto" w:fill="FFFFFF" w:themeFill="background1"/>
          </w:tcPr>
          <w:p w14:paraId="2FCA40D2" w14:textId="77777777" w:rsidR="000374ED" w:rsidRPr="00D8548E" w:rsidRDefault="000374ED" w:rsidP="0073365E">
            <w:pPr>
              <w:pStyle w:val="TableText0"/>
              <w:keepLines/>
            </w:pPr>
            <w:r w:rsidRPr="00D8548E">
              <w:t>Day 30 GMT</w:t>
            </w:r>
          </w:p>
        </w:tc>
        <w:tc>
          <w:tcPr>
            <w:tcW w:w="777" w:type="pct"/>
            <w:shd w:val="clear" w:color="auto" w:fill="FFFFFF" w:themeFill="background1"/>
          </w:tcPr>
          <w:p w14:paraId="7D257EDE" w14:textId="77777777" w:rsidR="000374ED" w:rsidRPr="00D8548E" w:rsidRDefault="000374ED" w:rsidP="0073365E">
            <w:pPr>
              <w:pStyle w:val="TableText0"/>
              <w:keepLines/>
              <w:jc w:val="center"/>
            </w:pPr>
            <w:r w:rsidRPr="00D8548E">
              <w:t>89 (75–105)</w:t>
            </w:r>
          </w:p>
        </w:tc>
        <w:tc>
          <w:tcPr>
            <w:tcW w:w="854" w:type="pct"/>
            <w:shd w:val="clear" w:color="auto" w:fill="FFFFFF" w:themeFill="background1"/>
          </w:tcPr>
          <w:p w14:paraId="22810EE6" w14:textId="77777777" w:rsidR="000374ED" w:rsidRPr="00D8548E" w:rsidRDefault="000374ED" w:rsidP="0073365E">
            <w:pPr>
              <w:pStyle w:val="TableText0"/>
              <w:keepLines/>
              <w:jc w:val="center"/>
            </w:pPr>
            <w:r w:rsidRPr="00D8548E">
              <w:t>95 (81–112)</w:t>
            </w:r>
          </w:p>
        </w:tc>
        <w:tc>
          <w:tcPr>
            <w:tcW w:w="854" w:type="pct"/>
            <w:shd w:val="clear" w:color="auto" w:fill="FFFFFF" w:themeFill="background1"/>
          </w:tcPr>
          <w:p w14:paraId="4C2557F5" w14:textId="77777777" w:rsidR="000374ED" w:rsidRPr="00D8548E" w:rsidRDefault="000374ED" w:rsidP="0073365E">
            <w:pPr>
              <w:pStyle w:val="TableText0"/>
              <w:keepLines/>
              <w:jc w:val="center"/>
              <w:rPr>
                <w:b/>
                <w:bCs w:val="0"/>
              </w:rPr>
            </w:pPr>
            <w:r w:rsidRPr="00D8548E">
              <w:rPr>
                <w:b/>
                <w:bCs w:val="0"/>
              </w:rPr>
              <w:t>132 (112–157)</w:t>
            </w:r>
          </w:p>
        </w:tc>
        <w:tc>
          <w:tcPr>
            <w:tcW w:w="886" w:type="pct"/>
            <w:shd w:val="clear" w:color="auto" w:fill="FFFFFF" w:themeFill="background1"/>
          </w:tcPr>
          <w:p w14:paraId="4FAC3A01" w14:textId="77777777" w:rsidR="000374ED" w:rsidRPr="00D8548E" w:rsidRDefault="000374ED" w:rsidP="0073365E">
            <w:pPr>
              <w:pStyle w:val="TableText0"/>
              <w:keepLines/>
              <w:jc w:val="center"/>
            </w:pPr>
            <w:r w:rsidRPr="00D8548E">
              <w:t>90 (76–107)</w:t>
            </w:r>
          </w:p>
        </w:tc>
      </w:tr>
      <w:tr w:rsidR="000374ED" w:rsidRPr="00D8548E" w14:paraId="732CF876" w14:textId="77777777" w:rsidTr="00123F69">
        <w:tc>
          <w:tcPr>
            <w:tcW w:w="1629" w:type="pct"/>
            <w:shd w:val="clear" w:color="auto" w:fill="FFFFFF" w:themeFill="background1"/>
          </w:tcPr>
          <w:p w14:paraId="58859ECD" w14:textId="77777777" w:rsidR="000374ED" w:rsidRPr="00D8548E" w:rsidRDefault="000374ED" w:rsidP="0073365E">
            <w:pPr>
              <w:pStyle w:val="TableText0"/>
              <w:keepLines/>
            </w:pPr>
            <w:r w:rsidRPr="00D8548E">
              <w:t>Mean fold rise from D0 to D30</w:t>
            </w:r>
          </w:p>
        </w:tc>
        <w:tc>
          <w:tcPr>
            <w:tcW w:w="777" w:type="pct"/>
            <w:shd w:val="clear" w:color="auto" w:fill="FFFFFF" w:themeFill="background1"/>
          </w:tcPr>
          <w:p w14:paraId="192A0D25" w14:textId="77777777" w:rsidR="000374ED" w:rsidRPr="00D8548E" w:rsidRDefault="000374ED" w:rsidP="0073365E">
            <w:pPr>
              <w:pStyle w:val="TableText0"/>
              <w:keepLines/>
              <w:jc w:val="center"/>
            </w:pPr>
            <w:r w:rsidRPr="00D8548E">
              <w:t>3.7 (3.2–4.4)</w:t>
            </w:r>
          </w:p>
        </w:tc>
        <w:tc>
          <w:tcPr>
            <w:tcW w:w="854" w:type="pct"/>
            <w:shd w:val="clear" w:color="auto" w:fill="FFFFFF" w:themeFill="background1"/>
          </w:tcPr>
          <w:p w14:paraId="7D4702C7" w14:textId="77777777" w:rsidR="000374ED" w:rsidRPr="00D8548E" w:rsidRDefault="000374ED" w:rsidP="0073365E">
            <w:pPr>
              <w:pStyle w:val="TableText0"/>
              <w:keepLines/>
              <w:jc w:val="center"/>
            </w:pPr>
            <w:r w:rsidRPr="00D8548E">
              <w:t>3 (2.6–3.5)</w:t>
            </w:r>
          </w:p>
        </w:tc>
        <w:tc>
          <w:tcPr>
            <w:tcW w:w="854" w:type="pct"/>
            <w:shd w:val="clear" w:color="auto" w:fill="FFFFFF" w:themeFill="background1"/>
          </w:tcPr>
          <w:p w14:paraId="2842914B" w14:textId="77777777" w:rsidR="000374ED" w:rsidRPr="00D8548E" w:rsidRDefault="000374ED" w:rsidP="0073365E">
            <w:pPr>
              <w:pStyle w:val="TableText0"/>
              <w:keepLines/>
              <w:jc w:val="center"/>
            </w:pPr>
            <w:r w:rsidRPr="00D8548E">
              <w:t>4.2 (3.5–5.0)</w:t>
            </w:r>
          </w:p>
        </w:tc>
        <w:tc>
          <w:tcPr>
            <w:tcW w:w="886" w:type="pct"/>
            <w:shd w:val="clear" w:color="auto" w:fill="FFFFFF" w:themeFill="background1"/>
          </w:tcPr>
          <w:p w14:paraId="1CCCAD9C" w14:textId="77777777" w:rsidR="000374ED" w:rsidRPr="00D8548E" w:rsidRDefault="000374ED" w:rsidP="0073365E">
            <w:pPr>
              <w:pStyle w:val="TableText0"/>
              <w:keepLines/>
              <w:jc w:val="center"/>
            </w:pPr>
            <w:r w:rsidRPr="00D8548E">
              <w:t>3.1 (2.7–3.5)</w:t>
            </w:r>
          </w:p>
        </w:tc>
      </w:tr>
      <w:tr w:rsidR="000374ED" w:rsidRPr="00D8548E" w14:paraId="08813FA7" w14:textId="77777777" w:rsidTr="00123F69">
        <w:tc>
          <w:tcPr>
            <w:tcW w:w="1629" w:type="pct"/>
            <w:shd w:val="clear" w:color="auto" w:fill="FFFFFF" w:themeFill="background1"/>
          </w:tcPr>
          <w:p w14:paraId="1F44A8F3" w14:textId="77777777" w:rsidR="000374ED" w:rsidRPr="00D8548E" w:rsidRDefault="000374ED" w:rsidP="0073365E">
            <w:pPr>
              <w:pStyle w:val="TableText0"/>
              <w:keepLines/>
            </w:pPr>
            <w:r w:rsidRPr="00D8548E">
              <w:t>% with ≥4-fold rise from D0 to D30</w:t>
            </w:r>
            <w:r w:rsidRPr="00D8548E">
              <w:rPr>
                <w:rStyle w:val="SmallSuperscript"/>
              </w:rPr>
              <w:t>a</w:t>
            </w:r>
          </w:p>
        </w:tc>
        <w:tc>
          <w:tcPr>
            <w:tcW w:w="777" w:type="pct"/>
            <w:shd w:val="clear" w:color="auto" w:fill="FFFFFF" w:themeFill="background1"/>
          </w:tcPr>
          <w:p w14:paraId="28124347" w14:textId="77777777" w:rsidR="000374ED" w:rsidRPr="00D8548E" w:rsidRDefault="000374ED" w:rsidP="0073365E">
            <w:pPr>
              <w:pStyle w:val="TableText0"/>
              <w:keepLines/>
              <w:jc w:val="center"/>
            </w:pPr>
            <w:r w:rsidRPr="00D8548E">
              <w:t>48% (41–56%)</w:t>
            </w:r>
          </w:p>
        </w:tc>
        <w:tc>
          <w:tcPr>
            <w:tcW w:w="854" w:type="pct"/>
            <w:shd w:val="clear" w:color="auto" w:fill="FFFFFF" w:themeFill="background1"/>
          </w:tcPr>
          <w:p w14:paraId="5FABBBD4" w14:textId="77777777" w:rsidR="000374ED" w:rsidRPr="00D8548E" w:rsidRDefault="000374ED" w:rsidP="0073365E">
            <w:pPr>
              <w:pStyle w:val="TableText0"/>
              <w:keepLines/>
              <w:jc w:val="center"/>
            </w:pPr>
            <w:r w:rsidRPr="00D8548E">
              <w:t>44% (37–51%)</w:t>
            </w:r>
          </w:p>
        </w:tc>
        <w:tc>
          <w:tcPr>
            <w:tcW w:w="854" w:type="pct"/>
            <w:shd w:val="clear" w:color="auto" w:fill="FFFFFF" w:themeFill="background1"/>
          </w:tcPr>
          <w:p w14:paraId="5A51A754" w14:textId="77777777" w:rsidR="000374ED" w:rsidRPr="00D8548E" w:rsidRDefault="000374ED" w:rsidP="0073365E">
            <w:pPr>
              <w:pStyle w:val="TableText0"/>
              <w:keepLines/>
              <w:jc w:val="center"/>
            </w:pPr>
            <w:r w:rsidRPr="00D8548E">
              <w:t>52% (45–60%)</w:t>
            </w:r>
          </w:p>
        </w:tc>
        <w:tc>
          <w:tcPr>
            <w:tcW w:w="886" w:type="pct"/>
            <w:shd w:val="clear" w:color="auto" w:fill="FFFFFF" w:themeFill="background1"/>
          </w:tcPr>
          <w:p w14:paraId="098D3043" w14:textId="77777777" w:rsidR="000374ED" w:rsidRPr="00D8548E" w:rsidRDefault="000374ED" w:rsidP="0073365E">
            <w:pPr>
              <w:pStyle w:val="TableText0"/>
              <w:keepLines/>
              <w:jc w:val="center"/>
            </w:pPr>
            <w:r w:rsidRPr="00D8548E">
              <w:t>44% (37–51%)</w:t>
            </w:r>
          </w:p>
        </w:tc>
      </w:tr>
      <w:tr w:rsidR="000374ED" w:rsidRPr="00D8548E" w14:paraId="2B7A44F3" w14:textId="77777777" w:rsidTr="00123F69">
        <w:tc>
          <w:tcPr>
            <w:tcW w:w="5000" w:type="pct"/>
            <w:gridSpan w:val="5"/>
            <w:shd w:val="clear" w:color="auto" w:fill="FFFFFF" w:themeFill="background1"/>
          </w:tcPr>
          <w:p w14:paraId="61739DD1" w14:textId="77777777" w:rsidR="000374ED" w:rsidRPr="00D8548E" w:rsidRDefault="000374ED" w:rsidP="0073365E">
            <w:pPr>
              <w:pStyle w:val="TableText0"/>
              <w:keepLines/>
              <w:rPr>
                <w:b/>
                <w:bCs w:val="0"/>
              </w:rPr>
            </w:pPr>
            <w:r w:rsidRPr="00D8548E">
              <w:rPr>
                <w:b/>
                <w:bCs w:val="0"/>
              </w:rPr>
              <w:t>HAI</w:t>
            </w:r>
          </w:p>
        </w:tc>
      </w:tr>
      <w:tr w:rsidR="000374ED" w:rsidRPr="00D8548E" w14:paraId="6F620725" w14:textId="77777777" w:rsidTr="00123F69">
        <w:tc>
          <w:tcPr>
            <w:tcW w:w="5000" w:type="pct"/>
            <w:gridSpan w:val="5"/>
            <w:shd w:val="clear" w:color="auto" w:fill="FFFFFF" w:themeFill="background1"/>
          </w:tcPr>
          <w:p w14:paraId="0CB3F8F2" w14:textId="77777777" w:rsidR="000374ED" w:rsidRPr="00D8548E" w:rsidRDefault="000374ED" w:rsidP="0073365E">
            <w:pPr>
              <w:pStyle w:val="TableText0"/>
              <w:keepLines/>
              <w:rPr>
                <w:b/>
                <w:bCs w:val="0"/>
              </w:rPr>
            </w:pPr>
            <w:r w:rsidRPr="00D8548E">
              <w:rPr>
                <w:b/>
                <w:bCs w:val="0"/>
              </w:rPr>
              <w:t>B/Phuket/3073/2013b (Yamagata lineage)</w:t>
            </w:r>
          </w:p>
        </w:tc>
      </w:tr>
      <w:tr w:rsidR="000374ED" w:rsidRPr="00D8548E" w14:paraId="04F13806" w14:textId="77777777" w:rsidTr="00123F69">
        <w:tc>
          <w:tcPr>
            <w:tcW w:w="1629" w:type="pct"/>
            <w:shd w:val="clear" w:color="auto" w:fill="FFFFFF" w:themeFill="background1"/>
          </w:tcPr>
          <w:p w14:paraId="1EB90F3A" w14:textId="77777777" w:rsidR="000374ED" w:rsidRPr="00D8548E" w:rsidRDefault="000374ED" w:rsidP="0073365E">
            <w:pPr>
              <w:pStyle w:val="TableText0"/>
              <w:keepLines/>
            </w:pPr>
            <w:r w:rsidRPr="00D8548E">
              <w:t>Day 0 GMT</w:t>
            </w:r>
          </w:p>
        </w:tc>
        <w:tc>
          <w:tcPr>
            <w:tcW w:w="777" w:type="pct"/>
            <w:shd w:val="clear" w:color="auto" w:fill="FFFFFF" w:themeFill="background1"/>
          </w:tcPr>
          <w:p w14:paraId="3C89F66B" w14:textId="77777777" w:rsidR="000374ED" w:rsidRPr="00D8548E" w:rsidRDefault="000374ED" w:rsidP="0073365E">
            <w:pPr>
              <w:pStyle w:val="TableText0"/>
              <w:keepLines/>
              <w:jc w:val="center"/>
            </w:pPr>
            <w:r w:rsidRPr="00D8548E">
              <w:t>37 (31–44)</w:t>
            </w:r>
          </w:p>
        </w:tc>
        <w:tc>
          <w:tcPr>
            <w:tcW w:w="854" w:type="pct"/>
            <w:shd w:val="clear" w:color="auto" w:fill="FFFFFF" w:themeFill="background1"/>
          </w:tcPr>
          <w:p w14:paraId="13BF3241" w14:textId="77777777" w:rsidR="000374ED" w:rsidRPr="00D8548E" w:rsidRDefault="000374ED" w:rsidP="0073365E">
            <w:pPr>
              <w:pStyle w:val="TableText0"/>
              <w:keepLines/>
              <w:jc w:val="center"/>
            </w:pPr>
            <w:r w:rsidRPr="00D8548E">
              <w:t>41 (35–49)</w:t>
            </w:r>
          </w:p>
        </w:tc>
        <w:tc>
          <w:tcPr>
            <w:tcW w:w="854" w:type="pct"/>
            <w:shd w:val="clear" w:color="auto" w:fill="FFFFFF" w:themeFill="background1"/>
          </w:tcPr>
          <w:p w14:paraId="28F790C0" w14:textId="77777777" w:rsidR="000374ED" w:rsidRPr="00D8548E" w:rsidRDefault="000374ED" w:rsidP="0073365E">
            <w:pPr>
              <w:pStyle w:val="TableText0"/>
              <w:keepLines/>
              <w:jc w:val="center"/>
            </w:pPr>
            <w:r w:rsidRPr="00D8548E">
              <w:t>41 (34–50)</w:t>
            </w:r>
          </w:p>
        </w:tc>
        <w:tc>
          <w:tcPr>
            <w:tcW w:w="886" w:type="pct"/>
            <w:shd w:val="clear" w:color="auto" w:fill="FFFFFF" w:themeFill="background1"/>
          </w:tcPr>
          <w:p w14:paraId="3C78E4E0" w14:textId="77777777" w:rsidR="000374ED" w:rsidRPr="00D8548E" w:rsidRDefault="000374ED" w:rsidP="0073365E">
            <w:pPr>
              <w:pStyle w:val="TableText0"/>
              <w:keepLines/>
              <w:jc w:val="center"/>
            </w:pPr>
            <w:r w:rsidRPr="00D8548E">
              <w:t>45 (38–54)</w:t>
            </w:r>
          </w:p>
        </w:tc>
      </w:tr>
      <w:tr w:rsidR="000374ED" w:rsidRPr="00D8548E" w14:paraId="2E89D5CA" w14:textId="77777777" w:rsidTr="00123F69">
        <w:tc>
          <w:tcPr>
            <w:tcW w:w="1629" w:type="pct"/>
          </w:tcPr>
          <w:p w14:paraId="34FEFF12" w14:textId="77777777" w:rsidR="000374ED" w:rsidRPr="00D8548E" w:rsidRDefault="000374ED" w:rsidP="0073365E">
            <w:pPr>
              <w:pStyle w:val="TableText0"/>
              <w:keepLines/>
            </w:pPr>
            <w:r w:rsidRPr="00D8548E">
              <w:t>Day 30 GMT</w:t>
            </w:r>
          </w:p>
        </w:tc>
        <w:tc>
          <w:tcPr>
            <w:tcW w:w="777" w:type="pct"/>
          </w:tcPr>
          <w:p w14:paraId="358C148E" w14:textId="77777777" w:rsidR="000374ED" w:rsidRPr="00D8548E" w:rsidRDefault="000374ED" w:rsidP="0073365E">
            <w:pPr>
              <w:pStyle w:val="TableText0"/>
              <w:keepLines/>
              <w:jc w:val="center"/>
            </w:pPr>
            <w:r w:rsidRPr="00D8548E">
              <w:t>121 (104–141)</w:t>
            </w:r>
          </w:p>
        </w:tc>
        <w:tc>
          <w:tcPr>
            <w:tcW w:w="854" w:type="pct"/>
          </w:tcPr>
          <w:p w14:paraId="59FD5C35" w14:textId="77777777" w:rsidR="000374ED" w:rsidRPr="00D8548E" w:rsidRDefault="000374ED" w:rsidP="0073365E">
            <w:pPr>
              <w:pStyle w:val="TableText0"/>
              <w:keepLines/>
              <w:jc w:val="center"/>
              <w:rPr>
                <w:b/>
                <w:bCs w:val="0"/>
              </w:rPr>
            </w:pPr>
            <w:r w:rsidRPr="00D8548E">
              <w:rPr>
                <w:b/>
                <w:bCs w:val="0"/>
              </w:rPr>
              <w:t>63 (54–74)</w:t>
            </w:r>
          </w:p>
        </w:tc>
        <w:tc>
          <w:tcPr>
            <w:tcW w:w="854" w:type="pct"/>
          </w:tcPr>
          <w:p w14:paraId="67C7482D" w14:textId="77777777" w:rsidR="000374ED" w:rsidRPr="00D8548E" w:rsidRDefault="000374ED" w:rsidP="0073365E">
            <w:pPr>
              <w:pStyle w:val="TableText0"/>
              <w:keepLines/>
              <w:jc w:val="center"/>
              <w:rPr>
                <w:b/>
                <w:bCs w:val="0"/>
              </w:rPr>
            </w:pPr>
            <w:r w:rsidRPr="00D8548E">
              <w:rPr>
                <w:b/>
                <w:bCs w:val="0"/>
              </w:rPr>
              <w:t>68 (57–81)</w:t>
            </w:r>
          </w:p>
        </w:tc>
        <w:tc>
          <w:tcPr>
            <w:tcW w:w="886" w:type="pct"/>
          </w:tcPr>
          <w:p w14:paraId="6328C7E7" w14:textId="77777777" w:rsidR="000374ED" w:rsidRPr="00D8548E" w:rsidRDefault="000374ED" w:rsidP="0073365E">
            <w:pPr>
              <w:pStyle w:val="TableText0"/>
              <w:keepLines/>
              <w:jc w:val="center"/>
            </w:pPr>
            <w:r w:rsidRPr="00D8548E">
              <w:t>131 (111–155)</w:t>
            </w:r>
          </w:p>
        </w:tc>
      </w:tr>
      <w:tr w:rsidR="000374ED" w:rsidRPr="00D8548E" w14:paraId="0E31A4A1" w14:textId="77777777" w:rsidTr="00123F69">
        <w:tc>
          <w:tcPr>
            <w:tcW w:w="1629" w:type="pct"/>
          </w:tcPr>
          <w:p w14:paraId="78DB7D4C" w14:textId="77777777" w:rsidR="000374ED" w:rsidRPr="00D8548E" w:rsidRDefault="000374ED" w:rsidP="0073365E">
            <w:pPr>
              <w:pStyle w:val="TableText0"/>
              <w:keepLines/>
            </w:pPr>
            <w:r w:rsidRPr="00D8548E">
              <w:t>Mean fold rise from D0 to D30</w:t>
            </w:r>
          </w:p>
        </w:tc>
        <w:tc>
          <w:tcPr>
            <w:tcW w:w="777" w:type="pct"/>
          </w:tcPr>
          <w:p w14:paraId="1762C16D" w14:textId="77777777" w:rsidR="000374ED" w:rsidRPr="00D8548E" w:rsidRDefault="000374ED" w:rsidP="0073365E">
            <w:pPr>
              <w:pStyle w:val="TableText0"/>
              <w:keepLines/>
              <w:jc w:val="center"/>
            </w:pPr>
            <w:r w:rsidRPr="00D8548E">
              <w:t>3.3 (2.8–3.8)</w:t>
            </w:r>
          </w:p>
        </w:tc>
        <w:tc>
          <w:tcPr>
            <w:tcW w:w="854" w:type="pct"/>
          </w:tcPr>
          <w:p w14:paraId="42A32CF8" w14:textId="77777777" w:rsidR="000374ED" w:rsidRPr="00D8548E" w:rsidRDefault="000374ED" w:rsidP="0073365E">
            <w:pPr>
              <w:pStyle w:val="TableText0"/>
              <w:keepLines/>
              <w:jc w:val="center"/>
              <w:rPr>
                <w:b/>
                <w:bCs w:val="0"/>
              </w:rPr>
            </w:pPr>
            <w:r w:rsidRPr="00D8548E">
              <w:rPr>
                <w:b/>
                <w:bCs w:val="0"/>
              </w:rPr>
              <w:t>1.5 (1.4–1.7)</w:t>
            </w:r>
          </w:p>
        </w:tc>
        <w:tc>
          <w:tcPr>
            <w:tcW w:w="854" w:type="pct"/>
          </w:tcPr>
          <w:p w14:paraId="0900ECAE" w14:textId="77777777" w:rsidR="000374ED" w:rsidRPr="00D8548E" w:rsidRDefault="000374ED" w:rsidP="0073365E">
            <w:pPr>
              <w:pStyle w:val="TableText0"/>
              <w:keepLines/>
              <w:jc w:val="center"/>
              <w:rPr>
                <w:b/>
                <w:bCs w:val="0"/>
              </w:rPr>
            </w:pPr>
            <w:r w:rsidRPr="00D8548E">
              <w:rPr>
                <w:b/>
                <w:bCs w:val="0"/>
              </w:rPr>
              <w:t>1.6 (1.5–1.8)</w:t>
            </w:r>
          </w:p>
        </w:tc>
        <w:tc>
          <w:tcPr>
            <w:tcW w:w="886" w:type="pct"/>
          </w:tcPr>
          <w:p w14:paraId="038486BD" w14:textId="77777777" w:rsidR="000374ED" w:rsidRPr="00D8548E" w:rsidRDefault="000374ED" w:rsidP="0073365E">
            <w:pPr>
              <w:pStyle w:val="TableText0"/>
              <w:keepLines/>
              <w:jc w:val="center"/>
            </w:pPr>
            <w:r w:rsidRPr="00D8548E">
              <w:t>2.9 (2.5–3.3)</w:t>
            </w:r>
          </w:p>
        </w:tc>
      </w:tr>
      <w:tr w:rsidR="000374ED" w:rsidRPr="00D8548E" w14:paraId="6571AFB0" w14:textId="77777777" w:rsidTr="00123F69">
        <w:tc>
          <w:tcPr>
            <w:tcW w:w="1629" w:type="pct"/>
          </w:tcPr>
          <w:p w14:paraId="21856F29" w14:textId="77777777" w:rsidR="000374ED" w:rsidRPr="00D8548E" w:rsidRDefault="000374ED" w:rsidP="0073365E">
            <w:pPr>
              <w:pStyle w:val="TableText0"/>
              <w:keepLines/>
            </w:pPr>
            <w:r w:rsidRPr="00D8548E">
              <w:t>% with ≥4-fold rise from D0 to D30</w:t>
            </w:r>
            <w:r w:rsidRPr="00D8548E">
              <w:rPr>
                <w:rStyle w:val="SmallSuperscript"/>
              </w:rPr>
              <w:t>a</w:t>
            </w:r>
          </w:p>
        </w:tc>
        <w:tc>
          <w:tcPr>
            <w:tcW w:w="777" w:type="pct"/>
          </w:tcPr>
          <w:p w14:paraId="170633FD" w14:textId="77777777" w:rsidR="000374ED" w:rsidRPr="00D8548E" w:rsidRDefault="000374ED" w:rsidP="0073365E">
            <w:pPr>
              <w:pStyle w:val="TableText0"/>
              <w:keepLines/>
              <w:jc w:val="center"/>
            </w:pPr>
            <w:r w:rsidRPr="00D8548E">
              <w:t>42% (36–50%)</w:t>
            </w:r>
          </w:p>
        </w:tc>
        <w:tc>
          <w:tcPr>
            <w:tcW w:w="854" w:type="pct"/>
          </w:tcPr>
          <w:p w14:paraId="64053E4F" w14:textId="77777777" w:rsidR="000374ED" w:rsidRPr="00D8548E" w:rsidRDefault="000374ED" w:rsidP="0073365E">
            <w:pPr>
              <w:pStyle w:val="TableText0"/>
              <w:keepLines/>
              <w:jc w:val="center"/>
              <w:rPr>
                <w:b/>
                <w:bCs w:val="0"/>
              </w:rPr>
            </w:pPr>
            <w:r w:rsidRPr="00D8548E">
              <w:rPr>
                <w:b/>
                <w:bCs w:val="0"/>
              </w:rPr>
              <w:t>12% (8–18%)</w:t>
            </w:r>
          </w:p>
        </w:tc>
        <w:tc>
          <w:tcPr>
            <w:tcW w:w="854" w:type="pct"/>
          </w:tcPr>
          <w:p w14:paraId="38344EE4" w14:textId="77777777" w:rsidR="000374ED" w:rsidRPr="00D8548E" w:rsidRDefault="000374ED" w:rsidP="0073365E">
            <w:pPr>
              <w:pStyle w:val="TableText0"/>
              <w:keepLines/>
              <w:jc w:val="center"/>
              <w:rPr>
                <w:b/>
                <w:bCs w:val="0"/>
              </w:rPr>
            </w:pPr>
            <w:r w:rsidRPr="00D8548E">
              <w:rPr>
                <w:b/>
                <w:bCs w:val="0"/>
              </w:rPr>
              <w:t>15% (10–21%)</w:t>
            </w:r>
          </w:p>
        </w:tc>
        <w:tc>
          <w:tcPr>
            <w:tcW w:w="886" w:type="pct"/>
          </w:tcPr>
          <w:p w14:paraId="49C353C6" w14:textId="77777777" w:rsidR="000374ED" w:rsidRPr="00D8548E" w:rsidRDefault="000374ED" w:rsidP="0073365E">
            <w:pPr>
              <w:pStyle w:val="TableText0"/>
              <w:keepLines/>
              <w:jc w:val="center"/>
            </w:pPr>
            <w:r w:rsidRPr="00D8548E">
              <w:t>42% (36–50%)</w:t>
            </w:r>
          </w:p>
        </w:tc>
      </w:tr>
    </w:tbl>
    <w:p w14:paraId="45D59EA9" w14:textId="73EDDAD3" w:rsidR="000374ED" w:rsidRPr="00D8548E" w:rsidRDefault="000374ED" w:rsidP="0073365E">
      <w:pPr>
        <w:pStyle w:val="FooterTableFigure"/>
        <w:keepNext/>
        <w:keepLines/>
      </w:pPr>
      <w:r w:rsidRPr="00D8548E">
        <w:t>Source: Table 2-26, p 43 of the submission</w:t>
      </w:r>
      <w:r w:rsidR="00167A2A" w:rsidRPr="00D8548E">
        <w:t>; Table 3, p1709 Cowling et al 2020.</w:t>
      </w:r>
      <w:r w:rsidRPr="00D8548E">
        <w:t xml:space="preserve"> </w:t>
      </w:r>
    </w:p>
    <w:p w14:paraId="484E4E75" w14:textId="390485D0" w:rsidR="00167A2A" w:rsidRPr="00D8548E" w:rsidRDefault="00167A2A" w:rsidP="0073365E">
      <w:pPr>
        <w:pStyle w:val="FooterTableFigure"/>
        <w:keepNext/>
        <w:keepLines/>
      </w:pPr>
      <w:r w:rsidRPr="00D8548E">
        <w:rPr>
          <w:rFonts w:eastAsia="Calibri" w:cs="Calibri"/>
          <w:szCs w:val="18"/>
          <w:lang w:eastAsia="en-US"/>
        </w:rPr>
        <w:t xml:space="preserve">aTIV = adjuvanted trivalent influenza vaccine (Fluad); </w:t>
      </w:r>
      <w:r w:rsidRPr="00D8548E">
        <w:t xml:space="preserve">CI = confidence interval, </w:t>
      </w:r>
      <w:r w:rsidR="000374ED" w:rsidRPr="00D8548E">
        <w:t>D</w:t>
      </w:r>
      <w:r w:rsidRPr="00D8548E">
        <w:t xml:space="preserve"> =</w:t>
      </w:r>
      <w:r w:rsidR="000374ED" w:rsidRPr="00D8548E">
        <w:t xml:space="preserve"> day; </w:t>
      </w:r>
      <w:r w:rsidRPr="00D8548E">
        <w:t xml:space="preserve">GMT = geometric mean </w:t>
      </w:r>
      <w:r w:rsidR="006200AE" w:rsidRPr="00D8548E">
        <w:t>titre</w:t>
      </w:r>
      <w:r w:rsidRPr="00D8548E">
        <w:t xml:space="preserve">, </w:t>
      </w:r>
      <w:r w:rsidR="000374ED" w:rsidRPr="00D8548E">
        <w:t>H</w:t>
      </w:r>
      <w:r w:rsidRPr="00D8548E">
        <w:t xml:space="preserve"> =</w:t>
      </w:r>
      <w:r w:rsidR="000374ED" w:rsidRPr="00D8548E">
        <w:t xml:space="preserve"> hemagglutinin; HAI</w:t>
      </w:r>
      <w:r w:rsidRPr="00D8548E">
        <w:t xml:space="preserve"> =</w:t>
      </w:r>
      <w:r w:rsidR="000374ED" w:rsidRPr="00D8548E">
        <w:t xml:space="preserve"> hemagglutination inhibition assay; M</w:t>
      </w:r>
      <w:r w:rsidRPr="00D8548E">
        <w:t xml:space="preserve">N = </w:t>
      </w:r>
      <w:r w:rsidR="000374ED" w:rsidRPr="00D8548E">
        <w:t>microneutralization assay; Prop</w:t>
      </w:r>
      <w:r w:rsidR="00C0776A" w:rsidRPr="00D8548E">
        <w:t xml:space="preserve"> </w:t>
      </w:r>
      <w:r w:rsidRPr="00D8548E">
        <w:t>=</w:t>
      </w:r>
      <w:r w:rsidR="000374ED" w:rsidRPr="00D8548E">
        <w:t xml:space="preserve"> proportion; </w:t>
      </w:r>
      <w:r w:rsidRPr="00D8548E">
        <w:t xml:space="preserve">QIVe = egg-based quadrivalent subunit influenza virus vaccine; RIV4 = quadrivalent recombinant influenza vaccine (Flublok Quad); </w:t>
      </w:r>
      <w:r w:rsidRPr="00D8548E">
        <w:rPr>
          <w:rFonts w:eastAsia="Calibri" w:cs="Calibri"/>
          <w:szCs w:val="18"/>
          <w:lang w:eastAsia="en-US"/>
        </w:rPr>
        <w:t>TIV-HD = high dose inactivated trivalent influenza vaccine (Fluzone High-Dose).</w:t>
      </w:r>
    </w:p>
    <w:p w14:paraId="5375C244" w14:textId="3B73108A" w:rsidR="00167A2A" w:rsidRPr="00D8548E" w:rsidRDefault="00167A2A" w:rsidP="006200AE">
      <w:pPr>
        <w:pStyle w:val="FooterTableFigure"/>
        <w:keepNext/>
      </w:pPr>
      <w:r w:rsidRPr="00D8548E">
        <w:rPr>
          <w:b/>
          <w:bCs/>
        </w:rPr>
        <w:t>Bold</w:t>
      </w:r>
      <w:r w:rsidRPr="00D8548E">
        <w:t xml:space="preserve"> indicates values that are significantly different from the corresponding value in the standard-dose group (QIVe). </w:t>
      </w:r>
    </w:p>
    <w:p w14:paraId="435EBB5B" w14:textId="77777777" w:rsidR="000374ED" w:rsidRPr="00D8548E" w:rsidRDefault="000374ED" w:rsidP="000374ED">
      <w:pPr>
        <w:pStyle w:val="FooterTableFigure"/>
      </w:pPr>
      <w:r w:rsidRPr="00D8548E">
        <w:t>Note that a B/Yamagata lineage virus was not included in the MF59-adjuvanted TIV and the high-dose TIV.</w:t>
      </w:r>
    </w:p>
    <w:p w14:paraId="7A9EEE51" w14:textId="585EE18C" w:rsidR="005B3254" w:rsidRPr="00D8548E" w:rsidRDefault="005B3254" w:rsidP="00091CFC">
      <w:pPr>
        <w:pStyle w:val="3-BodyText"/>
      </w:pPr>
      <w:r w:rsidRPr="00D8548E">
        <w:t xml:space="preserve">Mean fold rises (MFR) in </w:t>
      </w:r>
      <w:r w:rsidR="000E0589" w:rsidRPr="00D8548E">
        <w:t>hemagglutination inhibition assay (</w:t>
      </w:r>
      <w:r w:rsidRPr="00D8548E">
        <w:t>HAI</w:t>
      </w:r>
      <w:r w:rsidR="000E0589" w:rsidRPr="00D8548E">
        <w:t>)</w:t>
      </w:r>
      <w:r w:rsidRPr="00D8548E">
        <w:t xml:space="preserve"> </w:t>
      </w:r>
      <w:r w:rsidR="006200AE" w:rsidRPr="00D8548E">
        <w:t>titres</w:t>
      </w:r>
      <w:r w:rsidRPr="00D8548E">
        <w:t xml:space="preserve"> to egg-propagated A(H1N1) and A(H3N2) and cell-propagated A(H3N2) were statistically significantly higher in those who received enhanced vaccines (RIV4, TIV-HD and aTIV), compared to QIVe. The mean fold rise in microneutralisation to cell-propagated A(H3N2) was highest among RIV4 recipients (4.7</w:t>
      </w:r>
      <w:r w:rsidR="00167A2A" w:rsidRPr="00D8548E">
        <w:t>, 95% CI: 3.9</w:t>
      </w:r>
      <w:r w:rsidR="00CA7403" w:rsidRPr="00D8548E">
        <w:t xml:space="preserve">, </w:t>
      </w:r>
      <w:r w:rsidR="00167A2A" w:rsidRPr="00D8548E">
        <w:t>5.6</w:t>
      </w:r>
      <w:r w:rsidRPr="00D8548E">
        <w:t>), followed by TIV-HD (3.4</w:t>
      </w:r>
      <w:r w:rsidR="00167A2A" w:rsidRPr="00D8548E">
        <w:t>, 95% CI: 2.9</w:t>
      </w:r>
      <w:r w:rsidR="00CA7403" w:rsidRPr="00D8548E">
        <w:t xml:space="preserve">, </w:t>
      </w:r>
      <w:r w:rsidR="00167A2A" w:rsidRPr="00D8548E">
        <w:t>4.0</w:t>
      </w:r>
      <w:r w:rsidRPr="00D8548E">
        <w:t>) and aTIV (2.9</w:t>
      </w:r>
      <w:r w:rsidR="00167A2A" w:rsidRPr="00D8548E">
        <w:t>, 95% CI: 2.5</w:t>
      </w:r>
      <w:r w:rsidR="00CA7403" w:rsidRPr="00D8548E">
        <w:t xml:space="preserve">, </w:t>
      </w:r>
      <w:r w:rsidR="00167A2A" w:rsidRPr="00D8548E">
        <w:t>3.4</w:t>
      </w:r>
      <w:r w:rsidRPr="00D8548E">
        <w:t>) recipients, compared to QIVe recipients (2.3</w:t>
      </w:r>
      <w:r w:rsidR="00167A2A" w:rsidRPr="00D8548E">
        <w:t>, 95% CI: 2.0</w:t>
      </w:r>
      <w:r w:rsidR="00CA7403" w:rsidRPr="00D8548E">
        <w:t xml:space="preserve">, </w:t>
      </w:r>
      <w:r w:rsidR="00167A2A" w:rsidRPr="00D8548E">
        <w:t>2.6</w:t>
      </w:r>
      <w:r w:rsidRPr="00D8548E">
        <w:t>).</w:t>
      </w:r>
    </w:p>
    <w:p w14:paraId="5D6C6C04" w14:textId="4D0D0ECB" w:rsidR="00643607" w:rsidRPr="00D8548E" w:rsidRDefault="00643607" w:rsidP="00091CFC">
      <w:pPr>
        <w:pStyle w:val="3-BodyText"/>
      </w:pPr>
      <w:r w:rsidRPr="00D8548E">
        <w:t xml:space="preserve">The ATAGI post-submission advice </w:t>
      </w:r>
      <w:r w:rsidR="00B4499E" w:rsidRPr="00D8548E">
        <w:t xml:space="preserve">stated that the results of </w:t>
      </w:r>
      <w:r w:rsidRPr="00D8548E">
        <w:t xml:space="preserve">Belongia 2020 </w:t>
      </w:r>
      <w:r w:rsidR="0025387D" w:rsidRPr="00D8548E">
        <w:t>and</w:t>
      </w:r>
      <w:r w:rsidRPr="00D8548E">
        <w:t xml:space="preserve"> Cowling 2020 </w:t>
      </w:r>
      <w:r w:rsidR="00201316" w:rsidRPr="00D8548E">
        <w:t>“</w:t>
      </w:r>
      <w:r w:rsidR="002E03BF" w:rsidRPr="00D8548E">
        <w:t xml:space="preserve">suggest that RIV4 has similar immunogenicity outcomes to other </w:t>
      </w:r>
      <w:r w:rsidR="002E03BF" w:rsidRPr="00D8548E">
        <w:lastRenderedPageBreak/>
        <w:t>enhanced vaccines for H1N1 but may be associated with improved immune response to some H3N2 virus strains. However, ATAGI noted some inconsistences between studies for H3N2 immunogenicity outcomes using the microneutralisation assay (particularly the A/Hong Kong/4801/2014 strain) that were not adequately explained in the submission. Additionally, ATAGI noted that the H3N2 strains assessed in the included studies may not be representative of current circulating strains. Both recombinant and adjuvant vaccines had similar outcomes for the B/Victoria strain while RIV4 was associated with an improved immune response to the B/Yamagata strain (which was not included in the adjuvant trivalent vaccine).</w:t>
      </w:r>
      <w:r w:rsidR="00201316" w:rsidRPr="00D8548E">
        <w:t>”</w:t>
      </w:r>
      <w:r w:rsidR="00C4077F" w:rsidRPr="00D8548E">
        <w:t xml:space="preserve"> </w:t>
      </w:r>
    </w:p>
    <w:p w14:paraId="35CEFC6D" w14:textId="7E17ED5B" w:rsidR="00790303" w:rsidRPr="00D8548E" w:rsidRDefault="00790303" w:rsidP="00790303">
      <w:pPr>
        <w:pStyle w:val="3-BodyText"/>
        <w:numPr>
          <w:ilvl w:val="0"/>
          <w:numId w:val="0"/>
        </w:numPr>
        <w:outlineLvl w:val="2"/>
        <w:rPr>
          <w:u w:val="single"/>
        </w:rPr>
      </w:pPr>
      <w:r w:rsidRPr="00D8548E">
        <w:rPr>
          <w:u w:val="single"/>
        </w:rPr>
        <w:t xml:space="preserve">Immunogenicity studies: aQIV versus aTIV </w:t>
      </w:r>
    </w:p>
    <w:p w14:paraId="5C7ACC34" w14:textId="4BFD5B7B" w:rsidR="00FC56DD" w:rsidRPr="00D8548E" w:rsidRDefault="00FC56DD" w:rsidP="00091CFC">
      <w:pPr>
        <w:pStyle w:val="3-BodyText"/>
      </w:pPr>
      <w:bookmarkStart w:id="39" w:name="_Ref159326319"/>
      <w:r w:rsidRPr="00D8548E">
        <w:t xml:space="preserve">The immunogenicity results of Essink 2020, which compared aQIV and aTIV, are presented in </w:t>
      </w:r>
      <w:r w:rsidRPr="00D8548E">
        <w:fldChar w:fldCharType="begin" w:fldLock="1"/>
      </w:r>
      <w:r w:rsidRPr="00D8548E">
        <w:instrText xml:space="preserve"> REF _Ref156814107 \h </w:instrText>
      </w:r>
      <w:r w:rsidR="00D8548E" w:rsidRPr="00D8548E">
        <w:instrText xml:space="preserve"> \* MERGEFORMAT </w:instrText>
      </w:r>
      <w:r w:rsidRPr="00D8548E">
        <w:fldChar w:fldCharType="separate"/>
      </w:r>
      <w:r w:rsidR="00C364E6" w:rsidRPr="00D8548E">
        <w:t xml:space="preserve">Table </w:t>
      </w:r>
      <w:r w:rsidR="00C364E6">
        <w:rPr>
          <w:noProof/>
        </w:rPr>
        <w:t>9</w:t>
      </w:r>
      <w:r w:rsidRPr="00D8548E">
        <w:fldChar w:fldCharType="end"/>
      </w:r>
      <w:bookmarkEnd w:id="39"/>
      <w:r w:rsidR="0072001C">
        <w:t>.</w:t>
      </w:r>
    </w:p>
    <w:p w14:paraId="4FF24B5D" w14:textId="4574F9F1" w:rsidR="00FC56DD" w:rsidRPr="00D8548E" w:rsidRDefault="00FC56DD" w:rsidP="00FC56DD">
      <w:pPr>
        <w:pStyle w:val="Caption"/>
      </w:pPr>
      <w:bookmarkStart w:id="40" w:name="_Ref156814107"/>
      <w:r w:rsidRPr="00D8548E">
        <w:t xml:space="preserve">Table </w:t>
      </w:r>
      <w:r w:rsidR="005362BD">
        <w:fldChar w:fldCharType="begin" w:fldLock="1"/>
      </w:r>
      <w:r w:rsidR="005362BD">
        <w:instrText xml:space="preserve"> SEQ Table \* ARABIC </w:instrText>
      </w:r>
      <w:r w:rsidR="005362BD">
        <w:fldChar w:fldCharType="separate"/>
      </w:r>
      <w:r w:rsidR="00C364E6">
        <w:rPr>
          <w:noProof/>
        </w:rPr>
        <w:t>9</w:t>
      </w:r>
      <w:r w:rsidR="005362BD">
        <w:rPr>
          <w:noProof/>
        </w:rPr>
        <w:fldChar w:fldCharType="end"/>
      </w:r>
      <w:bookmarkEnd w:id="40"/>
      <w:r w:rsidRPr="00D8548E">
        <w:t xml:space="preserve">: Summary of immunogenicity by strain in the per protocol set, Essink 2020. </w:t>
      </w:r>
    </w:p>
    <w:tbl>
      <w:tblPr>
        <w:tblStyle w:val="TableGrid"/>
        <w:tblW w:w="5000" w:type="pct"/>
        <w:tblLook w:val="04A0" w:firstRow="1" w:lastRow="0" w:firstColumn="1" w:lastColumn="0" w:noHBand="0" w:noVBand="1"/>
        <w:tblCaption w:val="Table 9: Summary of immunogenicity by strain in the per protocol set, Essink 2020. "/>
      </w:tblPr>
      <w:tblGrid>
        <w:gridCol w:w="4869"/>
        <w:gridCol w:w="2197"/>
        <w:gridCol w:w="1951"/>
      </w:tblGrid>
      <w:tr w:rsidR="00C70709" w:rsidRPr="00D8548E" w14:paraId="583B0FB4" w14:textId="77777777" w:rsidTr="00FC3703">
        <w:tc>
          <w:tcPr>
            <w:tcW w:w="2700" w:type="pct"/>
            <w:shd w:val="clear" w:color="auto" w:fill="FFFFFF" w:themeFill="background1"/>
          </w:tcPr>
          <w:p w14:paraId="28C5047D" w14:textId="498AC6A6" w:rsidR="00C70709" w:rsidRPr="00D8548E" w:rsidRDefault="00C70709" w:rsidP="00C70709">
            <w:pPr>
              <w:pStyle w:val="Table"/>
              <w:keepNext/>
              <w:keepLines/>
              <w:rPr>
                <w:rStyle w:val="Small"/>
                <w:rFonts w:ascii="Arial Narrow" w:hAnsi="Arial Narrow"/>
                <w:sz w:val="20"/>
                <w:szCs w:val="20"/>
              </w:rPr>
            </w:pPr>
          </w:p>
        </w:tc>
        <w:tc>
          <w:tcPr>
            <w:tcW w:w="1218" w:type="pct"/>
            <w:shd w:val="clear" w:color="auto" w:fill="FFFFFF" w:themeFill="background1"/>
          </w:tcPr>
          <w:p w14:paraId="294A0AAD" w14:textId="0B7C0D7E" w:rsidR="00C70709" w:rsidRPr="00D8548E" w:rsidRDefault="00C70709" w:rsidP="00C70709">
            <w:pPr>
              <w:pStyle w:val="Table"/>
              <w:keepNext/>
              <w:keepLines/>
              <w:jc w:val="center"/>
              <w:rPr>
                <w:rStyle w:val="Small"/>
                <w:rFonts w:ascii="Arial Narrow" w:hAnsi="Arial Narrow"/>
                <w:b/>
                <w:bCs/>
                <w:sz w:val="20"/>
                <w:szCs w:val="20"/>
              </w:rPr>
            </w:pPr>
            <w:r w:rsidRPr="00D8548E">
              <w:rPr>
                <w:rFonts w:ascii="Arial Narrow" w:hAnsi="Arial Narrow"/>
                <w:b/>
                <w:bCs/>
                <w:sz w:val="20"/>
                <w:szCs w:val="20"/>
              </w:rPr>
              <w:t>aQIV</w:t>
            </w:r>
          </w:p>
        </w:tc>
        <w:tc>
          <w:tcPr>
            <w:tcW w:w="1082" w:type="pct"/>
            <w:shd w:val="clear" w:color="auto" w:fill="FFFFFF" w:themeFill="background1"/>
          </w:tcPr>
          <w:p w14:paraId="188856F8" w14:textId="710812C6" w:rsidR="00C70709" w:rsidRPr="00D8548E" w:rsidRDefault="00C70709" w:rsidP="00C70709">
            <w:pPr>
              <w:pStyle w:val="TableCentre"/>
              <w:keepNext/>
              <w:keepLines/>
              <w:rPr>
                <w:rStyle w:val="Small"/>
                <w:rFonts w:ascii="Arial Narrow" w:hAnsi="Arial Narrow"/>
                <w:b/>
                <w:bCs/>
                <w:sz w:val="20"/>
                <w:szCs w:val="20"/>
              </w:rPr>
            </w:pPr>
            <w:r w:rsidRPr="00D8548E">
              <w:rPr>
                <w:rFonts w:ascii="Arial Narrow" w:hAnsi="Arial Narrow"/>
                <w:b/>
                <w:bCs/>
                <w:sz w:val="20"/>
                <w:szCs w:val="20"/>
              </w:rPr>
              <w:t>aTIV</w:t>
            </w:r>
          </w:p>
        </w:tc>
      </w:tr>
      <w:tr w:rsidR="00C70709" w:rsidRPr="00D8548E" w14:paraId="774FC609" w14:textId="77777777" w:rsidTr="0029362B">
        <w:tc>
          <w:tcPr>
            <w:tcW w:w="2700" w:type="pct"/>
            <w:shd w:val="clear" w:color="auto" w:fill="FFFFFF" w:themeFill="background1"/>
          </w:tcPr>
          <w:p w14:paraId="359F4E42" w14:textId="716A33B0" w:rsidR="00C70709" w:rsidRPr="00D8548E" w:rsidRDefault="00C70709" w:rsidP="00C70709">
            <w:pPr>
              <w:pStyle w:val="Table"/>
              <w:keepNext/>
              <w:keepLines/>
              <w:rPr>
                <w:rStyle w:val="Small"/>
                <w:rFonts w:ascii="Arial Narrow" w:hAnsi="Arial Narrow"/>
                <w:sz w:val="20"/>
                <w:szCs w:val="20"/>
              </w:rPr>
            </w:pPr>
            <w:r w:rsidRPr="00D8548E">
              <w:rPr>
                <w:rStyle w:val="Small"/>
                <w:rFonts w:ascii="Arial Narrow" w:hAnsi="Arial Narrow"/>
                <w:sz w:val="20"/>
                <w:szCs w:val="20"/>
              </w:rPr>
              <w:t>Number of participants</w:t>
            </w:r>
          </w:p>
        </w:tc>
        <w:tc>
          <w:tcPr>
            <w:tcW w:w="1218" w:type="pct"/>
            <w:shd w:val="clear" w:color="auto" w:fill="FFFFFF" w:themeFill="background1"/>
          </w:tcPr>
          <w:p w14:paraId="3B8A1B4F" w14:textId="74FED4DD" w:rsidR="00C70709" w:rsidRPr="00D8548E" w:rsidRDefault="00C70709" w:rsidP="00C70709">
            <w:pPr>
              <w:pStyle w:val="Table"/>
              <w:keepNext/>
              <w:keepLines/>
              <w:jc w:val="center"/>
              <w:rPr>
                <w:rFonts w:ascii="Arial Narrow" w:hAnsi="Arial Narrow"/>
                <w:b/>
                <w:bCs/>
                <w:sz w:val="20"/>
                <w:szCs w:val="20"/>
              </w:rPr>
            </w:pPr>
            <w:r w:rsidRPr="00D8548E">
              <w:rPr>
                <w:rFonts w:ascii="Arial Narrow" w:hAnsi="Arial Narrow"/>
                <w:sz w:val="20"/>
                <w:szCs w:val="20"/>
              </w:rPr>
              <w:t>872</w:t>
            </w:r>
          </w:p>
        </w:tc>
        <w:tc>
          <w:tcPr>
            <w:tcW w:w="1082" w:type="pct"/>
            <w:shd w:val="clear" w:color="auto" w:fill="FFFFFF" w:themeFill="background1"/>
          </w:tcPr>
          <w:p w14:paraId="3C467DAA" w14:textId="21CEC8FF" w:rsidR="00C70709" w:rsidRPr="00D8548E" w:rsidRDefault="00C70709" w:rsidP="00C70709">
            <w:pPr>
              <w:pStyle w:val="TableCentre"/>
              <w:keepNext/>
              <w:keepLines/>
              <w:rPr>
                <w:rFonts w:ascii="Arial Narrow" w:hAnsi="Arial Narrow"/>
                <w:b/>
                <w:bCs/>
                <w:sz w:val="20"/>
                <w:szCs w:val="20"/>
              </w:rPr>
            </w:pPr>
            <w:r w:rsidRPr="00D8548E">
              <w:rPr>
                <w:rFonts w:ascii="Arial Narrow" w:hAnsi="Arial Narrow"/>
                <w:sz w:val="20"/>
                <w:szCs w:val="20"/>
              </w:rPr>
              <w:t>869</w:t>
            </w:r>
          </w:p>
        </w:tc>
      </w:tr>
      <w:tr w:rsidR="00C70709" w:rsidRPr="00D8548E" w14:paraId="7A37C7CC" w14:textId="77777777" w:rsidTr="00C70709">
        <w:tc>
          <w:tcPr>
            <w:tcW w:w="5000" w:type="pct"/>
            <w:gridSpan w:val="3"/>
            <w:shd w:val="clear" w:color="auto" w:fill="FFFFFF" w:themeFill="background1"/>
            <w:vAlign w:val="center"/>
          </w:tcPr>
          <w:p w14:paraId="58FE8010" w14:textId="14474BBE" w:rsidR="00C70709" w:rsidRPr="00D8548E" w:rsidRDefault="00C70709" w:rsidP="00C70709">
            <w:pPr>
              <w:pStyle w:val="TableCentre"/>
              <w:keepNext/>
              <w:keepLines/>
              <w:jc w:val="left"/>
              <w:rPr>
                <w:rStyle w:val="Small"/>
                <w:rFonts w:ascii="Arial Narrow" w:hAnsi="Arial Narrow"/>
                <w:sz w:val="20"/>
                <w:szCs w:val="20"/>
              </w:rPr>
            </w:pPr>
            <w:r w:rsidRPr="00D8548E">
              <w:rPr>
                <w:rFonts w:ascii="Arial Narrow" w:hAnsi="Arial Narrow"/>
                <w:b/>
                <w:bCs/>
                <w:sz w:val="20"/>
                <w:szCs w:val="20"/>
              </w:rPr>
              <w:t>A/H N1</w:t>
            </w:r>
          </w:p>
        </w:tc>
      </w:tr>
      <w:tr w:rsidR="00C70709" w:rsidRPr="00D8548E" w14:paraId="23227FBC" w14:textId="77777777" w:rsidTr="00FC3703">
        <w:tc>
          <w:tcPr>
            <w:tcW w:w="2700" w:type="pct"/>
            <w:shd w:val="clear" w:color="auto" w:fill="FFFFFF" w:themeFill="background1"/>
          </w:tcPr>
          <w:p w14:paraId="0AE25F55" w14:textId="4A04D9A0" w:rsidR="00C70709" w:rsidRPr="00D8548E" w:rsidRDefault="00C70709" w:rsidP="00C70709">
            <w:pPr>
              <w:pStyle w:val="Table"/>
              <w:keepNext/>
              <w:keepLines/>
              <w:rPr>
                <w:rStyle w:val="Small"/>
                <w:rFonts w:ascii="Arial Narrow" w:hAnsi="Arial Narrow"/>
                <w:sz w:val="20"/>
                <w:szCs w:val="20"/>
              </w:rPr>
            </w:pPr>
            <w:r w:rsidRPr="00D8548E">
              <w:rPr>
                <w:rFonts w:ascii="Arial Narrow" w:hAnsi="Arial Narrow"/>
                <w:sz w:val="20"/>
                <w:szCs w:val="20"/>
              </w:rPr>
              <w:t>Post vaccination titre ≥1:40, % (95% CI)</w:t>
            </w:r>
          </w:p>
        </w:tc>
        <w:tc>
          <w:tcPr>
            <w:tcW w:w="1218" w:type="pct"/>
            <w:shd w:val="clear" w:color="auto" w:fill="FFFFFF" w:themeFill="background1"/>
          </w:tcPr>
          <w:p w14:paraId="296FF7C7" w14:textId="371DA478" w:rsidR="00C70709" w:rsidRPr="00D8548E" w:rsidRDefault="00C70709" w:rsidP="00C70709">
            <w:pPr>
              <w:pStyle w:val="Table"/>
              <w:keepNext/>
              <w:keepLines/>
              <w:jc w:val="center"/>
              <w:rPr>
                <w:rStyle w:val="Small"/>
                <w:rFonts w:ascii="Arial Narrow" w:hAnsi="Arial Narrow"/>
                <w:sz w:val="20"/>
                <w:szCs w:val="20"/>
              </w:rPr>
            </w:pPr>
            <w:r w:rsidRPr="00D8548E">
              <w:rPr>
                <w:rFonts w:ascii="Arial Narrow" w:hAnsi="Arial Narrow"/>
                <w:sz w:val="20"/>
                <w:szCs w:val="20"/>
              </w:rPr>
              <w:t>69.38 (66.2 - 72.43)</w:t>
            </w:r>
          </w:p>
        </w:tc>
        <w:tc>
          <w:tcPr>
            <w:tcW w:w="1082" w:type="pct"/>
            <w:shd w:val="clear" w:color="auto" w:fill="FFFFFF" w:themeFill="background1"/>
          </w:tcPr>
          <w:p w14:paraId="4781541A" w14:textId="073B652A" w:rsidR="00C70709" w:rsidRPr="00D8548E" w:rsidRDefault="00C70709" w:rsidP="00C70709">
            <w:pPr>
              <w:pStyle w:val="TableCentre"/>
              <w:keepNext/>
              <w:keepLines/>
              <w:rPr>
                <w:rStyle w:val="Small"/>
                <w:rFonts w:ascii="Arial Narrow" w:hAnsi="Arial Narrow"/>
                <w:sz w:val="20"/>
                <w:szCs w:val="20"/>
              </w:rPr>
            </w:pPr>
            <w:r w:rsidRPr="00D8548E">
              <w:rPr>
                <w:rFonts w:ascii="Arial Narrow" w:hAnsi="Arial Narrow"/>
                <w:sz w:val="20"/>
                <w:szCs w:val="20"/>
              </w:rPr>
              <w:t>70.31 (67.15 – 73.33)</w:t>
            </w:r>
          </w:p>
        </w:tc>
      </w:tr>
      <w:tr w:rsidR="00C70709" w:rsidRPr="00D8548E" w14:paraId="1A9E0F05" w14:textId="77777777" w:rsidTr="00FC3703">
        <w:tc>
          <w:tcPr>
            <w:tcW w:w="2700" w:type="pct"/>
            <w:shd w:val="clear" w:color="auto" w:fill="FFFFFF" w:themeFill="background1"/>
          </w:tcPr>
          <w:p w14:paraId="59551355" w14:textId="0CA4C05F" w:rsidR="00C70709" w:rsidRPr="00D8548E" w:rsidRDefault="00C70709" w:rsidP="00C70709">
            <w:pPr>
              <w:pStyle w:val="Table"/>
              <w:keepNext/>
              <w:keepLines/>
              <w:rPr>
                <w:rStyle w:val="Small"/>
                <w:rFonts w:ascii="Arial Narrow" w:hAnsi="Arial Narrow"/>
                <w:sz w:val="20"/>
                <w:szCs w:val="20"/>
              </w:rPr>
            </w:pPr>
            <w:r w:rsidRPr="00D8548E">
              <w:rPr>
                <w:rFonts w:ascii="Arial Narrow" w:hAnsi="Arial Narrow"/>
                <w:sz w:val="20"/>
                <w:szCs w:val="20"/>
              </w:rPr>
              <w:t>Seroconversion, % (95% CI)</w:t>
            </w:r>
          </w:p>
        </w:tc>
        <w:tc>
          <w:tcPr>
            <w:tcW w:w="1218" w:type="pct"/>
            <w:shd w:val="clear" w:color="auto" w:fill="FFFFFF" w:themeFill="background1"/>
          </w:tcPr>
          <w:p w14:paraId="2FD38ECE" w14:textId="2774B443" w:rsidR="00C70709" w:rsidRPr="00D8548E" w:rsidRDefault="00C70709" w:rsidP="00C70709">
            <w:pPr>
              <w:pStyle w:val="Table"/>
              <w:keepNext/>
              <w:keepLines/>
              <w:jc w:val="center"/>
              <w:rPr>
                <w:rStyle w:val="Small"/>
                <w:rFonts w:ascii="Arial Narrow" w:hAnsi="Arial Narrow"/>
                <w:sz w:val="20"/>
                <w:szCs w:val="20"/>
              </w:rPr>
            </w:pPr>
            <w:r w:rsidRPr="00D8548E">
              <w:rPr>
                <w:rFonts w:ascii="Arial Narrow" w:hAnsi="Arial Narrow"/>
                <w:sz w:val="20"/>
                <w:szCs w:val="20"/>
              </w:rPr>
              <w:t>35.21 (32.03 – 38.48)</w:t>
            </w:r>
          </w:p>
        </w:tc>
        <w:tc>
          <w:tcPr>
            <w:tcW w:w="1082" w:type="pct"/>
            <w:shd w:val="clear" w:color="auto" w:fill="FFFFFF" w:themeFill="background1"/>
          </w:tcPr>
          <w:p w14:paraId="621A3007" w14:textId="08975EED" w:rsidR="00C70709" w:rsidRPr="00D8548E" w:rsidRDefault="00C70709" w:rsidP="00C70709">
            <w:pPr>
              <w:pStyle w:val="TableCentre"/>
              <w:keepNext/>
              <w:keepLines/>
              <w:rPr>
                <w:rStyle w:val="Small"/>
                <w:rFonts w:ascii="Arial Narrow" w:hAnsi="Arial Narrow"/>
                <w:sz w:val="20"/>
                <w:szCs w:val="20"/>
              </w:rPr>
            </w:pPr>
            <w:r w:rsidRPr="00D8548E">
              <w:rPr>
                <w:rFonts w:ascii="Arial Narrow" w:hAnsi="Arial Narrow"/>
                <w:sz w:val="20"/>
                <w:szCs w:val="20"/>
              </w:rPr>
              <w:t>38.43 (35.19 – 41.76)</w:t>
            </w:r>
          </w:p>
        </w:tc>
      </w:tr>
      <w:tr w:rsidR="00C70709" w:rsidRPr="00D8548E" w14:paraId="05EBAAB7" w14:textId="77777777" w:rsidTr="00C70709">
        <w:tc>
          <w:tcPr>
            <w:tcW w:w="5000" w:type="pct"/>
            <w:gridSpan w:val="3"/>
            <w:shd w:val="clear" w:color="auto" w:fill="FFFFFF" w:themeFill="background1"/>
            <w:vAlign w:val="center"/>
          </w:tcPr>
          <w:p w14:paraId="2B6968F1" w14:textId="0F79C5F2" w:rsidR="00C70709" w:rsidRPr="00D8548E" w:rsidRDefault="00C70709" w:rsidP="00C70709">
            <w:pPr>
              <w:pStyle w:val="TableCentre"/>
              <w:keepNext/>
              <w:keepLines/>
              <w:jc w:val="left"/>
              <w:rPr>
                <w:rStyle w:val="Small"/>
                <w:rFonts w:ascii="Arial Narrow" w:hAnsi="Arial Narrow"/>
                <w:sz w:val="20"/>
                <w:szCs w:val="20"/>
              </w:rPr>
            </w:pPr>
            <w:r w:rsidRPr="00D8548E">
              <w:rPr>
                <w:rFonts w:ascii="Arial Narrow" w:hAnsi="Arial Narrow"/>
                <w:b/>
                <w:bCs/>
                <w:sz w:val="20"/>
                <w:szCs w:val="20"/>
              </w:rPr>
              <w:t>A/H3N2</w:t>
            </w:r>
          </w:p>
        </w:tc>
      </w:tr>
      <w:tr w:rsidR="00C70709" w:rsidRPr="00D8548E" w14:paraId="28E4997F" w14:textId="77777777" w:rsidTr="00FC3703">
        <w:tc>
          <w:tcPr>
            <w:tcW w:w="2700" w:type="pct"/>
            <w:shd w:val="clear" w:color="auto" w:fill="FFFFFF" w:themeFill="background1"/>
          </w:tcPr>
          <w:p w14:paraId="3D00D4B2" w14:textId="0F5B93E6" w:rsidR="00C70709" w:rsidRPr="00D8548E" w:rsidRDefault="00C70709" w:rsidP="00C70709">
            <w:pPr>
              <w:pStyle w:val="Table"/>
              <w:keepNext/>
              <w:keepLines/>
              <w:rPr>
                <w:rStyle w:val="Small"/>
                <w:rFonts w:ascii="Arial Narrow" w:hAnsi="Arial Narrow"/>
                <w:sz w:val="20"/>
                <w:szCs w:val="20"/>
              </w:rPr>
            </w:pPr>
            <w:r w:rsidRPr="00D8548E">
              <w:rPr>
                <w:rFonts w:ascii="Arial Narrow" w:hAnsi="Arial Narrow"/>
                <w:sz w:val="20"/>
                <w:szCs w:val="20"/>
              </w:rPr>
              <w:t>Post vaccination titre ≥1:40, % (95% CI)</w:t>
            </w:r>
          </w:p>
        </w:tc>
        <w:tc>
          <w:tcPr>
            <w:tcW w:w="1218" w:type="pct"/>
            <w:shd w:val="clear" w:color="auto" w:fill="FFFFFF" w:themeFill="background1"/>
          </w:tcPr>
          <w:p w14:paraId="63EC7C91" w14:textId="474590D5" w:rsidR="00C70709" w:rsidRPr="00D8548E" w:rsidRDefault="00C70709" w:rsidP="00C70709">
            <w:pPr>
              <w:pStyle w:val="Table"/>
              <w:keepNext/>
              <w:keepLines/>
              <w:jc w:val="center"/>
              <w:rPr>
                <w:rStyle w:val="Small"/>
                <w:rFonts w:ascii="Arial Narrow" w:hAnsi="Arial Narrow"/>
                <w:sz w:val="20"/>
                <w:szCs w:val="20"/>
              </w:rPr>
            </w:pPr>
            <w:r w:rsidRPr="00D8548E">
              <w:rPr>
                <w:rFonts w:ascii="Arial Narrow" w:hAnsi="Arial Narrow"/>
                <w:sz w:val="20"/>
                <w:szCs w:val="20"/>
              </w:rPr>
              <w:t>93.92 (92.12 – 95.41))</w:t>
            </w:r>
          </w:p>
        </w:tc>
        <w:tc>
          <w:tcPr>
            <w:tcW w:w="1082" w:type="pct"/>
            <w:shd w:val="clear" w:color="auto" w:fill="FFFFFF" w:themeFill="background1"/>
          </w:tcPr>
          <w:p w14:paraId="0273A098" w14:textId="52D210A5" w:rsidR="00C70709" w:rsidRPr="00D8548E" w:rsidRDefault="00C70709" w:rsidP="00C70709">
            <w:pPr>
              <w:pStyle w:val="TableCentre"/>
              <w:keepNext/>
              <w:keepLines/>
              <w:rPr>
                <w:rStyle w:val="Small"/>
                <w:rFonts w:ascii="Arial Narrow" w:hAnsi="Arial Narrow"/>
                <w:sz w:val="20"/>
                <w:szCs w:val="20"/>
              </w:rPr>
            </w:pPr>
            <w:r w:rsidRPr="00D8548E">
              <w:rPr>
                <w:rFonts w:ascii="Arial Narrow" w:hAnsi="Arial Narrow"/>
                <w:sz w:val="20"/>
                <w:szCs w:val="20"/>
              </w:rPr>
              <w:t>94.82 (93.13 – 96.20)</w:t>
            </w:r>
          </w:p>
        </w:tc>
      </w:tr>
      <w:tr w:rsidR="00C70709" w:rsidRPr="00D8548E" w14:paraId="30D7BE8D" w14:textId="77777777" w:rsidTr="00FC3703">
        <w:tc>
          <w:tcPr>
            <w:tcW w:w="2700" w:type="pct"/>
            <w:shd w:val="clear" w:color="auto" w:fill="FFFFFF" w:themeFill="background1"/>
          </w:tcPr>
          <w:p w14:paraId="64E17268" w14:textId="5FD57EE7" w:rsidR="00C70709" w:rsidRPr="00D8548E" w:rsidRDefault="00C70709" w:rsidP="00C70709">
            <w:pPr>
              <w:pStyle w:val="Table"/>
              <w:keepNext/>
              <w:keepLines/>
              <w:rPr>
                <w:rStyle w:val="Small"/>
                <w:rFonts w:ascii="Arial Narrow" w:hAnsi="Arial Narrow"/>
                <w:sz w:val="20"/>
                <w:szCs w:val="20"/>
              </w:rPr>
            </w:pPr>
            <w:r w:rsidRPr="00D8548E">
              <w:rPr>
                <w:rFonts w:ascii="Arial Narrow" w:hAnsi="Arial Narrow"/>
                <w:sz w:val="20"/>
                <w:szCs w:val="20"/>
              </w:rPr>
              <w:t>Seroconversion, % (95% CI)</w:t>
            </w:r>
          </w:p>
        </w:tc>
        <w:tc>
          <w:tcPr>
            <w:tcW w:w="1218" w:type="pct"/>
            <w:shd w:val="clear" w:color="auto" w:fill="FFFFFF" w:themeFill="background1"/>
          </w:tcPr>
          <w:p w14:paraId="37EEE563" w14:textId="1C725284" w:rsidR="00C70709" w:rsidRPr="00D8548E" w:rsidRDefault="00C70709" w:rsidP="00C70709">
            <w:pPr>
              <w:pStyle w:val="Table"/>
              <w:keepNext/>
              <w:keepLines/>
              <w:jc w:val="center"/>
              <w:rPr>
                <w:rStyle w:val="Small"/>
                <w:rFonts w:ascii="Arial Narrow" w:hAnsi="Arial Narrow"/>
                <w:sz w:val="20"/>
                <w:szCs w:val="20"/>
              </w:rPr>
            </w:pPr>
            <w:r w:rsidRPr="00D8548E">
              <w:rPr>
                <w:rFonts w:ascii="Arial Narrow" w:hAnsi="Arial Narrow"/>
                <w:sz w:val="20"/>
                <w:szCs w:val="20"/>
              </w:rPr>
              <w:t>39.33 (36.08 – 42.67)</w:t>
            </w:r>
          </w:p>
        </w:tc>
        <w:tc>
          <w:tcPr>
            <w:tcW w:w="1082" w:type="pct"/>
            <w:shd w:val="clear" w:color="auto" w:fill="FFFFFF" w:themeFill="background1"/>
          </w:tcPr>
          <w:p w14:paraId="62E2C621" w14:textId="68D44953" w:rsidR="00C70709" w:rsidRPr="00D8548E" w:rsidRDefault="00C70709" w:rsidP="00C70709">
            <w:pPr>
              <w:pStyle w:val="TableCentre"/>
              <w:keepNext/>
              <w:keepLines/>
              <w:rPr>
                <w:rStyle w:val="Small"/>
                <w:rFonts w:ascii="Arial Narrow" w:hAnsi="Arial Narrow"/>
                <w:sz w:val="20"/>
                <w:szCs w:val="20"/>
              </w:rPr>
            </w:pPr>
            <w:r w:rsidRPr="00D8548E">
              <w:rPr>
                <w:rFonts w:ascii="Arial Narrow" w:hAnsi="Arial Narrow"/>
                <w:sz w:val="20"/>
                <w:szCs w:val="20"/>
              </w:rPr>
              <w:t>39.70 (36.43 – 43.04)</w:t>
            </w:r>
          </w:p>
        </w:tc>
      </w:tr>
      <w:tr w:rsidR="00C70709" w:rsidRPr="00D8548E" w14:paraId="724C5105" w14:textId="77777777" w:rsidTr="00C70709">
        <w:tc>
          <w:tcPr>
            <w:tcW w:w="5000" w:type="pct"/>
            <w:gridSpan w:val="3"/>
            <w:shd w:val="clear" w:color="auto" w:fill="FFFFFF" w:themeFill="background1"/>
            <w:vAlign w:val="center"/>
          </w:tcPr>
          <w:p w14:paraId="3D153984" w14:textId="6CE22727" w:rsidR="00C70709" w:rsidRPr="00D8548E" w:rsidRDefault="00C70709" w:rsidP="00C70709">
            <w:pPr>
              <w:pStyle w:val="TableCentre"/>
              <w:keepNext/>
              <w:keepLines/>
              <w:jc w:val="left"/>
              <w:rPr>
                <w:rStyle w:val="Small"/>
                <w:rFonts w:ascii="Arial Narrow" w:hAnsi="Arial Narrow"/>
                <w:sz w:val="20"/>
                <w:szCs w:val="20"/>
              </w:rPr>
            </w:pPr>
            <w:r w:rsidRPr="00D8548E">
              <w:rPr>
                <w:rFonts w:ascii="Arial Narrow" w:hAnsi="Arial Narrow"/>
                <w:b/>
                <w:bCs/>
                <w:sz w:val="20"/>
                <w:szCs w:val="20"/>
              </w:rPr>
              <w:t>B Victoria</w:t>
            </w:r>
          </w:p>
        </w:tc>
      </w:tr>
      <w:tr w:rsidR="00C70709" w:rsidRPr="00D8548E" w14:paraId="5424A655" w14:textId="77777777" w:rsidTr="00FC3703">
        <w:tc>
          <w:tcPr>
            <w:tcW w:w="2700" w:type="pct"/>
            <w:shd w:val="clear" w:color="auto" w:fill="FFFFFF" w:themeFill="background1"/>
          </w:tcPr>
          <w:p w14:paraId="6385DF3B" w14:textId="2AFBFEB1" w:rsidR="00C70709" w:rsidRPr="00D8548E" w:rsidRDefault="00C70709" w:rsidP="00C70709">
            <w:pPr>
              <w:pStyle w:val="Table"/>
              <w:keepNext/>
              <w:keepLines/>
              <w:rPr>
                <w:rStyle w:val="Small"/>
                <w:rFonts w:ascii="Arial Narrow" w:hAnsi="Arial Narrow"/>
                <w:sz w:val="20"/>
                <w:szCs w:val="20"/>
              </w:rPr>
            </w:pPr>
            <w:r w:rsidRPr="00D8548E">
              <w:rPr>
                <w:rFonts w:ascii="Arial Narrow" w:hAnsi="Arial Narrow"/>
                <w:sz w:val="20"/>
                <w:szCs w:val="20"/>
              </w:rPr>
              <w:t>Post vaccination titre ≥1:40, % (95% CI)</w:t>
            </w:r>
          </w:p>
        </w:tc>
        <w:tc>
          <w:tcPr>
            <w:tcW w:w="1218" w:type="pct"/>
            <w:shd w:val="clear" w:color="auto" w:fill="FFFFFF" w:themeFill="background1"/>
          </w:tcPr>
          <w:p w14:paraId="21D1CDFA" w14:textId="20669AFA" w:rsidR="00C70709" w:rsidRPr="00D8548E" w:rsidRDefault="00C70709" w:rsidP="00C70709">
            <w:pPr>
              <w:pStyle w:val="Table"/>
              <w:keepNext/>
              <w:keepLines/>
              <w:jc w:val="center"/>
              <w:rPr>
                <w:rStyle w:val="Small"/>
                <w:rFonts w:ascii="Arial Narrow" w:hAnsi="Arial Narrow"/>
                <w:sz w:val="20"/>
                <w:szCs w:val="20"/>
              </w:rPr>
            </w:pPr>
            <w:r w:rsidRPr="00D8548E">
              <w:rPr>
                <w:rFonts w:ascii="Arial Narrow" w:hAnsi="Arial Narrow"/>
                <w:sz w:val="20"/>
                <w:szCs w:val="20"/>
              </w:rPr>
              <w:t>38.19 (34.95 – 41.51)</w:t>
            </w:r>
          </w:p>
        </w:tc>
        <w:tc>
          <w:tcPr>
            <w:tcW w:w="1082" w:type="pct"/>
            <w:shd w:val="clear" w:color="auto" w:fill="FFFFFF" w:themeFill="background1"/>
          </w:tcPr>
          <w:p w14:paraId="08D7A6BF" w14:textId="1B543806" w:rsidR="00C70709" w:rsidRPr="00D8548E" w:rsidRDefault="00C70709" w:rsidP="00C70709">
            <w:pPr>
              <w:pStyle w:val="TableCentre"/>
              <w:keepNext/>
              <w:keepLines/>
              <w:rPr>
                <w:rStyle w:val="Small"/>
                <w:rFonts w:ascii="Arial Narrow" w:hAnsi="Arial Narrow"/>
                <w:sz w:val="20"/>
                <w:szCs w:val="20"/>
              </w:rPr>
            </w:pPr>
            <w:r w:rsidRPr="00D8548E">
              <w:rPr>
                <w:rFonts w:ascii="Arial Narrow" w:hAnsi="Arial Narrow"/>
                <w:sz w:val="20"/>
                <w:szCs w:val="20"/>
              </w:rPr>
              <w:t>36.93 (32.38 – 41.65)</w:t>
            </w:r>
          </w:p>
        </w:tc>
      </w:tr>
      <w:tr w:rsidR="00C70709" w:rsidRPr="00D8548E" w14:paraId="34F1F810" w14:textId="77777777" w:rsidTr="00FC3703">
        <w:tc>
          <w:tcPr>
            <w:tcW w:w="2700" w:type="pct"/>
            <w:shd w:val="clear" w:color="auto" w:fill="FFFFFF" w:themeFill="background1"/>
          </w:tcPr>
          <w:p w14:paraId="1D0DE685" w14:textId="08F5F16F" w:rsidR="00C70709" w:rsidRPr="00D8548E" w:rsidRDefault="00C70709" w:rsidP="00C70709">
            <w:pPr>
              <w:pStyle w:val="Table"/>
              <w:keepNext/>
              <w:keepLines/>
              <w:rPr>
                <w:rStyle w:val="Small"/>
                <w:rFonts w:ascii="Arial Narrow" w:hAnsi="Arial Narrow"/>
                <w:sz w:val="20"/>
                <w:szCs w:val="20"/>
              </w:rPr>
            </w:pPr>
            <w:r w:rsidRPr="00D8548E">
              <w:rPr>
                <w:rFonts w:ascii="Arial Narrow" w:hAnsi="Arial Narrow"/>
                <w:sz w:val="20"/>
                <w:szCs w:val="20"/>
              </w:rPr>
              <w:t>Seroconversion, % (95% CI)</w:t>
            </w:r>
          </w:p>
        </w:tc>
        <w:tc>
          <w:tcPr>
            <w:tcW w:w="1218" w:type="pct"/>
            <w:shd w:val="clear" w:color="auto" w:fill="FFFFFF" w:themeFill="background1"/>
          </w:tcPr>
          <w:p w14:paraId="3951356A" w14:textId="5E3BEC17" w:rsidR="00C70709" w:rsidRPr="00D8548E" w:rsidRDefault="00C70709" w:rsidP="00C70709">
            <w:pPr>
              <w:pStyle w:val="Table"/>
              <w:keepNext/>
              <w:keepLines/>
              <w:jc w:val="center"/>
              <w:rPr>
                <w:rStyle w:val="Small"/>
                <w:rFonts w:ascii="Arial Narrow" w:hAnsi="Arial Narrow"/>
                <w:sz w:val="20"/>
                <w:szCs w:val="20"/>
              </w:rPr>
            </w:pPr>
            <w:r w:rsidRPr="00D8548E">
              <w:rPr>
                <w:rFonts w:ascii="Arial Narrow" w:hAnsi="Arial Narrow"/>
                <w:sz w:val="20"/>
                <w:szCs w:val="20"/>
              </w:rPr>
              <w:t>13.42 (11.22 – 15.86)</w:t>
            </w:r>
          </w:p>
        </w:tc>
        <w:tc>
          <w:tcPr>
            <w:tcW w:w="1082" w:type="pct"/>
            <w:shd w:val="clear" w:color="auto" w:fill="FFFFFF" w:themeFill="background1"/>
          </w:tcPr>
          <w:p w14:paraId="7B7AE6B7" w14:textId="3BDD141C" w:rsidR="00C70709" w:rsidRPr="00D8548E" w:rsidRDefault="00C70709" w:rsidP="00C70709">
            <w:pPr>
              <w:pStyle w:val="TableCentre"/>
              <w:keepNext/>
              <w:keepLines/>
              <w:rPr>
                <w:rStyle w:val="Small"/>
                <w:rFonts w:ascii="Arial Narrow" w:hAnsi="Arial Narrow"/>
                <w:sz w:val="20"/>
                <w:szCs w:val="20"/>
              </w:rPr>
            </w:pPr>
            <w:r w:rsidRPr="00D8548E">
              <w:rPr>
                <w:rFonts w:ascii="Arial Narrow" w:hAnsi="Arial Narrow"/>
                <w:sz w:val="20"/>
                <w:szCs w:val="20"/>
              </w:rPr>
              <w:t>12.16 (9.24 – 15.60)</w:t>
            </w:r>
          </w:p>
        </w:tc>
      </w:tr>
      <w:tr w:rsidR="00C70709" w:rsidRPr="00D8548E" w14:paraId="6320EEBA" w14:textId="77777777" w:rsidTr="00C70709">
        <w:tc>
          <w:tcPr>
            <w:tcW w:w="5000" w:type="pct"/>
            <w:gridSpan w:val="3"/>
            <w:shd w:val="clear" w:color="auto" w:fill="FFFFFF" w:themeFill="background1"/>
            <w:vAlign w:val="center"/>
          </w:tcPr>
          <w:p w14:paraId="498DE1EC" w14:textId="55758836" w:rsidR="00C70709" w:rsidRPr="00D8548E" w:rsidRDefault="00C70709" w:rsidP="00C70709">
            <w:pPr>
              <w:pStyle w:val="TableCentre"/>
              <w:keepNext/>
              <w:keepLines/>
              <w:jc w:val="left"/>
              <w:rPr>
                <w:rStyle w:val="Small"/>
                <w:rFonts w:ascii="Arial Narrow" w:hAnsi="Arial Narrow"/>
                <w:sz w:val="20"/>
                <w:szCs w:val="20"/>
              </w:rPr>
            </w:pPr>
            <w:r w:rsidRPr="00D8548E">
              <w:rPr>
                <w:rFonts w:ascii="Arial Narrow" w:hAnsi="Arial Narrow"/>
                <w:b/>
                <w:bCs/>
                <w:sz w:val="20"/>
                <w:szCs w:val="20"/>
              </w:rPr>
              <w:t>B Yamagata</w:t>
            </w:r>
          </w:p>
        </w:tc>
      </w:tr>
      <w:tr w:rsidR="00C70709" w:rsidRPr="00D8548E" w14:paraId="6F818C64" w14:textId="77777777" w:rsidTr="00FC3703">
        <w:tc>
          <w:tcPr>
            <w:tcW w:w="2700" w:type="pct"/>
            <w:shd w:val="clear" w:color="auto" w:fill="FFFFFF" w:themeFill="background1"/>
          </w:tcPr>
          <w:p w14:paraId="0173472A" w14:textId="5B39E130" w:rsidR="00C70709" w:rsidRPr="00D8548E" w:rsidRDefault="00C70709" w:rsidP="00C70709">
            <w:pPr>
              <w:pStyle w:val="Table"/>
              <w:keepNext/>
              <w:keepLines/>
              <w:rPr>
                <w:rStyle w:val="Small"/>
                <w:rFonts w:ascii="Arial Narrow" w:hAnsi="Arial Narrow"/>
                <w:sz w:val="20"/>
                <w:szCs w:val="20"/>
              </w:rPr>
            </w:pPr>
            <w:r w:rsidRPr="00D8548E">
              <w:rPr>
                <w:rFonts w:ascii="Arial Narrow" w:hAnsi="Arial Narrow"/>
                <w:sz w:val="20"/>
                <w:szCs w:val="20"/>
              </w:rPr>
              <w:t>Post vaccination titre ≥1:40, % (95% CI)</w:t>
            </w:r>
          </w:p>
        </w:tc>
        <w:tc>
          <w:tcPr>
            <w:tcW w:w="1218" w:type="pct"/>
            <w:shd w:val="clear" w:color="auto" w:fill="FFFFFF" w:themeFill="background1"/>
          </w:tcPr>
          <w:p w14:paraId="3E7DD7D2" w14:textId="5680D16B" w:rsidR="00C70709" w:rsidRPr="00D8548E" w:rsidRDefault="00C70709" w:rsidP="00C70709">
            <w:pPr>
              <w:pStyle w:val="Table"/>
              <w:keepNext/>
              <w:keepLines/>
              <w:jc w:val="center"/>
              <w:rPr>
                <w:rStyle w:val="Small"/>
                <w:rFonts w:ascii="Arial Narrow" w:hAnsi="Arial Narrow"/>
                <w:sz w:val="20"/>
                <w:szCs w:val="20"/>
              </w:rPr>
            </w:pPr>
            <w:r w:rsidRPr="00D8548E">
              <w:rPr>
                <w:rFonts w:ascii="Arial Narrow" w:hAnsi="Arial Narrow"/>
                <w:sz w:val="20"/>
                <w:szCs w:val="20"/>
              </w:rPr>
              <w:t>32.80 (29.69 – 36.03)</w:t>
            </w:r>
          </w:p>
        </w:tc>
        <w:tc>
          <w:tcPr>
            <w:tcW w:w="1082" w:type="pct"/>
            <w:shd w:val="clear" w:color="auto" w:fill="FFFFFF" w:themeFill="background1"/>
          </w:tcPr>
          <w:p w14:paraId="7CCD6AA7" w14:textId="26EECDB0" w:rsidR="00C70709" w:rsidRPr="00D8548E" w:rsidRDefault="00C70709" w:rsidP="00C70709">
            <w:pPr>
              <w:pStyle w:val="TableCentre"/>
              <w:keepNext/>
              <w:keepLines/>
              <w:rPr>
                <w:rStyle w:val="Small"/>
                <w:rFonts w:ascii="Arial Narrow" w:hAnsi="Arial Narrow"/>
                <w:sz w:val="20"/>
                <w:szCs w:val="20"/>
              </w:rPr>
            </w:pPr>
            <w:r w:rsidRPr="00D8548E">
              <w:rPr>
                <w:rFonts w:ascii="Arial Narrow" w:hAnsi="Arial Narrow"/>
                <w:sz w:val="20"/>
                <w:szCs w:val="20"/>
              </w:rPr>
              <w:t>36.95 (32.39 – 41.69)</w:t>
            </w:r>
          </w:p>
        </w:tc>
      </w:tr>
      <w:tr w:rsidR="00C70709" w:rsidRPr="00D8548E" w14:paraId="6427837C" w14:textId="77777777" w:rsidTr="00FC3703">
        <w:tc>
          <w:tcPr>
            <w:tcW w:w="2700" w:type="pct"/>
            <w:shd w:val="clear" w:color="auto" w:fill="FFFFFF" w:themeFill="background1"/>
          </w:tcPr>
          <w:p w14:paraId="28265766" w14:textId="3255AE48" w:rsidR="00C70709" w:rsidRPr="00D8548E" w:rsidRDefault="00C70709" w:rsidP="00C70709">
            <w:pPr>
              <w:pStyle w:val="Table"/>
              <w:keepNext/>
              <w:keepLines/>
              <w:rPr>
                <w:rStyle w:val="Small"/>
                <w:rFonts w:ascii="Arial Narrow" w:hAnsi="Arial Narrow"/>
                <w:sz w:val="20"/>
                <w:szCs w:val="20"/>
              </w:rPr>
            </w:pPr>
            <w:r w:rsidRPr="00D8548E">
              <w:rPr>
                <w:rFonts w:ascii="Arial Narrow" w:hAnsi="Arial Narrow"/>
                <w:sz w:val="20"/>
                <w:szCs w:val="20"/>
              </w:rPr>
              <w:t>Seroconversion, % (95% CI)</w:t>
            </w:r>
          </w:p>
        </w:tc>
        <w:tc>
          <w:tcPr>
            <w:tcW w:w="1218" w:type="pct"/>
            <w:shd w:val="clear" w:color="auto" w:fill="FFFFFF" w:themeFill="background1"/>
          </w:tcPr>
          <w:p w14:paraId="61F3BA98" w14:textId="1C0BD5BA" w:rsidR="00C70709" w:rsidRPr="00D8548E" w:rsidRDefault="00C70709" w:rsidP="00C70709">
            <w:pPr>
              <w:pStyle w:val="Table"/>
              <w:keepNext/>
              <w:keepLines/>
              <w:jc w:val="center"/>
              <w:rPr>
                <w:rStyle w:val="Small"/>
                <w:rFonts w:ascii="Arial Narrow" w:hAnsi="Arial Narrow"/>
                <w:sz w:val="20"/>
                <w:szCs w:val="20"/>
              </w:rPr>
            </w:pPr>
            <w:r w:rsidRPr="00D8548E">
              <w:rPr>
                <w:rFonts w:ascii="Arial Narrow" w:hAnsi="Arial Narrow"/>
                <w:sz w:val="20"/>
                <w:szCs w:val="20"/>
              </w:rPr>
              <w:t>16.40 (14.00 - 19.03)</w:t>
            </w:r>
          </w:p>
        </w:tc>
        <w:tc>
          <w:tcPr>
            <w:tcW w:w="1082" w:type="pct"/>
            <w:shd w:val="clear" w:color="auto" w:fill="FFFFFF" w:themeFill="background1"/>
          </w:tcPr>
          <w:p w14:paraId="5E4A518D" w14:textId="0D1304AF" w:rsidR="00C70709" w:rsidRPr="00D8548E" w:rsidRDefault="00C70709" w:rsidP="00C70709">
            <w:pPr>
              <w:pStyle w:val="TableCentre"/>
              <w:keepNext/>
              <w:keepLines/>
              <w:rPr>
                <w:rStyle w:val="Small"/>
                <w:rFonts w:ascii="Arial Narrow" w:hAnsi="Arial Narrow"/>
                <w:sz w:val="20"/>
                <w:szCs w:val="20"/>
              </w:rPr>
            </w:pPr>
            <w:r w:rsidRPr="00D8548E">
              <w:rPr>
                <w:rFonts w:ascii="Arial Narrow" w:hAnsi="Arial Narrow"/>
                <w:sz w:val="20"/>
                <w:szCs w:val="20"/>
              </w:rPr>
              <w:t>15.47 (12.20 – 19.23)</w:t>
            </w:r>
          </w:p>
        </w:tc>
      </w:tr>
    </w:tbl>
    <w:p w14:paraId="3CB2F295" w14:textId="0865096E" w:rsidR="00FC56DD" w:rsidRPr="00D8548E" w:rsidRDefault="00FC56DD" w:rsidP="00FC56DD">
      <w:pPr>
        <w:pStyle w:val="CaptionFootnote"/>
        <w:keepNext/>
        <w:keepLines/>
        <w:rPr>
          <w:rFonts w:ascii="Arial Narrow" w:hAnsi="Arial Narrow"/>
        </w:rPr>
      </w:pPr>
      <w:r w:rsidRPr="00D8548E">
        <w:rPr>
          <w:rFonts w:ascii="Arial Narrow" w:hAnsi="Arial Narrow"/>
        </w:rPr>
        <w:t xml:space="preserve">Source: Table 2-28, p45 of the submission </w:t>
      </w:r>
    </w:p>
    <w:p w14:paraId="381107B6" w14:textId="77777777" w:rsidR="00FC56DD" w:rsidRPr="00D8548E" w:rsidRDefault="00FC56DD" w:rsidP="0073365E">
      <w:pPr>
        <w:pStyle w:val="CaptionFootnote"/>
        <w:keepNext/>
        <w:keepLines/>
        <w:spacing w:after="120"/>
        <w:rPr>
          <w:rFonts w:ascii="Arial Narrow" w:hAnsi="Arial Narrow"/>
        </w:rPr>
      </w:pPr>
      <w:r w:rsidRPr="00D8548E">
        <w:rPr>
          <w:rFonts w:ascii="Arial Narrow" w:eastAsia="Calibri" w:hAnsi="Arial Narrow" w:cs="Calibri"/>
        </w:rPr>
        <w:t xml:space="preserve">aTIV = adjuvanted trivalent influenza vaccine (Fluad); </w:t>
      </w:r>
      <w:r w:rsidRPr="00D8548E">
        <w:rPr>
          <w:rFonts w:ascii="Arial Narrow" w:hAnsi="Arial Narrow"/>
        </w:rPr>
        <w:t xml:space="preserve">GMFR = geometric mean fold rise; RIV4 = quadrivalent recombinant influenza vaccine (Flublok Quad); </w:t>
      </w:r>
      <w:r w:rsidRPr="00D8548E">
        <w:rPr>
          <w:rFonts w:ascii="Arial Narrow" w:eastAsia="Calibri" w:hAnsi="Arial Narrow" w:cs="Calibri"/>
        </w:rPr>
        <w:t>TIV-HD = high dose inactivated trivalent influenza vaccine (Fluzone High-Dose).</w:t>
      </w:r>
    </w:p>
    <w:p w14:paraId="7A71619E" w14:textId="2ADD3A9B" w:rsidR="00F90BF0" w:rsidRPr="00D8548E" w:rsidRDefault="00C70709" w:rsidP="00F90BF0">
      <w:pPr>
        <w:pStyle w:val="3-BodyText"/>
      </w:pPr>
      <w:r w:rsidRPr="00D8548E">
        <w:t xml:space="preserve">The submission stated that aQIV met the non-inferiority criteria for GMT ratios and seroconversion rate differences as compared to </w:t>
      </w:r>
      <w:r w:rsidR="0048391A" w:rsidRPr="00D8548E">
        <w:t>aTIV and</w:t>
      </w:r>
      <w:r w:rsidRPr="00D8548E">
        <w:t xml:space="preserve"> met superiority criteria for the B strain that was absent from aTIV</w:t>
      </w:r>
      <w:r w:rsidR="00F90BF0" w:rsidRPr="00D8548E">
        <w:t xml:space="preserve">. As outlined in </w:t>
      </w:r>
      <w:r w:rsidR="005A1155">
        <w:t>P</w:t>
      </w:r>
      <w:r w:rsidR="00F90BF0" w:rsidRPr="00D8548E">
        <w:t xml:space="preserve">aragraph </w:t>
      </w:r>
      <w:r w:rsidR="00F90BF0" w:rsidRPr="00D8548E">
        <w:fldChar w:fldCharType="begin" w:fldLock="1"/>
      </w:r>
      <w:r w:rsidR="00F90BF0" w:rsidRPr="00D8548E">
        <w:instrText xml:space="preserve"> REF _Ref156815324 \r \h </w:instrText>
      </w:r>
      <w:r w:rsidR="00D8548E" w:rsidRPr="00D8548E">
        <w:instrText xml:space="preserve"> \* MERGEFORMAT </w:instrText>
      </w:r>
      <w:r w:rsidR="00F90BF0" w:rsidRPr="00D8548E">
        <w:fldChar w:fldCharType="separate"/>
      </w:r>
      <w:r w:rsidR="00C364E6">
        <w:t>6.7</w:t>
      </w:r>
      <w:r w:rsidR="00F90BF0" w:rsidRPr="00D8548E">
        <w:fldChar w:fldCharType="end"/>
      </w:r>
      <w:r w:rsidR="00F90BF0" w:rsidRPr="00D8548E">
        <w:t xml:space="preserve">, </w:t>
      </w:r>
      <w:proofErr w:type="spellStart"/>
      <w:r w:rsidR="00F90BF0" w:rsidRPr="00D8548E">
        <w:t>Essink</w:t>
      </w:r>
      <w:proofErr w:type="spellEnd"/>
      <w:r w:rsidR="00F90BF0" w:rsidRPr="00D8548E">
        <w:t xml:space="preserve"> 2020 was used </w:t>
      </w:r>
      <w:r w:rsidR="0040597A" w:rsidRPr="00D8548E">
        <w:t xml:space="preserve">in the PBAC’s July 2019 consideration </w:t>
      </w:r>
      <w:r w:rsidR="00F90BF0" w:rsidRPr="00D8548E">
        <w:t xml:space="preserve">to support the </w:t>
      </w:r>
      <w:r w:rsidR="000F2E58" w:rsidRPr="00D8548E">
        <w:t xml:space="preserve">claim of </w:t>
      </w:r>
      <w:r w:rsidR="00F90BF0" w:rsidRPr="00D8548E">
        <w:t>non-inferior</w:t>
      </w:r>
      <w:r w:rsidR="000F2E58" w:rsidRPr="00D8548E">
        <w:t xml:space="preserve"> efficacy </w:t>
      </w:r>
      <w:r w:rsidR="00C64B1A" w:rsidRPr="00D8548E">
        <w:t>between</w:t>
      </w:r>
      <w:r w:rsidR="00F90BF0" w:rsidRPr="00D8548E">
        <w:t xml:space="preserve"> aQIV to aTIV. The PSD for that consideration states “ATAGI post-submission advice, advised that ATAGI considered aQIV to be at least non-inferior to aTIV based on immunogenicity data from the single pivotal phase 3 trial </w:t>
      </w:r>
      <w:r w:rsidR="002C4217" w:rsidRPr="00D8548E">
        <w:t xml:space="preserve">[the clinical study report for Essink 2020] </w:t>
      </w:r>
      <w:r w:rsidR="00F90BF0" w:rsidRPr="00D8548E">
        <w:t>undertaken over a single season which demonstrated non-inferiority of aQIV to aTIV and another aTIV containing the alternative B strain in the first aTIV. ATAGI noted this study found aQIV superior to aTIV for the B strain not included in each aTIV” (</w:t>
      </w:r>
      <w:r w:rsidR="008108C0" w:rsidRPr="00D8548E">
        <w:t>P</w:t>
      </w:r>
      <w:r w:rsidR="00F90BF0" w:rsidRPr="00D8548E">
        <w:t xml:space="preserve">aragraph 6.46, aTIV and aQIV PSD, August and July 2019 PBAC meeting). </w:t>
      </w:r>
    </w:p>
    <w:p w14:paraId="64658A93" w14:textId="08FD65A1" w:rsidR="000374ED" w:rsidRPr="00D8548E" w:rsidRDefault="00322C65" w:rsidP="00B86FC5">
      <w:pPr>
        <w:pStyle w:val="3-BodyText"/>
      </w:pPr>
      <w:bookmarkStart w:id="41" w:name="_Ref159326320"/>
      <w:r w:rsidRPr="00D8548E">
        <w:t>The ATAGI post-submission advice stated “Overall, the additional studies presented in the PBAC submission do not change ATAGI’s previous advice that RIV4 is ‘at least’ equivalent to adjuvant vaccines in individuals aged ≥ 65 years.”</w:t>
      </w:r>
      <w:bookmarkEnd w:id="41"/>
    </w:p>
    <w:p w14:paraId="1452C351" w14:textId="0D19F1B0" w:rsidR="00B60939" w:rsidRPr="00D8548E" w:rsidRDefault="00B60939" w:rsidP="00D86231">
      <w:pPr>
        <w:pStyle w:val="4-SubsectionHeading"/>
        <w:rPr>
          <w:iCs/>
        </w:rPr>
      </w:pPr>
      <w:bookmarkStart w:id="42" w:name="_Toc22897642"/>
      <w:bookmarkStart w:id="43" w:name="_Toc156912787"/>
      <w:r w:rsidRPr="00D8548E">
        <w:rPr>
          <w:iCs/>
        </w:rPr>
        <w:lastRenderedPageBreak/>
        <w:t>Comparative harms</w:t>
      </w:r>
      <w:bookmarkEnd w:id="42"/>
      <w:bookmarkEnd w:id="43"/>
    </w:p>
    <w:p w14:paraId="46CC288E" w14:textId="15F05B4D" w:rsidR="00612742" w:rsidRPr="00832DD3" w:rsidRDefault="00832DD3" w:rsidP="00D86231">
      <w:pPr>
        <w:pStyle w:val="3-BodyText"/>
      </w:pPr>
      <w:r>
        <w:fldChar w:fldCharType="begin" w:fldLock="1"/>
      </w:r>
      <w:r>
        <w:instrText xml:space="preserve"> REF _Ref155600762 \h </w:instrText>
      </w:r>
      <w:r>
        <w:fldChar w:fldCharType="separate"/>
      </w:r>
      <w:r w:rsidR="00C364E6">
        <w:t xml:space="preserve">Table </w:t>
      </w:r>
      <w:r w:rsidR="00C364E6">
        <w:rPr>
          <w:noProof/>
        </w:rPr>
        <w:t>10</w:t>
      </w:r>
      <w:r>
        <w:fldChar w:fldCharType="end"/>
      </w:r>
      <w:r>
        <w:t xml:space="preserve"> presents the adverse events reported in </w:t>
      </w:r>
      <w:r w:rsidRPr="00832DD3">
        <w:t>Cowling 2020</w:t>
      </w:r>
      <w:r>
        <w:t>, which</w:t>
      </w:r>
      <w:r w:rsidRPr="00832DD3">
        <w:t xml:space="preserve"> was the only study presented that included safety data for RIV4.</w:t>
      </w:r>
    </w:p>
    <w:p w14:paraId="0C48F881" w14:textId="1F6EC2D8" w:rsidR="00832DD3" w:rsidRDefault="00D6076E" w:rsidP="00832DD3">
      <w:pPr>
        <w:pStyle w:val="TableFigureHeading"/>
      </w:pPr>
      <w:bookmarkStart w:id="44" w:name="_Ref155600762"/>
      <w:r>
        <w:t xml:space="preserve">Table </w:t>
      </w:r>
      <w:r w:rsidR="005362BD">
        <w:fldChar w:fldCharType="begin" w:fldLock="1"/>
      </w:r>
      <w:r w:rsidR="005362BD">
        <w:instrText xml:space="preserve"> SEQ Table \* ARABIC </w:instrText>
      </w:r>
      <w:r w:rsidR="005362BD">
        <w:fldChar w:fldCharType="separate"/>
      </w:r>
      <w:r w:rsidR="00C364E6">
        <w:rPr>
          <w:noProof/>
        </w:rPr>
        <w:t>10</w:t>
      </w:r>
      <w:r w:rsidR="005362BD">
        <w:rPr>
          <w:noProof/>
        </w:rPr>
        <w:fldChar w:fldCharType="end"/>
      </w:r>
      <w:bookmarkEnd w:id="44"/>
      <w:r>
        <w:t xml:space="preserve">: </w:t>
      </w:r>
      <w:bookmarkStart w:id="45" w:name="_Toc149549696"/>
      <w:r w:rsidR="00832DD3">
        <w:t>Summary of adverse reactions (any severity) one day after vaccination</w:t>
      </w:r>
      <w:bookmarkEnd w:id="45"/>
      <w:r w:rsidR="007103F5">
        <w:t>, Cowling 2020</w:t>
      </w:r>
    </w:p>
    <w:tbl>
      <w:tblPr>
        <w:tblStyle w:val="TableGrid"/>
        <w:tblW w:w="0" w:type="auto"/>
        <w:shd w:val="clear" w:color="auto" w:fill="FFFFFF" w:themeFill="background1"/>
        <w:tblLayout w:type="fixed"/>
        <w:tblLook w:val="04A0" w:firstRow="1" w:lastRow="0" w:firstColumn="1" w:lastColumn="0" w:noHBand="0" w:noVBand="1"/>
        <w:tblCaption w:val="Table 10: Summary of adverse reactions (any severity) one day after vaccination, Cowling 2020"/>
      </w:tblPr>
      <w:tblGrid>
        <w:gridCol w:w="1271"/>
        <w:gridCol w:w="567"/>
        <w:gridCol w:w="709"/>
        <w:gridCol w:w="567"/>
        <w:gridCol w:w="709"/>
        <w:gridCol w:w="850"/>
        <w:gridCol w:w="567"/>
        <w:gridCol w:w="709"/>
        <w:gridCol w:w="850"/>
        <w:gridCol w:w="709"/>
        <w:gridCol w:w="709"/>
        <w:gridCol w:w="793"/>
      </w:tblGrid>
      <w:tr w:rsidR="00832DD3" w:rsidRPr="00EF6D9F" w14:paraId="38E4CCE7" w14:textId="77777777" w:rsidTr="00832DD3">
        <w:tc>
          <w:tcPr>
            <w:tcW w:w="12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67236AA" w14:textId="77777777" w:rsidR="00832DD3" w:rsidRPr="00832DD3" w:rsidRDefault="00832DD3" w:rsidP="00832DD3">
            <w:pPr>
              <w:pStyle w:val="TableFigureHeading"/>
              <w:jc w:val="center"/>
              <w:rPr>
                <w:rStyle w:val="Small"/>
                <w:rFonts w:ascii="Arial Narrow" w:hAnsi="Arial Narrow"/>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814BD" w14:textId="0AAD41AD" w:rsidR="00832DD3" w:rsidRPr="00832DD3" w:rsidRDefault="00832DD3" w:rsidP="00832DD3">
            <w:pPr>
              <w:pStyle w:val="TableFigureHeading"/>
              <w:jc w:val="center"/>
              <w:rPr>
                <w:rStyle w:val="Small"/>
                <w:rFonts w:ascii="Arial Narrow" w:hAnsi="Arial Narrow"/>
              </w:rPr>
            </w:pPr>
            <w:r>
              <w:rPr>
                <w:rStyle w:val="Small"/>
                <w:rFonts w:ascii="Arial Narrow" w:hAnsi="Arial Narrow"/>
              </w:rPr>
              <w:t>QIV</w:t>
            </w:r>
            <w:r w:rsidR="003A700F">
              <w:rPr>
                <w:rStyle w:val="Small"/>
                <w:rFonts w:ascii="Arial Narrow" w:hAnsi="Arial Narrow"/>
              </w:rPr>
              <w:t>e</w:t>
            </w:r>
          </w:p>
          <w:p w14:paraId="39306F9A"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n=429</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3631BA" w14:textId="3796B2AF" w:rsidR="00832DD3" w:rsidRPr="00832DD3" w:rsidRDefault="00832DD3" w:rsidP="00832DD3">
            <w:pPr>
              <w:pStyle w:val="TableFigureHeading"/>
              <w:jc w:val="center"/>
              <w:rPr>
                <w:rStyle w:val="Small"/>
                <w:rFonts w:ascii="Arial Narrow" w:hAnsi="Arial Narrow"/>
              </w:rPr>
            </w:pPr>
            <w:r>
              <w:rPr>
                <w:rStyle w:val="Small"/>
                <w:rFonts w:ascii="Arial Narrow" w:hAnsi="Arial Narrow"/>
              </w:rPr>
              <w:t>aTIV</w:t>
            </w:r>
          </w:p>
          <w:p w14:paraId="441E6AB0"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n=442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EFABAA" w14:textId="071BF705" w:rsidR="00832DD3" w:rsidRPr="00832DD3" w:rsidRDefault="00832DD3" w:rsidP="00832DD3">
            <w:pPr>
              <w:pStyle w:val="TableFigureHeading"/>
              <w:jc w:val="center"/>
              <w:rPr>
                <w:rStyle w:val="Small"/>
                <w:rFonts w:ascii="Arial Narrow" w:hAnsi="Arial Narrow"/>
              </w:rPr>
            </w:pPr>
            <w:r>
              <w:rPr>
                <w:rStyle w:val="Small"/>
                <w:rFonts w:ascii="Arial Narrow" w:hAnsi="Arial Narrow"/>
              </w:rPr>
              <w:t>TIV-</w:t>
            </w:r>
            <w:r w:rsidRPr="00832DD3">
              <w:rPr>
                <w:rStyle w:val="Small"/>
                <w:rFonts w:ascii="Arial Narrow" w:hAnsi="Arial Narrow"/>
              </w:rPr>
              <w:t>HD</w:t>
            </w:r>
          </w:p>
          <w:p w14:paraId="4E998EC5"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n=424</w:t>
            </w:r>
          </w:p>
        </w:tc>
        <w:tc>
          <w:tcPr>
            <w:tcW w:w="22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06F8A0" w14:textId="04CAE684" w:rsidR="00832DD3" w:rsidRPr="00832DD3" w:rsidRDefault="00832DD3" w:rsidP="00832DD3">
            <w:pPr>
              <w:pStyle w:val="TableFigureHeading"/>
              <w:jc w:val="center"/>
              <w:rPr>
                <w:rStyle w:val="Small"/>
                <w:rFonts w:ascii="Arial Narrow" w:hAnsi="Arial Narrow"/>
              </w:rPr>
            </w:pPr>
            <w:r>
              <w:rPr>
                <w:rStyle w:val="Small"/>
                <w:rFonts w:ascii="Arial Narrow" w:hAnsi="Arial Narrow"/>
              </w:rPr>
              <w:t>RIV4</w:t>
            </w:r>
          </w:p>
          <w:p w14:paraId="4A7D02E4"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n=280</w:t>
            </w:r>
          </w:p>
        </w:tc>
      </w:tr>
      <w:tr w:rsidR="00832DD3" w:rsidRPr="00EF6D9F" w14:paraId="0ACE920F" w14:textId="77777777" w:rsidTr="00832DD3">
        <w:tc>
          <w:tcPr>
            <w:tcW w:w="1271" w:type="dxa"/>
            <w:vMerge/>
            <w:tcBorders>
              <w:top w:val="single" w:sz="4" w:space="0" w:color="auto"/>
            </w:tcBorders>
            <w:shd w:val="clear" w:color="auto" w:fill="FFFFFF" w:themeFill="background1"/>
          </w:tcPr>
          <w:p w14:paraId="3C959F39" w14:textId="77777777" w:rsidR="00832DD3" w:rsidRPr="00832DD3" w:rsidRDefault="00832DD3" w:rsidP="00832DD3">
            <w:pPr>
              <w:pStyle w:val="TableFigureHeading"/>
              <w:jc w:val="center"/>
              <w:rPr>
                <w:rStyle w:val="Small"/>
                <w:rFonts w:ascii="Arial Narrow" w:hAnsi="Arial Narrow"/>
              </w:rPr>
            </w:pPr>
          </w:p>
        </w:tc>
        <w:tc>
          <w:tcPr>
            <w:tcW w:w="567" w:type="dxa"/>
            <w:tcBorders>
              <w:top w:val="single" w:sz="4" w:space="0" w:color="auto"/>
            </w:tcBorders>
            <w:shd w:val="clear" w:color="auto" w:fill="FFFFFF" w:themeFill="background1"/>
          </w:tcPr>
          <w:p w14:paraId="530A175C"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n</w:t>
            </w:r>
          </w:p>
        </w:tc>
        <w:tc>
          <w:tcPr>
            <w:tcW w:w="709" w:type="dxa"/>
            <w:tcBorders>
              <w:top w:val="single" w:sz="4" w:space="0" w:color="auto"/>
            </w:tcBorders>
            <w:shd w:val="clear" w:color="auto" w:fill="FFFFFF" w:themeFill="background1"/>
          </w:tcPr>
          <w:p w14:paraId="452F1377"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w:t>
            </w:r>
          </w:p>
        </w:tc>
        <w:tc>
          <w:tcPr>
            <w:tcW w:w="567" w:type="dxa"/>
            <w:tcBorders>
              <w:top w:val="single" w:sz="4" w:space="0" w:color="auto"/>
            </w:tcBorders>
            <w:shd w:val="clear" w:color="auto" w:fill="FFFFFF" w:themeFill="background1"/>
          </w:tcPr>
          <w:p w14:paraId="3A0A9D6A"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n</w:t>
            </w:r>
          </w:p>
        </w:tc>
        <w:tc>
          <w:tcPr>
            <w:tcW w:w="709" w:type="dxa"/>
            <w:tcBorders>
              <w:top w:val="single" w:sz="4" w:space="0" w:color="auto"/>
            </w:tcBorders>
            <w:shd w:val="clear" w:color="auto" w:fill="FFFFFF" w:themeFill="background1"/>
          </w:tcPr>
          <w:p w14:paraId="4445B589"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w:t>
            </w:r>
          </w:p>
        </w:tc>
        <w:tc>
          <w:tcPr>
            <w:tcW w:w="850" w:type="dxa"/>
            <w:tcBorders>
              <w:top w:val="single" w:sz="4" w:space="0" w:color="auto"/>
            </w:tcBorders>
            <w:shd w:val="clear" w:color="auto" w:fill="FFFFFF" w:themeFill="background1"/>
          </w:tcPr>
          <w:p w14:paraId="4152344B"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p-value</w:t>
            </w:r>
          </w:p>
        </w:tc>
        <w:tc>
          <w:tcPr>
            <w:tcW w:w="567" w:type="dxa"/>
            <w:tcBorders>
              <w:top w:val="single" w:sz="4" w:space="0" w:color="auto"/>
            </w:tcBorders>
            <w:shd w:val="clear" w:color="auto" w:fill="FFFFFF" w:themeFill="background1"/>
          </w:tcPr>
          <w:p w14:paraId="09ACEDD4"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n</w:t>
            </w:r>
          </w:p>
        </w:tc>
        <w:tc>
          <w:tcPr>
            <w:tcW w:w="709" w:type="dxa"/>
            <w:tcBorders>
              <w:top w:val="single" w:sz="4" w:space="0" w:color="auto"/>
            </w:tcBorders>
            <w:shd w:val="clear" w:color="auto" w:fill="FFFFFF" w:themeFill="background1"/>
          </w:tcPr>
          <w:p w14:paraId="4A2C838E"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w:t>
            </w:r>
          </w:p>
        </w:tc>
        <w:tc>
          <w:tcPr>
            <w:tcW w:w="850" w:type="dxa"/>
            <w:tcBorders>
              <w:top w:val="single" w:sz="4" w:space="0" w:color="auto"/>
            </w:tcBorders>
            <w:shd w:val="clear" w:color="auto" w:fill="FFFFFF" w:themeFill="background1"/>
          </w:tcPr>
          <w:p w14:paraId="28BFB880"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p-value</w:t>
            </w:r>
          </w:p>
        </w:tc>
        <w:tc>
          <w:tcPr>
            <w:tcW w:w="709" w:type="dxa"/>
            <w:tcBorders>
              <w:top w:val="single" w:sz="4" w:space="0" w:color="auto"/>
            </w:tcBorders>
            <w:shd w:val="clear" w:color="auto" w:fill="FFFFFF" w:themeFill="background1"/>
          </w:tcPr>
          <w:p w14:paraId="5E15DF23"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n</w:t>
            </w:r>
          </w:p>
        </w:tc>
        <w:tc>
          <w:tcPr>
            <w:tcW w:w="709" w:type="dxa"/>
            <w:tcBorders>
              <w:top w:val="single" w:sz="4" w:space="0" w:color="auto"/>
            </w:tcBorders>
            <w:shd w:val="clear" w:color="auto" w:fill="FFFFFF" w:themeFill="background1"/>
          </w:tcPr>
          <w:p w14:paraId="081E3D5A"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w:t>
            </w:r>
          </w:p>
        </w:tc>
        <w:tc>
          <w:tcPr>
            <w:tcW w:w="793" w:type="dxa"/>
            <w:tcBorders>
              <w:top w:val="single" w:sz="4" w:space="0" w:color="auto"/>
            </w:tcBorders>
            <w:shd w:val="clear" w:color="auto" w:fill="FFFFFF" w:themeFill="background1"/>
          </w:tcPr>
          <w:p w14:paraId="0B244DEF" w14:textId="77777777" w:rsidR="00832DD3" w:rsidRPr="00832DD3" w:rsidRDefault="00832DD3" w:rsidP="00832DD3">
            <w:pPr>
              <w:pStyle w:val="TableFigureHeading"/>
              <w:jc w:val="center"/>
              <w:rPr>
                <w:rStyle w:val="Small"/>
                <w:rFonts w:ascii="Arial Narrow" w:hAnsi="Arial Narrow"/>
              </w:rPr>
            </w:pPr>
            <w:r w:rsidRPr="00832DD3">
              <w:rPr>
                <w:rStyle w:val="Small"/>
                <w:rFonts w:ascii="Arial Narrow" w:hAnsi="Arial Narrow"/>
              </w:rPr>
              <w:t>p-value</w:t>
            </w:r>
          </w:p>
        </w:tc>
      </w:tr>
      <w:tr w:rsidR="00832DD3" w14:paraId="141A5B0C" w14:textId="77777777" w:rsidTr="00832DD3">
        <w:tc>
          <w:tcPr>
            <w:tcW w:w="9010" w:type="dxa"/>
            <w:gridSpan w:val="12"/>
            <w:shd w:val="clear" w:color="auto" w:fill="FFFFFF" w:themeFill="background1"/>
          </w:tcPr>
          <w:p w14:paraId="31C600D3" w14:textId="77777777" w:rsidR="00832DD3" w:rsidRPr="00832DD3" w:rsidRDefault="00832DD3" w:rsidP="00832DD3">
            <w:pPr>
              <w:pStyle w:val="TableText0"/>
              <w:rPr>
                <w:b/>
                <w:bCs w:val="0"/>
              </w:rPr>
            </w:pPr>
            <w:r w:rsidRPr="00832DD3">
              <w:rPr>
                <w:b/>
                <w:bCs w:val="0"/>
              </w:rPr>
              <w:t>Local reactions</w:t>
            </w:r>
          </w:p>
        </w:tc>
      </w:tr>
      <w:tr w:rsidR="00832DD3" w14:paraId="7F4CF531" w14:textId="77777777" w:rsidTr="00832DD3">
        <w:tc>
          <w:tcPr>
            <w:tcW w:w="1271" w:type="dxa"/>
            <w:shd w:val="clear" w:color="auto" w:fill="FFFFFF" w:themeFill="background1"/>
          </w:tcPr>
          <w:p w14:paraId="52239E45" w14:textId="77777777" w:rsidR="00832DD3" w:rsidRDefault="00832DD3" w:rsidP="00832DD3">
            <w:pPr>
              <w:pStyle w:val="TableText0"/>
            </w:pPr>
            <w:r w:rsidRPr="00674F2F">
              <w:t>Tenderness</w:t>
            </w:r>
          </w:p>
        </w:tc>
        <w:tc>
          <w:tcPr>
            <w:tcW w:w="567" w:type="dxa"/>
            <w:shd w:val="clear" w:color="auto" w:fill="FFFFFF" w:themeFill="background1"/>
          </w:tcPr>
          <w:p w14:paraId="3B7B9EC6" w14:textId="77777777" w:rsidR="00832DD3" w:rsidRPr="00AB026B" w:rsidRDefault="00832DD3" w:rsidP="00832DD3">
            <w:pPr>
              <w:pStyle w:val="TableText0"/>
              <w:jc w:val="center"/>
            </w:pPr>
            <w:r w:rsidRPr="0021541D">
              <w:t>73</w:t>
            </w:r>
          </w:p>
        </w:tc>
        <w:tc>
          <w:tcPr>
            <w:tcW w:w="709" w:type="dxa"/>
            <w:shd w:val="clear" w:color="auto" w:fill="FFFFFF" w:themeFill="background1"/>
          </w:tcPr>
          <w:p w14:paraId="1086E661" w14:textId="77777777" w:rsidR="00832DD3" w:rsidRPr="00AB026B" w:rsidRDefault="00832DD3" w:rsidP="00832DD3">
            <w:pPr>
              <w:pStyle w:val="TableText0"/>
              <w:jc w:val="center"/>
            </w:pPr>
            <w:r w:rsidRPr="0021541D">
              <w:t>17.0%</w:t>
            </w:r>
          </w:p>
        </w:tc>
        <w:tc>
          <w:tcPr>
            <w:tcW w:w="567" w:type="dxa"/>
            <w:shd w:val="clear" w:color="auto" w:fill="FFFFFF" w:themeFill="background1"/>
          </w:tcPr>
          <w:p w14:paraId="2240BF8D" w14:textId="77777777" w:rsidR="00832DD3" w:rsidRDefault="00832DD3" w:rsidP="00832DD3">
            <w:pPr>
              <w:pStyle w:val="TableText0"/>
              <w:jc w:val="center"/>
            </w:pPr>
            <w:r w:rsidRPr="00AB026B">
              <w:t>94</w:t>
            </w:r>
          </w:p>
        </w:tc>
        <w:tc>
          <w:tcPr>
            <w:tcW w:w="709" w:type="dxa"/>
            <w:shd w:val="clear" w:color="auto" w:fill="FFFFFF" w:themeFill="background1"/>
          </w:tcPr>
          <w:p w14:paraId="2901536C" w14:textId="77777777" w:rsidR="00832DD3" w:rsidRDefault="00832DD3" w:rsidP="00832DD3">
            <w:pPr>
              <w:pStyle w:val="TableText0"/>
              <w:jc w:val="center"/>
            </w:pPr>
            <w:r w:rsidRPr="00AB026B">
              <w:t>21.3%</w:t>
            </w:r>
          </w:p>
        </w:tc>
        <w:tc>
          <w:tcPr>
            <w:tcW w:w="850" w:type="dxa"/>
            <w:shd w:val="clear" w:color="auto" w:fill="FFFFFF" w:themeFill="background1"/>
          </w:tcPr>
          <w:p w14:paraId="32EA2FDA" w14:textId="77777777" w:rsidR="00832DD3" w:rsidRDefault="00832DD3" w:rsidP="00832DD3">
            <w:pPr>
              <w:pStyle w:val="TableText0"/>
              <w:jc w:val="center"/>
            </w:pPr>
            <w:r w:rsidRPr="00AB026B">
              <w:t>0.05</w:t>
            </w:r>
          </w:p>
        </w:tc>
        <w:tc>
          <w:tcPr>
            <w:tcW w:w="567" w:type="dxa"/>
            <w:shd w:val="clear" w:color="auto" w:fill="FFFFFF" w:themeFill="background1"/>
          </w:tcPr>
          <w:p w14:paraId="5D3A7AF6" w14:textId="77777777" w:rsidR="00832DD3" w:rsidRDefault="00832DD3" w:rsidP="00832DD3">
            <w:pPr>
              <w:pStyle w:val="TableText0"/>
              <w:jc w:val="center"/>
            </w:pPr>
            <w:r w:rsidRPr="00AB026B">
              <w:t>102</w:t>
            </w:r>
          </w:p>
        </w:tc>
        <w:tc>
          <w:tcPr>
            <w:tcW w:w="709" w:type="dxa"/>
            <w:shd w:val="clear" w:color="auto" w:fill="FFFFFF" w:themeFill="background1"/>
          </w:tcPr>
          <w:p w14:paraId="278C151F" w14:textId="77777777" w:rsidR="00832DD3" w:rsidRDefault="00832DD3" w:rsidP="00832DD3">
            <w:pPr>
              <w:pStyle w:val="TableText0"/>
              <w:jc w:val="center"/>
            </w:pPr>
            <w:r w:rsidRPr="00AB026B">
              <w:t>24.1%</w:t>
            </w:r>
          </w:p>
        </w:tc>
        <w:tc>
          <w:tcPr>
            <w:tcW w:w="850" w:type="dxa"/>
            <w:shd w:val="clear" w:color="auto" w:fill="FFFFFF" w:themeFill="background1"/>
          </w:tcPr>
          <w:p w14:paraId="4413135D" w14:textId="77777777" w:rsidR="00832DD3" w:rsidRDefault="00832DD3" w:rsidP="00832DD3">
            <w:pPr>
              <w:pStyle w:val="TableText0"/>
              <w:jc w:val="center"/>
            </w:pPr>
            <w:r w:rsidRPr="00AB026B">
              <w:t>0.04</w:t>
            </w:r>
          </w:p>
        </w:tc>
        <w:tc>
          <w:tcPr>
            <w:tcW w:w="709" w:type="dxa"/>
            <w:shd w:val="clear" w:color="auto" w:fill="FFFFFF" w:themeFill="background1"/>
          </w:tcPr>
          <w:p w14:paraId="2ADAAD1B" w14:textId="77777777" w:rsidR="00832DD3" w:rsidRDefault="00832DD3" w:rsidP="00832DD3">
            <w:pPr>
              <w:pStyle w:val="TableText0"/>
              <w:jc w:val="center"/>
            </w:pPr>
            <w:r w:rsidRPr="00AB026B">
              <w:t>42</w:t>
            </w:r>
          </w:p>
        </w:tc>
        <w:tc>
          <w:tcPr>
            <w:tcW w:w="709" w:type="dxa"/>
            <w:shd w:val="clear" w:color="auto" w:fill="FFFFFF" w:themeFill="background1"/>
          </w:tcPr>
          <w:p w14:paraId="222FA1E1" w14:textId="77777777" w:rsidR="00832DD3" w:rsidRDefault="00832DD3" w:rsidP="00832DD3">
            <w:pPr>
              <w:pStyle w:val="TableText0"/>
              <w:jc w:val="center"/>
            </w:pPr>
            <w:r w:rsidRPr="00AB026B">
              <w:t>15.0%</w:t>
            </w:r>
          </w:p>
        </w:tc>
        <w:tc>
          <w:tcPr>
            <w:tcW w:w="793" w:type="dxa"/>
            <w:shd w:val="clear" w:color="auto" w:fill="FFFFFF" w:themeFill="background1"/>
          </w:tcPr>
          <w:p w14:paraId="1861E9A4" w14:textId="77777777" w:rsidR="00832DD3" w:rsidRDefault="00832DD3" w:rsidP="00832DD3">
            <w:pPr>
              <w:pStyle w:val="TableText0"/>
              <w:jc w:val="center"/>
            </w:pPr>
            <w:r w:rsidRPr="00AB026B">
              <w:t>0.15</w:t>
            </w:r>
          </w:p>
        </w:tc>
      </w:tr>
      <w:tr w:rsidR="00832DD3" w14:paraId="65546F99" w14:textId="77777777" w:rsidTr="00832DD3">
        <w:tc>
          <w:tcPr>
            <w:tcW w:w="1271" w:type="dxa"/>
            <w:shd w:val="clear" w:color="auto" w:fill="FFFFFF" w:themeFill="background1"/>
          </w:tcPr>
          <w:p w14:paraId="466756FB" w14:textId="77777777" w:rsidR="00832DD3" w:rsidRDefault="00832DD3" w:rsidP="00832DD3">
            <w:pPr>
              <w:pStyle w:val="TableText0"/>
            </w:pPr>
            <w:r w:rsidRPr="00674F2F">
              <w:t>Pain</w:t>
            </w:r>
          </w:p>
        </w:tc>
        <w:tc>
          <w:tcPr>
            <w:tcW w:w="567" w:type="dxa"/>
            <w:shd w:val="clear" w:color="auto" w:fill="FFFFFF" w:themeFill="background1"/>
          </w:tcPr>
          <w:p w14:paraId="0580B088" w14:textId="77777777" w:rsidR="00832DD3" w:rsidRPr="00AB026B" w:rsidRDefault="00832DD3" w:rsidP="00832DD3">
            <w:pPr>
              <w:pStyle w:val="TableText0"/>
              <w:jc w:val="center"/>
            </w:pPr>
            <w:r w:rsidRPr="0021541D">
              <w:t>50</w:t>
            </w:r>
          </w:p>
        </w:tc>
        <w:tc>
          <w:tcPr>
            <w:tcW w:w="709" w:type="dxa"/>
            <w:shd w:val="clear" w:color="auto" w:fill="FFFFFF" w:themeFill="background1"/>
          </w:tcPr>
          <w:p w14:paraId="3501009D" w14:textId="77777777" w:rsidR="00832DD3" w:rsidRPr="00AB026B" w:rsidRDefault="00832DD3" w:rsidP="00832DD3">
            <w:pPr>
              <w:pStyle w:val="TableText0"/>
              <w:jc w:val="center"/>
            </w:pPr>
            <w:r w:rsidRPr="0021541D">
              <w:t>11.7%</w:t>
            </w:r>
          </w:p>
        </w:tc>
        <w:tc>
          <w:tcPr>
            <w:tcW w:w="567" w:type="dxa"/>
            <w:shd w:val="clear" w:color="auto" w:fill="FFFFFF" w:themeFill="background1"/>
          </w:tcPr>
          <w:p w14:paraId="02814B26" w14:textId="77777777" w:rsidR="00832DD3" w:rsidRDefault="00832DD3" w:rsidP="00832DD3">
            <w:pPr>
              <w:pStyle w:val="TableText0"/>
              <w:jc w:val="center"/>
            </w:pPr>
            <w:r w:rsidRPr="00AB026B">
              <w:t>56</w:t>
            </w:r>
          </w:p>
        </w:tc>
        <w:tc>
          <w:tcPr>
            <w:tcW w:w="709" w:type="dxa"/>
            <w:shd w:val="clear" w:color="auto" w:fill="FFFFFF" w:themeFill="background1"/>
          </w:tcPr>
          <w:p w14:paraId="352CA88D" w14:textId="77777777" w:rsidR="00832DD3" w:rsidRDefault="00832DD3" w:rsidP="00832DD3">
            <w:pPr>
              <w:pStyle w:val="TableText0"/>
              <w:jc w:val="center"/>
            </w:pPr>
            <w:r w:rsidRPr="00AB026B">
              <w:t>12.7%</w:t>
            </w:r>
          </w:p>
        </w:tc>
        <w:tc>
          <w:tcPr>
            <w:tcW w:w="850" w:type="dxa"/>
            <w:shd w:val="clear" w:color="auto" w:fill="FFFFFF" w:themeFill="background1"/>
          </w:tcPr>
          <w:p w14:paraId="0D4B0876" w14:textId="77777777" w:rsidR="00832DD3" w:rsidRDefault="00832DD3" w:rsidP="00832DD3">
            <w:pPr>
              <w:pStyle w:val="TableText0"/>
              <w:jc w:val="center"/>
            </w:pPr>
            <w:r w:rsidRPr="00AB026B">
              <w:t>0.91</w:t>
            </w:r>
          </w:p>
        </w:tc>
        <w:tc>
          <w:tcPr>
            <w:tcW w:w="567" w:type="dxa"/>
            <w:shd w:val="clear" w:color="auto" w:fill="FFFFFF" w:themeFill="background1"/>
          </w:tcPr>
          <w:p w14:paraId="12905C2E" w14:textId="77777777" w:rsidR="00832DD3" w:rsidRDefault="00832DD3" w:rsidP="00832DD3">
            <w:pPr>
              <w:pStyle w:val="TableText0"/>
              <w:jc w:val="center"/>
            </w:pPr>
            <w:r w:rsidRPr="00AB026B">
              <w:t>61</w:t>
            </w:r>
          </w:p>
        </w:tc>
        <w:tc>
          <w:tcPr>
            <w:tcW w:w="709" w:type="dxa"/>
            <w:shd w:val="clear" w:color="auto" w:fill="FFFFFF" w:themeFill="background1"/>
          </w:tcPr>
          <w:p w14:paraId="472D04DC" w14:textId="77777777" w:rsidR="00832DD3" w:rsidRDefault="00832DD3" w:rsidP="00832DD3">
            <w:pPr>
              <w:pStyle w:val="TableText0"/>
              <w:jc w:val="center"/>
            </w:pPr>
            <w:r w:rsidRPr="00AB026B">
              <w:t>14.4%</w:t>
            </w:r>
          </w:p>
        </w:tc>
        <w:tc>
          <w:tcPr>
            <w:tcW w:w="850" w:type="dxa"/>
            <w:shd w:val="clear" w:color="auto" w:fill="FFFFFF" w:themeFill="background1"/>
          </w:tcPr>
          <w:p w14:paraId="252055F3" w14:textId="77777777" w:rsidR="00832DD3" w:rsidRDefault="00832DD3" w:rsidP="00832DD3">
            <w:pPr>
              <w:pStyle w:val="TableText0"/>
              <w:jc w:val="center"/>
            </w:pPr>
            <w:r w:rsidRPr="00AB026B">
              <w:t>0.55</w:t>
            </w:r>
          </w:p>
        </w:tc>
        <w:tc>
          <w:tcPr>
            <w:tcW w:w="709" w:type="dxa"/>
            <w:shd w:val="clear" w:color="auto" w:fill="FFFFFF" w:themeFill="background1"/>
          </w:tcPr>
          <w:p w14:paraId="648DFF93" w14:textId="77777777" w:rsidR="00832DD3" w:rsidRDefault="00832DD3" w:rsidP="00832DD3">
            <w:pPr>
              <w:pStyle w:val="TableText0"/>
              <w:jc w:val="center"/>
            </w:pPr>
            <w:r w:rsidRPr="00AB026B">
              <w:t>22</w:t>
            </w:r>
          </w:p>
        </w:tc>
        <w:tc>
          <w:tcPr>
            <w:tcW w:w="709" w:type="dxa"/>
            <w:shd w:val="clear" w:color="auto" w:fill="FFFFFF" w:themeFill="background1"/>
          </w:tcPr>
          <w:p w14:paraId="3692A25D" w14:textId="77777777" w:rsidR="00832DD3" w:rsidRDefault="00832DD3" w:rsidP="00832DD3">
            <w:pPr>
              <w:pStyle w:val="TableText0"/>
              <w:jc w:val="center"/>
            </w:pPr>
            <w:r w:rsidRPr="00AB026B">
              <w:t>7.9%</w:t>
            </w:r>
          </w:p>
        </w:tc>
        <w:tc>
          <w:tcPr>
            <w:tcW w:w="793" w:type="dxa"/>
            <w:shd w:val="clear" w:color="auto" w:fill="FFFFFF" w:themeFill="background1"/>
          </w:tcPr>
          <w:p w14:paraId="326B9C35" w14:textId="77777777" w:rsidR="00832DD3" w:rsidRDefault="00832DD3" w:rsidP="00832DD3">
            <w:pPr>
              <w:pStyle w:val="TableText0"/>
              <w:jc w:val="center"/>
            </w:pPr>
            <w:r w:rsidRPr="00AB026B">
              <w:t>0.12</w:t>
            </w:r>
          </w:p>
        </w:tc>
      </w:tr>
      <w:tr w:rsidR="00832DD3" w14:paraId="7F48EB59" w14:textId="77777777" w:rsidTr="00832DD3">
        <w:tc>
          <w:tcPr>
            <w:tcW w:w="1271" w:type="dxa"/>
            <w:shd w:val="clear" w:color="auto" w:fill="FFFFFF" w:themeFill="background1"/>
          </w:tcPr>
          <w:p w14:paraId="734A3252" w14:textId="77777777" w:rsidR="00832DD3" w:rsidRDefault="00832DD3" w:rsidP="00832DD3">
            <w:pPr>
              <w:pStyle w:val="TableText0"/>
            </w:pPr>
            <w:r w:rsidRPr="00674F2F">
              <w:t>Swelling</w:t>
            </w:r>
          </w:p>
        </w:tc>
        <w:tc>
          <w:tcPr>
            <w:tcW w:w="567" w:type="dxa"/>
            <w:shd w:val="clear" w:color="auto" w:fill="FFFFFF" w:themeFill="background1"/>
          </w:tcPr>
          <w:p w14:paraId="007969A8" w14:textId="77777777" w:rsidR="00832DD3" w:rsidRPr="00AB026B" w:rsidRDefault="00832DD3" w:rsidP="00832DD3">
            <w:pPr>
              <w:pStyle w:val="TableText0"/>
              <w:jc w:val="center"/>
            </w:pPr>
            <w:r w:rsidRPr="0021541D">
              <w:t>36</w:t>
            </w:r>
          </w:p>
        </w:tc>
        <w:tc>
          <w:tcPr>
            <w:tcW w:w="709" w:type="dxa"/>
            <w:shd w:val="clear" w:color="auto" w:fill="FFFFFF" w:themeFill="background1"/>
          </w:tcPr>
          <w:p w14:paraId="4CD6FADE" w14:textId="77777777" w:rsidR="00832DD3" w:rsidRPr="00AB026B" w:rsidRDefault="00832DD3" w:rsidP="00832DD3">
            <w:pPr>
              <w:pStyle w:val="TableText0"/>
              <w:jc w:val="center"/>
            </w:pPr>
            <w:r w:rsidRPr="0021541D">
              <w:t>8.4%</w:t>
            </w:r>
          </w:p>
        </w:tc>
        <w:tc>
          <w:tcPr>
            <w:tcW w:w="567" w:type="dxa"/>
            <w:shd w:val="clear" w:color="auto" w:fill="FFFFFF" w:themeFill="background1"/>
          </w:tcPr>
          <w:p w14:paraId="6E62F043" w14:textId="77777777" w:rsidR="00832DD3" w:rsidRDefault="00832DD3" w:rsidP="00832DD3">
            <w:pPr>
              <w:pStyle w:val="TableText0"/>
              <w:jc w:val="center"/>
            </w:pPr>
            <w:r w:rsidRPr="00AB026B">
              <w:t>39</w:t>
            </w:r>
          </w:p>
        </w:tc>
        <w:tc>
          <w:tcPr>
            <w:tcW w:w="709" w:type="dxa"/>
            <w:shd w:val="clear" w:color="auto" w:fill="FFFFFF" w:themeFill="background1"/>
          </w:tcPr>
          <w:p w14:paraId="64A828EF" w14:textId="77777777" w:rsidR="00832DD3" w:rsidRDefault="00832DD3" w:rsidP="00832DD3">
            <w:pPr>
              <w:pStyle w:val="TableText0"/>
              <w:jc w:val="center"/>
            </w:pPr>
            <w:r w:rsidRPr="00AB026B">
              <w:t>8.8%</w:t>
            </w:r>
          </w:p>
        </w:tc>
        <w:tc>
          <w:tcPr>
            <w:tcW w:w="850" w:type="dxa"/>
            <w:shd w:val="clear" w:color="auto" w:fill="FFFFFF" w:themeFill="background1"/>
          </w:tcPr>
          <w:p w14:paraId="22373690" w14:textId="77777777" w:rsidR="00832DD3" w:rsidRDefault="00832DD3" w:rsidP="00832DD3">
            <w:pPr>
              <w:pStyle w:val="TableText0"/>
              <w:jc w:val="center"/>
            </w:pPr>
            <w:r w:rsidRPr="00AB026B">
              <w:t>0.07</w:t>
            </w:r>
          </w:p>
        </w:tc>
        <w:tc>
          <w:tcPr>
            <w:tcW w:w="567" w:type="dxa"/>
            <w:shd w:val="clear" w:color="auto" w:fill="FFFFFF" w:themeFill="background1"/>
          </w:tcPr>
          <w:p w14:paraId="3B34EEB5" w14:textId="77777777" w:rsidR="00832DD3" w:rsidRDefault="00832DD3" w:rsidP="00832DD3">
            <w:pPr>
              <w:pStyle w:val="TableText0"/>
              <w:jc w:val="center"/>
            </w:pPr>
            <w:r w:rsidRPr="00AB026B">
              <w:t>51</w:t>
            </w:r>
          </w:p>
        </w:tc>
        <w:tc>
          <w:tcPr>
            <w:tcW w:w="709" w:type="dxa"/>
            <w:shd w:val="clear" w:color="auto" w:fill="FFFFFF" w:themeFill="background1"/>
          </w:tcPr>
          <w:p w14:paraId="78B658A9" w14:textId="77777777" w:rsidR="00832DD3" w:rsidRDefault="00832DD3" w:rsidP="00832DD3">
            <w:pPr>
              <w:pStyle w:val="TableText0"/>
              <w:jc w:val="center"/>
            </w:pPr>
            <w:r w:rsidRPr="00AB026B">
              <w:t>12.0%</w:t>
            </w:r>
          </w:p>
        </w:tc>
        <w:tc>
          <w:tcPr>
            <w:tcW w:w="850" w:type="dxa"/>
            <w:shd w:val="clear" w:color="auto" w:fill="FFFFFF" w:themeFill="background1"/>
          </w:tcPr>
          <w:p w14:paraId="06745378" w14:textId="77777777" w:rsidR="00832DD3" w:rsidRDefault="00832DD3" w:rsidP="00832DD3">
            <w:pPr>
              <w:pStyle w:val="TableText0"/>
              <w:jc w:val="center"/>
            </w:pPr>
            <w:r w:rsidRPr="00AB026B">
              <w:t>&lt;0.01</w:t>
            </w:r>
          </w:p>
        </w:tc>
        <w:tc>
          <w:tcPr>
            <w:tcW w:w="709" w:type="dxa"/>
            <w:shd w:val="clear" w:color="auto" w:fill="FFFFFF" w:themeFill="background1"/>
          </w:tcPr>
          <w:p w14:paraId="37B2D0AD" w14:textId="77777777" w:rsidR="00832DD3" w:rsidRDefault="00832DD3" w:rsidP="00832DD3">
            <w:pPr>
              <w:pStyle w:val="TableText0"/>
              <w:jc w:val="center"/>
            </w:pPr>
            <w:r w:rsidRPr="00AB026B">
              <w:t>11</w:t>
            </w:r>
          </w:p>
        </w:tc>
        <w:tc>
          <w:tcPr>
            <w:tcW w:w="709" w:type="dxa"/>
            <w:shd w:val="clear" w:color="auto" w:fill="FFFFFF" w:themeFill="background1"/>
          </w:tcPr>
          <w:p w14:paraId="61FC4B85" w14:textId="77777777" w:rsidR="00832DD3" w:rsidRDefault="00832DD3" w:rsidP="00832DD3">
            <w:pPr>
              <w:pStyle w:val="TableText0"/>
              <w:jc w:val="center"/>
            </w:pPr>
            <w:r w:rsidRPr="00AB026B">
              <w:t>3.9%</w:t>
            </w:r>
          </w:p>
        </w:tc>
        <w:tc>
          <w:tcPr>
            <w:tcW w:w="793" w:type="dxa"/>
            <w:shd w:val="clear" w:color="auto" w:fill="FFFFFF" w:themeFill="background1"/>
          </w:tcPr>
          <w:p w14:paraId="26EA22E1" w14:textId="77777777" w:rsidR="00832DD3" w:rsidRDefault="00832DD3" w:rsidP="00832DD3">
            <w:pPr>
              <w:pStyle w:val="TableText0"/>
              <w:jc w:val="center"/>
            </w:pPr>
            <w:r w:rsidRPr="00AB026B">
              <w:t>&lt;0.01</w:t>
            </w:r>
          </w:p>
        </w:tc>
      </w:tr>
      <w:tr w:rsidR="00832DD3" w14:paraId="37190147" w14:textId="77777777" w:rsidTr="00832DD3">
        <w:tc>
          <w:tcPr>
            <w:tcW w:w="1271" w:type="dxa"/>
            <w:shd w:val="clear" w:color="auto" w:fill="FFFFFF" w:themeFill="background1"/>
          </w:tcPr>
          <w:p w14:paraId="2B79BED4" w14:textId="77777777" w:rsidR="00832DD3" w:rsidRDefault="00832DD3" w:rsidP="00832DD3">
            <w:pPr>
              <w:pStyle w:val="TableText0"/>
            </w:pPr>
            <w:r w:rsidRPr="00674F2F">
              <w:t>Redness</w:t>
            </w:r>
          </w:p>
        </w:tc>
        <w:tc>
          <w:tcPr>
            <w:tcW w:w="567" w:type="dxa"/>
            <w:shd w:val="clear" w:color="auto" w:fill="FFFFFF" w:themeFill="background1"/>
          </w:tcPr>
          <w:p w14:paraId="789A8A7A" w14:textId="77777777" w:rsidR="00832DD3" w:rsidRPr="00AB026B" w:rsidRDefault="00832DD3" w:rsidP="00832DD3">
            <w:pPr>
              <w:pStyle w:val="TableText0"/>
              <w:jc w:val="center"/>
            </w:pPr>
            <w:r w:rsidRPr="0021541D">
              <w:t>14</w:t>
            </w:r>
          </w:p>
        </w:tc>
        <w:tc>
          <w:tcPr>
            <w:tcW w:w="709" w:type="dxa"/>
            <w:shd w:val="clear" w:color="auto" w:fill="FFFFFF" w:themeFill="background1"/>
          </w:tcPr>
          <w:p w14:paraId="5BBF64C0" w14:textId="77777777" w:rsidR="00832DD3" w:rsidRPr="00AB026B" w:rsidRDefault="00832DD3" w:rsidP="00832DD3">
            <w:pPr>
              <w:pStyle w:val="TableText0"/>
              <w:jc w:val="center"/>
            </w:pPr>
            <w:r w:rsidRPr="0021541D">
              <w:t>3.3%</w:t>
            </w:r>
          </w:p>
        </w:tc>
        <w:tc>
          <w:tcPr>
            <w:tcW w:w="567" w:type="dxa"/>
            <w:shd w:val="clear" w:color="auto" w:fill="FFFFFF" w:themeFill="background1"/>
          </w:tcPr>
          <w:p w14:paraId="58891275" w14:textId="77777777" w:rsidR="00832DD3" w:rsidRDefault="00832DD3" w:rsidP="00832DD3">
            <w:pPr>
              <w:pStyle w:val="TableText0"/>
              <w:jc w:val="center"/>
            </w:pPr>
            <w:r w:rsidRPr="00AB026B">
              <w:t>11</w:t>
            </w:r>
          </w:p>
        </w:tc>
        <w:tc>
          <w:tcPr>
            <w:tcW w:w="709" w:type="dxa"/>
            <w:shd w:val="clear" w:color="auto" w:fill="FFFFFF" w:themeFill="background1"/>
          </w:tcPr>
          <w:p w14:paraId="1D96043F" w14:textId="77777777" w:rsidR="00832DD3" w:rsidRDefault="00832DD3" w:rsidP="00832DD3">
            <w:pPr>
              <w:pStyle w:val="TableText0"/>
              <w:jc w:val="center"/>
            </w:pPr>
            <w:r w:rsidRPr="00AB026B">
              <w:t>2.5%</w:t>
            </w:r>
          </w:p>
        </w:tc>
        <w:tc>
          <w:tcPr>
            <w:tcW w:w="850" w:type="dxa"/>
            <w:shd w:val="clear" w:color="auto" w:fill="FFFFFF" w:themeFill="background1"/>
          </w:tcPr>
          <w:p w14:paraId="1F2DB463" w14:textId="77777777" w:rsidR="00832DD3" w:rsidRDefault="00832DD3" w:rsidP="00832DD3">
            <w:pPr>
              <w:pStyle w:val="TableText0"/>
              <w:jc w:val="center"/>
            </w:pPr>
            <w:r w:rsidRPr="00AB026B">
              <w:t>0.51</w:t>
            </w:r>
          </w:p>
        </w:tc>
        <w:tc>
          <w:tcPr>
            <w:tcW w:w="567" w:type="dxa"/>
            <w:shd w:val="clear" w:color="auto" w:fill="FFFFFF" w:themeFill="background1"/>
          </w:tcPr>
          <w:p w14:paraId="376E0917" w14:textId="77777777" w:rsidR="00832DD3" w:rsidRDefault="00832DD3" w:rsidP="00832DD3">
            <w:pPr>
              <w:pStyle w:val="TableText0"/>
              <w:jc w:val="center"/>
            </w:pPr>
            <w:r w:rsidRPr="00AB026B">
              <w:t>15</w:t>
            </w:r>
          </w:p>
        </w:tc>
        <w:tc>
          <w:tcPr>
            <w:tcW w:w="709" w:type="dxa"/>
            <w:shd w:val="clear" w:color="auto" w:fill="FFFFFF" w:themeFill="background1"/>
          </w:tcPr>
          <w:p w14:paraId="135F8A01" w14:textId="77777777" w:rsidR="00832DD3" w:rsidRDefault="00832DD3" w:rsidP="00832DD3">
            <w:pPr>
              <w:pStyle w:val="TableText0"/>
              <w:jc w:val="center"/>
            </w:pPr>
            <w:r w:rsidRPr="00AB026B">
              <w:t>3.5%</w:t>
            </w:r>
          </w:p>
        </w:tc>
        <w:tc>
          <w:tcPr>
            <w:tcW w:w="850" w:type="dxa"/>
            <w:shd w:val="clear" w:color="auto" w:fill="FFFFFF" w:themeFill="background1"/>
          </w:tcPr>
          <w:p w14:paraId="533E0940" w14:textId="77777777" w:rsidR="00832DD3" w:rsidRDefault="00832DD3" w:rsidP="00832DD3">
            <w:pPr>
              <w:pStyle w:val="TableText0"/>
              <w:jc w:val="center"/>
            </w:pPr>
            <w:r w:rsidRPr="00AB026B">
              <w:t>0.8</w:t>
            </w:r>
          </w:p>
        </w:tc>
        <w:tc>
          <w:tcPr>
            <w:tcW w:w="709" w:type="dxa"/>
            <w:shd w:val="clear" w:color="auto" w:fill="FFFFFF" w:themeFill="background1"/>
          </w:tcPr>
          <w:p w14:paraId="0DF5C1A2" w14:textId="77777777" w:rsidR="00832DD3" w:rsidRDefault="00832DD3" w:rsidP="00832DD3">
            <w:pPr>
              <w:pStyle w:val="TableText0"/>
              <w:jc w:val="center"/>
            </w:pPr>
            <w:r w:rsidRPr="00AB026B">
              <w:t>6</w:t>
            </w:r>
          </w:p>
        </w:tc>
        <w:tc>
          <w:tcPr>
            <w:tcW w:w="709" w:type="dxa"/>
            <w:shd w:val="clear" w:color="auto" w:fill="FFFFFF" w:themeFill="background1"/>
          </w:tcPr>
          <w:p w14:paraId="28120E1D" w14:textId="77777777" w:rsidR="00832DD3" w:rsidRDefault="00832DD3" w:rsidP="00832DD3">
            <w:pPr>
              <w:pStyle w:val="TableText0"/>
              <w:jc w:val="center"/>
            </w:pPr>
            <w:r w:rsidRPr="00AB026B">
              <w:t>2.1%</w:t>
            </w:r>
          </w:p>
        </w:tc>
        <w:tc>
          <w:tcPr>
            <w:tcW w:w="793" w:type="dxa"/>
            <w:shd w:val="clear" w:color="auto" w:fill="FFFFFF" w:themeFill="background1"/>
          </w:tcPr>
          <w:p w14:paraId="57B43318" w14:textId="77777777" w:rsidR="00832DD3" w:rsidRDefault="00832DD3" w:rsidP="00832DD3">
            <w:pPr>
              <w:pStyle w:val="TableText0"/>
              <w:jc w:val="center"/>
            </w:pPr>
            <w:r w:rsidRPr="00AB026B">
              <w:t>0.46</w:t>
            </w:r>
          </w:p>
        </w:tc>
      </w:tr>
      <w:tr w:rsidR="00832DD3" w14:paraId="1C8A7E51" w14:textId="77777777" w:rsidTr="00832DD3">
        <w:tc>
          <w:tcPr>
            <w:tcW w:w="1271" w:type="dxa"/>
            <w:shd w:val="clear" w:color="auto" w:fill="FFFFFF" w:themeFill="background1"/>
          </w:tcPr>
          <w:p w14:paraId="5552C74D" w14:textId="77777777" w:rsidR="00832DD3" w:rsidRDefault="00832DD3" w:rsidP="00832DD3">
            <w:pPr>
              <w:pStyle w:val="TableText0"/>
            </w:pPr>
            <w:r w:rsidRPr="00674F2F">
              <w:t>Itching</w:t>
            </w:r>
          </w:p>
        </w:tc>
        <w:tc>
          <w:tcPr>
            <w:tcW w:w="567" w:type="dxa"/>
            <w:shd w:val="clear" w:color="auto" w:fill="FFFFFF" w:themeFill="background1"/>
          </w:tcPr>
          <w:p w14:paraId="63B4ABE3" w14:textId="77777777" w:rsidR="00832DD3" w:rsidRPr="00AB026B" w:rsidRDefault="00832DD3" w:rsidP="00832DD3">
            <w:pPr>
              <w:pStyle w:val="TableText0"/>
              <w:jc w:val="center"/>
            </w:pPr>
            <w:r w:rsidRPr="0021541D">
              <w:t>9</w:t>
            </w:r>
          </w:p>
        </w:tc>
        <w:tc>
          <w:tcPr>
            <w:tcW w:w="709" w:type="dxa"/>
            <w:shd w:val="clear" w:color="auto" w:fill="FFFFFF" w:themeFill="background1"/>
          </w:tcPr>
          <w:p w14:paraId="25331848" w14:textId="77777777" w:rsidR="00832DD3" w:rsidRPr="00AB026B" w:rsidRDefault="00832DD3" w:rsidP="00832DD3">
            <w:pPr>
              <w:pStyle w:val="TableText0"/>
              <w:jc w:val="center"/>
            </w:pPr>
            <w:r w:rsidRPr="0021541D">
              <w:t>2.1%</w:t>
            </w:r>
          </w:p>
        </w:tc>
        <w:tc>
          <w:tcPr>
            <w:tcW w:w="567" w:type="dxa"/>
            <w:shd w:val="clear" w:color="auto" w:fill="FFFFFF" w:themeFill="background1"/>
          </w:tcPr>
          <w:p w14:paraId="34373C74" w14:textId="77777777" w:rsidR="00832DD3" w:rsidRDefault="00832DD3" w:rsidP="00832DD3">
            <w:pPr>
              <w:pStyle w:val="TableText0"/>
              <w:jc w:val="center"/>
            </w:pPr>
            <w:r w:rsidRPr="00AB026B">
              <w:t>13</w:t>
            </w:r>
          </w:p>
        </w:tc>
        <w:tc>
          <w:tcPr>
            <w:tcW w:w="709" w:type="dxa"/>
            <w:shd w:val="clear" w:color="auto" w:fill="FFFFFF" w:themeFill="background1"/>
          </w:tcPr>
          <w:p w14:paraId="4616EDC1" w14:textId="77777777" w:rsidR="00832DD3" w:rsidRDefault="00832DD3" w:rsidP="00832DD3">
            <w:pPr>
              <w:pStyle w:val="TableText0"/>
              <w:jc w:val="center"/>
            </w:pPr>
            <w:r w:rsidRPr="00AB026B">
              <w:t>2.9%</w:t>
            </w:r>
          </w:p>
        </w:tc>
        <w:tc>
          <w:tcPr>
            <w:tcW w:w="850" w:type="dxa"/>
            <w:shd w:val="clear" w:color="auto" w:fill="FFFFFF" w:themeFill="background1"/>
          </w:tcPr>
          <w:p w14:paraId="78ABE71E" w14:textId="77777777" w:rsidR="00832DD3" w:rsidRDefault="00832DD3" w:rsidP="00832DD3">
            <w:pPr>
              <w:pStyle w:val="TableText0"/>
              <w:jc w:val="center"/>
            </w:pPr>
            <w:r w:rsidRPr="00AB026B">
              <w:t>0.52</w:t>
            </w:r>
          </w:p>
        </w:tc>
        <w:tc>
          <w:tcPr>
            <w:tcW w:w="567" w:type="dxa"/>
            <w:shd w:val="clear" w:color="auto" w:fill="FFFFFF" w:themeFill="background1"/>
          </w:tcPr>
          <w:p w14:paraId="75CE5A37" w14:textId="77777777" w:rsidR="00832DD3" w:rsidRDefault="00832DD3" w:rsidP="00832DD3">
            <w:pPr>
              <w:pStyle w:val="TableText0"/>
              <w:jc w:val="center"/>
            </w:pPr>
            <w:r w:rsidRPr="00AB026B">
              <w:t>9</w:t>
            </w:r>
          </w:p>
        </w:tc>
        <w:tc>
          <w:tcPr>
            <w:tcW w:w="709" w:type="dxa"/>
            <w:shd w:val="clear" w:color="auto" w:fill="FFFFFF" w:themeFill="background1"/>
          </w:tcPr>
          <w:p w14:paraId="0867D49D" w14:textId="77777777" w:rsidR="00832DD3" w:rsidRDefault="00832DD3" w:rsidP="00832DD3">
            <w:pPr>
              <w:pStyle w:val="TableText0"/>
              <w:jc w:val="center"/>
            </w:pPr>
            <w:r w:rsidRPr="00AB026B">
              <w:t>2.1%</w:t>
            </w:r>
          </w:p>
        </w:tc>
        <w:tc>
          <w:tcPr>
            <w:tcW w:w="850" w:type="dxa"/>
            <w:shd w:val="clear" w:color="auto" w:fill="FFFFFF" w:themeFill="background1"/>
          </w:tcPr>
          <w:p w14:paraId="12543C6B" w14:textId="77777777" w:rsidR="00832DD3" w:rsidRDefault="00832DD3" w:rsidP="00832DD3">
            <w:pPr>
              <w:pStyle w:val="TableText0"/>
              <w:jc w:val="center"/>
            </w:pPr>
            <w:r w:rsidRPr="00AB026B">
              <w:t>1</w:t>
            </w:r>
          </w:p>
        </w:tc>
        <w:tc>
          <w:tcPr>
            <w:tcW w:w="709" w:type="dxa"/>
            <w:shd w:val="clear" w:color="auto" w:fill="FFFFFF" w:themeFill="background1"/>
          </w:tcPr>
          <w:p w14:paraId="449E7CE2" w14:textId="77777777" w:rsidR="00832DD3" w:rsidRDefault="00832DD3" w:rsidP="00832DD3">
            <w:pPr>
              <w:pStyle w:val="TableText0"/>
              <w:jc w:val="center"/>
            </w:pPr>
            <w:r w:rsidRPr="00AB026B">
              <w:t>7</w:t>
            </w:r>
          </w:p>
        </w:tc>
        <w:tc>
          <w:tcPr>
            <w:tcW w:w="709" w:type="dxa"/>
            <w:shd w:val="clear" w:color="auto" w:fill="FFFFFF" w:themeFill="background1"/>
          </w:tcPr>
          <w:p w14:paraId="0F29C3CB" w14:textId="77777777" w:rsidR="00832DD3" w:rsidRDefault="00832DD3" w:rsidP="00832DD3">
            <w:pPr>
              <w:pStyle w:val="TableText0"/>
              <w:jc w:val="center"/>
            </w:pPr>
            <w:r w:rsidRPr="00AB026B">
              <w:t>2.5%</w:t>
            </w:r>
          </w:p>
        </w:tc>
        <w:tc>
          <w:tcPr>
            <w:tcW w:w="793" w:type="dxa"/>
            <w:shd w:val="clear" w:color="auto" w:fill="FFFFFF" w:themeFill="background1"/>
          </w:tcPr>
          <w:p w14:paraId="5049067B" w14:textId="77777777" w:rsidR="00832DD3" w:rsidRDefault="00832DD3" w:rsidP="00832DD3">
            <w:pPr>
              <w:pStyle w:val="TableText0"/>
              <w:jc w:val="center"/>
            </w:pPr>
            <w:r w:rsidRPr="00AB026B">
              <w:t>0.8</w:t>
            </w:r>
          </w:p>
        </w:tc>
      </w:tr>
      <w:tr w:rsidR="00832DD3" w14:paraId="50A18EB7" w14:textId="77777777" w:rsidTr="00832DD3">
        <w:tc>
          <w:tcPr>
            <w:tcW w:w="9010" w:type="dxa"/>
            <w:gridSpan w:val="12"/>
            <w:shd w:val="clear" w:color="auto" w:fill="FFFFFF" w:themeFill="background1"/>
          </w:tcPr>
          <w:p w14:paraId="081CB6E8" w14:textId="77777777" w:rsidR="00832DD3" w:rsidRPr="00832DD3" w:rsidRDefault="00832DD3" w:rsidP="00832DD3">
            <w:pPr>
              <w:pStyle w:val="TableText0"/>
              <w:rPr>
                <w:b/>
                <w:bCs w:val="0"/>
              </w:rPr>
            </w:pPr>
            <w:r w:rsidRPr="00832DD3">
              <w:rPr>
                <w:b/>
                <w:bCs w:val="0"/>
              </w:rPr>
              <w:t>Systemic reactions</w:t>
            </w:r>
          </w:p>
        </w:tc>
      </w:tr>
      <w:tr w:rsidR="00832DD3" w14:paraId="71E30C8F" w14:textId="77777777" w:rsidTr="00832DD3">
        <w:tc>
          <w:tcPr>
            <w:tcW w:w="1271" w:type="dxa"/>
            <w:shd w:val="clear" w:color="auto" w:fill="FFFFFF" w:themeFill="background1"/>
          </w:tcPr>
          <w:p w14:paraId="60ECD14E" w14:textId="77777777" w:rsidR="00832DD3" w:rsidRDefault="00832DD3" w:rsidP="00832DD3">
            <w:pPr>
              <w:pStyle w:val="TableText0"/>
            </w:pPr>
            <w:r w:rsidRPr="00674F2F">
              <w:t>Fatigue</w:t>
            </w:r>
          </w:p>
        </w:tc>
        <w:tc>
          <w:tcPr>
            <w:tcW w:w="567" w:type="dxa"/>
            <w:shd w:val="clear" w:color="auto" w:fill="FFFFFF" w:themeFill="background1"/>
          </w:tcPr>
          <w:p w14:paraId="78267A78" w14:textId="77777777" w:rsidR="00832DD3" w:rsidRPr="00AB026B" w:rsidRDefault="00832DD3" w:rsidP="00832DD3">
            <w:pPr>
              <w:pStyle w:val="TableText0"/>
              <w:jc w:val="center"/>
            </w:pPr>
            <w:r w:rsidRPr="0021541D">
              <w:t>18</w:t>
            </w:r>
          </w:p>
        </w:tc>
        <w:tc>
          <w:tcPr>
            <w:tcW w:w="709" w:type="dxa"/>
            <w:shd w:val="clear" w:color="auto" w:fill="FFFFFF" w:themeFill="background1"/>
          </w:tcPr>
          <w:p w14:paraId="77354553" w14:textId="77777777" w:rsidR="00832DD3" w:rsidRPr="00AB026B" w:rsidRDefault="00832DD3" w:rsidP="00832DD3">
            <w:pPr>
              <w:pStyle w:val="TableText0"/>
              <w:jc w:val="center"/>
            </w:pPr>
            <w:r w:rsidRPr="0021541D">
              <w:t>4.2%</w:t>
            </w:r>
          </w:p>
        </w:tc>
        <w:tc>
          <w:tcPr>
            <w:tcW w:w="567" w:type="dxa"/>
            <w:shd w:val="clear" w:color="auto" w:fill="FFFFFF" w:themeFill="background1"/>
          </w:tcPr>
          <w:p w14:paraId="51B18B8B" w14:textId="77777777" w:rsidR="00832DD3" w:rsidRDefault="00832DD3" w:rsidP="00832DD3">
            <w:pPr>
              <w:pStyle w:val="TableText0"/>
              <w:jc w:val="center"/>
            </w:pPr>
            <w:r w:rsidRPr="00AB026B">
              <w:t>30</w:t>
            </w:r>
          </w:p>
        </w:tc>
        <w:tc>
          <w:tcPr>
            <w:tcW w:w="709" w:type="dxa"/>
            <w:shd w:val="clear" w:color="auto" w:fill="FFFFFF" w:themeFill="background1"/>
          </w:tcPr>
          <w:p w14:paraId="23434038" w14:textId="77777777" w:rsidR="00832DD3" w:rsidRDefault="00832DD3" w:rsidP="00832DD3">
            <w:pPr>
              <w:pStyle w:val="TableText0"/>
              <w:jc w:val="center"/>
            </w:pPr>
            <w:r w:rsidRPr="00AB026B">
              <w:t>6.8%</w:t>
            </w:r>
          </w:p>
        </w:tc>
        <w:tc>
          <w:tcPr>
            <w:tcW w:w="850" w:type="dxa"/>
            <w:shd w:val="clear" w:color="auto" w:fill="FFFFFF" w:themeFill="background1"/>
          </w:tcPr>
          <w:p w14:paraId="66036D52" w14:textId="77777777" w:rsidR="00832DD3" w:rsidRDefault="00832DD3" w:rsidP="00832DD3">
            <w:pPr>
              <w:pStyle w:val="TableText0"/>
              <w:jc w:val="center"/>
            </w:pPr>
            <w:r w:rsidRPr="00AB026B">
              <w:t>0.24</w:t>
            </w:r>
          </w:p>
        </w:tc>
        <w:tc>
          <w:tcPr>
            <w:tcW w:w="567" w:type="dxa"/>
            <w:shd w:val="clear" w:color="auto" w:fill="FFFFFF" w:themeFill="background1"/>
          </w:tcPr>
          <w:p w14:paraId="2C85DFD9" w14:textId="77777777" w:rsidR="00832DD3" w:rsidRDefault="00832DD3" w:rsidP="00832DD3">
            <w:pPr>
              <w:pStyle w:val="TableText0"/>
              <w:jc w:val="center"/>
            </w:pPr>
            <w:r w:rsidRPr="00AB026B">
              <w:t>21</w:t>
            </w:r>
          </w:p>
        </w:tc>
        <w:tc>
          <w:tcPr>
            <w:tcW w:w="709" w:type="dxa"/>
            <w:shd w:val="clear" w:color="auto" w:fill="FFFFFF" w:themeFill="background1"/>
          </w:tcPr>
          <w:p w14:paraId="26E94161" w14:textId="77777777" w:rsidR="00832DD3" w:rsidRDefault="00832DD3" w:rsidP="00832DD3">
            <w:pPr>
              <w:pStyle w:val="TableText0"/>
              <w:jc w:val="center"/>
            </w:pPr>
            <w:r w:rsidRPr="00AB026B">
              <w:t>5.0%</w:t>
            </w:r>
          </w:p>
        </w:tc>
        <w:tc>
          <w:tcPr>
            <w:tcW w:w="850" w:type="dxa"/>
            <w:shd w:val="clear" w:color="auto" w:fill="FFFFFF" w:themeFill="background1"/>
          </w:tcPr>
          <w:p w14:paraId="5D7DECE5" w14:textId="77777777" w:rsidR="00832DD3" w:rsidRDefault="00832DD3" w:rsidP="00832DD3">
            <w:pPr>
              <w:pStyle w:val="TableText0"/>
              <w:jc w:val="center"/>
            </w:pPr>
            <w:r w:rsidRPr="00AB026B">
              <w:t>0.29</w:t>
            </w:r>
          </w:p>
        </w:tc>
        <w:tc>
          <w:tcPr>
            <w:tcW w:w="709" w:type="dxa"/>
            <w:shd w:val="clear" w:color="auto" w:fill="FFFFFF" w:themeFill="background1"/>
          </w:tcPr>
          <w:p w14:paraId="42F5F20C" w14:textId="77777777" w:rsidR="00832DD3" w:rsidRDefault="00832DD3" w:rsidP="00832DD3">
            <w:pPr>
              <w:pStyle w:val="TableText0"/>
              <w:jc w:val="center"/>
            </w:pPr>
            <w:r w:rsidRPr="00AB026B">
              <w:t>9</w:t>
            </w:r>
          </w:p>
        </w:tc>
        <w:tc>
          <w:tcPr>
            <w:tcW w:w="709" w:type="dxa"/>
            <w:shd w:val="clear" w:color="auto" w:fill="FFFFFF" w:themeFill="background1"/>
          </w:tcPr>
          <w:p w14:paraId="70537C91" w14:textId="77777777" w:rsidR="00832DD3" w:rsidRDefault="00832DD3" w:rsidP="00832DD3">
            <w:pPr>
              <w:pStyle w:val="TableText0"/>
              <w:jc w:val="center"/>
            </w:pPr>
            <w:r w:rsidRPr="00AB026B">
              <w:t>3.2%</w:t>
            </w:r>
          </w:p>
        </w:tc>
        <w:tc>
          <w:tcPr>
            <w:tcW w:w="793" w:type="dxa"/>
            <w:shd w:val="clear" w:color="auto" w:fill="FFFFFF" w:themeFill="background1"/>
          </w:tcPr>
          <w:p w14:paraId="4DDEA815" w14:textId="77777777" w:rsidR="00832DD3" w:rsidRDefault="00832DD3" w:rsidP="00832DD3">
            <w:pPr>
              <w:pStyle w:val="TableText0"/>
              <w:jc w:val="center"/>
            </w:pPr>
            <w:r w:rsidRPr="00AB026B">
              <w:t>0.66</w:t>
            </w:r>
          </w:p>
        </w:tc>
      </w:tr>
      <w:tr w:rsidR="00832DD3" w14:paraId="7554DFAD" w14:textId="77777777" w:rsidTr="00832DD3">
        <w:tc>
          <w:tcPr>
            <w:tcW w:w="1271" w:type="dxa"/>
            <w:shd w:val="clear" w:color="auto" w:fill="FFFFFF" w:themeFill="background1"/>
          </w:tcPr>
          <w:p w14:paraId="2E65CF79" w14:textId="77777777" w:rsidR="00832DD3" w:rsidRDefault="00832DD3" w:rsidP="00832DD3">
            <w:pPr>
              <w:pStyle w:val="TableText0"/>
            </w:pPr>
            <w:r w:rsidRPr="00674F2F">
              <w:t>Feverishness</w:t>
            </w:r>
          </w:p>
        </w:tc>
        <w:tc>
          <w:tcPr>
            <w:tcW w:w="567" w:type="dxa"/>
            <w:shd w:val="clear" w:color="auto" w:fill="FFFFFF" w:themeFill="background1"/>
          </w:tcPr>
          <w:p w14:paraId="12D522D0" w14:textId="77777777" w:rsidR="00832DD3" w:rsidRPr="00AB026B" w:rsidRDefault="00832DD3" w:rsidP="00832DD3">
            <w:pPr>
              <w:pStyle w:val="TableText0"/>
              <w:jc w:val="center"/>
            </w:pPr>
            <w:r w:rsidRPr="0021541D">
              <w:t>6</w:t>
            </w:r>
          </w:p>
        </w:tc>
        <w:tc>
          <w:tcPr>
            <w:tcW w:w="709" w:type="dxa"/>
            <w:shd w:val="clear" w:color="auto" w:fill="FFFFFF" w:themeFill="background1"/>
          </w:tcPr>
          <w:p w14:paraId="15A52E7A" w14:textId="77777777" w:rsidR="00832DD3" w:rsidRPr="00AB026B" w:rsidRDefault="00832DD3" w:rsidP="00832DD3">
            <w:pPr>
              <w:pStyle w:val="TableText0"/>
              <w:jc w:val="center"/>
            </w:pPr>
            <w:r w:rsidRPr="0021541D">
              <w:t>1.4%</w:t>
            </w:r>
          </w:p>
        </w:tc>
        <w:tc>
          <w:tcPr>
            <w:tcW w:w="567" w:type="dxa"/>
            <w:shd w:val="clear" w:color="auto" w:fill="FFFFFF" w:themeFill="background1"/>
          </w:tcPr>
          <w:p w14:paraId="7CF4B889" w14:textId="77777777" w:rsidR="00832DD3" w:rsidRDefault="00832DD3" w:rsidP="00832DD3">
            <w:pPr>
              <w:pStyle w:val="TableText0"/>
              <w:jc w:val="center"/>
            </w:pPr>
            <w:r w:rsidRPr="00AB026B">
              <w:t>14</w:t>
            </w:r>
          </w:p>
        </w:tc>
        <w:tc>
          <w:tcPr>
            <w:tcW w:w="709" w:type="dxa"/>
            <w:shd w:val="clear" w:color="auto" w:fill="FFFFFF" w:themeFill="background1"/>
          </w:tcPr>
          <w:p w14:paraId="53586524" w14:textId="77777777" w:rsidR="00832DD3" w:rsidRDefault="00832DD3" w:rsidP="00832DD3">
            <w:pPr>
              <w:pStyle w:val="TableText0"/>
              <w:jc w:val="center"/>
            </w:pPr>
            <w:r w:rsidRPr="00AB026B">
              <w:t>3.2%</w:t>
            </w:r>
          </w:p>
        </w:tc>
        <w:tc>
          <w:tcPr>
            <w:tcW w:w="850" w:type="dxa"/>
            <w:shd w:val="clear" w:color="auto" w:fill="FFFFFF" w:themeFill="background1"/>
          </w:tcPr>
          <w:p w14:paraId="012CFC36" w14:textId="77777777" w:rsidR="00832DD3" w:rsidRDefault="00832DD3" w:rsidP="00832DD3">
            <w:pPr>
              <w:pStyle w:val="TableText0"/>
              <w:jc w:val="center"/>
            </w:pPr>
            <w:r w:rsidRPr="00AB026B">
              <w:t>0.16</w:t>
            </w:r>
          </w:p>
        </w:tc>
        <w:tc>
          <w:tcPr>
            <w:tcW w:w="567" w:type="dxa"/>
            <w:shd w:val="clear" w:color="auto" w:fill="FFFFFF" w:themeFill="background1"/>
          </w:tcPr>
          <w:p w14:paraId="35D446D6" w14:textId="77777777" w:rsidR="00832DD3" w:rsidRDefault="00832DD3" w:rsidP="00832DD3">
            <w:pPr>
              <w:pStyle w:val="TableText0"/>
              <w:jc w:val="center"/>
            </w:pPr>
            <w:r w:rsidRPr="00AB026B">
              <w:t>10</w:t>
            </w:r>
          </w:p>
        </w:tc>
        <w:tc>
          <w:tcPr>
            <w:tcW w:w="709" w:type="dxa"/>
            <w:shd w:val="clear" w:color="auto" w:fill="FFFFFF" w:themeFill="background1"/>
          </w:tcPr>
          <w:p w14:paraId="2BAE4175" w14:textId="77777777" w:rsidR="00832DD3" w:rsidRDefault="00832DD3" w:rsidP="00832DD3">
            <w:pPr>
              <w:pStyle w:val="TableText0"/>
              <w:jc w:val="center"/>
            </w:pPr>
            <w:r w:rsidRPr="00AB026B">
              <w:t>2.4%</w:t>
            </w:r>
          </w:p>
        </w:tc>
        <w:tc>
          <w:tcPr>
            <w:tcW w:w="850" w:type="dxa"/>
            <w:shd w:val="clear" w:color="auto" w:fill="FFFFFF" w:themeFill="background1"/>
          </w:tcPr>
          <w:p w14:paraId="5711EFE8" w14:textId="77777777" w:rsidR="00832DD3" w:rsidRDefault="00832DD3" w:rsidP="00832DD3">
            <w:pPr>
              <w:pStyle w:val="TableText0"/>
              <w:jc w:val="center"/>
            </w:pPr>
            <w:r w:rsidRPr="00AB026B">
              <w:t>0.37</w:t>
            </w:r>
          </w:p>
        </w:tc>
        <w:tc>
          <w:tcPr>
            <w:tcW w:w="709" w:type="dxa"/>
            <w:shd w:val="clear" w:color="auto" w:fill="FFFFFF" w:themeFill="background1"/>
          </w:tcPr>
          <w:p w14:paraId="662D7F48" w14:textId="77777777" w:rsidR="00832DD3" w:rsidRDefault="00832DD3" w:rsidP="00832DD3">
            <w:pPr>
              <w:pStyle w:val="TableText0"/>
              <w:jc w:val="center"/>
            </w:pPr>
            <w:r w:rsidRPr="00AB026B">
              <w:t>1</w:t>
            </w:r>
          </w:p>
        </w:tc>
        <w:tc>
          <w:tcPr>
            <w:tcW w:w="709" w:type="dxa"/>
            <w:shd w:val="clear" w:color="auto" w:fill="FFFFFF" w:themeFill="background1"/>
          </w:tcPr>
          <w:p w14:paraId="7A78CB7D" w14:textId="77777777" w:rsidR="00832DD3" w:rsidRDefault="00832DD3" w:rsidP="00832DD3">
            <w:pPr>
              <w:pStyle w:val="TableText0"/>
              <w:jc w:val="center"/>
            </w:pPr>
            <w:r w:rsidRPr="00AB026B">
              <w:t>0.4%</w:t>
            </w:r>
          </w:p>
        </w:tc>
        <w:tc>
          <w:tcPr>
            <w:tcW w:w="793" w:type="dxa"/>
            <w:shd w:val="clear" w:color="auto" w:fill="FFFFFF" w:themeFill="background1"/>
          </w:tcPr>
          <w:p w14:paraId="07236E8E" w14:textId="77777777" w:rsidR="00832DD3" w:rsidRDefault="00832DD3" w:rsidP="00832DD3">
            <w:pPr>
              <w:pStyle w:val="TableText0"/>
              <w:jc w:val="center"/>
            </w:pPr>
            <w:r w:rsidRPr="00AB026B">
              <w:t>0.25</w:t>
            </w:r>
          </w:p>
        </w:tc>
      </w:tr>
      <w:tr w:rsidR="00832DD3" w14:paraId="2D3FD371" w14:textId="77777777" w:rsidTr="00832DD3">
        <w:tc>
          <w:tcPr>
            <w:tcW w:w="1271" w:type="dxa"/>
            <w:shd w:val="clear" w:color="auto" w:fill="FFFFFF" w:themeFill="background1"/>
          </w:tcPr>
          <w:p w14:paraId="5415E27D" w14:textId="77777777" w:rsidR="00832DD3" w:rsidRDefault="00832DD3" w:rsidP="00832DD3">
            <w:pPr>
              <w:pStyle w:val="TableText0"/>
            </w:pPr>
            <w:r w:rsidRPr="00674F2F">
              <w:t>Muscle pain</w:t>
            </w:r>
          </w:p>
        </w:tc>
        <w:tc>
          <w:tcPr>
            <w:tcW w:w="567" w:type="dxa"/>
            <w:shd w:val="clear" w:color="auto" w:fill="FFFFFF" w:themeFill="background1"/>
          </w:tcPr>
          <w:p w14:paraId="669EABF3" w14:textId="77777777" w:rsidR="00832DD3" w:rsidRPr="00AB026B" w:rsidRDefault="00832DD3" w:rsidP="00832DD3">
            <w:pPr>
              <w:pStyle w:val="TableText0"/>
              <w:jc w:val="center"/>
            </w:pPr>
            <w:r w:rsidRPr="0021541D">
              <w:t>12</w:t>
            </w:r>
          </w:p>
        </w:tc>
        <w:tc>
          <w:tcPr>
            <w:tcW w:w="709" w:type="dxa"/>
            <w:shd w:val="clear" w:color="auto" w:fill="FFFFFF" w:themeFill="background1"/>
          </w:tcPr>
          <w:p w14:paraId="7037819C" w14:textId="77777777" w:rsidR="00832DD3" w:rsidRPr="00AB026B" w:rsidRDefault="00832DD3" w:rsidP="00832DD3">
            <w:pPr>
              <w:pStyle w:val="TableText0"/>
              <w:jc w:val="center"/>
            </w:pPr>
            <w:r w:rsidRPr="0021541D">
              <w:t>2.8%</w:t>
            </w:r>
          </w:p>
        </w:tc>
        <w:tc>
          <w:tcPr>
            <w:tcW w:w="567" w:type="dxa"/>
            <w:shd w:val="clear" w:color="auto" w:fill="FFFFFF" w:themeFill="background1"/>
          </w:tcPr>
          <w:p w14:paraId="1C7432F0" w14:textId="77777777" w:rsidR="00832DD3" w:rsidRDefault="00832DD3" w:rsidP="00832DD3">
            <w:pPr>
              <w:pStyle w:val="TableText0"/>
              <w:jc w:val="center"/>
            </w:pPr>
            <w:r w:rsidRPr="00AB026B">
              <w:t>8</w:t>
            </w:r>
          </w:p>
        </w:tc>
        <w:tc>
          <w:tcPr>
            <w:tcW w:w="709" w:type="dxa"/>
            <w:shd w:val="clear" w:color="auto" w:fill="FFFFFF" w:themeFill="background1"/>
          </w:tcPr>
          <w:p w14:paraId="30D2DF01" w14:textId="77777777" w:rsidR="00832DD3" w:rsidRDefault="00832DD3" w:rsidP="00832DD3">
            <w:pPr>
              <w:pStyle w:val="TableText0"/>
              <w:jc w:val="center"/>
            </w:pPr>
            <w:r w:rsidRPr="00AB026B">
              <w:t>1.8%</w:t>
            </w:r>
          </w:p>
        </w:tc>
        <w:tc>
          <w:tcPr>
            <w:tcW w:w="850" w:type="dxa"/>
            <w:shd w:val="clear" w:color="auto" w:fill="FFFFFF" w:themeFill="background1"/>
          </w:tcPr>
          <w:p w14:paraId="24C1FD96" w14:textId="77777777" w:rsidR="00832DD3" w:rsidRDefault="00832DD3" w:rsidP="00832DD3">
            <w:pPr>
              <w:pStyle w:val="TableText0"/>
              <w:jc w:val="center"/>
            </w:pPr>
            <w:r w:rsidRPr="00AB026B">
              <w:t>0.16</w:t>
            </w:r>
          </w:p>
        </w:tc>
        <w:tc>
          <w:tcPr>
            <w:tcW w:w="567" w:type="dxa"/>
            <w:shd w:val="clear" w:color="auto" w:fill="FFFFFF" w:themeFill="background1"/>
          </w:tcPr>
          <w:p w14:paraId="412A1D43" w14:textId="77777777" w:rsidR="00832DD3" w:rsidRDefault="00832DD3" w:rsidP="00832DD3">
            <w:pPr>
              <w:pStyle w:val="TableText0"/>
              <w:jc w:val="center"/>
            </w:pPr>
            <w:r w:rsidRPr="00AB026B">
              <w:t>6</w:t>
            </w:r>
          </w:p>
        </w:tc>
        <w:tc>
          <w:tcPr>
            <w:tcW w:w="709" w:type="dxa"/>
            <w:shd w:val="clear" w:color="auto" w:fill="FFFFFF" w:themeFill="background1"/>
          </w:tcPr>
          <w:p w14:paraId="07B16EE8" w14:textId="77777777" w:rsidR="00832DD3" w:rsidRDefault="00832DD3" w:rsidP="00832DD3">
            <w:pPr>
              <w:pStyle w:val="TableText0"/>
              <w:jc w:val="center"/>
            </w:pPr>
            <w:r w:rsidRPr="00AB026B">
              <w:t>1.4%</w:t>
            </w:r>
          </w:p>
        </w:tc>
        <w:tc>
          <w:tcPr>
            <w:tcW w:w="850" w:type="dxa"/>
            <w:shd w:val="clear" w:color="auto" w:fill="FFFFFF" w:themeFill="background1"/>
          </w:tcPr>
          <w:p w14:paraId="3CF86C69" w14:textId="77777777" w:rsidR="00832DD3" w:rsidRDefault="00832DD3" w:rsidP="00832DD3">
            <w:pPr>
              <w:pStyle w:val="TableText0"/>
              <w:jc w:val="center"/>
            </w:pPr>
            <w:r w:rsidRPr="00AB026B">
              <w:t>0.3</w:t>
            </w:r>
          </w:p>
        </w:tc>
        <w:tc>
          <w:tcPr>
            <w:tcW w:w="709" w:type="dxa"/>
            <w:shd w:val="clear" w:color="auto" w:fill="FFFFFF" w:themeFill="background1"/>
          </w:tcPr>
          <w:p w14:paraId="2163BF7A" w14:textId="77777777" w:rsidR="00832DD3" w:rsidRDefault="00832DD3" w:rsidP="00832DD3">
            <w:pPr>
              <w:pStyle w:val="TableText0"/>
              <w:jc w:val="center"/>
            </w:pPr>
            <w:r w:rsidRPr="00AB026B">
              <w:t>3</w:t>
            </w:r>
          </w:p>
        </w:tc>
        <w:tc>
          <w:tcPr>
            <w:tcW w:w="709" w:type="dxa"/>
            <w:shd w:val="clear" w:color="auto" w:fill="FFFFFF" w:themeFill="background1"/>
          </w:tcPr>
          <w:p w14:paraId="0AB5822A" w14:textId="77777777" w:rsidR="00832DD3" w:rsidRDefault="00832DD3" w:rsidP="00832DD3">
            <w:pPr>
              <w:pStyle w:val="TableText0"/>
              <w:jc w:val="center"/>
            </w:pPr>
            <w:r w:rsidRPr="00AB026B">
              <w:t>1.1%</w:t>
            </w:r>
          </w:p>
        </w:tc>
        <w:tc>
          <w:tcPr>
            <w:tcW w:w="793" w:type="dxa"/>
            <w:shd w:val="clear" w:color="auto" w:fill="FFFFFF" w:themeFill="background1"/>
          </w:tcPr>
          <w:p w14:paraId="704F4CBD" w14:textId="77777777" w:rsidR="00832DD3" w:rsidRDefault="00832DD3" w:rsidP="00832DD3">
            <w:pPr>
              <w:pStyle w:val="TableText0"/>
              <w:jc w:val="center"/>
            </w:pPr>
            <w:r w:rsidRPr="00AB026B">
              <w:t>0.23</w:t>
            </w:r>
          </w:p>
        </w:tc>
      </w:tr>
      <w:tr w:rsidR="00832DD3" w14:paraId="39BCCAB7" w14:textId="77777777" w:rsidTr="00832DD3">
        <w:tc>
          <w:tcPr>
            <w:tcW w:w="1271" w:type="dxa"/>
            <w:shd w:val="clear" w:color="auto" w:fill="FFFFFF" w:themeFill="background1"/>
          </w:tcPr>
          <w:p w14:paraId="049F555F" w14:textId="77777777" w:rsidR="00832DD3" w:rsidRDefault="00832DD3" w:rsidP="00832DD3">
            <w:pPr>
              <w:pStyle w:val="TableText0"/>
            </w:pPr>
            <w:r w:rsidRPr="00674F2F">
              <w:t>Nausea</w:t>
            </w:r>
          </w:p>
        </w:tc>
        <w:tc>
          <w:tcPr>
            <w:tcW w:w="567" w:type="dxa"/>
            <w:shd w:val="clear" w:color="auto" w:fill="FFFFFF" w:themeFill="background1"/>
          </w:tcPr>
          <w:p w14:paraId="6F9ABD47" w14:textId="77777777" w:rsidR="00832DD3" w:rsidRPr="00AB026B" w:rsidRDefault="00832DD3" w:rsidP="00832DD3">
            <w:pPr>
              <w:pStyle w:val="TableText0"/>
              <w:jc w:val="center"/>
            </w:pPr>
            <w:r w:rsidRPr="0021541D">
              <w:t>1</w:t>
            </w:r>
          </w:p>
        </w:tc>
        <w:tc>
          <w:tcPr>
            <w:tcW w:w="709" w:type="dxa"/>
            <w:shd w:val="clear" w:color="auto" w:fill="FFFFFF" w:themeFill="background1"/>
          </w:tcPr>
          <w:p w14:paraId="1E5C4D99" w14:textId="77777777" w:rsidR="00832DD3" w:rsidRPr="00AB026B" w:rsidRDefault="00832DD3" w:rsidP="00832DD3">
            <w:pPr>
              <w:pStyle w:val="TableText0"/>
              <w:jc w:val="center"/>
            </w:pPr>
            <w:r w:rsidRPr="0021541D">
              <w:t>0.2%</w:t>
            </w:r>
          </w:p>
        </w:tc>
        <w:tc>
          <w:tcPr>
            <w:tcW w:w="567" w:type="dxa"/>
            <w:shd w:val="clear" w:color="auto" w:fill="FFFFFF" w:themeFill="background1"/>
          </w:tcPr>
          <w:p w14:paraId="5619A359" w14:textId="77777777" w:rsidR="00832DD3" w:rsidRDefault="00832DD3" w:rsidP="00832DD3">
            <w:pPr>
              <w:pStyle w:val="TableText0"/>
              <w:jc w:val="center"/>
            </w:pPr>
            <w:r w:rsidRPr="00AB026B">
              <w:t>5</w:t>
            </w:r>
          </w:p>
        </w:tc>
        <w:tc>
          <w:tcPr>
            <w:tcW w:w="709" w:type="dxa"/>
            <w:shd w:val="clear" w:color="auto" w:fill="FFFFFF" w:themeFill="background1"/>
          </w:tcPr>
          <w:p w14:paraId="309C7316" w14:textId="77777777" w:rsidR="00832DD3" w:rsidRDefault="00832DD3" w:rsidP="00832DD3">
            <w:pPr>
              <w:pStyle w:val="TableText0"/>
              <w:jc w:val="center"/>
            </w:pPr>
            <w:r w:rsidRPr="00AB026B">
              <w:t>1.1%</w:t>
            </w:r>
          </w:p>
        </w:tc>
        <w:tc>
          <w:tcPr>
            <w:tcW w:w="850" w:type="dxa"/>
            <w:shd w:val="clear" w:color="auto" w:fill="FFFFFF" w:themeFill="background1"/>
          </w:tcPr>
          <w:p w14:paraId="7CF7E017" w14:textId="77777777" w:rsidR="00832DD3" w:rsidRDefault="00832DD3" w:rsidP="00832DD3">
            <w:pPr>
              <w:pStyle w:val="TableText0"/>
              <w:jc w:val="center"/>
            </w:pPr>
            <w:r w:rsidRPr="00AB026B">
              <w:t>0.37</w:t>
            </w:r>
          </w:p>
        </w:tc>
        <w:tc>
          <w:tcPr>
            <w:tcW w:w="567" w:type="dxa"/>
            <w:shd w:val="clear" w:color="auto" w:fill="FFFFFF" w:themeFill="background1"/>
          </w:tcPr>
          <w:p w14:paraId="4C5CCF09" w14:textId="77777777" w:rsidR="00832DD3" w:rsidRDefault="00832DD3" w:rsidP="00832DD3">
            <w:pPr>
              <w:pStyle w:val="TableText0"/>
              <w:jc w:val="center"/>
            </w:pPr>
            <w:r w:rsidRPr="00AB026B">
              <w:t>3</w:t>
            </w:r>
          </w:p>
        </w:tc>
        <w:tc>
          <w:tcPr>
            <w:tcW w:w="709" w:type="dxa"/>
            <w:shd w:val="clear" w:color="auto" w:fill="FFFFFF" w:themeFill="background1"/>
          </w:tcPr>
          <w:p w14:paraId="1F7F6FB4" w14:textId="77777777" w:rsidR="00832DD3" w:rsidRDefault="00832DD3" w:rsidP="00832DD3">
            <w:pPr>
              <w:pStyle w:val="TableText0"/>
              <w:jc w:val="center"/>
            </w:pPr>
            <w:r w:rsidRPr="00AB026B">
              <w:t>0.7%</w:t>
            </w:r>
          </w:p>
        </w:tc>
        <w:tc>
          <w:tcPr>
            <w:tcW w:w="850" w:type="dxa"/>
            <w:shd w:val="clear" w:color="auto" w:fill="FFFFFF" w:themeFill="background1"/>
          </w:tcPr>
          <w:p w14:paraId="76ED0149" w14:textId="77777777" w:rsidR="00832DD3" w:rsidRDefault="00832DD3" w:rsidP="00832DD3">
            <w:pPr>
              <w:pStyle w:val="TableText0"/>
              <w:jc w:val="center"/>
            </w:pPr>
            <w:r w:rsidRPr="00AB026B">
              <w:t>0.43</w:t>
            </w:r>
          </w:p>
        </w:tc>
        <w:tc>
          <w:tcPr>
            <w:tcW w:w="709" w:type="dxa"/>
            <w:shd w:val="clear" w:color="auto" w:fill="FFFFFF" w:themeFill="background1"/>
          </w:tcPr>
          <w:p w14:paraId="7D5756DC" w14:textId="77777777" w:rsidR="00832DD3" w:rsidRDefault="00832DD3" w:rsidP="00832DD3">
            <w:pPr>
              <w:pStyle w:val="TableText0"/>
              <w:jc w:val="center"/>
            </w:pPr>
            <w:r w:rsidRPr="00AB026B">
              <w:t>2</w:t>
            </w:r>
          </w:p>
        </w:tc>
        <w:tc>
          <w:tcPr>
            <w:tcW w:w="709" w:type="dxa"/>
            <w:shd w:val="clear" w:color="auto" w:fill="FFFFFF" w:themeFill="background1"/>
          </w:tcPr>
          <w:p w14:paraId="1AAC342E" w14:textId="77777777" w:rsidR="00832DD3" w:rsidRDefault="00832DD3" w:rsidP="00832DD3">
            <w:pPr>
              <w:pStyle w:val="TableText0"/>
              <w:jc w:val="center"/>
            </w:pPr>
            <w:r w:rsidRPr="00AB026B">
              <w:t>0.7%</w:t>
            </w:r>
          </w:p>
        </w:tc>
        <w:tc>
          <w:tcPr>
            <w:tcW w:w="793" w:type="dxa"/>
            <w:shd w:val="clear" w:color="auto" w:fill="FFFFFF" w:themeFill="background1"/>
          </w:tcPr>
          <w:p w14:paraId="5B5A7EBC" w14:textId="77777777" w:rsidR="00832DD3" w:rsidRDefault="00832DD3" w:rsidP="00832DD3">
            <w:pPr>
              <w:pStyle w:val="TableText0"/>
              <w:jc w:val="center"/>
            </w:pPr>
            <w:r w:rsidRPr="00AB026B">
              <w:t>0.57</w:t>
            </w:r>
          </w:p>
        </w:tc>
      </w:tr>
      <w:tr w:rsidR="00832DD3" w14:paraId="0BECCFA0" w14:textId="77777777" w:rsidTr="00832DD3">
        <w:tc>
          <w:tcPr>
            <w:tcW w:w="1271" w:type="dxa"/>
            <w:shd w:val="clear" w:color="auto" w:fill="FFFFFF" w:themeFill="background1"/>
          </w:tcPr>
          <w:p w14:paraId="1AB98ED9" w14:textId="77777777" w:rsidR="00832DD3" w:rsidRDefault="00832DD3" w:rsidP="00832DD3">
            <w:pPr>
              <w:pStyle w:val="TableText0"/>
            </w:pPr>
            <w:r w:rsidRPr="00674F2F">
              <w:t>Others</w:t>
            </w:r>
          </w:p>
        </w:tc>
        <w:tc>
          <w:tcPr>
            <w:tcW w:w="567" w:type="dxa"/>
            <w:shd w:val="clear" w:color="auto" w:fill="FFFFFF" w:themeFill="background1"/>
          </w:tcPr>
          <w:p w14:paraId="5BA9CF6E" w14:textId="77777777" w:rsidR="00832DD3" w:rsidRPr="00AB026B" w:rsidRDefault="00832DD3" w:rsidP="00832DD3">
            <w:pPr>
              <w:pStyle w:val="TableText0"/>
              <w:jc w:val="center"/>
            </w:pPr>
            <w:r w:rsidRPr="0021541D">
              <w:t>30</w:t>
            </w:r>
          </w:p>
        </w:tc>
        <w:tc>
          <w:tcPr>
            <w:tcW w:w="709" w:type="dxa"/>
            <w:shd w:val="clear" w:color="auto" w:fill="FFFFFF" w:themeFill="background1"/>
          </w:tcPr>
          <w:p w14:paraId="1C879C6F" w14:textId="77777777" w:rsidR="00832DD3" w:rsidRPr="00AB026B" w:rsidRDefault="00832DD3" w:rsidP="00832DD3">
            <w:pPr>
              <w:pStyle w:val="TableText0"/>
              <w:jc w:val="center"/>
            </w:pPr>
            <w:r w:rsidRPr="0021541D">
              <w:t>7.0%</w:t>
            </w:r>
          </w:p>
        </w:tc>
        <w:tc>
          <w:tcPr>
            <w:tcW w:w="567" w:type="dxa"/>
            <w:shd w:val="clear" w:color="auto" w:fill="FFFFFF" w:themeFill="background1"/>
          </w:tcPr>
          <w:p w14:paraId="19891044" w14:textId="77777777" w:rsidR="00832DD3" w:rsidRDefault="00832DD3" w:rsidP="00832DD3">
            <w:pPr>
              <w:pStyle w:val="TableText0"/>
              <w:jc w:val="center"/>
            </w:pPr>
            <w:r w:rsidRPr="00AB026B">
              <w:t>32</w:t>
            </w:r>
          </w:p>
        </w:tc>
        <w:tc>
          <w:tcPr>
            <w:tcW w:w="709" w:type="dxa"/>
            <w:shd w:val="clear" w:color="auto" w:fill="FFFFFF" w:themeFill="background1"/>
          </w:tcPr>
          <w:p w14:paraId="3A41AE2F" w14:textId="77777777" w:rsidR="00832DD3" w:rsidRDefault="00832DD3" w:rsidP="00832DD3">
            <w:pPr>
              <w:pStyle w:val="TableText0"/>
              <w:jc w:val="center"/>
            </w:pPr>
            <w:r w:rsidRPr="00AB026B">
              <w:t>7.2%</w:t>
            </w:r>
          </w:p>
        </w:tc>
        <w:tc>
          <w:tcPr>
            <w:tcW w:w="850" w:type="dxa"/>
            <w:shd w:val="clear" w:color="auto" w:fill="FFFFFF" w:themeFill="background1"/>
          </w:tcPr>
          <w:p w14:paraId="04C424BC" w14:textId="77777777" w:rsidR="00832DD3" w:rsidRDefault="00832DD3" w:rsidP="00832DD3">
            <w:pPr>
              <w:pStyle w:val="TableText0"/>
              <w:jc w:val="center"/>
            </w:pPr>
            <w:r w:rsidRPr="00AB026B">
              <w:t>0.43</w:t>
            </w:r>
          </w:p>
        </w:tc>
        <w:tc>
          <w:tcPr>
            <w:tcW w:w="567" w:type="dxa"/>
            <w:shd w:val="clear" w:color="auto" w:fill="FFFFFF" w:themeFill="background1"/>
          </w:tcPr>
          <w:p w14:paraId="73C1E3BC" w14:textId="77777777" w:rsidR="00832DD3" w:rsidRDefault="00832DD3" w:rsidP="00832DD3">
            <w:pPr>
              <w:pStyle w:val="TableText0"/>
              <w:jc w:val="center"/>
            </w:pPr>
            <w:r w:rsidRPr="00AB026B">
              <w:t>38</w:t>
            </w:r>
          </w:p>
        </w:tc>
        <w:tc>
          <w:tcPr>
            <w:tcW w:w="709" w:type="dxa"/>
            <w:shd w:val="clear" w:color="auto" w:fill="FFFFFF" w:themeFill="background1"/>
          </w:tcPr>
          <w:p w14:paraId="704AA046" w14:textId="77777777" w:rsidR="00832DD3" w:rsidRDefault="00832DD3" w:rsidP="00832DD3">
            <w:pPr>
              <w:pStyle w:val="TableText0"/>
              <w:jc w:val="center"/>
            </w:pPr>
            <w:r w:rsidRPr="00AB026B">
              <w:t>9.0%</w:t>
            </w:r>
          </w:p>
        </w:tc>
        <w:tc>
          <w:tcPr>
            <w:tcW w:w="850" w:type="dxa"/>
            <w:shd w:val="clear" w:color="auto" w:fill="FFFFFF" w:themeFill="background1"/>
          </w:tcPr>
          <w:p w14:paraId="79F39CBB" w14:textId="77777777" w:rsidR="00832DD3" w:rsidRDefault="00832DD3" w:rsidP="00832DD3">
            <w:pPr>
              <w:pStyle w:val="TableText0"/>
              <w:jc w:val="center"/>
            </w:pPr>
            <w:r w:rsidRPr="00AB026B">
              <w:t>0.43</w:t>
            </w:r>
          </w:p>
        </w:tc>
        <w:tc>
          <w:tcPr>
            <w:tcW w:w="709" w:type="dxa"/>
            <w:shd w:val="clear" w:color="auto" w:fill="FFFFFF" w:themeFill="background1"/>
          </w:tcPr>
          <w:p w14:paraId="11D0A327" w14:textId="77777777" w:rsidR="00832DD3" w:rsidRDefault="00832DD3" w:rsidP="00832DD3">
            <w:pPr>
              <w:pStyle w:val="TableText0"/>
              <w:jc w:val="center"/>
            </w:pPr>
            <w:r w:rsidRPr="00AB026B">
              <w:t>15</w:t>
            </w:r>
          </w:p>
        </w:tc>
        <w:tc>
          <w:tcPr>
            <w:tcW w:w="709" w:type="dxa"/>
            <w:shd w:val="clear" w:color="auto" w:fill="FFFFFF" w:themeFill="background1"/>
          </w:tcPr>
          <w:p w14:paraId="0C0FD455" w14:textId="77777777" w:rsidR="00832DD3" w:rsidRDefault="00832DD3" w:rsidP="00832DD3">
            <w:pPr>
              <w:pStyle w:val="TableText0"/>
              <w:jc w:val="center"/>
            </w:pPr>
            <w:r w:rsidRPr="00AB026B">
              <w:t>5.4%</w:t>
            </w:r>
          </w:p>
        </w:tc>
        <w:tc>
          <w:tcPr>
            <w:tcW w:w="793" w:type="dxa"/>
            <w:shd w:val="clear" w:color="auto" w:fill="FFFFFF" w:themeFill="background1"/>
          </w:tcPr>
          <w:p w14:paraId="56516717" w14:textId="77777777" w:rsidR="00832DD3" w:rsidRDefault="00832DD3" w:rsidP="00832DD3">
            <w:pPr>
              <w:pStyle w:val="TableText0"/>
              <w:jc w:val="center"/>
            </w:pPr>
            <w:r w:rsidRPr="00AB026B">
              <w:t>0.8</w:t>
            </w:r>
          </w:p>
        </w:tc>
      </w:tr>
    </w:tbl>
    <w:p w14:paraId="3439FC27" w14:textId="4FC43D0A" w:rsidR="00832DD3" w:rsidRPr="00B1011F" w:rsidRDefault="00832DD3" w:rsidP="00832DD3">
      <w:pPr>
        <w:pStyle w:val="FooterTableFigure"/>
        <w:rPr>
          <w:sz w:val="20"/>
        </w:rPr>
      </w:pPr>
      <w:r>
        <w:t xml:space="preserve">Source: Table 2-29, p46 </w:t>
      </w:r>
      <w:r w:rsidRPr="00D13A3E">
        <w:t xml:space="preserve">of the </w:t>
      </w:r>
      <w:r>
        <w:t>submission.</w:t>
      </w:r>
    </w:p>
    <w:p w14:paraId="05D46BA1" w14:textId="73088430" w:rsidR="00832DD3" w:rsidRPr="007C710C" w:rsidRDefault="003A700F" w:rsidP="00425593">
      <w:pPr>
        <w:pStyle w:val="3-BodyText"/>
      </w:pPr>
      <w:bookmarkStart w:id="46" w:name="_Toc22897643"/>
      <w:r w:rsidRPr="007C710C">
        <w:t xml:space="preserve">The submission stated that acute local reactions were less frequent or similar with RIV4 compared with QIVe whereas some acute local reactions were more frequent with aTIV and TIV-HD. Systemic </w:t>
      </w:r>
      <w:r w:rsidR="003C25FE" w:rsidRPr="007C710C">
        <w:t>adverse reaction</w:t>
      </w:r>
      <w:r w:rsidR="00DA7573">
        <w:t>s</w:t>
      </w:r>
      <w:r w:rsidRPr="007C710C">
        <w:t xml:space="preserve"> occurred at similar frequencies in all groups. </w:t>
      </w:r>
      <w:r w:rsidR="00D85D45" w:rsidRPr="007C710C">
        <w:t>Cowling 2020 also reported adverse reactions at 1-2 days, 3-4 days, 7-9 days and 14-16 days after vaccination, and concluded that reactions typically lasted only a few days, and more than half had resolved within 2 days after vaccination.</w:t>
      </w:r>
    </w:p>
    <w:p w14:paraId="4EBF3246" w14:textId="6D24A0FE" w:rsidR="00A54B59" w:rsidRPr="007C710C" w:rsidRDefault="007C01C0" w:rsidP="006D7FA3">
      <w:pPr>
        <w:pStyle w:val="3-BodyText"/>
      </w:pPr>
      <w:r>
        <w:t>While t</w:t>
      </w:r>
      <w:r w:rsidR="00D85D45" w:rsidRPr="007C710C">
        <w:t>he submission did not provide longer-term safety data for RIV4</w:t>
      </w:r>
      <w:r w:rsidR="001C3C06">
        <w:t>,</w:t>
      </w:r>
      <w:r>
        <w:t xml:space="preserve"> t</w:t>
      </w:r>
      <w:r w:rsidR="00AF3AD5" w:rsidRPr="007C710C">
        <w:t xml:space="preserve">he TGA Delegate’s Overview noted that 10,353 adults (aged </w:t>
      </w:r>
      <w:r w:rsidR="00AF3AD5" w:rsidRPr="007C710C">
        <w:rPr>
          <w:rFonts w:cstheme="minorHAnsi"/>
        </w:rPr>
        <w:t>≥</w:t>
      </w:r>
      <w:r w:rsidR="00AF3AD5" w:rsidRPr="007C710C">
        <w:t xml:space="preserve"> 18 years) </w:t>
      </w:r>
      <w:r w:rsidR="00902598" w:rsidRPr="007C710C">
        <w:t>were exposed to RIV4 (with the majority being ≥</w:t>
      </w:r>
      <w:r w:rsidR="005A4DF2" w:rsidRPr="007C710C">
        <w:t> </w:t>
      </w:r>
      <w:r w:rsidR="00902598" w:rsidRPr="007C710C">
        <w:t>50 years old). The most common injection site reactions were local tenderness and local pain. The most common systemic reactions were headache, fatigue, muscle pain, and joint pain.</w:t>
      </w:r>
      <w:r w:rsidR="00CE5B39" w:rsidRPr="007C710C">
        <w:t xml:space="preserve"> The TGA Delegate concluded “The safety profile of RIV4 has been adequately characterised in adults. The exposure was adequate and there appears to be sufficient post-market experience.”</w:t>
      </w:r>
    </w:p>
    <w:p w14:paraId="43C58A99" w14:textId="0478E644" w:rsidR="00CC3790" w:rsidRDefault="00CC3790" w:rsidP="00D86231">
      <w:pPr>
        <w:pStyle w:val="4-SubsectionHeading"/>
      </w:pPr>
      <w:bookmarkStart w:id="47" w:name="_Toc156912788"/>
      <w:r w:rsidRPr="00DA34D5">
        <w:t>Other benefits</w:t>
      </w:r>
      <w:r w:rsidR="00F25845" w:rsidRPr="00DA34D5">
        <w:t xml:space="preserve">: </w:t>
      </w:r>
      <w:r w:rsidR="00DC08BE">
        <w:t>T</w:t>
      </w:r>
      <w:r w:rsidR="00F25845" w:rsidRPr="00DA34D5">
        <w:t>echnology</w:t>
      </w:r>
      <w:r w:rsidR="00F25845">
        <w:t xml:space="preserve"> premium</w:t>
      </w:r>
      <w:bookmarkEnd w:id="47"/>
    </w:p>
    <w:p w14:paraId="336EC83B" w14:textId="38D342F8" w:rsidR="00F97A8C" w:rsidRPr="00D8548E" w:rsidRDefault="00F97A8C" w:rsidP="00D31902">
      <w:pPr>
        <w:pStyle w:val="3-BodyText"/>
      </w:pPr>
      <w:bookmarkStart w:id="48" w:name="_Ref155603012"/>
      <w:r w:rsidRPr="00D8548E">
        <w:t xml:space="preserve">The submission requested a “technology premium” </w:t>
      </w:r>
      <w:r w:rsidR="002A47D6">
        <w:t>for</w:t>
      </w:r>
      <w:r w:rsidRPr="00D8548E">
        <w:t xml:space="preserve"> RIV4 due to</w:t>
      </w:r>
      <w:bookmarkEnd w:id="48"/>
      <w:r w:rsidR="00582CF7" w:rsidRPr="00D8548E">
        <w:t>:</w:t>
      </w:r>
      <w:r w:rsidRPr="00D8548E">
        <w:t xml:space="preserve"> </w:t>
      </w:r>
    </w:p>
    <w:p w14:paraId="247BE2C9" w14:textId="77777777" w:rsidR="00F97A8C" w:rsidRPr="00D8548E" w:rsidRDefault="00F97A8C" w:rsidP="00A61546">
      <w:pPr>
        <w:pStyle w:val="3-BodyText"/>
        <w:numPr>
          <w:ilvl w:val="0"/>
          <w:numId w:val="10"/>
        </w:numPr>
        <w:ind w:left="1134" w:hanging="425"/>
      </w:pPr>
      <w:r w:rsidRPr="00D8548E">
        <w:t xml:space="preserve">the advantages that it has over alternative egg- and cell-based quadrivalent influenza vaccines; </w:t>
      </w:r>
    </w:p>
    <w:p w14:paraId="110F123F" w14:textId="58AD63F5" w:rsidR="00F97A8C" w:rsidRPr="00D8548E" w:rsidRDefault="00F97A8C" w:rsidP="00A61546">
      <w:pPr>
        <w:pStyle w:val="3-BodyText"/>
        <w:numPr>
          <w:ilvl w:val="0"/>
          <w:numId w:val="10"/>
        </w:numPr>
        <w:ind w:left="1134" w:hanging="425"/>
      </w:pPr>
      <w:r w:rsidRPr="00D8548E">
        <w:t xml:space="preserve">the potential benefits associated with the diversification of the vaccine manufacturing process; and </w:t>
      </w:r>
    </w:p>
    <w:p w14:paraId="2A39BE35" w14:textId="2C947E16" w:rsidR="00F97A8C" w:rsidRPr="00D8548E" w:rsidRDefault="00F97A8C" w:rsidP="00A61546">
      <w:pPr>
        <w:pStyle w:val="3-BodyText"/>
        <w:numPr>
          <w:ilvl w:val="0"/>
          <w:numId w:val="10"/>
        </w:numPr>
        <w:ind w:left="1134" w:hanging="425"/>
      </w:pPr>
      <w:r w:rsidRPr="00D8548E">
        <w:t>to support investment in new vaccine technologies in Australia.</w:t>
      </w:r>
    </w:p>
    <w:p w14:paraId="57B5CB9C" w14:textId="1355D9BA" w:rsidR="00DA34D5" w:rsidRPr="00D8548E" w:rsidRDefault="00DA34D5" w:rsidP="003C25FE">
      <w:pPr>
        <w:pStyle w:val="3-BodyText"/>
      </w:pPr>
      <w:r w:rsidRPr="00D8548E">
        <w:t>Comments from the ATAGI pre-submission advice regarding points (i) and (ii) are outlined below.</w:t>
      </w:r>
    </w:p>
    <w:p w14:paraId="5512C872" w14:textId="4BA67B1C" w:rsidR="00F97A8C" w:rsidRPr="00D8548E" w:rsidRDefault="00F97A8C" w:rsidP="007D74F5">
      <w:pPr>
        <w:pStyle w:val="3-BodyText"/>
        <w:keepNext/>
        <w:keepLines/>
        <w:numPr>
          <w:ilvl w:val="0"/>
          <w:numId w:val="11"/>
        </w:numPr>
        <w:ind w:left="284" w:hanging="284"/>
        <w:rPr>
          <w:u w:val="single"/>
        </w:rPr>
      </w:pPr>
      <w:r w:rsidRPr="00D8548E">
        <w:rPr>
          <w:u w:val="single"/>
        </w:rPr>
        <w:lastRenderedPageBreak/>
        <w:t>Advantages versus alternative egg- and cell-based quadrivalent influenza vaccines</w:t>
      </w:r>
    </w:p>
    <w:p w14:paraId="115FF7A8" w14:textId="39F48422" w:rsidR="00F25845" w:rsidRPr="00D8548E" w:rsidRDefault="003A700F" w:rsidP="007D74F5">
      <w:pPr>
        <w:pStyle w:val="3-BodyText"/>
        <w:keepNext/>
        <w:keepLines/>
      </w:pPr>
      <w:bookmarkStart w:id="49" w:name="_Ref155696828"/>
      <w:r w:rsidRPr="00D8548E">
        <w:t xml:space="preserve">The </w:t>
      </w:r>
      <w:r w:rsidR="00D31902" w:rsidRPr="00D8548E">
        <w:t>ATAGI</w:t>
      </w:r>
      <w:r w:rsidRPr="00D8548E">
        <w:t xml:space="preserve"> pre-submission advice</w:t>
      </w:r>
      <w:r w:rsidR="00D31902" w:rsidRPr="00D8548E">
        <w:t xml:space="preserve"> stated</w:t>
      </w:r>
      <w:bookmarkEnd w:id="49"/>
      <w:r w:rsidR="00D31902" w:rsidRPr="00D8548E">
        <w:t xml:space="preserve"> </w:t>
      </w:r>
    </w:p>
    <w:p w14:paraId="48E6CE50" w14:textId="1F3362BF" w:rsidR="00CC3790" w:rsidRPr="00D8548E" w:rsidRDefault="00D31902" w:rsidP="007D74F5">
      <w:pPr>
        <w:pStyle w:val="3-BodyText"/>
        <w:keepNext/>
        <w:keepLines/>
        <w:numPr>
          <w:ilvl w:val="0"/>
          <w:numId w:val="0"/>
        </w:numPr>
        <w:ind w:left="720"/>
      </w:pPr>
      <w:r w:rsidRPr="00D8548E">
        <w:t xml:space="preserve">“The submission stated that there are three major technological advantages of RIV4 compared to other vaccines. First, the recombinant technology allows the unaltered, full-length viral sequence to be used, which eliminates the risk of viral reassortment during the process of viral growth in egg and cell culture that can result in vaccine mismatch. Second, the recombinant HA in RIV4 avoids structural weaknesses that may develop during the growth and purification process of traditional inactivated influenza vaccines in a non-target cell substrate. Third, the presence of uniform compact HA oligomers and the absence of extraneous proteins, viral RNA or process impurities results in lower reactogenicity. This is claimed to allow the vaccine to contain three times the dose of the HA antigen (180 μg) than </w:t>
      </w:r>
      <w:r w:rsidR="003A700F" w:rsidRPr="00D8548E">
        <w:t>QIVe</w:t>
      </w:r>
      <w:r w:rsidRPr="00D8548E">
        <w:t xml:space="preserve"> and </w:t>
      </w:r>
      <w:r w:rsidR="003A700F" w:rsidRPr="00D8548E">
        <w:t>QIV</w:t>
      </w:r>
      <w:r w:rsidRPr="00D8548E">
        <w:t xml:space="preserve">c (60 μg) but with a similar safety profile to </w:t>
      </w:r>
      <w:r w:rsidR="003A700F" w:rsidRPr="00D8548E">
        <w:t>QIV</w:t>
      </w:r>
      <w:r w:rsidRPr="00D8548E">
        <w:t>e, without a higher rate of local and systemic reactions.”</w:t>
      </w:r>
    </w:p>
    <w:p w14:paraId="46375020" w14:textId="67A385C0" w:rsidR="003A700F" w:rsidRPr="00D8548E" w:rsidRDefault="003A700F" w:rsidP="00F25845">
      <w:pPr>
        <w:pStyle w:val="3-BodyText"/>
        <w:numPr>
          <w:ilvl w:val="0"/>
          <w:numId w:val="0"/>
        </w:numPr>
        <w:ind w:left="720"/>
      </w:pPr>
      <w:r w:rsidRPr="00D8548E">
        <w:t>“Low vaccine efficacy of a particular strain in the influenza vaccine may occur due to a mismatch between vaccine and wild virus. Such mismatches can result from viral adaptations during the vaccine manufacturing process, particularly noted in egg-based vaccines against H3N2 strains. The submission also suggested that these adaptations have also been observed in mammalian cell culture of influenza virus (Chen 2016, Lin 2017). However, the clinical importance of viral adaptation in cell cultures has not been clearly established.</w:t>
      </w:r>
      <w:r w:rsidR="00293EB6" w:rsidRPr="00D8548E">
        <w:t>”</w:t>
      </w:r>
    </w:p>
    <w:p w14:paraId="6C1FC917" w14:textId="39D82C21" w:rsidR="00D31902" w:rsidRPr="00D8548E" w:rsidRDefault="00F25845" w:rsidP="00F25845">
      <w:pPr>
        <w:pStyle w:val="3-BodyText"/>
        <w:numPr>
          <w:ilvl w:val="0"/>
          <w:numId w:val="0"/>
        </w:numPr>
        <w:ind w:left="720"/>
      </w:pPr>
      <w:r w:rsidRPr="00D8548E">
        <w:t>“</w:t>
      </w:r>
      <w:r w:rsidR="003A700F" w:rsidRPr="00D8548E">
        <w:t>The submission suggested that the absence of structural weaknesses in RIV4 that may develop during the growth and purification process of traditional inactivated influenza vaccines may be the reason why there appears to be greater cross-protection to H3N2 strains by RIV4 compared to adjuvanted or high-dose influenza vaccines (Belongia 2020; Richards 2020). The submission argued that the superior immunogenic responses to RIV compared to the high dose influenza vaccines used in these studies suggest that the differences are not solely due to the higher HA dose in the recombinant vaccine. The authors of the immunogenicity studies cited in the submission note that the mechanisms underlying the greater responses induced by the RIV4 vaccine are not yet clear. It should be noted that the submission did not provide a systematic assessment of immunogenicity studies as part of the clinical evidence.</w:t>
      </w:r>
      <w:r w:rsidRPr="00D8548E">
        <w:t>”</w:t>
      </w:r>
      <w:r w:rsidR="00F97A8C" w:rsidRPr="00D8548E">
        <w:t xml:space="preserve"> </w:t>
      </w:r>
    </w:p>
    <w:p w14:paraId="3B88BBBF" w14:textId="2CF9098D" w:rsidR="008B236E" w:rsidRDefault="00F25845" w:rsidP="005A7618">
      <w:pPr>
        <w:pStyle w:val="3-BodyText"/>
      </w:pPr>
      <w:bookmarkStart w:id="50" w:name="_Ref155864062"/>
      <w:r w:rsidRPr="00D8548E">
        <w:t xml:space="preserve">Overall, in its pre-submission advice, </w:t>
      </w:r>
      <w:r w:rsidR="00CD5865" w:rsidRPr="00D8548E">
        <w:t xml:space="preserve">the </w:t>
      </w:r>
      <w:r w:rsidRPr="00D8548E">
        <w:t>ATAGI considered that “i</w:t>
      </w:r>
      <w:r w:rsidR="00CC3790" w:rsidRPr="00D8548E">
        <w:t>t is plausible that RIV4 has some benefits over standard dose quadrivalent influenza vaccines given the higher HA dose as well as advantages over egg-based vaccines in terms of avoiding adaptations (primarily affecting the A/H3N2 strain) during the manufacturing process.”</w:t>
      </w:r>
      <w:bookmarkEnd w:id="50"/>
      <w:r w:rsidR="00252CE4">
        <w:t xml:space="preserve"> </w:t>
      </w:r>
    </w:p>
    <w:p w14:paraId="24EC11D9" w14:textId="68F03618" w:rsidR="00F25845" w:rsidRPr="00D8548E" w:rsidRDefault="004A306C" w:rsidP="005A7618">
      <w:pPr>
        <w:pStyle w:val="3-BodyText"/>
      </w:pPr>
      <w:r w:rsidRPr="004A306C">
        <w:t>The ESC noted that the ATAGI post-submission advice stated: “the potential advantage in avoiding cell-based adaptations is based on laboratory findings and the clinical relevance of this difference is unclear</w:t>
      </w:r>
      <w:r>
        <w:t>”.</w:t>
      </w:r>
      <w:r w:rsidR="005A7618">
        <w:t xml:space="preserve"> </w:t>
      </w:r>
      <w:r w:rsidR="008B236E">
        <w:t>Further, t</w:t>
      </w:r>
      <w:r w:rsidR="00252CE4">
        <w:t xml:space="preserve">he PBAC considered that </w:t>
      </w:r>
      <w:r>
        <w:t>the claimed</w:t>
      </w:r>
      <w:r w:rsidR="00252CE4">
        <w:t xml:space="preserve"> </w:t>
      </w:r>
      <w:r w:rsidR="00252CE4">
        <w:lastRenderedPageBreak/>
        <w:t xml:space="preserve">advantages </w:t>
      </w:r>
      <w:r w:rsidR="00641D95">
        <w:t>were not</w:t>
      </w:r>
      <w:r>
        <w:t xml:space="preserve"> b</w:t>
      </w:r>
      <w:r w:rsidR="00252CE4">
        <w:t>ased on comparative clinical evidence</w:t>
      </w:r>
      <w:r>
        <w:t>, and agreed with the ATAGI post-submission advice that the clinical relevance was unclear.</w:t>
      </w:r>
    </w:p>
    <w:p w14:paraId="45704654" w14:textId="189CC2AD" w:rsidR="008764BA" w:rsidRPr="00D8548E" w:rsidRDefault="00DA34D5" w:rsidP="007D74F5">
      <w:pPr>
        <w:pStyle w:val="3-BodyText"/>
        <w:keepNext/>
        <w:keepLines/>
        <w:numPr>
          <w:ilvl w:val="0"/>
          <w:numId w:val="11"/>
        </w:numPr>
        <w:ind w:left="426" w:hanging="426"/>
        <w:rPr>
          <w:u w:val="single"/>
        </w:rPr>
      </w:pPr>
      <w:r w:rsidRPr="00D8548E">
        <w:rPr>
          <w:u w:val="single"/>
        </w:rPr>
        <w:t>D</w:t>
      </w:r>
      <w:r w:rsidR="00F25845" w:rsidRPr="00D8548E">
        <w:rPr>
          <w:u w:val="single"/>
        </w:rPr>
        <w:t xml:space="preserve">iversification of the vaccine manufacturing process </w:t>
      </w:r>
    </w:p>
    <w:p w14:paraId="2BD04BB5" w14:textId="77777777" w:rsidR="004A306C" w:rsidRPr="004A306C" w:rsidRDefault="004A306C" w:rsidP="004A306C">
      <w:pPr>
        <w:pStyle w:val="3-BodyText"/>
      </w:pPr>
      <w:r w:rsidRPr="004A306C">
        <w:t>The PBAC submission stated “the technology also allows for faster adaptation, manufacturing and scale up than either egg- or cell- based alternatives, which may be invaluable in the context of a pandemic or supply shortage” and “introduction of another suitably effective influenza vaccine into the older adult influenza NIP will provide greater security and continuity of supply”.</w:t>
      </w:r>
    </w:p>
    <w:p w14:paraId="16FCA2F3" w14:textId="625828AF" w:rsidR="00F25845" w:rsidRPr="00D8548E" w:rsidRDefault="00F25845" w:rsidP="00C364E6">
      <w:pPr>
        <w:pStyle w:val="3-BodyText"/>
        <w:keepLines/>
      </w:pPr>
      <w:r w:rsidRPr="00D8548E">
        <w:t xml:space="preserve">In its pre-submission advice, </w:t>
      </w:r>
      <w:r w:rsidR="00CD5865" w:rsidRPr="00D8548E">
        <w:t xml:space="preserve">the </w:t>
      </w:r>
      <w:r w:rsidRPr="00D8548E">
        <w:t xml:space="preserve">ATAGI </w:t>
      </w:r>
      <w:r w:rsidR="00DA34D5" w:rsidRPr="00D8548E">
        <w:t>stated it “</w:t>
      </w:r>
      <w:r w:rsidR="008764BA" w:rsidRPr="00D8548E">
        <w:t>is supportive of alternative platforms for manufacturing seasonal influenza vaccines, including those that are not egg based. The valuation of this benefit is outside of ATAGI’s remit and requires broader health policy discussions.</w:t>
      </w:r>
      <w:r w:rsidRPr="00D8548E">
        <w:t xml:space="preserve">” </w:t>
      </w:r>
    </w:p>
    <w:p w14:paraId="6C797C05" w14:textId="202E4E63" w:rsidR="00DC08BE" w:rsidRPr="00D8548E" w:rsidRDefault="00DC08BE" w:rsidP="00C364E6">
      <w:pPr>
        <w:pStyle w:val="3-BodyText"/>
        <w:keepNext/>
        <w:numPr>
          <w:ilvl w:val="0"/>
          <w:numId w:val="0"/>
        </w:numPr>
        <w:rPr>
          <w:u w:val="single"/>
        </w:rPr>
      </w:pPr>
      <w:r w:rsidRPr="00D8548E">
        <w:rPr>
          <w:u w:val="single"/>
        </w:rPr>
        <w:t>Price premium</w:t>
      </w:r>
      <w:r w:rsidR="00A61546" w:rsidRPr="00D8548E">
        <w:rPr>
          <w:u w:val="single"/>
        </w:rPr>
        <w:t xml:space="preserve"> relative to that recommended</w:t>
      </w:r>
      <w:r w:rsidRPr="00D8548E">
        <w:rPr>
          <w:u w:val="single"/>
        </w:rPr>
        <w:t xml:space="preserve"> for QIVc versus QIVe</w:t>
      </w:r>
    </w:p>
    <w:p w14:paraId="393BC642" w14:textId="6B2B930A" w:rsidR="00DC08BE" w:rsidRPr="00D8548E" w:rsidRDefault="00DC08BE" w:rsidP="00DA34D5">
      <w:pPr>
        <w:pStyle w:val="3-BodyText"/>
      </w:pPr>
      <w:bookmarkStart w:id="51" w:name="_Ref156736960"/>
      <w:r w:rsidRPr="00D8548E">
        <w:t xml:space="preserve">The submission </w:t>
      </w:r>
      <w:r w:rsidR="00310ED4">
        <w:t xml:space="preserve">requested a </w:t>
      </w:r>
      <w:r w:rsidR="00310ED4">
        <w:rPr>
          <w:rFonts w:eastAsia="Calibri"/>
        </w:rPr>
        <w:t>price</w:t>
      </w:r>
      <w:r w:rsidRPr="00D8548E">
        <w:rPr>
          <w:rFonts w:eastAsia="Calibri"/>
        </w:rPr>
        <w:t xml:space="preserve"> premium </w:t>
      </w:r>
      <w:r w:rsidR="00310ED4">
        <w:rPr>
          <w:rFonts w:eastAsia="Calibri"/>
        </w:rPr>
        <w:t xml:space="preserve">of the </w:t>
      </w:r>
      <w:r w:rsidR="00310ED4" w:rsidRPr="00310ED4">
        <w:rPr>
          <w:rFonts w:eastAsia="Calibri"/>
        </w:rPr>
        <w:t xml:space="preserve">“same quantum” as </w:t>
      </w:r>
      <w:r w:rsidRPr="00D8548E">
        <w:rPr>
          <w:rFonts w:eastAsia="Calibri"/>
        </w:rPr>
        <w:t xml:space="preserve">that </w:t>
      </w:r>
      <w:r w:rsidR="00310ED4">
        <w:rPr>
          <w:rFonts w:eastAsia="Calibri"/>
        </w:rPr>
        <w:t xml:space="preserve">previously </w:t>
      </w:r>
      <w:r w:rsidRPr="00D8548E">
        <w:rPr>
          <w:rFonts w:eastAsia="Calibri"/>
        </w:rPr>
        <w:t xml:space="preserve">recommended by </w:t>
      </w:r>
      <w:r w:rsidR="00310ED4">
        <w:rPr>
          <w:rFonts w:eastAsia="Calibri"/>
        </w:rPr>
        <w:t xml:space="preserve">the </w:t>
      </w:r>
      <w:r w:rsidRPr="00D8548E">
        <w:rPr>
          <w:rFonts w:eastAsia="Calibri"/>
        </w:rPr>
        <w:t>PBAC for QIVc over other NIP listed QIVe vaccines</w:t>
      </w:r>
      <w:r w:rsidR="00310ED4">
        <w:rPr>
          <w:rFonts w:eastAsia="Calibri"/>
        </w:rPr>
        <w:t xml:space="preserve"> (</w:t>
      </w:r>
      <w:r w:rsidRPr="00D8548E">
        <w:rPr>
          <w:rFonts w:eastAsia="Calibri"/>
        </w:rPr>
        <w:t xml:space="preserve">in eligible populations </w:t>
      </w:r>
      <w:r w:rsidR="00310ED4">
        <w:rPr>
          <w:rFonts w:eastAsia="Calibri"/>
        </w:rPr>
        <w:t>&gt;</w:t>
      </w:r>
      <w:r w:rsidRPr="00D8548E">
        <w:rPr>
          <w:rFonts w:eastAsia="Calibri"/>
        </w:rPr>
        <w:t>65 years</w:t>
      </w:r>
      <w:r w:rsidR="0048391A">
        <w:rPr>
          <w:rFonts w:eastAsia="Calibri"/>
        </w:rPr>
        <w:t>) and</w:t>
      </w:r>
      <w:r w:rsidR="00310ED4">
        <w:rPr>
          <w:rFonts w:eastAsia="Calibri"/>
        </w:rPr>
        <w:t xml:space="preserve"> used $</w:t>
      </w:r>
      <w:r w:rsidR="00E70DA3" w:rsidRPr="005362BD">
        <w:rPr>
          <w:rFonts w:eastAsia="Calibri"/>
          <w:color w:val="000000"/>
          <w:w w:val="15"/>
          <w:shd w:val="solid" w:color="000000" w:fill="000000"/>
          <w:fitText w:val="-20" w:id="-962883584"/>
          <w14:textFill>
            <w14:solidFill>
              <w14:srgbClr w14:val="000000">
                <w14:alpha w14:val="100000"/>
              </w14:srgbClr>
            </w14:solidFill>
          </w14:textFill>
        </w:rPr>
        <w:t xml:space="preserve">|  </w:t>
      </w:r>
      <w:r w:rsidR="00E70DA3" w:rsidRPr="005362BD">
        <w:rPr>
          <w:rFonts w:eastAsia="Calibri"/>
          <w:color w:val="000000"/>
          <w:spacing w:val="-69"/>
          <w:w w:val="15"/>
          <w:shd w:val="solid" w:color="000000" w:fill="000000"/>
          <w:fitText w:val="-20" w:id="-962883584"/>
          <w14:textFill>
            <w14:solidFill>
              <w14:srgbClr w14:val="000000">
                <w14:alpha w14:val="100000"/>
              </w14:srgbClr>
            </w14:solidFill>
          </w14:textFill>
        </w:rPr>
        <w:t>|</w:t>
      </w:r>
      <w:r w:rsidR="00310ED4">
        <w:rPr>
          <w:rFonts w:eastAsia="Calibri"/>
        </w:rPr>
        <w:t xml:space="preserve"> as a proxy</w:t>
      </w:r>
      <w:r w:rsidRPr="00D8548E">
        <w:rPr>
          <w:rFonts w:eastAsia="Calibri"/>
        </w:rPr>
        <w:t>.</w:t>
      </w:r>
      <w:bookmarkEnd w:id="51"/>
    </w:p>
    <w:p w14:paraId="15D1BDA3" w14:textId="1057929E" w:rsidR="00694088" w:rsidRDefault="00DC08BE" w:rsidP="00F826DC">
      <w:pPr>
        <w:pStyle w:val="3-BodyText"/>
      </w:pPr>
      <w:r w:rsidRPr="00D8548E">
        <w:t xml:space="preserve">In its September 2022 consideration of QIVc, the PBAC </w:t>
      </w:r>
      <w:r w:rsidR="003D3E52" w:rsidRPr="00D8548E">
        <w:t>advis</w:t>
      </w:r>
      <w:r w:rsidRPr="00D8548E">
        <w:t>ed that a price premium versus QIVe would be reasonable “for the potential advantages of cell-based vaccine production technology compared to egg-based technology” (Para</w:t>
      </w:r>
      <w:r w:rsidR="005A1155">
        <w:t>graph</w:t>
      </w:r>
      <w:r w:rsidRPr="00D8548E">
        <w:t xml:space="preserve"> 7.11, QIVc PSD, September 2022 PBAC meeting). The PBAC </w:t>
      </w:r>
      <w:r w:rsidR="00F826DC" w:rsidRPr="00D8548E">
        <w:t>not</w:t>
      </w:r>
      <w:r w:rsidRPr="00D8548E">
        <w:t xml:space="preserve">ed </w:t>
      </w:r>
      <w:r w:rsidR="00F826DC" w:rsidRPr="00D8548E">
        <w:t xml:space="preserve">that </w:t>
      </w:r>
      <w:r w:rsidRPr="00D8548E">
        <w:t>advantages of QIVc versus QIVe included: diversifying vaccine production platforms; cell-based technology may allow faster start-up of vaccine production when needed (for example in the event of a pandemic)</w:t>
      </w:r>
      <w:r w:rsidR="00F826DC" w:rsidRPr="00D8548E">
        <w:t>;</w:t>
      </w:r>
      <w:r w:rsidRPr="00D8548E">
        <w:t xml:space="preserve"> and production would not be dependent on egg supply (Paragraph 7.2 QIVc PSD, September 2022 PBAC meeting). </w:t>
      </w:r>
    </w:p>
    <w:p w14:paraId="5057B182" w14:textId="197029A1" w:rsidR="00B71DE4" w:rsidRPr="00D8548E" w:rsidRDefault="00310ED4" w:rsidP="00EE1525">
      <w:pPr>
        <w:pStyle w:val="3-BodyText"/>
      </w:pPr>
      <w:r>
        <w:t>The PBAC recalled</w:t>
      </w:r>
      <w:r w:rsidR="009261DB">
        <w:t xml:space="preserve"> </w:t>
      </w:r>
      <w:r w:rsidR="00641D95">
        <w:t xml:space="preserve">that </w:t>
      </w:r>
      <w:r w:rsidR="00B71DE4">
        <w:t xml:space="preserve">further </w:t>
      </w:r>
      <w:r w:rsidR="009261DB">
        <w:t>context to this previous consideration includ</w:t>
      </w:r>
      <w:r w:rsidR="00641D95">
        <w:t>ed</w:t>
      </w:r>
      <w:r w:rsidR="009261DB">
        <w:t xml:space="preserve"> </w:t>
      </w:r>
      <w:r w:rsidR="005A1155">
        <w:t>P</w:t>
      </w:r>
      <w:r w:rsidR="009261DB">
        <w:t>aragraph 7.6 of the PSD, which state</w:t>
      </w:r>
      <w:r w:rsidR="004A306C">
        <w:t>s</w:t>
      </w:r>
      <w:r w:rsidR="009261DB">
        <w:t xml:space="preserve"> </w:t>
      </w:r>
      <w:r>
        <w:t>“</w:t>
      </w:r>
      <w:r w:rsidRPr="00310ED4">
        <w:t xml:space="preserve">Although the PBAC considered that the clinical claim of superior efficacy </w:t>
      </w:r>
      <w:r w:rsidR="009261DB">
        <w:t xml:space="preserve">[versus QIVe] </w:t>
      </w:r>
      <w:r w:rsidRPr="00310ED4">
        <w:t>was plausible, it considered that the comparative benefit was difficult to quantify and subject to a moderate level of uncertainty</w:t>
      </w:r>
      <w:r>
        <w:t>”</w:t>
      </w:r>
      <w:r w:rsidRPr="00310ED4">
        <w:t xml:space="preserve"> </w:t>
      </w:r>
      <w:r w:rsidR="005A1155">
        <w:t>(</w:t>
      </w:r>
      <w:r w:rsidRPr="00D8548E">
        <w:t>Para</w:t>
      </w:r>
      <w:r w:rsidR="005A1155">
        <w:t>graph</w:t>
      </w:r>
      <w:r w:rsidRPr="00D8548E">
        <w:t xml:space="preserve"> 7.</w:t>
      </w:r>
      <w:r>
        <w:t>6</w:t>
      </w:r>
      <w:r w:rsidRPr="00D8548E">
        <w:t>, QIVc PSD, September 2022 PBAC meeting)</w:t>
      </w:r>
      <w:r w:rsidR="009261DB">
        <w:t xml:space="preserve">. </w:t>
      </w:r>
      <w:r w:rsidR="001866FD">
        <w:t>In this case, t</w:t>
      </w:r>
      <w:r w:rsidR="009261DB">
        <w:t>he PBAC noted the submission for RIV4 had not made a claim of superior efficacy versus the nominated comparator</w:t>
      </w:r>
      <w:r w:rsidR="001866FD">
        <w:t xml:space="preserve"> (</w:t>
      </w:r>
      <w:r w:rsidR="009261DB">
        <w:t>aQIV</w:t>
      </w:r>
      <w:r w:rsidR="001866FD">
        <w:t>)</w:t>
      </w:r>
      <w:r w:rsidR="009261DB">
        <w:t xml:space="preserve"> and considered that the data presented </w:t>
      </w:r>
      <w:r w:rsidR="009261DB" w:rsidRPr="009261DB">
        <w:t xml:space="preserve">were </w:t>
      </w:r>
      <w:r w:rsidR="00B71DE4">
        <w:t>did not demonstrate a clear clinical benefit</w:t>
      </w:r>
      <w:r w:rsidR="009261DB">
        <w:t xml:space="preserve"> of RIV4 versus aQIV </w:t>
      </w:r>
    </w:p>
    <w:p w14:paraId="26189E4A" w14:textId="6B1DA5FA" w:rsidR="00F826DC" w:rsidRPr="00D8548E" w:rsidRDefault="004A306C" w:rsidP="00EE1525">
      <w:pPr>
        <w:pStyle w:val="3-BodyText"/>
      </w:pPr>
      <w:r>
        <w:t>T</w:t>
      </w:r>
      <w:r w:rsidR="00BC6116" w:rsidRPr="00D8548E">
        <w:t>he evaluation considered it was</w:t>
      </w:r>
      <w:r w:rsidR="00F826DC" w:rsidRPr="00D8548E">
        <w:t xml:space="preserve"> unclear whether the relative magnitude of benefit of the recombinant vaccine technology used in RIV4 versus currently available vaccine technologies is of a similar magnitude to the advantages of cell-based vaccine production technology compared </w:t>
      </w:r>
      <w:r w:rsidR="00E779B1" w:rsidRPr="00D8548E">
        <w:t>with</w:t>
      </w:r>
      <w:r w:rsidR="00F826DC" w:rsidRPr="00D8548E">
        <w:t xml:space="preserve"> </w:t>
      </w:r>
      <w:r w:rsidR="002C43B4" w:rsidRPr="00D8548E">
        <w:t xml:space="preserve">(non-adjuvanted) </w:t>
      </w:r>
      <w:r w:rsidR="00F826DC" w:rsidRPr="00D8548E">
        <w:t>egg-based technology. F</w:t>
      </w:r>
      <w:r w:rsidR="00694088" w:rsidRPr="00D8548E">
        <w:t>or example</w:t>
      </w:r>
      <w:r w:rsidR="00F826DC" w:rsidRPr="00D8548E">
        <w:t xml:space="preserve">, </w:t>
      </w:r>
      <w:r w:rsidR="007B3800" w:rsidRPr="00D8548E">
        <w:t>the evaluation considered it was</w:t>
      </w:r>
      <w:r w:rsidR="00F826DC" w:rsidRPr="00D8548E">
        <w:t xml:space="preserve"> unclear whether the </w:t>
      </w:r>
      <w:r w:rsidR="00E779B1" w:rsidRPr="00D8548E">
        <w:t xml:space="preserve">technology </w:t>
      </w:r>
      <w:r w:rsidR="00F826DC" w:rsidRPr="00D8548E">
        <w:t>advantages</w:t>
      </w:r>
      <w:r w:rsidR="00694088" w:rsidRPr="00D8548E">
        <w:t xml:space="preserve"> </w:t>
      </w:r>
      <w:r w:rsidR="00E779B1" w:rsidRPr="00D8548E">
        <w:t>claimed by the sponsor (</w:t>
      </w:r>
      <w:r w:rsidR="00694088" w:rsidRPr="00D8548E">
        <w:t>outlined in Paragraph</w:t>
      </w:r>
      <w:r w:rsidR="00F826DC" w:rsidRPr="00D8548E">
        <w:t xml:space="preserve"> </w:t>
      </w:r>
      <w:r w:rsidR="00694088" w:rsidRPr="00D8548E">
        <w:fldChar w:fldCharType="begin" w:fldLock="1"/>
      </w:r>
      <w:r w:rsidR="00694088" w:rsidRPr="00D8548E">
        <w:instrText xml:space="preserve"> REF _Ref155603012 \r \h </w:instrText>
      </w:r>
      <w:r w:rsidR="007C710C" w:rsidRPr="00D8548E">
        <w:instrText xml:space="preserve"> \* MERGEFORMAT </w:instrText>
      </w:r>
      <w:r w:rsidR="00694088" w:rsidRPr="00D8548E">
        <w:fldChar w:fldCharType="separate"/>
      </w:r>
      <w:r w:rsidR="00C364E6">
        <w:t>6.29</w:t>
      </w:r>
      <w:r w:rsidR="00694088" w:rsidRPr="00D8548E">
        <w:fldChar w:fldCharType="end"/>
      </w:r>
      <w:r w:rsidR="00E779B1" w:rsidRPr="00D8548E">
        <w:t>)</w:t>
      </w:r>
      <w:r w:rsidR="00694088" w:rsidRPr="00D8548E">
        <w:t xml:space="preserve"> </w:t>
      </w:r>
      <w:r w:rsidR="00F826DC" w:rsidRPr="00D8548E">
        <w:t xml:space="preserve">are relevant </w:t>
      </w:r>
      <w:r w:rsidR="00694088" w:rsidRPr="00D8548E">
        <w:t>given</w:t>
      </w:r>
      <w:r w:rsidR="00F826DC" w:rsidRPr="00D8548E">
        <w:t xml:space="preserve"> a cell</w:t>
      </w:r>
      <w:r w:rsidR="00E26E2D" w:rsidRPr="00D8548E">
        <w:t>-</w:t>
      </w:r>
      <w:r w:rsidR="00F826DC" w:rsidRPr="00D8548E">
        <w:t xml:space="preserve">based vaccine </w:t>
      </w:r>
      <w:r w:rsidR="00694088" w:rsidRPr="00D8548E">
        <w:t xml:space="preserve">is </w:t>
      </w:r>
      <w:r w:rsidR="00F826DC" w:rsidRPr="00D8548E">
        <w:t xml:space="preserve">available in Australia (albeit in a different population), particularly in terms of diversification of vaccine production platforms and faster start-up of </w:t>
      </w:r>
      <w:r w:rsidR="00F826DC" w:rsidRPr="00D8548E">
        <w:lastRenderedPageBreak/>
        <w:t>production</w:t>
      </w:r>
      <w:r w:rsidR="00E779B1" w:rsidRPr="00D8548E">
        <w:t xml:space="preserve"> (outlined in Paragraph </w:t>
      </w:r>
      <w:r w:rsidR="00E779B1" w:rsidRPr="00D8548E">
        <w:fldChar w:fldCharType="begin" w:fldLock="1"/>
      </w:r>
      <w:r w:rsidR="00E779B1" w:rsidRPr="00D8548E">
        <w:instrText xml:space="preserve"> REF _Ref155603012 \r \h </w:instrText>
      </w:r>
      <w:r w:rsidR="007C710C" w:rsidRPr="00D8548E">
        <w:instrText xml:space="preserve"> \* MERGEFORMAT </w:instrText>
      </w:r>
      <w:r w:rsidR="00E779B1" w:rsidRPr="00D8548E">
        <w:fldChar w:fldCharType="separate"/>
      </w:r>
      <w:r w:rsidR="00C364E6">
        <w:t>6.29</w:t>
      </w:r>
      <w:r w:rsidR="00E779B1" w:rsidRPr="00D8548E">
        <w:fldChar w:fldCharType="end"/>
      </w:r>
      <w:r w:rsidR="00E779B1" w:rsidRPr="00D8548E">
        <w:t xml:space="preserve"> points (ii) and (iii))</w:t>
      </w:r>
      <w:r w:rsidR="00F826DC" w:rsidRPr="00D8548E">
        <w:t xml:space="preserve">. </w:t>
      </w:r>
      <w:r w:rsidR="007C01C0" w:rsidRPr="00D8548E">
        <w:t>The ESC noted that the ATAGI post-submission advice stated: “Overall, given that recombinant and cell-based vaccines are currently proposed for different populations but share several potential advantages, ATAGI considered it may be reasonable to assume that both technologies provide similar manufacturing/technology advantages in their respective populations.”</w:t>
      </w:r>
    </w:p>
    <w:p w14:paraId="12FA167A" w14:textId="70952134" w:rsidR="00A82F4B" w:rsidRPr="00D8548E" w:rsidRDefault="00E26E2D" w:rsidP="00A82F4B">
      <w:pPr>
        <w:pStyle w:val="3-BodyText"/>
      </w:pPr>
      <w:bookmarkStart w:id="52" w:name="_Ref159572771"/>
      <w:r w:rsidRPr="00D8548E">
        <w:t xml:space="preserve">The ATAGI post-submission advice </w:t>
      </w:r>
      <w:r w:rsidR="005B3CE6" w:rsidRPr="00D8548E">
        <w:t xml:space="preserve">noted that the submission </w:t>
      </w:r>
      <w:r w:rsidR="00A82F4B" w:rsidRPr="00D8548E">
        <w:t>claim</w:t>
      </w:r>
      <w:r w:rsidR="00697686" w:rsidRPr="00D8548E">
        <w:t>ed</w:t>
      </w:r>
      <w:r w:rsidR="00A82F4B" w:rsidRPr="00D8548E">
        <w:t xml:space="preserve"> two potential manufacturing/technology advantages of recombinant vaccines compared </w:t>
      </w:r>
      <w:r w:rsidR="00697686" w:rsidRPr="00D8548E">
        <w:t>with</w:t>
      </w:r>
      <w:r w:rsidR="00A82F4B" w:rsidRPr="00D8548E">
        <w:t xml:space="preserve"> cell-based vaccines:</w:t>
      </w:r>
      <w:bookmarkEnd w:id="52"/>
    </w:p>
    <w:p w14:paraId="1F3CF9A6" w14:textId="2427BF07" w:rsidR="00A82F4B" w:rsidRPr="00D8548E" w:rsidRDefault="00A82F4B" w:rsidP="0073365E">
      <w:pPr>
        <w:pStyle w:val="3-BodyText"/>
        <w:numPr>
          <w:ilvl w:val="0"/>
          <w:numId w:val="32"/>
        </w:numPr>
        <w:ind w:left="1134"/>
      </w:pPr>
      <w:r w:rsidRPr="00D8548E">
        <w:t>Recombinant vaccines are ‘purer’ allowing for higher antigen doses without an increase in reactogenicity.</w:t>
      </w:r>
      <w:r w:rsidR="00AB26A9" w:rsidRPr="00D8548E">
        <w:t xml:space="preserve"> </w:t>
      </w:r>
      <w:r w:rsidR="00697686" w:rsidRPr="00D8548E">
        <w:t xml:space="preserve">The ATAGI post-submission advice </w:t>
      </w:r>
      <w:r w:rsidR="00AB26A9" w:rsidRPr="00D8548E">
        <w:t>considered “The higher antigen doses with recombinant versus cell-based vaccines may translate to improved immunogenicity and clinical outcomes</w:t>
      </w:r>
      <w:r w:rsidR="00A152DE">
        <w:t>….</w:t>
      </w:r>
      <w:r w:rsidR="00A152DE" w:rsidRPr="00A152DE">
        <w:rPr>
          <w:rFonts w:cs="Calibri"/>
        </w:rPr>
        <w:t xml:space="preserve"> </w:t>
      </w:r>
      <w:r w:rsidR="00A152DE">
        <w:rPr>
          <w:rFonts w:cs="Calibri"/>
        </w:rPr>
        <w:t xml:space="preserve">However, </w:t>
      </w:r>
      <w:r w:rsidR="0008558D">
        <w:rPr>
          <w:rFonts w:cs="Calibri"/>
        </w:rPr>
        <w:t>QIV</w:t>
      </w:r>
      <w:r w:rsidR="00A152DE">
        <w:rPr>
          <w:rFonts w:cs="Calibri"/>
        </w:rPr>
        <w:t>c is not NIP-funded for the elderly population and therefore the importance of this advantage is unclear.”</w:t>
      </w:r>
    </w:p>
    <w:p w14:paraId="40305313" w14:textId="747DE032" w:rsidR="000F1F3C" w:rsidRDefault="00A82F4B" w:rsidP="0073365E">
      <w:pPr>
        <w:pStyle w:val="3-BodyText"/>
        <w:numPr>
          <w:ilvl w:val="0"/>
          <w:numId w:val="32"/>
        </w:numPr>
        <w:ind w:left="1134"/>
      </w:pPr>
      <w:r w:rsidRPr="00D8548E">
        <w:t>Recombinant vaccines may avoid adaptations that have been observed in mammalian cell culture of influenza virus</w:t>
      </w:r>
      <w:r w:rsidR="00F124A6" w:rsidRPr="00D8548E">
        <w:t>.</w:t>
      </w:r>
      <w:r w:rsidR="00697686" w:rsidRPr="00D8548E">
        <w:t xml:space="preserve"> </w:t>
      </w:r>
      <w:r w:rsidR="001061B0">
        <w:t>However, t</w:t>
      </w:r>
      <w:r w:rsidR="00697686" w:rsidRPr="00D8548E">
        <w:t>he</w:t>
      </w:r>
      <w:r w:rsidR="00F124A6" w:rsidRPr="00D8548E">
        <w:t xml:space="preserve"> </w:t>
      </w:r>
      <w:r w:rsidR="00697686" w:rsidRPr="00D8548E">
        <w:t xml:space="preserve">ATAGI post-submission advice </w:t>
      </w:r>
      <w:r w:rsidR="00F124A6" w:rsidRPr="00D8548E">
        <w:t>noted “the potential advantage in avoiding cell-based adaptations is based on laboratory findings and the clinical relevance of this difference is unclear</w:t>
      </w:r>
      <w:r w:rsidR="00A152DE">
        <w:t>.</w:t>
      </w:r>
      <w:r w:rsidR="00F124A6" w:rsidRPr="00D8548E">
        <w:t xml:space="preserve">” </w:t>
      </w:r>
    </w:p>
    <w:p w14:paraId="04908C7F" w14:textId="5985ABC7" w:rsidR="007F1017" w:rsidRPr="00C9624D" w:rsidRDefault="007F1017" w:rsidP="00D86231">
      <w:pPr>
        <w:pStyle w:val="4-SubsectionHeading"/>
      </w:pPr>
      <w:bookmarkStart w:id="53" w:name="_Toc156912789"/>
      <w:r w:rsidRPr="00C9624D">
        <w:t>Benefits/harms</w:t>
      </w:r>
      <w:bookmarkEnd w:id="46"/>
      <w:bookmarkEnd w:id="53"/>
    </w:p>
    <w:p w14:paraId="02B9BDE3" w14:textId="6D65E5B9" w:rsidR="007A1345" w:rsidRPr="002E1071" w:rsidRDefault="00311D9B" w:rsidP="00DA34D5">
      <w:pPr>
        <w:pStyle w:val="3-BodyText"/>
      </w:pPr>
      <w:r w:rsidRPr="00311D9B">
        <w:rPr>
          <w:snapToGrid/>
          <w:lang w:val="en-US"/>
        </w:rPr>
        <w:t>A benefits and harms table is not presented as the submission made a claim of non-inferiority.</w:t>
      </w:r>
      <w:r w:rsidR="00E926A5" w:rsidRPr="00311D9B">
        <w:rPr>
          <w:snapToGrid/>
          <w:lang w:val="en-US"/>
        </w:rPr>
        <w:t xml:space="preserve"> </w:t>
      </w:r>
    </w:p>
    <w:p w14:paraId="7A1772B6" w14:textId="23BB3145" w:rsidR="00B60939" w:rsidRPr="00C9624D" w:rsidRDefault="00B60939" w:rsidP="00E9094A">
      <w:pPr>
        <w:pStyle w:val="4-SubsectionHeading"/>
      </w:pPr>
      <w:bookmarkStart w:id="54" w:name="_Toc22897644"/>
      <w:bookmarkStart w:id="55" w:name="_Toc156912790"/>
      <w:r w:rsidRPr="00C9624D">
        <w:t>Clinical claim</w:t>
      </w:r>
      <w:bookmarkEnd w:id="54"/>
      <w:bookmarkEnd w:id="55"/>
    </w:p>
    <w:p w14:paraId="54D3A82D" w14:textId="7A5DE247" w:rsidR="005F7588" w:rsidRPr="00D8548E" w:rsidRDefault="005F7588" w:rsidP="00DA34D5">
      <w:pPr>
        <w:pStyle w:val="3-BodyText"/>
        <w:rPr>
          <w:rFonts w:eastAsia="Calibri"/>
        </w:rPr>
      </w:pPr>
      <w:r w:rsidRPr="00D8548E">
        <w:rPr>
          <w:rFonts w:eastAsia="Calibri"/>
        </w:rPr>
        <w:t>The submission described</w:t>
      </w:r>
      <w:r w:rsidR="005306FD" w:rsidRPr="00D8548E">
        <w:rPr>
          <w:rFonts w:eastAsia="Calibri"/>
        </w:rPr>
        <w:t xml:space="preserve"> RIV4 as “at least non-inferior” in terms of comparative effectiveness, immunogenicity and safety to the currently listed and supplied vaccine, </w:t>
      </w:r>
      <w:r w:rsidR="009577E9" w:rsidRPr="00D8548E">
        <w:rPr>
          <w:rFonts w:eastAsia="Calibri"/>
        </w:rPr>
        <w:t>aQIV</w:t>
      </w:r>
      <w:r w:rsidR="005306FD" w:rsidRPr="00D8548E">
        <w:rPr>
          <w:rFonts w:eastAsia="Calibri"/>
        </w:rPr>
        <w:t xml:space="preserve">. This claim was adequately supported based on the ATAGI pre-submission advice which stated: “based on the available data, ATAGI has reasonable confidence that RIV4 is ‘at least’ equivalent to adjuvanted vaccines in this population”. </w:t>
      </w:r>
      <w:r w:rsidR="007C01C0" w:rsidRPr="00D8548E">
        <w:rPr>
          <w:rFonts w:eastAsia="Calibri"/>
        </w:rPr>
        <w:t>Further, the</w:t>
      </w:r>
      <w:r w:rsidR="00AD1EB6" w:rsidRPr="00D8548E">
        <w:rPr>
          <w:rFonts w:eastAsia="Calibri"/>
        </w:rPr>
        <w:t xml:space="preserve"> </w:t>
      </w:r>
      <w:r w:rsidR="007C01C0" w:rsidRPr="00D8548E">
        <w:rPr>
          <w:rFonts w:eastAsia="Calibri"/>
        </w:rPr>
        <w:t>ATAGI post-submission advice stated “Overall, the additional studies presented in the PBAC submission do not change ATAGI’s previous advice that RIV4 is ‘at least’ equivalent to adjuvant vaccines in individuals aged ≥ 65 years.”</w:t>
      </w:r>
      <w:r w:rsidR="005306FD" w:rsidRPr="00D8548E">
        <w:rPr>
          <w:rFonts w:eastAsia="Calibri"/>
        </w:rPr>
        <w:t xml:space="preserve"> </w:t>
      </w:r>
      <w:r w:rsidR="007C70FF" w:rsidRPr="00D8548E">
        <w:rPr>
          <w:rFonts w:eastAsia="Calibri"/>
        </w:rPr>
        <w:t xml:space="preserve"> </w:t>
      </w:r>
    </w:p>
    <w:p w14:paraId="2EE06B32" w14:textId="7EBEC5B6" w:rsidR="005306FD" w:rsidRPr="00142565" w:rsidRDefault="005306FD" w:rsidP="00DA34D5">
      <w:pPr>
        <w:pStyle w:val="3-BodyText"/>
        <w:rPr>
          <w:rFonts w:eastAsia="Calibri"/>
        </w:rPr>
      </w:pPr>
      <w:r w:rsidRPr="00D8548E">
        <w:rPr>
          <w:rFonts w:eastAsia="Calibri"/>
        </w:rPr>
        <w:t xml:space="preserve">The ATAGI pre-submission advice further stated that ATAGI was “less confident that the available data </w:t>
      </w:r>
      <w:bookmarkStart w:id="56" w:name="_Hlk161915554"/>
      <w:r w:rsidRPr="00142565">
        <w:rPr>
          <w:rFonts w:eastAsia="Calibri"/>
        </w:rPr>
        <w:t>were sufficient to support a claim of superiority</w:t>
      </w:r>
      <w:bookmarkEnd w:id="56"/>
      <w:r w:rsidRPr="00142565">
        <w:rPr>
          <w:rFonts w:eastAsia="Calibri"/>
        </w:rPr>
        <w:t>”.</w:t>
      </w:r>
    </w:p>
    <w:p w14:paraId="1796D129" w14:textId="467857A5" w:rsidR="005306FD" w:rsidRPr="00142565" w:rsidRDefault="005306FD" w:rsidP="00DA34D5">
      <w:pPr>
        <w:pStyle w:val="3-BodyText"/>
        <w:rPr>
          <w:rFonts w:eastAsia="Calibri"/>
        </w:rPr>
      </w:pPr>
      <w:r w:rsidRPr="00142565">
        <w:rPr>
          <w:rFonts w:eastAsia="Calibri"/>
        </w:rPr>
        <w:t xml:space="preserve">The submission further stated RIV4 is expected to provide “important technological advantages” over </w:t>
      </w:r>
      <w:r w:rsidR="00DA34D5" w:rsidRPr="00142565">
        <w:rPr>
          <w:rFonts w:eastAsia="Calibri"/>
        </w:rPr>
        <w:t>aQIV</w:t>
      </w:r>
      <w:r w:rsidRPr="00142565">
        <w:rPr>
          <w:rFonts w:eastAsia="Calibri"/>
        </w:rPr>
        <w:t>.</w:t>
      </w:r>
      <w:r w:rsidR="00DA34D5" w:rsidRPr="00142565">
        <w:rPr>
          <w:rFonts w:eastAsia="Calibri"/>
        </w:rPr>
        <w:t xml:space="preserve"> </w:t>
      </w:r>
      <w:r w:rsidR="00ED1A9D" w:rsidRPr="00142565">
        <w:rPr>
          <w:rFonts w:eastAsia="Calibri"/>
        </w:rPr>
        <w:t>The ATAGI post-submission advice stated “Overall, given that recombinant and cell-based vaccines are currently proposed for different populations but share several potential advantages, ATAGI considered it may be reasonable to assume that both technologies provide similar manufacturing/technology advantages in their respective populations.”</w:t>
      </w:r>
      <w:r w:rsidR="003C3FCD" w:rsidRPr="00142565">
        <w:rPr>
          <w:rFonts w:eastAsia="Calibri"/>
        </w:rPr>
        <w:t xml:space="preserve"> </w:t>
      </w:r>
      <w:r w:rsidR="003C3FCD" w:rsidRPr="00142565">
        <w:t xml:space="preserve">The ESC noted that the ATAGI post-submission advice </w:t>
      </w:r>
      <w:r w:rsidR="003C3FCD" w:rsidRPr="00142565">
        <w:lastRenderedPageBreak/>
        <w:t>stated: “the potential advantage in avoiding cell-based adaptations is based on laboratory findings and the clinical relevance of this difference is unclear”.</w:t>
      </w:r>
    </w:p>
    <w:p w14:paraId="1D9B5631" w14:textId="5E4205FA" w:rsidR="00DA34D5" w:rsidRPr="002A47D6" w:rsidRDefault="005B5DC7" w:rsidP="00DA34D5">
      <w:pPr>
        <w:pStyle w:val="3-BodyText"/>
        <w:rPr>
          <w:rFonts w:eastAsia="Calibri"/>
        </w:rPr>
      </w:pPr>
      <w:r w:rsidRPr="00D8548E">
        <w:t>A</w:t>
      </w:r>
      <w:r w:rsidR="00DA34D5" w:rsidRPr="00D8548E">
        <w:t xml:space="preserve">dministration of RIV4 appeared to be associated with a similar incidence of adverse events </w:t>
      </w:r>
      <w:r w:rsidR="0001409A" w:rsidRPr="00D8548E">
        <w:t xml:space="preserve">one day after vaccination </w:t>
      </w:r>
      <w:r w:rsidR="00DA34D5" w:rsidRPr="00D8548E">
        <w:t xml:space="preserve">compared with aTIV, </w:t>
      </w:r>
      <w:r w:rsidRPr="00D8548E">
        <w:t>QIVe</w:t>
      </w:r>
      <w:r w:rsidR="00DA34D5" w:rsidRPr="00D8548E">
        <w:t xml:space="preserve"> and TIV-HD</w:t>
      </w:r>
      <w:r w:rsidRPr="00D8548E">
        <w:t xml:space="preserve">, though no </w:t>
      </w:r>
      <w:r w:rsidR="0001409A" w:rsidRPr="00D8548E">
        <w:t xml:space="preserve">long-term </w:t>
      </w:r>
      <w:r w:rsidR="00FE2E82" w:rsidRPr="00D8548E">
        <w:t xml:space="preserve">safety </w:t>
      </w:r>
      <w:r w:rsidRPr="00D8548E">
        <w:t xml:space="preserve">data </w:t>
      </w:r>
      <w:r w:rsidR="0001409A" w:rsidRPr="00D8548E">
        <w:t xml:space="preserve">or comparative safety data </w:t>
      </w:r>
      <w:r w:rsidRPr="00D8548E">
        <w:t>versus aQIV</w:t>
      </w:r>
      <w:r w:rsidR="0001409A" w:rsidRPr="00D8548E">
        <w:t xml:space="preserve"> w</w:t>
      </w:r>
      <w:r w:rsidR="007C01C0" w:rsidRPr="00D8548E">
        <w:t>ere</w:t>
      </w:r>
      <w:r w:rsidR="0001409A" w:rsidRPr="00D8548E">
        <w:t xml:space="preserve"> presented</w:t>
      </w:r>
      <w:r w:rsidRPr="00D8548E">
        <w:t>.</w:t>
      </w:r>
      <w:r w:rsidR="007C01C0" w:rsidRPr="00D8548E">
        <w:t xml:space="preserve"> The TGA </w:t>
      </w:r>
      <w:r w:rsidR="007C01C0" w:rsidRPr="002A47D6">
        <w:t>Delegate</w:t>
      </w:r>
      <w:r w:rsidR="008108C0" w:rsidRPr="002A47D6">
        <w:t xml:space="preserve"> (Delegate’s Overview, p18)</w:t>
      </w:r>
      <w:r w:rsidR="007C01C0" w:rsidRPr="002A47D6">
        <w:t xml:space="preserve"> had concluded: “The safety profile of RIV4 has been adequately characterised in adults. The exposure was adequate and there appears to be sufficient post-market experience.”</w:t>
      </w:r>
    </w:p>
    <w:p w14:paraId="21B10911" w14:textId="25B040E0" w:rsidR="002A47D6" w:rsidRPr="002A47D6" w:rsidRDefault="002A47D6" w:rsidP="00D32870">
      <w:pPr>
        <w:pStyle w:val="3-BodyText"/>
        <w:rPr>
          <w:rFonts w:eastAsia="Calibri"/>
        </w:rPr>
      </w:pPr>
      <w:r w:rsidRPr="002A47D6">
        <w:rPr>
          <w:rFonts w:eastAsia="Calibri"/>
        </w:rPr>
        <w:t>The PBAC considered that the claim of “at least non-inferior” comparative effectiveness and safety was reasonable.</w:t>
      </w:r>
    </w:p>
    <w:p w14:paraId="74A1172E" w14:textId="128C170E" w:rsidR="00B60939" w:rsidRPr="00C9624D" w:rsidRDefault="00B60939" w:rsidP="00E9094A">
      <w:pPr>
        <w:pStyle w:val="4-SubsectionHeading"/>
      </w:pPr>
      <w:bookmarkStart w:id="57" w:name="_Toc22897645"/>
      <w:bookmarkStart w:id="58" w:name="_Toc156912791"/>
      <w:r w:rsidRPr="00C9624D">
        <w:t>Economic analysis</w:t>
      </w:r>
      <w:bookmarkEnd w:id="57"/>
      <w:bookmarkEnd w:id="58"/>
      <w:r w:rsidR="00491B3A" w:rsidRPr="00C9624D">
        <w:t xml:space="preserve"> </w:t>
      </w:r>
    </w:p>
    <w:p w14:paraId="5515423C" w14:textId="4653DB81" w:rsidR="005B5DC7" w:rsidRPr="00D8548E" w:rsidRDefault="005B5DC7" w:rsidP="00DA34D5">
      <w:pPr>
        <w:pStyle w:val="3-BodyText"/>
        <w:rPr>
          <w:rFonts w:eastAsia="Calibri"/>
        </w:rPr>
      </w:pPr>
      <w:r w:rsidRPr="00D8548E">
        <w:rPr>
          <w:rFonts w:eastAsia="Calibri"/>
        </w:rPr>
        <w:t xml:space="preserve">The submission requested a </w:t>
      </w:r>
      <w:r w:rsidR="008B5876" w:rsidRPr="00D8548E">
        <w:rPr>
          <w:rFonts w:eastAsia="Calibri"/>
        </w:rPr>
        <w:t xml:space="preserve">price </w:t>
      </w:r>
      <w:r w:rsidRPr="00D8548E">
        <w:rPr>
          <w:rFonts w:eastAsia="Calibri"/>
        </w:rPr>
        <w:t xml:space="preserve">for RIV4 </w:t>
      </w:r>
      <w:r w:rsidR="008B5876" w:rsidRPr="00D8548E">
        <w:rPr>
          <w:rFonts w:eastAsia="Calibri"/>
        </w:rPr>
        <w:t>of $</w:t>
      </w:r>
      <w:r w:rsidR="00E70DA3" w:rsidRPr="00E70DA3">
        <w:rPr>
          <w:rFonts w:eastAsia="Calibri"/>
          <w:color w:val="000000"/>
          <w:w w:val="60"/>
          <w:shd w:val="solid" w:color="000000" w:fill="000000"/>
          <w:fitText w:val="466" w:id="-962883583"/>
          <w14:textFill>
            <w14:solidFill>
              <w14:srgbClr w14:val="000000">
                <w14:alpha w14:val="100000"/>
              </w14:srgbClr>
            </w14:solidFill>
          </w14:textFill>
        </w:rPr>
        <w:t>|||  ||</w:t>
      </w:r>
      <w:r w:rsidR="00E70DA3" w:rsidRPr="00E70DA3">
        <w:rPr>
          <w:rFonts w:eastAsia="Calibri"/>
          <w:color w:val="000000"/>
          <w:spacing w:val="2"/>
          <w:w w:val="60"/>
          <w:shd w:val="solid" w:color="000000" w:fill="000000"/>
          <w:fitText w:val="466" w:id="-962883583"/>
          <w14:textFill>
            <w14:solidFill>
              <w14:srgbClr w14:val="000000">
                <w14:alpha w14:val="100000"/>
              </w14:srgbClr>
            </w14:solidFill>
          </w14:textFill>
        </w:rPr>
        <w:t>|</w:t>
      </w:r>
      <w:r w:rsidR="008B5876" w:rsidRPr="00D8548E">
        <w:rPr>
          <w:rFonts w:eastAsia="Calibri"/>
        </w:rPr>
        <w:t xml:space="preserve"> per dose</w:t>
      </w:r>
      <w:r w:rsidRPr="00D8548E">
        <w:rPr>
          <w:rFonts w:eastAsia="Calibri"/>
        </w:rPr>
        <w:t xml:space="preserve"> </w:t>
      </w:r>
      <w:r w:rsidR="008B5876" w:rsidRPr="00D8548E">
        <w:rPr>
          <w:rFonts w:eastAsia="Calibri"/>
        </w:rPr>
        <w:t xml:space="preserve">based on the assumed confidential </w:t>
      </w:r>
      <w:r w:rsidRPr="00D8548E">
        <w:rPr>
          <w:rFonts w:eastAsia="Calibri"/>
        </w:rPr>
        <w:t>price</w:t>
      </w:r>
      <w:r w:rsidR="008B5876" w:rsidRPr="00D8548E">
        <w:rPr>
          <w:rFonts w:eastAsia="Calibri"/>
        </w:rPr>
        <w:t xml:space="preserve"> of </w:t>
      </w:r>
      <w:r w:rsidRPr="00D8548E">
        <w:rPr>
          <w:rFonts w:eastAsia="Calibri"/>
        </w:rPr>
        <w:t>aQIV</w:t>
      </w:r>
      <w:r w:rsidR="008B5876" w:rsidRPr="00D8548E">
        <w:rPr>
          <w:rFonts w:eastAsia="Calibri"/>
        </w:rPr>
        <w:t xml:space="preserve"> ($</w:t>
      </w:r>
      <w:r w:rsidR="00E70DA3" w:rsidRPr="005362BD">
        <w:rPr>
          <w:rFonts w:eastAsia="Calibri"/>
          <w:color w:val="000000"/>
          <w:w w:val="15"/>
          <w:shd w:val="solid" w:color="000000" w:fill="000000"/>
          <w:fitText w:val="-20" w:id="-962883582"/>
          <w14:textFill>
            <w14:solidFill>
              <w14:srgbClr w14:val="000000">
                <w14:alpha w14:val="100000"/>
              </w14:srgbClr>
            </w14:solidFill>
          </w14:textFill>
        </w:rPr>
        <w:t xml:space="preserve">|  </w:t>
      </w:r>
      <w:r w:rsidR="00E70DA3" w:rsidRPr="005362BD">
        <w:rPr>
          <w:rFonts w:eastAsia="Calibri"/>
          <w:color w:val="000000"/>
          <w:spacing w:val="-69"/>
          <w:w w:val="15"/>
          <w:shd w:val="solid" w:color="000000" w:fill="000000"/>
          <w:fitText w:val="-20" w:id="-962883582"/>
          <w14:textFill>
            <w14:solidFill>
              <w14:srgbClr w14:val="000000">
                <w14:alpha w14:val="100000"/>
              </w14:srgbClr>
            </w14:solidFill>
          </w14:textFill>
        </w:rPr>
        <w:t>|</w:t>
      </w:r>
      <w:r w:rsidR="008B5876" w:rsidRPr="00D8548E">
        <w:rPr>
          <w:rFonts w:eastAsia="Calibri"/>
        </w:rPr>
        <w:t>) plus a $</w:t>
      </w:r>
      <w:r w:rsidR="00E70DA3" w:rsidRPr="005362BD">
        <w:rPr>
          <w:rFonts w:eastAsia="Calibri"/>
          <w:color w:val="000000"/>
          <w:w w:val="15"/>
          <w:shd w:val="solid" w:color="000000" w:fill="000000"/>
          <w:fitText w:val="-20" w:id="-962883581"/>
          <w14:textFill>
            <w14:solidFill>
              <w14:srgbClr w14:val="000000">
                <w14:alpha w14:val="100000"/>
              </w14:srgbClr>
            </w14:solidFill>
          </w14:textFill>
        </w:rPr>
        <w:t xml:space="preserve">|  </w:t>
      </w:r>
      <w:r w:rsidR="00E70DA3" w:rsidRPr="005362BD">
        <w:rPr>
          <w:rFonts w:eastAsia="Calibri"/>
          <w:color w:val="000000"/>
          <w:spacing w:val="-69"/>
          <w:w w:val="15"/>
          <w:shd w:val="solid" w:color="000000" w:fill="000000"/>
          <w:fitText w:val="-20" w:id="-962883581"/>
          <w14:textFill>
            <w14:solidFill>
              <w14:srgbClr w14:val="000000">
                <w14:alpha w14:val="100000"/>
              </w14:srgbClr>
            </w14:solidFill>
          </w14:textFill>
        </w:rPr>
        <w:t>|</w:t>
      </w:r>
      <w:r w:rsidR="008B5876" w:rsidRPr="00D8548E">
        <w:rPr>
          <w:rFonts w:eastAsia="Calibri"/>
        </w:rPr>
        <w:t xml:space="preserve"> technology premium</w:t>
      </w:r>
      <w:r w:rsidRPr="00D8548E">
        <w:rPr>
          <w:rFonts w:eastAsia="Calibri"/>
        </w:rPr>
        <w:t xml:space="preserve"> (refer to Paragraphs </w:t>
      </w:r>
      <w:r w:rsidRPr="00D8548E">
        <w:rPr>
          <w:rFonts w:eastAsia="Calibri"/>
        </w:rPr>
        <w:fldChar w:fldCharType="begin" w:fldLock="1"/>
      </w:r>
      <w:r w:rsidRPr="00D8548E">
        <w:rPr>
          <w:rFonts w:eastAsia="Calibri"/>
        </w:rPr>
        <w:instrText xml:space="preserve"> REF _Ref155603012 \r \h </w:instrText>
      </w:r>
      <w:r w:rsidR="00D8548E" w:rsidRPr="00D8548E">
        <w:rPr>
          <w:rFonts w:eastAsia="Calibri"/>
        </w:rPr>
        <w:instrText xml:space="preserve"> \* MERGEFORMAT </w:instrText>
      </w:r>
      <w:r w:rsidRPr="00D8548E">
        <w:rPr>
          <w:rFonts w:eastAsia="Calibri"/>
        </w:rPr>
      </w:r>
      <w:r w:rsidRPr="00D8548E">
        <w:rPr>
          <w:rFonts w:eastAsia="Calibri"/>
        </w:rPr>
        <w:fldChar w:fldCharType="separate"/>
      </w:r>
      <w:r w:rsidR="00C364E6">
        <w:rPr>
          <w:rFonts w:eastAsia="Calibri"/>
        </w:rPr>
        <w:t>6.29</w:t>
      </w:r>
      <w:r w:rsidRPr="00D8548E">
        <w:rPr>
          <w:rFonts w:eastAsia="Calibri"/>
        </w:rPr>
        <w:fldChar w:fldCharType="end"/>
      </w:r>
      <w:r w:rsidRPr="00D8548E">
        <w:rPr>
          <w:rFonts w:eastAsia="Calibri"/>
        </w:rPr>
        <w:t xml:space="preserve"> to</w:t>
      </w:r>
      <w:r w:rsidR="00D95698">
        <w:rPr>
          <w:rFonts w:eastAsia="Calibri"/>
        </w:rPr>
        <w:t xml:space="preserve"> </w:t>
      </w:r>
      <w:r w:rsidR="00D95698">
        <w:rPr>
          <w:rFonts w:eastAsia="Calibri"/>
        </w:rPr>
        <w:fldChar w:fldCharType="begin" w:fldLock="1"/>
      </w:r>
      <w:r w:rsidR="00D95698">
        <w:rPr>
          <w:rFonts w:eastAsia="Calibri"/>
        </w:rPr>
        <w:instrText xml:space="preserve"> REF _Ref159572771 \r \h </w:instrText>
      </w:r>
      <w:r w:rsidR="00D95698">
        <w:rPr>
          <w:rFonts w:eastAsia="Calibri"/>
        </w:rPr>
      </w:r>
      <w:r w:rsidR="00D95698">
        <w:rPr>
          <w:rFonts w:eastAsia="Calibri"/>
        </w:rPr>
        <w:fldChar w:fldCharType="separate"/>
      </w:r>
      <w:r w:rsidR="00C364E6">
        <w:rPr>
          <w:rFonts w:eastAsia="Calibri"/>
        </w:rPr>
        <w:t>6.40</w:t>
      </w:r>
      <w:r w:rsidR="00D95698">
        <w:rPr>
          <w:rFonts w:eastAsia="Calibri"/>
        </w:rPr>
        <w:fldChar w:fldCharType="end"/>
      </w:r>
      <w:r w:rsidRPr="00D8548E">
        <w:rPr>
          <w:rFonts w:eastAsia="Calibri"/>
        </w:rPr>
        <w:t>)</w:t>
      </w:r>
      <w:r w:rsidR="008108C0" w:rsidRPr="00D8548E">
        <w:rPr>
          <w:rFonts w:eastAsia="Calibri"/>
        </w:rPr>
        <w:t>.</w:t>
      </w:r>
      <w:r w:rsidR="008B5876" w:rsidRPr="00D8548E">
        <w:rPr>
          <w:rFonts w:eastAsia="Calibri"/>
        </w:rPr>
        <w:t xml:space="preserve"> </w:t>
      </w:r>
      <w:r w:rsidR="0051512E" w:rsidRPr="00D8548E">
        <w:rPr>
          <w:rFonts w:eastAsia="Calibri"/>
        </w:rPr>
        <w:t xml:space="preserve">The </w:t>
      </w:r>
      <w:r w:rsidR="00BD2ADC" w:rsidRPr="00BD2ADC">
        <w:rPr>
          <w:rFonts w:eastAsia="Calibri"/>
        </w:rPr>
        <w:t>Pre-Sub-Committee Response</w:t>
      </w:r>
      <w:r w:rsidR="00BD2ADC" w:rsidRPr="00BD2ADC" w:rsidDel="00BD2ADC">
        <w:rPr>
          <w:rFonts w:eastAsia="Calibri"/>
        </w:rPr>
        <w:t xml:space="preserve"> </w:t>
      </w:r>
      <w:r w:rsidR="0051512E" w:rsidRPr="00D8548E">
        <w:rPr>
          <w:rFonts w:eastAsia="Calibri"/>
        </w:rPr>
        <w:t>stated that the value of $</w:t>
      </w:r>
      <w:r w:rsidR="00E70DA3" w:rsidRPr="005362BD">
        <w:rPr>
          <w:rFonts w:eastAsia="Calibri"/>
          <w:color w:val="000000"/>
          <w:w w:val="15"/>
          <w:shd w:val="solid" w:color="000000" w:fill="000000"/>
          <w:fitText w:val="-20" w:id="-962883580"/>
          <w14:textFill>
            <w14:solidFill>
              <w14:srgbClr w14:val="000000">
                <w14:alpha w14:val="100000"/>
              </w14:srgbClr>
            </w14:solidFill>
          </w14:textFill>
        </w:rPr>
        <w:t xml:space="preserve">|  </w:t>
      </w:r>
      <w:r w:rsidR="00E70DA3" w:rsidRPr="005362BD">
        <w:rPr>
          <w:rFonts w:eastAsia="Calibri"/>
          <w:color w:val="000000"/>
          <w:spacing w:val="-69"/>
          <w:w w:val="15"/>
          <w:shd w:val="solid" w:color="000000" w:fill="000000"/>
          <w:fitText w:val="-20" w:id="-962883580"/>
          <w14:textFill>
            <w14:solidFill>
              <w14:srgbClr w14:val="000000">
                <w14:alpha w14:val="100000"/>
              </w14:srgbClr>
            </w14:solidFill>
          </w14:textFill>
        </w:rPr>
        <w:t>|</w:t>
      </w:r>
      <w:r w:rsidR="0051512E" w:rsidRPr="00D8548E">
        <w:rPr>
          <w:rFonts w:eastAsia="Calibri"/>
        </w:rPr>
        <w:t xml:space="preserve"> was an estimate only and clarified that the request was for a premium of the “same quantum” as that </w:t>
      </w:r>
      <w:r w:rsidR="008B5876" w:rsidRPr="00D8548E">
        <w:rPr>
          <w:rFonts w:eastAsia="Calibri"/>
        </w:rPr>
        <w:t xml:space="preserve">recommended by </w:t>
      </w:r>
      <w:r w:rsidR="006249F9" w:rsidRPr="00D8548E">
        <w:rPr>
          <w:rFonts w:eastAsia="Calibri"/>
        </w:rPr>
        <w:t xml:space="preserve">the </w:t>
      </w:r>
      <w:r w:rsidR="008B5876" w:rsidRPr="00D8548E">
        <w:rPr>
          <w:rFonts w:eastAsia="Calibri"/>
        </w:rPr>
        <w:t xml:space="preserve">PBAC for </w:t>
      </w:r>
      <w:r w:rsidRPr="00D8548E">
        <w:rPr>
          <w:rFonts w:eastAsia="Calibri"/>
        </w:rPr>
        <w:t>QIVc</w:t>
      </w:r>
      <w:r w:rsidR="008B5876" w:rsidRPr="00D8548E">
        <w:rPr>
          <w:rFonts w:eastAsia="Calibri"/>
        </w:rPr>
        <w:t xml:space="preserve"> over </w:t>
      </w:r>
      <w:r w:rsidRPr="00D8548E">
        <w:rPr>
          <w:rFonts w:eastAsia="Calibri"/>
        </w:rPr>
        <w:t>QIVe</w:t>
      </w:r>
      <w:r w:rsidR="00AF1325" w:rsidRPr="00D8548E">
        <w:rPr>
          <w:rFonts w:eastAsia="Calibri"/>
        </w:rPr>
        <w:t xml:space="preserve"> (in the &lt;65 years cohort). </w:t>
      </w:r>
    </w:p>
    <w:p w14:paraId="42A1409B" w14:textId="21730861" w:rsidR="008B5876" w:rsidRPr="008B5876" w:rsidRDefault="00B10538" w:rsidP="00DA34D5">
      <w:pPr>
        <w:pStyle w:val="3-BodyText"/>
        <w:rPr>
          <w:rFonts w:eastAsia="Calibri"/>
        </w:rPr>
      </w:pPr>
      <w:r>
        <w:rPr>
          <w:rFonts w:eastAsia="Calibri"/>
        </w:rPr>
        <w:t>The submission described this as a cost-consequence analysis.</w:t>
      </w:r>
    </w:p>
    <w:p w14:paraId="33175985" w14:textId="77777777" w:rsidR="00B10538" w:rsidRDefault="00B10538" w:rsidP="005B5DC7">
      <w:pPr>
        <w:pStyle w:val="3-BodyText"/>
        <w:rPr>
          <w:rFonts w:eastAsia="Calibri"/>
        </w:rPr>
      </w:pPr>
      <w:r w:rsidRPr="00B10538">
        <w:rPr>
          <w:rFonts w:eastAsia="Calibri"/>
        </w:rPr>
        <w:t xml:space="preserve">The </w:t>
      </w:r>
      <w:r>
        <w:rPr>
          <w:rFonts w:eastAsia="Calibri"/>
        </w:rPr>
        <w:t xml:space="preserve">submission estimated the equi-effective doses as: </w:t>
      </w:r>
    </w:p>
    <w:p w14:paraId="5FFE1099" w14:textId="721D8A28" w:rsidR="00B10538" w:rsidRDefault="005B5DC7" w:rsidP="00B10538">
      <w:pPr>
        <w:pStyle w:val="3-BodyText"/>
        <w:numPr>
          <w:ilvl w:val="0"/>
          <w:numId w:val="0"/>
        </w:numPr>
        <w:ind w:left="720" w:firstLine="720"/>
        <w:rPr>
          <w:rFonts w:eastAsia="Calibri"/>
        </w:rPr>
      </w:pPr>
      <w:r>
        <w:rPr>
          <w:rFonts w:eastAsia="Calibri"/>
        </w:rPr>
        <w:t>RIV4</w:t>
      </w:r>
      <w:r w:rsidR="00B10538" w:rsidRPr="00B10538">
        <w:rPr>
          <w:rFonts w:eastAsia="Calibri"/>
        </w:rPr>
        <w:t xml:space="preserve"> (1 x 0.5 mL) = </w:t>
      </w:r>
      <w:r>
        <w:rPr>
          <w:rFonts w:eastAsia="Calibri"/>
        </w:rPr>
        <w:t>aQIV</w:t>
      </w:r>
      <w:r w:rsidR="00B10538" w:rsidRPr="00B10538">
        <w:rPr>
          <w:rFonts w:eastAsia="Calibri"/>
        </w:rPr>
        <w:t xml:space="preserve"> (1 x 0.5 mL).  </w:t>
      </w:r>
    </w:p>
    <w:p w14:paraId="472842D7" w14:textId="239D5CE0" w:rsidR="00C25D9C" w:rsidRDefault="009A5ABC" w:rsidP="00BB732D">
      <w:pPr>
        <w:pStyle w:val="4-SubsectionHeading"/>
      </w:pPr>
      <w:bookmarkStart w:id="59" w:name="_Toc22897646"/>
      <w:bookmarkStart w:id="60" w:name="_Toc156912792"/>
      <w:r>
        <w:t>Vaccine</w:t>
      </w:r>
      <w:r w:rsidR="00C25D9C" w:rsidRPr="002C2775">
        <w:t xml:space="preserve"> cost/p</w:t>
      </w:r>
      <w:bookmarkEnd w:id="59"/>
      <w:r w:rsidR="00B71DE4">
        <w:t>erson</w:t>
      </w:r>
      <w:r w:rsidR="002B3C0C">
        <w:t>/</w:t>
      </w:r>
      <w:r w:rsidR="00E647AF">
        <w:t>year</w:t>
      </w:r>
      <w:bookmarkEnd w:id="60"/>
    </w:p>
    <w:p w14:paraId="395D1B51" w14:textId="584078CD" w:rsidR="005B5DC7" w:rsidRDefault="005B5DC7" w:rsidP="00DA34D5">
      <w:pPr>
        <w:pStyle w:val="3-BodyText"/>
      </w:pPr>
      <w:bookmarkStart w:id="61" w:name="_Hlk107307804"/>
      <w:r>
        <w:t>The dose and frequenc</w:t>
      </w:r>
      <w:r w:rsidR="00BA29F2">
        <w:t>y</w:t>
      </w:r>
      <w:r>
        <w:t xml:space="preserve"> of RIV4 and aQIV is one dose (intramuscular) once per year for individuals aged 65 years and over. </w:t>
      </w:r>
    </w:p>
    <w:p w14:paraId="7DAFEF89" w14:textId="60D76B71" w:rsidR="002B3C0C" w:rsidRPr="002B3C0C" w:rsidRDefault="00E647AF" w:rsidP="005B5DC7">
      <w:pPr>
        <w:pStyle w:val="Intextbulletpoints"/>
      </w:pPr>
      <w:r>
        <w:t xml:space="preserve">The proposed price </w:t>
      </w:r>
      <w:r w:rsidR="005B5DC7">
        <w:t xml:space="preserve">of RIV4 </w:t>
      </w:r>
      <w:r>
        <w:t xml:space="preserve">was </w:t>
      </w:r>
      <w:r w:rsidR="002B3C0C" w:rsidRPr="002B3C0C">
        <w:t>$</w:t>
      </w:r>
      <w:r w:rsidR="00E70DA3" w:rsidRPr="005362BD">
        <w:rPr>
          <w:w w:val="15"/>
          <w:shd w:val="solid" w:color="000000" w:fill="000000"/>
          <w:fitText w:val="-20" w:id="-962883579"/>
          <w14:textFill>
            <w14:solidFill>
              <w14:schemeClr w14:val="tx1">
                <w14:alpha w14:val="100000"/>
              </w14:schemeClr>
            </w14:solidFill>
          </w14:textFill>
        </w:rPr>
        <w:t xml:space="preserve">|  </w:t>
      </w:r>
      <w:r w:rsidR="00E70DA3" w:rsidRPr="005362BD">
        <w:rPr>
          <w:spacing w:val="-69"/>
          <w:w w:val="15"/>
          <w:shd w:val="solid" w:color="000000" w:fill="000000"/>
          <w:fitText w:val="-20" w:id="-962883579"/>
          <w14:textFill>
            <w14:solidFill>
              <w14:schemeClr w14:val="tx1">
                <w14:alpha w14:val="100000"/>
              </w14:schemeClr>
            </w14:solidFill>
          </w14:textFill>
        </w:rPr>
        <w:t>|</w:t>
      </w:r>
      <w:r w:rsidR="002B3C0C" w:rsidRPr="002B3C0C">
        <w:t xml:space="preserve"> per </w:t>
      </w:r>
      <w:r w:rsidR="005B5DC7">
        <w:t xml:space="preserve">individual per </w:t>
      </w:r>
      <w:r w:rsidR="002B3C0C" w:rsidRPr="002B3C0C">
        <w:t>year</w:t>
      </w:r>
      <w:r w:rsidR="00E72802">
        <w:t>, using the $</w:t>
      </w:r>
      <w:r w:rsidR="00E70DA3" w:rsidRPr="005362BD">
        <w:rPr>
          <w:w w:val="15"/>
          <w:shd w:val="solid" w:color="000000" w:fill="000000"/>
          <w:fitText w:val="-20" w:id="-962883578"/>
          <w14:textFill>
            <w14:solidFill>
              <w14:schemeClr w14:val="tx1">
                <w14:alpha w14:val="100000"/>
              </w14:schemeClr>
            </w14:solidFill>
          </w14:textFill>
        </w:rPr>
        <w:t xml:space="preserve">|  </w:t>
      </w:r>
      <w:r w:rsidR="00E70DA3" w:rsidRPr="005362BD">
        <w:rPr>
          <w:spacing w:val="-69"/>
          <w:w w:val="15"/>
          <w:shd w:val="solid" w:color="000000" w:fill="000000"/>
          <w:fitText w:val="-20" w:id="-962883578"/>
          <w14:textFill>
            <w14:solidFill>
              <w14:schemeClr w14:val="tx1">
                <w14:alpha w14:val="100000"/>
              </w14:schemeClr>
            </w14:solidFill>
          </w14:textFill>
        </w:rPr>
        <w:t>|</w:t>
      </w:r>
      <w:r w:rsidR="00E72802">
        <w:t xml:space="preserve"> premium </w:t>
      </w:r>
      <w:r w:rsidR="00EB10F0">
        <w:t>applied in the submission</w:t>
      </w:r>
      <w:r w:rsidR="005B5DC7">
        <w:t>.</w:t>
      </w:r>
      <w:r w:rsidR="002A47D6">
        <w:t xml:space="preserve"> </w:t>
      </w:r>
    </w:p>
    <w:p w14:paraId="3B75DB33" w14:textId="5DFB8089" w:rsidR="002B3C0C" w:rsidRPr="002B3C0C" w:rsidRDefault="005B5DC7" w:rsidP="005B5DC7">
      <w:pPr>
        <w:pStyle w:val="Intextbulletpoints"/>
      </w:pPr>
      <w:r>
        <w:t xml:space="preserve">The submission assumed that the price of aQIV is </w:t>
      </w:r>
      <w:r w:rsidR="002B3C0C" w:rsidRPr="002B3C0C">
        <w:t>$</w:t>
      </w:r>
      <w:r w:rsidR="00E70DA3" w:rsidRPr="005362BD">
        <w:rPr>
          <w:w w:val="15"/>
          <w:shd w:val="solid" w:color="000000" w:fill="000000"/>
          <w:fitText w:val="-20" w:id="-962883577"/>
          <w14:textFill>
            <w14:solidFill>
              <w14:schemeClr w14:val="tx1">
                <w14:alpha w14:val="100000"/>
              </w14:schemeClr>
            </w14:solidFill>
          </w14:textFill>
        </w:rPr>
        <w:t xml:space="preserve">|  </w:t>
      </w:r>
      <w:r w:rsidR="00E70DA3" w:rsidRPr="005362BD">
        <w:rPr>
          <w:spacing w:val="-69"/>
          <w:w w:val="15"/>
          <w:shd w:val="solid" w:color="000000" w:fill="000000"/>
          <w:fitText w:val="-20" w:id="-962883577"/>
          <w14:textFill>
            <w14:solidFill>
              <w14:schemeClr w14:val="tx1">
                <w14:alpha w14:val="100000"/>
              </w14:schemeClr>
            </w14:solidFill>
          </w14:textFill>
        </w:rPr>
        <w:t>|</w:t>
      </w:r>
      <w:r w:rsidR="002B3C0C" w:rsidRPr="002B3C0C">
        <w:t xml:space="preserve"> per </w:t>
      </w:r>
      <w:r w:rsidR="00BA29F2">
        <w:t xml:space="preserve">individual per </w:t>
      </w:r>
      <w:r w:rsidR="002B3C0C" w:rsidRPr="002B3C0C">
        <w:t>year</w:t>
      </w:r>
      <w:r>
        <w:t>.</w:t>
      </w:r>
    </w:p>
    <w:p w14:paraId="268768EF" w14:textId="0DDD1618" w:rsidR="00B60939" w:rsidRPr="00C9624D" w:rsidRDefault="00B60939" w:rsidP="002B05A1">
      <w:pPr>
        <w:pStyle w:val="4-SubsectionHeading"/>
      </w:pPr>
      <w:bookmarkStart w:id="62" w:name="_Toc22897647"/>
      <w:bookmarkStart w:id="63" w:name="_Toc156912793"/>
      <w:bookmarkEnd w:id="61"/>
      <w:r w:rsidRPr="00C9624D">
        <w:t xml:space="preserve">Estimated </w:t>
      </w:r>
      <w:r w:rsidR="00E647AF">
        <w:t>NIP</w:t>
      </w:r>
      <w:r w:rsidRPr="00C9624D">
        <w:t xml:space="preserve"> usage &amp; financial implications</w:t>
      </w:r>
      <w:bookmarkEnd w:id="62"/>
      <w:bookmarkEnd w:id="63"/>
    </w:p>
    <w:p w14:paraId="723B0609" w14:textId="30E7351E" w:rsidR="002B3C0C" w:rsidRDefault="00C25D9C" w:rsidP="00824B3F">
      <w:pPr>
        <w:pStyle w:val="3-BodyText"/>
      </w:pPr>
      <w:r>
        <w:t xml:space="preserve">This submission </w:t>
      </w:r>
      <w:r w:rsidR="007C710C">
        <w:t>was not</w:t>
      </w:r>
      <w:r w:rsidR="00D23D11">
        <w:t xml:space="preserve"> </w:t>
      </w:r>
      <w:r>
        <w:t>considered by DUSC</w:t>
      </w:r>
      <w:r w:rsidR="002B3C0C">
        <w:t>.</w:t>
      </w:r>
      <w:r w:rsidR="00E647AF">
        <w:t xml:space="preserve"> </w:t>
      </w:r>
      <w:r w:rsidR="002B3C0C">
        <w:t>The submission used a market share approach</w:t>
      </w:r>
      <w:r w:rsidR="00E647AF">
        <w:t xml:space="preserve">. </w:t>
      </w:r>
    </w:p>
    <w:p w14:paraId="053D1434" w14:textId="5F61D80F" w:rsidR="00BA29F2" w:rsidRDefault="00BA29F2" w:rsidP="00824B3F">
      <w:pPr>
        <w:pStyle w:val="3-BodyText"/>
      </w:pPr>
      <w:r>
        <w:t xml:space="preserve">The key inputs applied in the financial estimates are outlined in </w:t>
      </w:r>
      <w:r>
        <w:fldChar w:fldCharType="begin" w:fldLock="1"/>
      </w:r>
      <w:r>
        <w:instrText xml:space="preserve"> REF _Ref104805262 \h </w:instrText>
      </w:r>
      <w:r>
        <w:fldChar w:fldCharType="separate"/>
      </w:r>
      <w:r w:rsidR="00C364E6" w:rsidRPr="00D8548E">
        <w:t xml:space="preserve">Table </w:t>
      </w:r>
      <w:r w:rsidR="00C364E6">
        <w:rPr>
          <w:noProof/>
        </w:rPr>
        <w:t>11</w:t>
      </w:r>
      <w:r>
        <w:fldChar w:fldCharType="end"/>
      </w:r>
      <w:r>
        <w:t>.</w:t>
      </w:r>
    </w:p>
    <w:p w14:paraId="3393BCE7" w14:textId="414DB30F" w:rsidR="00E42F73" w:rsidRPr="00D8548E" w:rsidRDefault="00E16AD8" w:rsidP="00E16AD8">
      <w:pPr>
        <w:pStyle w:val="Caption"/>
        <w:rPr>
          <w:rStyle w:val="CommentReference"/>
          <w:b/>
          <w:szCs w:val="24"/>
        </w:rPr>
      </w:pPr>
      <w:bookmarkStart w:id="64" w:name="_Ref104805262"/>
      <w:r w:rsidRPr="00D8548E">
        <w:lastRenderedPageBreak/>
        <w:t xml:space="preserve">Table </w:t>
      </w:r>
      <w:r w:rsidR="005362BD">
        <w:fldChar w:fldCharType="begin" w:fldLock="1"/>
      </w:r>
      <w:r w:rsidR="005362BD">
        <w:instrText xml:space="preserve"> SEQ Table \* ARABIC </w:instrText>
      </w:r>
      <w:r w:rsidR="005362BD">
        <w:fldChar w:fldCharType="separate"/>
      </w:r>
      <w:r w:rsidR="00C364E6">
        <w:rPr>
          <w:noProof/>
        </w:rPr>
        <w:t>11</w:t>
      </w:r>
      <w:r w:rsidR="005362BD">
        <w:rPr>
          <w:noProof/>
        </w:rPr>
        <w:fldChar w:fldCharType="end"/>
      </w:r>
      <w:bookmarkEnd w:id="64"/>
      <w:r w:rsidRPr="00D8548E">
        <w:t>:</w:t>
      </w:r>
      <w:r w:rsidR="00E42F73" w:rsidRPr="00D8548E">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inputs for financial estimates"/>
      </w:tblPr>
      <w:tblGrid>
        <w:gridCol w:w="1413"/>
        <w:gridCol w:w="2976"/>
        <w:gridCol w:w="4628"/>
      </w:tblGrid>
      <w:tr w:rsidR="00E42F73" w:rsidRPr="00D8548E" w14:paraId="7AFD013A" w14:textId="77777777" w:rsidTr="00BA29F2">
        <w:trPr>
          <w:tblHeader/>
        </w:trPr>
        <w:tc>
          <w:tcPr>
            <w:tcW w:w="784" w:type="pct"/>
            <w:shd w:val="clear" w:color="auto" w:fill="auto"/>
            <w:vAlign w:val="center"/>
          </w:tcPr>
          <w:p w14:paraId="45C2C4CE" w14:textId="370E9AAB" w:rsidR="00E42F73" w:rsidRPr="00D8548E" w:rsidRDefault="004658B5" w:rsidP="007925DF">
            <w:pPr>
              <w:pStyle w:val="In-tableHeading"/>
            </w:pPr>
            <w:r w:rsidRPr="00D8548E">
              <w:t>Parameter</w:t>
            </w:r>
          </w:p>
        </w:tc>
        <w:tc>
          <w:tcPr>
            <w:tcW w:w="1650" w:type="pct"/>
            <w:shd w:val="clear" w:color="auto" w:fill="auto"/>
            <w:vAlign w:val="center"/>
          </w:tcPr>
          <w:p w14:paraId="5C04F956" w14:textId="559E8DB1" w:rsidR="00E42F73" w:rsidRPr="00D8548E" w:rsidRDefault="004658B5" w:rsidP="007925DF">
            <w:pPr>
              <w:pStyle w:val="In-tableHeading"/>
            </w:pPr>
            <w:r w:rsidRPr="00D8548E">
              <w:t>Value applied and source</w:t>
            </w:r>
          </w:p>
        </w:tc>
        <w:tc>
          <w:tcPr>
            <w:tcW w:w="2566" w:type="pct"/>
            <w:shd w:val="clear" w:color="auto" w:fill="auto"/>
            <w:vAlign w:val="center"/>
          </w:tcPr>
          <w:p w14:paraId="45DE44AA" w14:textId="4713F72E" w:rsidR="00E42F73" w:rsidRPr="00D8548E" w:rsidRDefault="004658B5" w:rsidP="007925DF">
            <w:pPr>
              <w:pStyle w:val="In-tableHeading"/>
            </w:pPr>
            <w:r w:rsidRPr="00D8548E">
              <w:t>Comment</w:t>
            </w:r>
          </w:p>
        </w:tc>
      </w:tr>
      <w:tr w:rsidR="00F515B9" w:rsidRPr="00D8548E" w14:paraId="50651FE0" w14:textId="77777777" w:rsidTr="00BA29F2">
        <w:tc>
          <w:tcPr>
            <w:tcW w:w="784" w:type="pct"/>
            <w:shd w:val="clear" w:color="auto" w:fill="auto"/>
            <w:vAlign w:val="center"/>
          </w:tcPr>
          <w:p w14:paraId="02DD7CC7" w14:textId="37ADC13E" w:rsidR="00F515B9" w:rsidRPr="00D8548E" w:rsidRDefault="00F515B9" w:rsidP="007925DF">
            <w:pPr>
              <w:pStyle w:val="TableText0"/>
              <w:rPr>
                <w:lang w:val="en-US"/>
              </w:rPr>
            </w:pPr>
            <w:r w:rsidRPr="00D8548E">
              <w:rPr>
                <w:lang w:val="en-US"/>
              </w:rPr>
              <w:t>Eligible population</w:t>
            </w:r>
          </w:p>
        </w:tc>
        <w:tc>
          <w:tcPr>
            <w:tcW w:w="1650" w:type="pct"/>
            <w:shd w:val="clear" w:color="auto" w:fill="auto"/>
            <w:vAlign w:val="center"/>
          </w:tcPr>
          <w:p w14:paraId="06087F0A" w14:textId="2FAD4C22" w:rsidR="00F515B9" w:rsidRPr="00D8548E" w:rsidRDefault="00F515B9" w:rsidP="007925DF">
            <w:pPr>
              <w:pStyle w:val="TableText0"/>
              <w:rPr>
                <w:lang w:val="en-US"/>
              </w:rPr>
            </w:pPr>
            <w:r w:rsidRPr="00D8548E">
              <w:rPr>
                <w:lang w:val="en-US"/>
              </w:rPr>
              <w:t>Based on ABS 3222.0</w:t>
            </w:r>
          </w:p>
        </w:tc>
        <w:tc>
          <w:tcPr>
            <w:tcW w:w="2566" w:type="pct"/>
            <w:shd w:val="clear" w:color="auto" w:fill="auto"/>
            <w:vAlign w:val="center"/>
          </w:tcPr>
          <w:p w14:paraId="0EFE6493" w14:textId="77777777" w:rsidR="00F515B9" w:rsidRPr="00D8548E" w:rsidRDefault="00F515B9" w:rsidP="007925DF">
            <w:pPr>
              <w:pStyle w:val="TableText0"/>
              <w:rPr>
                <w:lang w:val="en-US"/>
              </w:rPr>
            </w:pPr>
          </w:p>
        </w:tc>
      </w:tr>
      <w:tr w:rsidR="00E42F73" w:rsidRPr="00D8548E" w14:paraId="72C9FBDD" w14:textId="77777777" w:rsidTr="00BA29F2">
        <w:tc>
          <w:tcPr>
            <w:tcW w:w="784" w:type="pct"/>
            <w:shd w:val="clear" w:color="auto" w:fill="auto"/>
            <w:vAlign w:val="center"/>
          </w:tcPr>
          <w:p w14:paraId="2FBBDC67" w14:textId="509032D2" w:rsidR="00E42F73" w:rsidRPr="00D8548E" w:rsidRDefault="004A6F49" w:rsidP="007925DF">
            <w:pPr>
              <w:pStyle w:val="TableText0"/>
              <w:rPr>
                <w:lang w:val="en-US"/>
              </w:rPr>
            </w:pPr>
            <w:r w:rsidRPr="00D8548E">
              <w:t>Influenza vaccine coverage rate</w:t>
            </w:r>
            <w:r w:rsidR="00E647AF" w:rsidRPr="00D8548E">
              <w:t xml:space="preserve"> (‘uptake rate’)</w:t>
            </w:r>
          </w:p>
        </w:tc>
        <w:tc>
          <w:tcPr>
            <w:tcW w:w="1650" w:type="pct"/>
            <w:shd w:val="clear" w:color="auto" w:fill="auto"/>
            <w:vAlign w:val="center"/>
          </w:tcPr>
          <w:p w14:paraId="550316FC" w14:textId="7141D0D9" w:rsidR="00E42F73" w:rsidRPr="00D8548E" w:rsidRDefault="002B3C0C" w:rsidP="007925DF">
            <w:pPr>
              <w:pStyle w:val="TableText0"/>
              <w:rPr>
                <w:lang w:val="en-US"/>
              </w:rPr>
            </w:pPr>
            <w:r w:rsidRPr="00D8548E">
              <w:rPr>
                <w:lang w:val="en-US"/>
              </w:rPr>
              <w:t xml:space="preserve">63.1% </w:t>
            </w:r>
            <w:r w:rsidR="001525C3" w:rsidRPr="00D8548E">
              <w:rPr>
                <w:lang w:val="en-US"/>
              </w:rPr>
              <w:t>in each year</w:t>
            </w:r>
            <w:r w:rsidRPr="00D8548E">
              <w:rPr>
                <w:lang w:val="en-US"/>
              </w:rPr>
              <w:t xml:space="preserve">, based on </w:t>
            </w:r>
            <w:r w:rsidR="004A6F49" w:rsidRPr="00D8548E">
              <w:rPr>
                <w:lang w:val="en-US"/>
              </w:rPr>
              <w:t xml:space="preserve">‘almost complete’ </w:t>
            </w:r>
            <w:r w:rsidRPr="00D8548E">
              <w:rPr>
                <w:lang w:val="en-US"/>
              </w:rPr>
              <w:t xml:space="preserve">data </w:t>
            </w:r>
            <w:r w:rsidR="004A6F49" w:rsidRPr="00D8548E">
              <w:rPr>
                <w:lang w:val="en-US"/>
              </w:rPr>
              <w:t>for 2023 (1 March to 31 August 2023, inclusive)</w:t>
            </w:r>
            <w:r w:rsidR="00BA4F04" w:rsidRPr="00D8548E">
              <w:rPr>
                <w:vertAlign w:val="superscript"/>
                <w:lang w:val="en-US"/>
              </w:rPr>
              <w:t>a</w:t>
            </w:r>
            <w:r w:rsidR="00BA4F04" w:rsidRPr="00D8548E">
              <w:rPr>
                <w:lang w:val="en-US"/>
              </w:rPr>
              <w:t xml:space="preserve"> reported by the</w:t>
            </w:r>
            <w:r w:rsidRPr="00D8548E">
              <w:rPr>
                <w:lang w:val="en-US"/>
              </w:rPr>
              <w:t xml:space="preserve"> National Centre for Immunisation Research and Surveillance</w:t>
            </w:r>
            <w:r w:rsidR="00B56D95" w:rsidRPr="00D8548E">
              <w:rPr>
                <w:lang w:val="en-US"/>
              </w:rPr>
              <w:t xml:space="preserve"> (NCIRS)</w:t>
            </w:r>
            <w:r w:rsidR="004A6F49" w:rsidRPr="00D8548E">
              <w:rPr>
                <w:lang w:val="en-US"/>
              </w:rPr>
              <w:t>.</w:t>
            </w:r>
            <w:r w:rsidRPr="00D8548E">
              <w:rPr>
                <w:lang w:val="en-US"/>
              </w:rPr>
              <w:t xml:space="preserve"> </w:t>
            </w:r>
          </w:p>
        </w:tc>
        <w:tc>
          <w:tcPr>
            <w:tcW w:w="2566" w:type="pct"/>
            <w:shd w:val="clear" w:color="auto" w:fill="auto"/>
            <w:vAlign w:val="center"/>
          </w:tcPr>
          <w:p w14:paraId="1436CDAB" w14:textId="77777777" w:rsidR="00E42F73" w:rsidRPr="00D8548E" w:rsidRDefault="002B3C0C" w:rsidP="007925DF">
            <w:pPr>
              <w:pStyle w:val="TableText0"/>
              <w:rPr>
                <w:lang w:val="en-US"/>
              </w:rPr>
            </w:pPr>
            <w:r w:rsidRPr="00D8548E">
              <w:rPr>
                <w:lang w:val="en-US"/>
              </w:rPr>
              <w:t>The submission noted there has been annual variation in this rate during recent years</w:t>
            </w:r>
            <w:r w:rsidR="00E647AF" w:rsidRPr="00D8548E">
              <w:rPr>
                <w:lang w:val="en-US"/>
              </w:rPr>
              <w:t>.</w:t>
            </w:r>
          </w:p>
          <w:p w14:paraId="7295AAE5" w14:textId="2B8C80A9" w:rsidR="001525C3" w:rsidRPr="00D8548E" w:rsidRDefault="003A204F" w:rsidP="00AD1EB6">
            <w:pPr>
              <w:pStyle w:val="TableText0"/>
              <w:rPr>
                <w:lang w:val="en-US"/>
              </w:rPr>
            </w:pPr>
            <w:r w:rsidRPr="00D8548E">
              <w:rPr>
                <w:lang w:val="en-US"/>
              </w:rPr>
              <w:t xml:space="preserve">In its post-submission advice, ATAGI concluded that the data source was reasonable. The ATAGI also </w:t>
            </w:r>
            <w:r w:rsidR="00BA4F04" w:rsidRPr="00D8548E">
              <w:rPr>
                <w:lang w:val="en-US"/>
              </w:rPr>
              <w:t xml:space="preserve">stated </w:t>
            </w:r>
            <w:r w:rsidR="00B56D95" w:rsidRPr="00D8548E">
              <w:rPr>
                <w:lang w:val="en-US"/>
              </w:rPr>
              <w:t xml:space="preserve">that the NCIRS data “suggest that influenza vaccination rates continue to be depressed compared to estimates prior to the pandemic. It is unclear based on the currently available data whether lower vaccination rates will persist over time or gradually increase to pre-pandemic levels. In addition, government-funded pharmacist administration of NIP funded vaccines from 1 January 2024 may affect influenza vaccine uptake, however the extent of the impact is uncertain. </w:t>
            </w:r>
            <w:r w:rsidR="00BA4F04" w:rsidRPr="00D8548E">
              <w:rPr>
                <w:lang w:val="en-US"/>
              </w:rPr>
              <w:t>ATAGI considered the assumption of stable vaccination rates over the next 6 years (remaining at the 2023 rate) was uncertain, but may be reasonable in the absence of any other data.”</w:t>
            </w:r>
          </w:p>
        </w:tc>
      </w:tr>
      <w:tr w:rsidR="00A05C32" w:rsidRPr="00D8548E" w14:paraId="512A8938" w14:textId="77777777" w:rsidTr="00BA29F2">
        <w:tc>
          <w:tcPr>
            <w:tcW w:w="784" w:type="pct"/>
            <w:shd w:val="clear" w:color="auto" w:fill="auto"/>
            <w:vAlign w:val="center"/>
          </w:tcPr>
          <w:p w14:paraId="1F4C70A3" w14:textId="7B7E03F3" w:rsidR="00A05C32" w:rsidRPr="00D8548E" w:rsidRDefault="002B3C0C" w:rsidP="007925DF">
            <w:pPr>
              <w:pStyle w:val="TableText0"/>
              <w:rPr>
                <w:lang w:val="en-US"/>
              </w:rPr>
            </w:pPr>
            <w:r w:rsidRPr="00D8548E">
              <w:rPr>
                <w:lang w:val="en-US"/>
              </w:rPr>
              <w:t xml:space="preserve">Market share </w:t>
            </w:r>
          </w:p>
        </w:tc>
        <w:tc>
          <w:tcPr>
            <w:tcW w:w="1650" w:type="pct"/>
            <w:shd w:val="clear" w:color="auto" w:fill="auto"/>
            <w:vAlign w:val="center"/>
          </w:tcPr>
          <w:p w14:paraId="35302A2A" w14:textId="6E8E94A5" w:rsidR="00A05C32" w:rsidRPr="00D8548E" w:rsidRDefault="002B3C0C" w:rsidP="007925DF">
            <w:pPr>
              <w:pStyle w:val="TableText0"/>
              <w:rPr>
                <w:lang w:val="en-US"/>
              </w:rPr>
            </w:pPr>
            <w:r w:rsidRPr="00D8548E">
              <w:rPr>
                <w:lang w:val="en-US"/>
              </w:rPr>
              <w:t>50%</w:t>
            </w:r>
            <w:r w:rsidR="001525C3" w:rsidRPr="00D8548E">
              <w:rPr>
                <w:lang w:val="en-US"/>
              </w:rPr>
              <w:t xml:space="preserve"> in each year</w:t>
            </w:r>
            <w:r w:rsidR="00F515B9" w:rsidRPr="00D8548E">
              <w:rPr>
                <w:lang w:val="en-US"/>
              </w:rPr>
              <w:t>. Estimated.</w:t>
            </w:r>
          </w:p>
          <w:p w14:paraId="5289CDB1" w14:textId="23757C9C" w:rsidR="00F515B9" w:rsidRPr="00D8548E" w:rsidRDefault="00B56D95" w:rsidP="007925DF">
            <w:pPr>
              <w:pStyle w:val="TableText0"/>
              <w:rPr>
                <w:lang w:val="en-US"/>
              </w:rPr>
            </w:pPr>
            <w:r w:rsidRPr="00D8548E">
              <w:rPr>
                <w:lang w:val="en-US"/>
              </w:rPr>
              <w:t>aQIV</w:t>
            </w:r>
            <w:r w:rsidR="00F515B9" w:rsidRPr="00D8548E">
              <w:rPr>
                <w:lang w:val="en-US"/>
              </w:rPr>
              <w:t xml:space="preserve"> was assumed to have the remaining 50% of market share. </w:t>
            </w:r>
          </w:p>
        </w:tc>
        <w:tc>
          <w:tcPr>
            <w:tcW w:w="2566" w:type="pct"/>
            <w:shd w:val="clear" w:color="auto" w:fill="auto"/>
            <w:vAlign w:val="center"/>
          </w:tcPr>
          <w:p w14:paraId="20AD70A5" w14:textId="190CC77C" w:rsidR="00A05C32" w:rsidRPr="00D8548E" w:rsidRDefault="002B3C0C" w:rsidP="007925DF">
            <w:pPr>
              <w:pStyle w:val="TableText0"/>
              <w:rPr>
                <w:lang w:val="en-US"/>
              </w:rPr>
            </w:pPr>
            <w:r w:rsidRPr="00D8548E">
              <w:rPr>
                <w:lang w:val="en-US"/>
              </w:rPr>
              <w:t xml:space="preserve">The submission acknowledged a small number of </w:t>
            </w:r>
            <w:r w:rsidR="00B71DE4">
              <w:rPr>
                <w:lang w:val="en-US"/>
              </w:rPr>
              <w:t>individual</w:t>
            </w:r>
            <w:r w:rsidRPr="00D8548E">
              <w:rPr>
                <w:lang w:val="en-US"/>
              </w:rPr>
              <w:t xml:space="preserve">s would receive standard quadrivalent influenza vaccine due to availability issues.  </w:t>
            </w:r>
          </w:p>
          <w:p w14:paraId="0BA4ED26" w14:textId="5DEE1606" w:rsidR="001525C3" w:rsidRPr="00D8548E" w:rsidRDefault="00C45A49" w:rsidP="007925DF">
            <w:pPr>
              <w:pStyle w:val="TableText0"/>
              <w:rPr>
                <w:lang w:val="en-US"/>
              </w:rPr>
            </w:pPr>
            <w:r w:rsidRPr="00D8548E">
              <w:rPr>
                <w:lang w:val="en-US"/>
              </w:rPr>
              <w:t xml:space="preserve">The ATAGI post-submission advice stated </w:t>
            </w:r>
            <w:r w:rsidRPr="00D8548E">
              <w:t>the “assumption of a peak uptake of 50% may be reasonable… However, the assumption that RIV4 will achieve peak uptake in the first year of listing was not reasonable as it does not account for gradual uptake over time against a well-established comparator.”</w:t>
            </w:r>
            <w:r w:rsidR="00E70A38">
              <w:t xml:space="preserve"> </w:t>
            </w:r>
          </w:p>
        </w:tc>
      </w:tr>
      <w:tr w:rsidR="004658B5" w:rsidRPr="00D8548E" w14:paraId="7B7FA999" w14:textId="77777777" w:rsidTr="00C45A49">
        <w:trPr>
          <w:trHeight w:val="405"/>
        </w:trPr>
        <w:tc>
          <w:tcPr>
            <w:tcW w:w="784" w:type="pct"/>
            <w:shd w:val="clear" w:color="auto" w:fill="auto"/>
            <w:vAlign w:val="center"/>
          </w:tcPr>
          <w:p w14:paraId="2C67FF14" w14:textId="72781E16" w:rsidR="004658B5" w:rsidRPr="00D8548E" w:rsidRDefault="004658B5" w:rsidP="007925DF">
            <w:pPr>
              <w:pStyle w:val="TableText0"/>
              <w:rPr>
                <w:lang w:val="en-US"/>
              </w:rPr>
            </w:pPr>
            <w:r w:rsidRPr="00D8548E">
              <w:rPr>
                <w:lang w:val="en-US"/>
              </w:rPr>
              <w:t>MBS item</w:t>
            </w:r>
            <w:r w:rsidR="002B3C0C" w:rsidRPr="00D8548E">
              <w:rPr>
                <w:lang w:val="en-US"/>
              </w:rPr>
              <w:t>: Level A</w:t>
            </w:r>
          </w:p>
        </w:tc>
        <w:tc>
          <w:tcPr>
            <w:tcW w:w="1650" w:type="pct"/>
            <w:shd w:val="clear" w:color="auto" w:fill="auto"/>
            <w:vAlign w:val="center"/>
          </w:tcPr>
          <w:p w14:paraId="2CB17643" w14:textId="269A9EEC" w:rsidR="004658B5" w:rsidRPr="00D8548E" w:rsidRDefault="002B3C0C" w:rsidP="007925DF">
            <w:pPr>
              <w:pStyle w:val="TableText0"/>
              <w:rPr>
                <w:lang w:val="en-US"/>
              </w:rPr>
            </w:pPr>
            <w:r w:rsidRPr="00D8548E">
              <w:rPr>
                <w:lang w:val="en-US"/>
              </w:rPr>
              <w:t xml:space="preserve">Administration costs. Assumed to be the same for each vaccine. </w:t>
            </w:r>
          </w:p>
        </w:tc>
        <w:tc>
          <w:tcPr>
            <w:tcW w:w="2566" w:type="pct"/>
            <w:shd w:val="clear" w:color="auto" w:fill="auto"/>
            <w:vAlign w:val="center"/>
          </w:tcPr>
          <w:p w14:paraId="2F12B392" w14:textId="0118250B" w:rsidR="004658B5" w:rsidRPr="00D8548E" w:rsidRDefault="006964F9" w:rsidP="007925DF">
            <w:pPr>
              <w:pStyle w:val="TableText0"/>
              <w:rPr>
                <w:lang w:val="en-US"/>
              </w:rPr>
            </w:pPr>
            <w:r w:rsidRPr="00D8548E">
              <w:rPr>
                <w:lang w:val="en-US"/>
              </w:rPr>
              <w:t>No net impact on the MBS as the number of vaccinations was assumed to be unchanged.</w:t>
            </w:r>
          </w:p>
        </w:tc>
      </w:tr>
    </w:tbl>
    <w:p w14:paraId="18D32C76" w14:textId="1794A0FE" w:rsidR="00E42F73" w:rsidRPr="00D8548E" w:rsidRDefault="00E42F73" w:rsidP="007925DF">
      <w:pPr>
        <w:pStyle w:val="FooterTableFigure"/>
      </w:pPr>
      <w:r w:rsidRPr="00D8548E">
        <w:t>Source: Table</w:t>
      </w:r>
      <w:r w:rsidR="00F515B9" w:rsidRPr="00D8548E">
        <w:t xml:space="preserve"> 4.1, p 55 o</w:t>
      </w:r>
      <w:r w:rsidRPr="00D8548E">
        <w:t>f the submission.</w:t>
      </w:r>
    </w:p>
    <w:p w14:paraId="3BF0F608" w14:textId="02AADBBB" w:rsidR="004A6F49" w:rsidRPr="00D8548E" w:rsidRDefault="004A6F49" w:rsidP="007925DF">
      <w:pPr>
        <w:pStyle w:val="FooterTableFigure"/>
      </w:pPr>
      <w:r w:rsidRPr="00D8548E">
        <w:rPr>
          <w:vertAlign w:val="superscript"/>
        </w:rPr>
        <w:t>a</w:t>
      </w:r>
      <w:r w:rsidRPr="00D8548E">
        <w:t xml:space="preserve"> </w:t>
      </w:r>
      <w:r w:rsidR="00BA4F04" w:rsidRPr="00D8548E">
        <w:t>Australian Immunisation Register</w:t>
      </w:r>
      <w:r w:rsidRPr="00D8548E">
        <w:t xml:space="preserve"> data as at 03 Sep 2023.</w:t>
      </w:r>
    </w:p>
    <w:p w14:paraId="26FB6670" w14:textId="78ED2F03" w:rsidR="00B505C8" w:rsidRPr="00D8548E" w:rsidRDefault="006964F9" w:rsidP="00DA34D5">
      <w:pPr>
        <w:pStyle w:val="3-BodyText"/>
      </w:pPr>
      <w:r w:rsidRPr="00D8548E">
        <w:t>The estimated use and financial implications of listing RIV4 on the NIP</w:t>
      </w:r>
      <w:r w:rsidR="00E70A38">
        <w:t>, as provided in the submission,</w:t>
      </w:r>
      <w:r w:rsidRPr="00D8548E">
        <w:t xml:space="preserve"> are outlined in </w:t>
      </w:r>
      <w:r w:rsidR="00E16AD8" w:rsidRPr="00D8548E">
        <w:fldChar w:fldCharType="begin" w:fldLock="1"/>
      </w:r>
      <w:r w:rsidR="00E16AD8" w:rsidRPr="00D8548E">
        <w:instrText xml:space="preserve"> REF _Ref104805295 \h  \* MERGEFORMAT </w:instrText>
      </w:r>
      <w:r w:rsidR="00E16AD8" w:rsidRPr="00D8548E">
        <w:fldChar w:fldCharType="separate"/>
      </w:r>
      <w:r w:rsidR="00C364E6" w:rsidRPr="00D8548E">
        <w:t xml:space="preserve">Table </w:t>
      </w:r>
      <w:r w:rsidR="00C364E6">
        <w:t>12</w:t>
      </w:r>
      <w:r w:rsidR="00E16AD8" w:rsidRPr="00D8548E">
        <w:fldChar w:fldCharType="end"/>
      </w:r>
      <w:r w:rsidR="00D912AB" w:rsidRPr="00D8548E">
        <w:t>.</w:t>
      </w:r>
    </w:p>
    <w:p w14:paraId="38EC053C" w14:textId="3105E60F" w:rsidR="00C25D9C" w:rsidRPr="00D8548E" w:rsidRDefault="00E16AD8" w:rsidP="000540A4">
      <w:pPr>
        <w:pStyle w:val="Caption"/>
      </w:pPr>
      <w:bookmarkStart w:id="65" w:name="_Ref104805295"/>
      <w:r w:rsidRPr="00D8548E">
        <w:lastRenderedPageBreak/>
        <w:t xml:space="preserve">Table </w:t>
      </w:r>
      <w:r w:rsidR="005362BD">
        <w:fldChar w:fldCharType="begin" w:fldLock="1"/>
      </w:r>
      <w:r w:rsidR="005362BD">
        <w:instrText xml:space="preserve"> SEQ Table \* ARABIC </w:instrText>
      </w:r>
      <w:r w:rsidR="005362BD">
        <w:fldChar w:fldCharType="separate"/>
      </w:r>
      <w:r w:rsidR="00C364E6">
        <w:rPr>
          <w:noProof/>
        </w:rPr>
        <w:t>12</w:t>
      </w:r>
      <w:r w:rsidR="005362BD">
        <w:rPr>
          <w:noProof/>
        </w:rPr>
        <w:fldChar w:fldCharType="end"/>
      </w:r>
      <w:bookmarkEnd w:id="65"/>
      <w:r w:rsidRPr="00D8548E">
        <w:t>:</w:t>
      </w:r>
      <w:r w:rsidR="002A2F50" w:rsidRPr="00D8548E">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Estimated use and financial implications"/>
      </w:tblPr>
      <w:tblGrid>
        <w:gridCol w:w="2405"/>
        <w:gridCol w:w="1102"/>
        <w:gridCol w:w="1102"/>
        <w:gridCol w:w="1102"/>
        <w:gridCol w:w="1102"/>
        <w:gridCol w:w="1102"/>
        <w:gridCol w:w="1102"/>
      </w:tblGrid>
      <w:tr w:rsidR="00385A9D" w:rsidRPr="00D8548E" w14:paraId="43A2A3A1" w14:textId="77777777" w:rsidTr="008A3158">
        <w:trPr>
          <w:tblHeader/>
        </w:trPr>
        <w:tc>
          <w:tcPr>
            <w:tcW w:w="1334" w:type="pct"/>
            <w:shd w:val="clear" w:color="auto" w:fill="auto"/>
            <w:vAlign w:val="center"/>
          </w:tcPr>
          <w:p w14:paraId="0A4E41E1" w14:textId="77777777" w:rsidR="00385A9D" w:rsidRPr="00D8548E" w:rsidRDefault="00385A9D" w:rsidP="000540A4">
            <w:pPr>
              <w:pStyle w:val="In-tableHeading"/>
              <w:jc w:val="center"/>
            </w:pPr>
          </w:p>
        </w:tc>
        <w:tc>
          <w:tcPr>
            <w:tcW w:w="611" w:type="pct"/>
            <w:shd w:val="clear" w:color="auto" w:fill="auto"/>
            <w:vAlign w:val="center"/>
          </w:tcPr>
          <w:p w14:paraId="77420B6F" w14:textId="77777777" w:rsidR="00385A9D" w:rsidRPr="00D8548E" w:rsidRDefault="00385A9D" w:rsidP="000540A4">
            <w:pPr>
              <w:pStyle w:val="In-tableHeading"/>
              <w:jc w:val="center"/>
            </w:pPr>
            <w:r w:rsidRPr="00D8548E">
              <w:t>Year 1</w:t>
            </w:r>
          </w:p>
        </w:tc>
        <w:tc>
          <w:tcPr>
            <w:tcW w:w="611" w:type="pct"/>
            <w:shd w:val="clear" w:color="auto" w:fill="auto"/>
            <w:vAlign w:val="center"/>
          </w:tcPr>
          <w:p w14:paraId="3BBD9218" w14:textId="77777777" w:rsidR="00385A9D" w:rsidRPr="00D8548E" w:rsidRDefault="00385A9D" w:rsidP="000540A4">
            <w:pPr>
              <w:pStyle w:val="In-tableHeading"/>
              <w:jc w:val="center"/>
            </w:pPr>
            <w:r w:rsidRPr="00D8548E">
              <w:t>Year 2</w:t>
            </w:r>
          </w:p>
        </w:tc>
        <w:tc>
          <w:tcPr>
            <w:tcW w:w="611" w:type="pct"/>
            <w:shd w:val="clear" w:color="auto" w:fill="auto"/>
            <w:vAlign w:val="center"/>
          </w:tcPr>
          <w:p w14:paraId="729A646E" w14:textId="77777777" w:rsidR="00385A9D" w:rsidRPr="00D8548E" w:rsidRDefault="00385A9D" w:rsidP="000540A4">
            <w:pPr>
              <w:pStyle w:val="In-tableHeading"/>
              <w:jc w:val="center"/>
            </w:pPr>
            <w:r w:rsidRPr="00D8548E">
              <w:t>Year 3</w:t>
            </w:r>
          </w:p>
        </w:tc>
        <w:tc>
          <w:tcPr>
            <w:tcW w:w="611" w:type="pct"/>
            <w:shd w:val="clear" w:color="auto" w:fill="auto"/>
            <w:vAlign w:val="center"/>
          </w:tcPr>
          <w:p w14:paraId="280BB544" w14:textId="77777777" w:rsidR="00385A9D" w:rsidRPr="00D8548E" w:rsidRDefault="00385A9D" w:rsidP="000540A4">
            <w:pPr>
              <w:pStyle w:val="In-tableHeading"/>
              <w:jc w:val="center"/>
            </w:pPr>
            <w:r w:rsidRPr="00D8548E">
              <w:t>Year 4</w:t>
            </w:r>
          </w:p>
        </w:tc>
        <w:tc>
          <w:tcPr>
            <w:tcW w:w="611" w:type="pct"/>
            <w:shd w:val="clear" w:color="auto" w:fill="auto"/>
            <w:vAlign w:val="center"/>
          </w:tcPr>
          <w:p w14:paraId="6435BB5B" w14:textId="77777777" w:rsidR="00385A9D" w:rsidRPr="00D8548E" w:rsidRDefault="00385A9D" w:rsidP="000540A4">
            <w:pPr>
              <w:pStyle w:val="In-tableHeading"/>
              <w:jc w:val="center"/>
            </w:pPr>
            <w:r w:rsidRPr="00D8548E">
              <w:t>Year 5</w:t>
            </w:r>
          </w:p>
        </w:tc>
        <w:tc>
          <w:tcPr>
            <w:tcW w:w="611" w:type="pct"/>
          </w:tcPr>
          <w:p w14:paraId="7C618119" w14:textId="77777777" w:rsidR="00385A9D" w:rsidRPr="00D8548E" w:rsidRDefault="00385A9D" w:rsidP="000540A4">
            <w:pPr>
              <w:pStyle w:val="In-tableHeading"/>
              <w:jc w:val="center"/>
            </w:pPr>
            <w:r w:rsidRPr="00D8548E">
              <w:t>Year 6</w:t>
            </w:r>
          </w:p>
        </w:tc>
      </w:tr>
      <w:tr w:rsidR="00385A9D" w:rsidRPr="00D8548E" w14:paraId="3C519059" w14:textId="77777777" w:rsidTr="009C3A3A">
        <w:tc>
          <w:tcPr>
            <w:tcW w:w="5000" w:type="pct"/>
            <w:gridSpan w:val="7"/>
            <w:shd w:val="clear" w:color="auto" w:fill="auto"/>
            <w:vAlign w:val="center"/>
          </w:tcPr>
          <w:p w14:paraId="516C2197" w14:textId="77777777" w:rsidR="00385A9D" w:rsidRPr="00D8548E" w:rsidRDefault="00385A9D" w:rsidP="000540A4">
            <w:pPr>
              <w:pStyle w:val="In-tableHeading"/>
              <w:rPr>
                <w:bCs/>
                <w:color w:val="000000"/>
              </w:rPr>
            </w:pPr>
            <w:r w:rsidRPr="00D8548E">
              <w:rPr>
                <w:bCs/>
                <w:color w:val="000000"/>
              </w:rPr>
              <w:t>Estimated extent of use</w:t>
            </w:r>
          </w:p>
        </w:tc>
      </w:tr>
      <w:tr w:rsidR="00F515B9" w:rsidRPr="00D8548E" w14:paraId="148A8EEF" w14:textId="77777777" w:rsidTr="00276093">
        <w:tc>
          <w:tcPr>
            <w:tcW w:w="1334" w:type="pct"/>
            <w:shd w:val="clear" w:color="auto" w:fill="auto"/>
          </w:tcPr>
          <w:p w14:paraId="201B6ECA" w14:textId="5555B442" w:rsidR="00F515B9" w:rsidRPr="00D8548E" w:rsidRDefault="004A6F49" w:rsidP="000540A4">
            <w:pPr>
              <w:pStyle w:val="TableText0"/>
              <w:rPr>
                <w:rFonts w:ascii="Times" w:hAnsi="Times"/>
              </w:rPr>
            </w:pPr>
            <w:r w:rsidRPr="00D8548E">
              <w:t>Number of people e</w:t>
            </w:r>
            <w:r w:rsidR="00F515B9" w:rsidRPr="00D8548E">
              <w:t>ligible</w:t>
            </w:r>
          </w:p>
        </w:tc>
        <w:tc>
          <w:tcPr>
            <w:tcW w:w="611" w:type="pct"/>
            <w:shd w:val="clear" w:color="auto" w:fill="auto"/>
          </w:tcPr>
          <w:p w14:paraId="577607A9" w14:textId="37853335"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7" w:id="-962883576"/>
                <w14:textFill>
                  <w14:solidFill>
                    <w14:srgbClr w14:val="000000">
                      <w14:alpha w14:val="100000"/>
                    </w14:srgbClr>
                  </w14:solidFill>
                </w14:textFill>
              </w:rPr>
              <w:t xml:space="preserve">　</w:t>
            </w:r>
            <w:r w:rsidRPr="00E70DA3">
              <w:rPr>
                <w:color w:val="000000"/>
                <w:w w:val="15"/>
                <w:shd w:val="solid" w:color="000000" w:fill="000000"/>
                <w:fitText w:val="37" w:id="-962883576"/>
                <w14:textFill>
                  <w14:solidFill>
                    <w14:srgbClr w14:val="000000">
                      <w14:alpha w14:val="100000"/>
                    </w14:srgbClr>
                  </w14:solidFill>
                </w14:textFill>
              </w:rPr>
              <w:t>|</w:t>
            </w:r>
            <w:r w:rsidRPr="00E70DA3">
              <w:rPr>
                <w:rFonts w:hint="eastAsia"/>
                <w:color w:val="000000"/>
                <w:spacing w:val="-28"/>
                <w:w w:val="15"/>
                <w:shd w:val="solid" w:color="000000" w:fill="000000"/>
                <w:fitText w:val="37" w:id="-962883576"/>
                <w14:textFill>
                  <w14:solidFill>
                    <w14:srgbClr w14:val="000000">
                      <w14:alpha w14:val="100000"/>
                    </w14:srgbClr>
                  </w14:solidFill>
                </w14:textFill>
              </w:rPr>
              <w:t xml:space="preserve">　</w:t>
            </w:r>
            <w:r w:rsidR="00B56083" w:rsidRPr="00B56083">
              <w:rPr>
                <w:vertAlign w:val="superscript"/>
              </w:rPr>
              <w:t>1</w:t>
            </w:r>
          </w:p>
        </w:tc>
        <w:tc>
          <w:tcPr>
            <w:tcW w:w="611" w:type="pct"/>
            <w:shd w:val="clear" w:color="auto" w:fill="auto"/>
          </w:tcPr>
          <w:p w14:paraId="6610B4C9" w14:textId="28EE75A6"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8" w:id="-962883575"/>
                <w14:textFill>
                  <w14:solidFill>
                    <w14:srgbClr w14:val="000000">
                      <w14:alpha w14:val="100000"/>
                    </w14:srgbClr>
                  </w14:solidFill>
                </w14:textFill>
              </w:rPr>
              <w:t xml:space="preserve">　</w:t>
            </w:r>
            <w:r w:rsidRPr="00E70DA3">
              <w:rPr>
                <w:color w:val="000000"/>
                <w:w w:val="15"/>
                <w:shd w:val="solid" w:color="000000" w:fill="000000"/>
                <w:fitText w:val="38" w:id="-962883575"/>
                <w14:textFill>
                  <w14:solidFill>
                    <w14:srgbClr w14:val="000000">
                      <w14:alpha w14:val="100000"/>
                    </w14:srgbClr>
                  </w14:solidFill>
                </w14:textFill>
              </w:rPr>
              <w:t>|</w:t>
            </w:r>
            <w:r w:rsidRPr="00E70DA3">
              <w:rPr>
                <w:rFonts w:hint="eastAsia"/>
                <w:color w:val="000000"/>
                <w:spacing w:val="-27"/>
                <w:w w:val="15"/>
                <w:shd w:val="solid" w:color="000000" w:fill="000000"/>
                <w:fitText w:val="38" w:id="-962883575"/>
                <w14:textFill>
                  <w14:solidFill>
                    <w14:srgbClr w14:val="000000">
                      <w14:alpha w14:val="100000"/>
                    </w14:srgbClr>
                  </w14:solidFill>
                </w14:textFill>
              </w:rPr>
              <w:t xml:space="preserve">　</w:t>
            </w:r>
            <w:r w:rsidR="00B56083" w:rsidRPr="00B56083">
              <w:rPr>
                <w:vertAlign w:val="superscript"/>
              </w:rPr>
              <w:t>1</w:t>
            </w:r>
          </w:p>
        </w:tc>
        <w:tc>
          <w:tcPr>
            <w:tcW w:w="611" w:type="pct"/>
            <w:shd w:val="clear" w:color="auto" w:fill="auto"/>
          </w:tcPr>
          <w:p w14:paraId="29F46D6B" w14:textId="574B3270"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7" w:id="-962883574"/>
                <w14:textFill>
                  <w14:solidFill>
                    <w14:srgbClr w14:val="000000">
                      <w14:alpha w14:val="100000"/>
                    </w14:srgbClr>
                  </w14:solidFill>
                </w14:textFill>
              </w:rPr>
              <w:t xml:space="preserve">　</w:t>
            </w:r>
            <w:r w:rsidRPr="00E70DA3">
              <w:rPr>
                <w:color w:val="000000"/>
                <w:w w:val="15"/>
                <w:shd w:val="solid" w:color="000000" w:fill="000000"/>
                <w:fitText w:val="37" w:id="-962883574"/>
                <w14:textFill>
                  <w14:solidFill>
                    <w14:srgbClr w14:val="000000">
                      <w14:alpha w14:val="100000"/>
                    </w14:srgbClr>
                  </w14:solidFill>
                </w14:textFill>
              </w:rPr>
              <w:t>|</w:t>
            </w:r>
            <w:r w:rsidRPr="00E70DA3">
              <w:rPr>
                <w:rFonts w:hint="eastAsia"/>
                <w:color w:val="000000"/>
                <w:spacing w:val="-28"/>
                <w:w w:val="15"/>
                <w:shd w:val="solid" w:color="000000" w:fill="000000"/>
                <w:fitText w:val="37" w:id="-962883574"/>
                <w14:textFill>
                  <w14:solidFill>
                    <w14:srgbClr w14:val="000000">
                      <w14:alpha w14:val="100000"/>
                    </w14:srgbClr>
                  </w14:solidFill>
                </w14:textFill>
              </w:rPr>
              <w:t xml:space="preserve">　</w:t>
            </w:r>
            <w:r w:rsidR="00B56083" w:rsidRPr="00B56083">
              <w:rPr>
                <w:vertAlign w:val="superscript"/>
              </w:rPr>
              <w:t>1</w:t>
            </w:r>
          </w:p>
        </w:tc>
        <w:tc>
          <w:tcPr>
            <w:tcW w:w="611" w:type="pct"/>
            <w:shd w:val="clear" w:color="auto" w:fill="auto"/>
          </w:tcPr>
          <w:p w14:paraId="21167904" w14:textId="0C2DFBEA"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7" w:id="-962883573"/>
                <w14:textFill>
                  <w14:solidFill>
                    <w14:srgbClr w14:val="000000">
                      <w14:alpha w14:val="100000"/>
                    </w14:srgbClr>
                  </w14:solidFill>
                </w14:textFill>
              </w:rPr>
              <w:t xml:space="preserve">　</w:t>
            </w:r>
            <w:r w:rsidRPr="00E70DA3">
              <w:rPr>
                <w:color w:val="000000"/>
                <w:w w:val="15"/>
                <w:shd w:val="solid" w:color="000000" w:fill="000000"/>
                <w:fitText w:val="37" w:id="-962883573"/>
                <w14:textFill>
                  <w14:solidFill>
                    <w14:srgbClr w14:val="000000">
                      <w14:alpha w14:val="100000"/>
                    </w14:srgbClr>
                  </w14:solidFill>
                </w14:textFill>
              </w:rPr>
              <w:t>|</w:t>
            </w:r>
            <w:r w:rsidRPr="00E70DA3">
              <w:rPr>
                <w:rFonts w:hint="eastAsia"/>
                <w:color w:val="000000"/>
                <w:spacing w:val="-28"/>
                <w:w w:val="15"/>
                <w:shd w:val="solid" w:color="000000" w:fill="000000"/>
                <w:fitText w:val="37" w:id="-962883573"/>
                <w14:textFill>
                  <w14:solidFill>
                    <w14:srgbClr w14:val="000000">
                      <w14:alpha w14:val="100000"/>
                    </w14:srgbClr>
                  </w14:solidFill>
                </w14:textFill>
              </w:rPr>
              <w:t xml:space="preserve">　</w:t>
            </w:r>
            <w:r w:rsidR="00B56083" w:rsidRPr="00B56083">
              <w:rPr>
                <w:vertAlign w:val="superscript"/>
              </w:rPr>
              <w:t>1</w:t>
            </w:r>
          </w:p>
        </w:tc>
        <w:tc>
          <w:tcPr>
            <w:tcW w:w="611" w:type="pct"/>
            <w:shd w:val="clear" w:color="auto" w:fill="auto"/>
          </w:tcPr>
          <w:p w14:paraId="762D4B71" w14:textId="0C1BD945"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8" w:id="-962883572"/>
                <w14:textFill>
                  <w14:solidFill>
                    <w14:srgbClr w14:val="000000">
                      <w14:alpha w14:val="100000"/>
                    </w14:srgbClr>
                  </w14:solidFill>
                </w14:textFill>
              </w:rPr>
              <w:t xml:space="preserve">　</w:t>
            </w:r>
            <w:r w:rsidRPr="00E70DA3">
              <w:rPr>
                <w:color w:val="000000"/>
                <w:w w:val="15"/>
                <w:shd w:val="solid" w:color="000000" w:fill="000000"/>
                <w:fitText w:val="38" w:id="-962883572"/>
                <w14:textFill>
                  <w14:solidFill>
                    <w14:srgbClr w14:val="000000">
                      <w14:alpha w14:val="100000"/>
                    </w14:srgbClr>
                  </w14:solidFill>
                </w14:textFill>
              </w:rPr>
              <w:t>|</w:t>
            </w:r>
            <w:r w:rsidRPr="00E70DA3">
              <w:rPr>
                <w:rFonts w:hint="eastAsia"/>
                <w:color w:val="000000"/>
                <w:spacing w:val="-27"/>
                <w:w w:val="15"/>
                <w:shd w:val="solid" w:color="000000" w:fill="000000"/>
                <w:fitText w:val="38" w:id="-962883572"/>
                <w14:textFill>
                  <w14:solidFill>
                    <w14:srgbClr w14:val="000000">
                      <w14:alpha w14:val="100000"/>
                    </w14:srgbClr>
                  </w14:solidFill>
                </w14:textFill>
              </w:rPr>
              <w:t xml:space="preserve">　</w:t>
            </w:r>
            <w:r w:rsidR="00B56083" w:rsidRPr="00B56083">
              <w:rPr>
                <w:vertAlign w:val="superscript"/>
              </w:rPr>
              <w:t>1</w:t>
            </w:r>
          </w:p>
        </w:tc>
        <w:tc>
          <w:tcPr>
            <w:tcW w:w="611" w:type="pct"/>
          </w:tcPr>
          <w:p w14:paraId="42B428B5" w14:textId="26E44177"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7" w:id="-962883571"/>
                <w14:textFill>
                  <w14:solidFill>
                    <w14:srgbClr w14:val="000000">
                      <w14:alpha w14:val="100000"/>
                    </w14:srgbClr>
                  </w14:solidFill>
                </w14:textFill>
              </w:rPr>
              <w:t xml:space="preserve">　</w:t>
            </w:r>
            <w:r w:rsidRPr="00E70DA3">
              <w:rPr>
                <w:color w:val="000000"/>
                <w:w w:val="15"/>
                <w:shd w:val="solid" w:color="000000" w:fill="000000"/>
                <w:fitText w:val="37" w:id="-962883571"/>
                <w14:textFill>
                  <w14:solidFill>
                    <w14:srgbClr w14:val="000000">
                      <w14:alpha w14:val="100000"/>
                    </w14:srgbClr>
                  </w14:solidFill>
                </w14:textFill>
              </w:rPr>
              <w:t>|</w:t>
            </w:r>
            <w:r w:rsidRPr="00E70DA3">
              <w:rPr>
                <w:rFonts w:hint="eastAsia"/>
                <w:color w:val="000000"/>
                <w:spacing w:val="-28"/>
                <w:w w:val="15"/>
                <w:shd w:val="solid" w:color="000000" w:fill="000000"/>
                <w:fitText w:val="37" w:id="-962883571"/>
                <w14:textFill>
                  <w14:solidFill>
                    <w14:srgbClr w14:val="000000">
                      <w14:alpha w14:val="100000"/>
                    </w14:srgbClr>
                  </w14:solidFill>
                </w14:textFill>
              </w:rPr>
              <w:t xml:space="preserve">　</w:t>
            </w:r>
            <w:r w:rsidR="00B56083" w:rsidRPr="00B56083">
              <w:rPr>
                <w:vertAlign w:val="superscript"/>
              </w:rPr>
              <w:t>1</w:t>
            </w:r>
          </w:p>
        </w:tc>
      </w:tr>
      <w:tr w:rsidR="00F515B9" w:rsidRPr="00D8548E" w14:paraId="1CEE4D09" w14:textId="77777777" w:rsidTr="00276093">
        <w:tc>
          <w:tcPr>
            <w:tcW w:w="1334" w:type="pct"/>
            <w:shd w:val="clear" w:color="auto" w:fill="auto"/>
          </w:tcPr>
          <w:p w14:paraId="229A1EDF" w14:textId="7BAD4A3F" w:rsidR="00F515B9" w:rsidRPr="00D8548E" w:rsidRDefault="004A6F49" w:rsidP="000540A4">
            <w:pPr>
              <w:pStyle w:val="TableText0"/>
              <w:rPr>
                <w:rFonts w:ascii="Times" w:hAnsi="Times"/>
              </w:rPr>
            </w:pPr>
            <w:r w:rsidRPr="00D8548E">
              <w:t>Influenza vaccine coverage rate</w:t>
            </w:r>
          </w:p>
        </w:tc>
        <w:tc>
          <w:tcPr>
            <w:tcW w:w="611" w:type="pct"/>
            <w:shd w:val="clear" w:color="auto" w:fill="auto"/>
          </w:tcPr>
          <w:p w14:paraId="0D9F25C2" w14:textId="27B8A8F5" w:rsidR="00F515B9" w:rsidRPr="00B56083" w:rsidRDefault="00F515B9" w:rsidP="000540A4">
            <w:pPr>
              <w:pStyle w:val="TableText0"/>
              <w:jc w:val="center"/>
              <w:rPr>
                <w:color w:val="000000"/>
              </w:rPr>
            </w:pPr>
            <w:r w:rsidRPr="00B56083">
              <w:t>63.1%</w:t>
            </w:r>
          </w:p>
        </w:tc>
        <w:tc>
          <w:tcPr>
            <w:tcW w:w="611" w:type="pct"/>
            <w:shd w:val="clear" w:color="auto" w:fill="auto"/>
          </w:tcPr>
          <w:p w14:paraId="2D7847AA" w14:textId="723685BC" w:rsidR="00F515B9" w:rsidRPr="00B56083" w:rsidRDefault="00F515B9" w:rsidP="000540A4">
            <w:pPr>
              <w:pStyle w:val="TableText0"/>
              <w:jc w:val="center"/>
              <w:rPr>
                <w:color w:val="000000"/>
              </w:rPr>
            </w:pPr>
            <w:r w:rsidRPr="00B56083">
              <w:t>63.1%</w:t>
            </w:r>
          </w:p>
        </w:tc>
        <w:tc>
          <w:tcPr>
            <w:tcW w:w="611" w:type="pct"/>
            <w:shd w:val="clear" w:color="auto" w:fill="auto"/>
          </w:tcPr>
          <w:p w14:paraId="7A620378" w14:textId="30B5691F" w:rsidR="00F515B9" w:rsidRPr="00B56083" w:rsidRDefault="00F515B9" w:rsidP="000540A4">
            <w:pPr>
              <w:pStyle w:val="TableText0"/>
              <w:jc w:val="center"/>
              <w:rPr>
                <w:color w:val="000000"/>
              </w:rPr>
            </w:pPr>
            <w:r w:rsidRPr="00B56083">
              <w:t>63.1%</w:t>
            </w:r>
          </w:p>
        </w:tc>
        <w:tc>
          <w:tcPr>
            <w:tcW w:w="611" w:type="pct"/>
            <w:shd w:val="clear" w:color="auto" w:fill="auto"/>
          </w:tcPr>
          <w:p w14:paraId="1D2C1413" w14:textId="3A8E8C6D" w:rsidR="00F515B9" w:rsidRPr="00B56083" w:rsidRDefault="00F515B9" w:rsidP="000540A4">
            <w:pPr>
              <w:pStyle w:val="TableText0"/>
              <w:jc w:val="center"/>
              <w:rPr>
                <w:color w:val="000000"/>
              </w:rPr>
            </w:pPr>
            <w:r w:rsidRPr="00B56083">
              <w:t>63.1%</w:t>
            </w:r>
          </w:p>
        </w:tc>
        <w:tc>
          <w:tcPr>
            <w:tcW w:w="611" w:type="pct"/>
            <w:shd w:val="clear" w:color="auto" w:fill="auto"/>
          </w:tcPr>
          <w:p w14:paraId="3F0ACB95" w14:textId="09ADF3FD" w:rsidR="00F515B9" w:rsidRPr="00B56083" w:rsidRDefault="00F515B9" w:rsidP="000540A4">
            <w:pPr>
              <w:pStyle w:val="TableText0"/>
              <w:jc w:val="center"/>
              <w:rPr>
                <w:color w:val="000000"/>
              </w:rPr>
            </w:pPr>
            <w:r w:rsidRPr="00B56083">
              <w:t>63.1%</w:t>
            </w:r>
          </w:p>
        </w:tc>
        <w:tc>
          <w:tcPr>
            <w:tcW w:w="611" w:type="pct"/>
          </w:tcPr>
          <w:p w14:paraId="1C30F331" w14:textId="7175E1D6" w:rsidR="00F515B9" w:rsidRPr="00B56083" w:rsidRDefault="00F515B9" w:rsidP="000540A4">
            <w:pPr>
              <w:pStyle w:val="TableText0"/>
              <w:jc w:val="center"/>
              <w:rPr>
                <w:color w:val="000000"/>
              </w:rPr>
            </w:pPr>
            <w:r w:rsidRPr="00B56083">
              <w:t>63.1%</w:t>
            </w:r>
          </w:p>
        </w:tc>
      </w:tr>
      <w:tr w:rsidR="00F515B9" w:rsidRPr="00D8548E" w14:paraId="54FD5A81" w14:textId="77777777" w:rsidTr="00276093">
        <w:tc>
          <w:tcPr>
            <w:tcW w:w="1334" w:type="pct"/>
            <w:shd w:val="clear" w:color="auto" w:fill="auto"/>
          </w:tcPr>
          <w:p w14:paraId="6E85BFFF" w14:textId="2EB609CD" w:rsidR="00F515B9" w:rsidRPr="00D8548E" w:rsidRDefault="004A6F49" w:rsidP="000540A4">
            <w:pPr>
              <w:pStyle w:val="TableText0"/>
            </w:pPr>
            <w:r w:rsidRPr="00D8548E">
              <w:t>Number of people v</w:t>
            </w:r>
            <w:r w:rsidR="00F515B9" w:rsidRPr="00D8548E">
              <w:t>accinated</w:t>
            </w:r>
          </w:p>
        </w:tc>
        <w:tc>
          <w:tcPr>
            <w:tcW w:w="611" w:type="pct"/>
            <w:shd w:val="clear" w:color="auto" w:fill="auto"/>
          </w:tcPr>
          <w:p w14:paraId="1C2385B0" w14:textId="23046ABB"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7" w:id="-962883570"/>
                <w14:textFill>
                  <w14:solidFill>
                    <w14:srgbClr w14:val="000000">
                      <w14:alpha w14:val="100000"/>
                    </w14:srgbClr>
                  </w14:solidFill>
                </w14:textFill>
              </w:rPr>
              <w:t xml:space="preserve">　</w:t>
            </w:r>
            <w:r w:rsidRPr="00E70DA3">
              <w:rPr>
                <w:color w:val="000000"/>
                <w:w w:val="15"/>
                <w:shd w:val="solid" w:color="000000" w:fill="000000"/>
                <w:fitText w:val="37" w:id="-962883570"/>
                <w14:textFill>
                  <w14:solidFill>
                    <w14:srgbClr w14:val="000000">
                      <w14:alpha w14:val="100000"/>
                    </w14:srgbClr>
                  </w14:solidFill>
                </w14:textFill>
              </w:rPr>
              <w:t>|</w:t>
            </w:r>
            <w:r w:rsidRPr="00E70DA3">
              <w:rPr>
                <w:rFonts w:hint="eastAsia"/>
                <w:color w:val="000000"/>
                <w:spacing w:val="-28"/>
                <w:w w:val="15"/>
                <w:shd w:val="solid" w:color="000000" w:fill="000000"/>
                <w:fitText w:val="37" w:id="-962883570"/>
                <w14:textFill>
                  <w14:solidFill>
                    <w14:srgbClr w14:val="000000">
                      <w14:alpha w14:val="100000"/>
                    </w14:srgbClr>
                  </w14:solidFill>
                </w14:textFill>
              </w:rPr>
              <w:t xml:space="preserve">　</w:t>
            </w:r>
            <w:r w:rsidR="00B56083" w:rsidRPr="00B56083">
              <w:rPr>
                <w:vertAlign w:val="superscript"/>
              </w:rPr>
              <w:t>2</w:t>
            </w:r>
          </w:p>
        </w:tc>
        <w:tc>
          <w:tcPr>
            <w:tcW w:w="611" w:type="pct"/>
            <w:shd w:val="clear" w:color="auto" w:fill="auto"/>
          </w:tcPr>
          <w:p w14:paraId="19CC61B8" w14:textId="121E68C7"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8" w:id="-962883569"/>
                <w14:textFill>
                  <w14:solidFill>
                    <w14:srgbClr w14:val="000000">
                      <w14:alpha w14:val="100000"/>
                    </w14:srgbClr>
                  </w14:solidFill>
                </w14:textFill>
              </w:rPr>
              <w:t xml:space="preserve">　</w:t>
            </w:r>
            <w:r w:rsidRPr="00E70DA3">
              <w:rPr>
                <w:color w:val="000000"/>
                <w:w w:val="15"/>
                <w:shd w:val="solid" w:color="000000" w:fill="000000"/>
                <w:fitText w:val="38" w:id="-962883569"/>
                <w14:textFill>
                  <w14:solidFill>
                    <w14:srgbClr w14:val="000000">
                      <w14:alpha w14:val="100000"/>
                    </w14:srgbClr>
                  </w14:solidFill>
                </w14:textFill>
              </w:rPr>
              <w:t>|</w:t>
            </w:r>
            <w:r w:rsidRPr="00E70DA3">
              <w:rPr>
                <w:rFonts w:hint="eastAsia"/>
                <w:color w:val="000000"/>
                <w:spacing w:val="-27"/>
                <w:w w:val="15"/>
                <w:shd w:val="solid" w:color="000000" w:fill="000000"/>
                <w:fitText w:val="38" w:id="-962883569"/>
                <w14:textFill>
                  <w14:solidFill>
                    <w14:srgbClr w14:val="000000">
                      <w14:alpha w14:val="100000"/>
                    </w14:srgbClr>
                  </w14:solidFill>
                </w14:textFill>
              </w:rPr>
              <w:t xml:space="preserve">　</w:t>
            </w:r>
            <w:r w:rsidR="00B56083" w:rsidRPr="00B56083">
              <w:rPr>
                <w:vertAlign w:val="superscript"/>
              </w:rPr>
              <w:t>2</w:t>
            </w:r>
          </w:p>
        </w:tc>
        <w:tc>
          <w:tcPr>
            <w:tcW w:w="611" w:type="pct"/>
            <w:shd w:val="clear" w:color="auto" w:fill="auto"/>
          </w:tcPr>
          <w:p w14:paraId="50CD8CD6" w14:textId="15AF4C7A"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7" w:id="-962883568"/>
                <w14:textFill>
                  <w14:solidFill>
                    <w14:srgbClr w14:val="000000">
                      <w14:alpha w14:val="100000"/>
                    </w14:srgbClr>
                  </w14:solidFill>
                </w14:textFill>
              </w:rPr>
              <w:t xml:space="preserve">　</w:t>
            </w:r>
            <w:r w:rsidRPr="00E70DA3">
              <w:rPr>
                <w:color w:val="000000"/>
                <w:w w:val="15"/>
                <w:shd w:val="solid" w:color="000000" w:fill="000000"/>
                <w:fitText w:val="37" w:id="-962883568"/>
                <w14:textFill>
                  <w14:solidFill>
                    <w14:srgbClr w14:val="000000">
                      <w14:alpha w14:val="100000"/>
                    </w14:srgbClr>
                  </w14:solidFill>
                </w14:textFill>
              </w:rPr>
              <w:t>|</w:t>
            </w:r>
            <w:r w:rsidRPr="00E70DA3">
              <w:rPr>
                <w:rFonts w:hint="eastAsia"/>
                <w:color w:val="000000"/>
                <w:spacing w:val="-28"/>
                <w:w w:val="15"/>
                <w:shd w:val="solid" w:color="000000" w:fill="000000"/>
                <w:fitText w:val="37" w:id="-962883568"/>
                <w14:textFill>
                  <w14:solidFill>
                    <w14:srgbClr w14:val="000000">
                      <w14:alpha w14:val="100000"/>
                    </w14:srgbClr>
                  </w14:solidFill>
                </w14:textFill>
              </w:rPr>
              <w:t xml:space="preserve">　</w:t>
            </w:r>
            <w:r w:rsidR="00B56083" w:rsidRPr="00B56083">
              <w:rPr>
                <w:vertAlign w:val="superscript"/>
              </w:rPr>
              <w:t>2</w:t>
            </w:r>
          </w:p>
        </w:tc>
        <w:tc>
          <w:tcPr>
            <w:tcW w:w="611" w:type="pct"/>
            <w:shd w:val="clear" w:color="auto" w:fill="auto"/>
          </w:tcPr>
          <w:p w14:paraId="78A0C209" w14:textId="5166F779"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7" w:id="-962883584"/>
                <w14:textFill>
                  <w14:solidFill>
                    <w14:srgbClr w14:val="000000">
                      <w14:alpha w14:val="100000"/>
                    </w14:srgbClr>
                  </w14:solidFill>
                </w14:textFill>
              </w:rPr>
              <w:t xml:space="preserve">　</w:t>
            </w:r>
            <w:r w:rsidRPr="00E70DA3">
              <w:rPr>
                <w:color w:val="000000"/>
                <w:w w:val="15"/>
                <w:shd w:val="solid" w:color="000000" w:fill="000000"/>
                <w:fitText w:val="37" w:id="-962883584"/>
                <w14:textFill>
                  <w14:solidFill>
                    <w14:srgbClr w14:val="000000">
                      <w14:alpha w14:val="100000"/>
                    </w14:srgbClr>
                  </w14:solidFill>
                </w14:textFill>
              </w:rPr>
              <w:t>|</w:t>
            </w:r>
            <w:r w:rsidRPr="00E70DA3">
              <w:rPr>
                <w:rFonts w:hint="eastAsia"/>
                <w:color w:val="000000"/>
                <w:spacing w:val="-28"/>
                <w:w w:val="15"/>
                <w:shd w:val="solid" w:color="000000" w:fill="000000"/>
                <w:fitText w:val="37" w:id="-962883584"/>
                <w14:textFill>
                  <w14:solidFill>
                    <w14:srgbClr w14:val="000000">
                      <w14:alpha w14:val="100000"/>
                    </w14:srgbClr>
                  </w14:solidFill>
                </w14:textFill>
              </w:rPr>
              <w:t xml:space="preserve">　</w:t>
            </w:r>
            <w:r w:rsidR="00B56083" w:rsidRPr="00B56083">
              <w:rPr>
                <w:vertAlign w:val="superscript"/>
              </w:rPr>
              <w:t>2</w:t>
            </w:r>
          </w:p>
        </w:tc>
        <w:tc>
          <w:tcPr>
            <w:tcW w:w="611" w:type="pct"/>
            <w:shd w:val="clear" w:color="auto" w:fill="auto"/>
          </w:tcPr>
          <w:p w14:paraId="4A40BA5F" w14:textId="0FA20D57"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8" w:id="-962883583"/>
                <w14:textFill>
                  <w14:solidFill>
                    <w14:srgbClr w14:val="000000">
                      <w14:alpha w14:val="100000"/>
                    </w14:srgbClr>
                  </w14:solidFill>
                </w14:textFill>
              </w:rPr>
              <w:t xml:space="preserve">　</w:t>
            </w:r>
            <w:r w:rsidRPr="00E70DA3">
              <w:rPr>
                <w:color w:val="000000"/>
                <w:w w:val="15"/>
                <w:shd w:val="solid" w:color="000000" w:fill="000000"/>
                <w:fitText w:val="38" w:id="-962883583"/>
                <w14:textFill>
                  <w14:solidFill>
                    <w14:srgbClr w14:val="000000">
                      <w14:alpha w14:val="100000"/>
                    </w14:srgbClr>
                  </w14:solidFill>
                </w14:textFill>
              </w:rPr>
              <w:t>|</w:t>
            </w:r>
            <w:r w:rsidRPr="00E70DA3">
              <w:rPr>
                <w:rFonts w:hint="eastAsia"/>
                <w:color w:val="000000"/>
                <w:spacing w:val="-27"/>
                <w:w w:val="15"/>
                <w:shd w:val="solid" w:color="000000" w:fill="000000"/>
                <w:fitText w:val="38" w:id="-962883583"/>
                <w14:textFill>
                  <w14:solidFill>
                    <w14:srgbClr w14:val="000000">
                      <w14:alpha w14:val="100000"/>
                    </w14:srgbClr>
                  </w14:solidFill>
                </w14:textFill>
              </w:rPr>
              <w:t xml:space="preserve">　</w:t>
            </w:r>
            <w:r w:rsidR="00B56083" w:rsidRPr="00B56083">
              <w:rPr>
                <w:vertAlign w:val="superscript"/>
              </w:rPr>
              <w:t>2</w:t>
            </w:r>
          </w:p>
        </w:tc>
        <w:tc>
          <w:tcPr>
            <w:tcW w:w="611" w:type="pct"/>
          </w:tcPr>
          <w:p w14:paraId="303AA5F4" w14:textId="26949E4B" w:rsidR="00F515B9" w:rsidRPr="00B56083" w:rsidRDefault="00E70DA3" w:rsidP="000540A4">
            <w:pPr>
              <w:pStyle w:val="TableText0"/>
              <w:jc w:val="center"/>
              <w:rPr>
                <w:color w:val="000000"/>
                <w:highlight w:val="lightGray"/>
              </w:rPr>
            </w:pPr>
            <w:r w:rsidRPr="00E70DA3">
              <w:rPr>
                <w:rFonts w:hint="eastAsia"/>
                <w:color w:val="000000"/>
                <w:w w:val="15"/>
                <w:shd w:val="solid" w:color="000000" w:fill="000000"/>
                <w:fitText w:val="37" w:id="-962883582"/>
                <w14:textFill>
                  <w14:solidFill>
                    <w14:srgbClr w14:val="000000">
                      <w14:alpha w14:val="100000"/>
                    </w14:srgbClr>
                  </w14:solidFill>
                </w14:textFill>
              </w:rPr>
              <w:t xml:space="preserve">　</w:t>
            </w:r>
            <w:r w:rsidRPr="00E70DA3">
              <w:rPr>
                <w:color w:val="000000"/>
                <w:w w:val="15"/>
                <w:shd w:val="solid" w:color="000000" w:fill="000000"/>
                <w:fitText w:val="37" w:id="-962883582"/>
                <w14:textFill>
                  <w14:solidFill>
                    <w14:srgbClr w14:val="000000">
                      <w14:alpha w14:val="100000"/>
                    </w14:srgbClr>
                  </w14:solidFill>
                </w14:textFill>
              </w:rPr>
              <w:t>|</w:t>
            </w:r>
            <w:r w:rsidRPr="00E70DA3">
              <w:rPr>
                <w:rFonts w:hint="eastAsia"/>
                <w:color w:val="000000"/>
                <w:spacing w:val="-28"/>
                <w:w w:val="15"/>
                <w:shd w:val="solid" w:color="000000" w:fill="000000"/>
                <w:fitText w:val="37" w:id="-962883582"/>
                <w14:textFill>
                  <w14:solidFill>
                    <w14:srgbClr w14:val="000000">
                      <w14:alpha w14:val="100000"/>
                    </w14:srgbClr>
                  </w14:solidFill>
                </w14:textFill>
              </w:rPr>
              <w:t xml:space="preserve">　</w:t>
            </w:r>
            <w:r w:rsidR="00B56083" w:rsidRPr="00B56083">
              <w:rPr>
                <w:vertAlign w:val="superscript"/>
              </w:rPr>
              <w:t>2</w:t>
            </w:r>
          </w:p>
        </w:tc>
      </w:tr>
      <w:tr w:rsidR="00F515B9" w:rsidRPr="00D8548E" w14:paraId="3395F06C" w14:textId="77777777" w:rsidTr="00276093">
        <w:tc>
          <w:tcPr>
            <w:tcW w:w="1334" w:type="pct"/>
            <w:shd w:val="clear" w:color="auto" w:fill="auto"/>
          </w:tcPr>
          <w:p w14:paraId="581EC869" w14:textId="63413DEE" w:rsidR="00F515B9" w:rsidRPr="00D8548E" w:rsidRDefault="00F515B9" w:rsidP="000540A4">
            <w:pPr>
              <w:pStyle w:val="TableText0"/>
            </w:pPr>
            <w:r w:rsidRPr="00D8548E">
              <w:t xml:space="preserve">Market share </w:t>
            </w:r>
            <w:r w:rsidR="004A6F49" w:rsidRPr="00D8548E">
              <w:t>o</w:t>
            </w:r>
            <w:r w:rsidR="00A645D2" w:rsidRPr="00D8548E">
              <w:t>f</w:t>
            </w:r>
            <w:r w:rsidR="004A6F49" w:rsidRPr="00D8548E">
              <w:t xml:space="preserve"> RIV4</w:t>
            </w:r>
          </w:p>
        </w:tc>
        <w:tc>
          <w:tcPr>
            <w:tcW w:w="611" w:type="pct"/>
            <w:shd w:val="clear" w:color="auto" w:fill="auto"/>
          </w:tcPr>
          <w:p w14:paraId="2FFB4ADF" w14:textId="298EC3C9" w:rsidR="00F515B9" w:rsidRPr="00D8548E" w:rsidRDefault="00F515B9" w:rsidP="000540A4">
            <w:pPr>
              <w:pStyle w:val="TableText0"/>
              <w:jc w:val="center"/>
            </w:pPr>
            <w:r w:rsidRPr="00D8548E">
              <w:t>50%</w:t>
            </w:r>
          </w:p>
        </w:tc>
        <w:tc>
          <w:tcPr>
            <w:tcW w:w="611" w:type="pct"/>
            <w:shd w:val="clear" w:color="auto" w:fill="auto"/>
          </w:tcPr>
          <w:p w14:paraId="567427F9" w14:textId="64F9C032" w:rsidR="00F515B9" w:rsidRPr="00D8548E" w:rsidRDefault="00F515B9" w:rsidP="000540A4">
            <w:pPr>
              <w:pStyle w:val="TableText0"/>
              <w:jc w:val="center"/>
            </w:pPr>
            <w:r w:rsidRPr="00D8548E">
              <w:t>50%</w:t>
            </w:r>
          </w:p>
        </w:tc>
        <w:tc>
          <w:tcPr>
            <w:tcW w:w="611" w:type="pct"/>
            <w:shd w:val="clear" w:color="auto" w:fill="auto"/>
          </w:tcPr>
          <w:p w14:paraId="412E68ED" w14:textId="5C4F379F" w:rsidR="00F515B9" w:rsidRPr="00D8548E" w:rsidRDefault="00F515B9" w:rsidP="000540A4">
            <w:pPr>
              <w:pStyle w:val="TableText0"/>
              <w:jc w:val="center"/>
            </w:pPr>
            <w:r w:rsidRPr="00D8548E">
              <w:t>50%</w:t>
            </w:r>
          </w:p>
        </w:tc>
        <w:tc>
          <w:tcPr>
            <w:tcW w:w="611" w:type="pct"/>
            <w:shd w:val="clear" w:color="auto" w:fill="auto"/>
          </w:tcPr>
          <w:p w14:paraId="2C7C3466" w14:textId="6615B975" w:rsidR="00F515B9" w:rsidRPr="00D8548E" w:rsidRDefault="00F515B9" w:rsidP="000540A4">
            <w:pPr>
              <w:pStyle w:val="TableText0"/>
              <w:jc w:val="center"/>
            </w:pPr>
            <w:r w:rsidRPr="00D8548E">
              <w:t>50%</w:t>
            </w:r>
          </w:p>
        </w:tc>
        <w:tc>
          <w:tcPr>
            <w:tcW w:w="611" w:type="pct"/>
            <w:shd w:val="clear" w:color="auto" w:fill="auto"/>
          </w:tcPr>
          <w:p w14:paraId="33F300E7" w14:textId="6A78B084" w:rsidR="00F515B9" w:rsidRPr="00D8548E" w:rsidRDefault="00F515B9" w:rsidP="000540A4">
            <w:pPr>
              <w:pStyle w:val="TableText0"/>
              <w:jc w:val="center"/>
            </w:pPr>
            <w:r w:rsidRPr="00D8548E">
              <w:t>50%</w:t>
            </w:r>
          </w:p>
        </w:tc>
        <w:tc>
          <w:tcPr>
            <w:tcW w:w="611" w:type="pct"/>
          </w:tcPr>
          <w:p w14:paraId="0C765B36" w14:textId="3318B130" w:rsidR="00F515B9" w:rsidRPr="00D8548E" w:rsidRDefault="00F515B9" w:rsidP="000540A4">
            <w:pPr>
              <w:pStyle w:val="TableText0"/>
              <w:jc w:val="center"/>
            </w:pPr>
            <w:r w:rsidRPr="00D8548E">
              <w:t>50%</w:t>
            </w:r>
          </w:p>
        </w:tc>
      </w:tr>
      <w:tr w:rsidR="00A645D2" w:rsidRPr="00D8548E" w14:paraId="195264E2" w14:textId="77777777" w:rsidTr="00276093">
        <w:tc>
          <w:tcPr>
            <w:tcW w:w="1334" w:type="pct"/>
            <w:shd w:val="clear" w:color="auto" w:fill="auto"/>
          </w:tcPr>
          <w:p w14:paraId="18C16946" w14:textId="693D3955" w:rsidR="00A645D2" w:rsidRPr="00D8548E" w:rsidRDefault="00A645D2" w:rsidP="000540A4">
            <w:pPr>
              <w:pStyle w:val="TableText0"/>
            </w:pPr>
            <w:r w:rsidRPr="00D8548E">
              <w:t>Number of doses of RIV4</w:t>
            </w:r>
          </w:p>
        </w:tc>
        <w:tc>
          <w:tcPr>
            <w:tcW w:w="611" w:type="pct"/>
            <w:shd w:val="clear" w:color="auto" w:fill="auto"/>
          </w:tcPr>
          <w:p w14:paraId="4EF069B0" w14:textId="791422CF" w:rsidR="00A645D2" w:rsidRPr="00B56083" w:rsidRDefault="00E70DA3" w:rsidP="000540A4">
            <w:pPr>
              <w:pStyle w:val="TableText0"/>
              <w:jc w:val="center"/>
              <w:rPr>
                <w:highlight w:val="lightGray"/>
              </w:rPr>
            </w:pPr>
            <w:r w:rsidRPr="00E70DA3">
              <w:rPr>
                <w:rFonts w:hint="eastAsia"/>
                <w:color w:val="000000"/>
                <w:w w:val="15"/>
                <w:shd w:val="solid" w:color="000000" w:fill="000000"/>
                <w:fitText w:val="37" w:id="-962883581"/>
                <w14:textFill>
                  <w14:solidFill>
                    <w14:srgbClr w14:val="000000">
                      <w14:alpha w14:val="100000"/>
                    </w14:srgbClr>
                  </w14:solidFill>
                </w14:textFill>
              </w:rPr>
              <w:t xml:space="preserve">　</w:t>
            </w:r>
            <w:r w:rsidRPr="00E70DA3">
              <w:rPr>
                <w:color w:val="000000"/>
                <w:w w:val="15"/>
                <w:shd w:val="solid" w:color="000000" w:fill="000000"/>
                <w:fitText w:val="37" w:id="-962883581"/>
                <w14:textFill>
                  <w14:solidFill>
                    <w14:srgbClr w14:val="000000">
                      <w14:alpha w14:val="100000"/>
                    </w14:srgbClr>
                  </w14:solidFill>
                </w14:textFill>
              </w:rPr>
              <w:t>|</w:t>
            </w:r>
            <w:r w:rsidRPr="00E70DA3">
              <w:rPr>
                <w:rFonts w:hint="eastAsia"/>
                <w:color w:val="000000"/>
                <w:spacing w:val="-28"/>
                <w:w w:val="15"/>
                <w:shd w:val="solid" w:color="000000" w:fill="000000"/>
                <w:fitText w:val="37" w:id="-962883581"/>
                <w14:textFill>
                  <w14:solidFill>
                    <w14:srgbClr w14:val="000000">
                      <w14:alpha w14:val="100000"/>
                    </w14:srgbClr>
                  </w14:solidFill>
                </w14:textFill>
              </w:rPr>
              <w:t xml:space="preserve">　</w:t>
            </w:r>
            <w:r w:rsidR="00B56083" w:rsidRPr="00B56083">
              <w:rPr>
                <w:vertAlign w:val="superscript"/>
              </w:rPr>
              <w:t>3</w:t>
            </w:r>
          </w:p>
        </w:tc>
        <w:tc>
          <w:tcPr>
            <w:tcW w:w="611" w:type="pct"/>
            <w:shd w:val="clear" w:color="auto" w:fill="auto"/>
          </w:tcPr>
          <w:p w14:paraId="781354CF" w14:textId="133FB2A1" w:rsidR="00A645D2" w:rsidRPr="00B56083" w:rsidRDefault="00E70DA3" w:rsidP="000540A4">
            <w:pPr>
              <w:pStyle w:val="TableText0"/>
              <w:jc w:val="center"/>
              <w:rPr>
                <w:highlight w:val="lightGray"/>
              </w:rPr>
            </w:pPr>
            <w:r w:rsidRPr="00E70DA3">
              <w:rPr>
                <w:rFonts w:hint="eastAsia"/>
                <w:color w:val="000000"/>
                <w:w w:val="15"/>
                <w:shd w:val="solid" w:color="000000" w:fill="000000"/>
                <w:fitText w:val="38" w:id="-962883580"/>
                <w14:textFill>
                  <w14:solidFill>
                    <w14:srgbClr w14:val="000000">
                      <w14:alpha w14:val="100000"/>
                    </w14:srgbClr>
                  </w14:solidFill>
                </w14:textFill>
              </w:rPr>
              <w:t xml:space="preserve">　</w:t>
            </w:r>
            <w:r w:rsidRPr="00E70DA3">
              <w:rPr>
                <w:color w:val="000000"/>
                <w:w w:val="15"/>
                <w:shd w:val="solid" w:color="000000" w:fill="000000"/>
                <w:fitText w:val="38" w:id="-962883580"/>
                <w14:textFill>
                  <w14:solidFill>
                    <w14:srgbClr w14:val="000000">
                      <w14:alpha w14:val="100000"/>
                    </w14:srgbClr>
                  </w14:solidFill>
                </w14:textFill>
              </w:rPr>
              <w:t>|</w:t>
            </w:r>
            <w:r w:rsidRPr="00E70DA3">
              <w:rPr>
                <w:rFonts w:hint="eastAsia"/>
                <w:color w:val="000000"/>
                <w:spacing w:val="-27"/>
                <w:w w:val="15"/>
                <w:shd w:val="solid" w:color="000000" w:fill="000000"/>
                <w:fitText w:val="38" w:id="-962883580"/>
                <w14:textFill>
                  <w14:solidFill>
                    <w14:srgbClr w14:val="000000">
                      <w14:alpha w14:val="100000"/>
                    </w14:srgbClr>
                  </w14:solidFill>
                </w14:textFill>
              </w:rPr>
              <w:t xml:space="preserve">　</w:t>
            </w:r>
            <w:r w:rsidR="00B56083" w:rsidRPr="00B56083">
              <w:rPr>
                <w:vertAlign w:val="superscript"/>
              </w:rPr>
              <w:t>3</w:t>
            </w:r>
          </w:p>
        </w:tc>
        <w:tc>
          <w:tcPr>
            <w:tcW w:w="611" w:type="pct"/>
            <w:shd w:val="clear" w:color="auto" w:fill="auto"/>
          </w:tcPr>
          <w:p w14:paraId="18A97B2B" w14:textId="7EFE7B0D" w:rsidR="00A645D2"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9"/>
                <w14:textFill>
                  <w14:solidFill>
                    <w14:srgbClr w14:val="000000">
                      <w14:alpha w14:val="100000"/>
                    </w14:srgbClr>
                  </w14:solidFill>
                </w14:textFill>
              </w:rPr>
              <w:t xml:space="preserve">　</w:t>
            </w:r>
            <w:r w:rsidRPr="00E70DA3">
              <w:rPr>
                <w:color w:val="000000"/>
                <w:w w:val="15"/>
                <w:shd w:val="solid" w:color="000000" w:fill="000000"/>
                <w:fitText w:val="37" w:id="-962883579"/>
                <w14:textFill>
                  <w14:solidFill>
                    <w14:srgbClr w14:val="000000">
                      <w14:alpha w14:val="100000"/>
                    </w14:srgbClr>
                  </w14:solidFill>
                </w14:textFill>
              </w:rPr>
              <w:t>|</w:t>
            </w:r>
            <w:r w:rsidRPr="00E70DA3">
              <w:rPr>
                <w:rFonts w:hint="eastAsia"/>
                <w:color w:val="000000"/>
                <w:spacing w:val="-28"/>
                <w:w w:val="15"/>
                <w:shd w:val="solid" w:color="000000" w:fill="000000"/>
                <w:fitText w:val="37" w:id="-962883579"/>
                <w14:textFill>
                  <w14:solidFill>
                    <w14:srgbClr w14:val="000000">
                      <w14:alpha w14:val="100000"/>
                    </w14:srgbClr>
                  </w14:solidFill>
                </w14:textFill>
              </w:rPr>
              <w:t xml:space="preserve">　</w:t>
            </w:r>
            <w:r w:rsidR="00B56083" w:rsidRPr="00B56083">
              <w:rPr>
                <w:vertAlign w:val="superscript"/>
              </w:rPr>
              <w:t>3</w:t>
            </w:r>
          </w:p>
        </w:tc>
        <w:tc>
          <w:tcPr>
            <w:tcW w:w="611" w:type="pct"/>
            <w:shd w:val="clear" w:color="auto" w:fill="auto"/>
          </w:tcPr>
          <w:p w14:paraId="38E6DEBD" w14:textId="569B8C42" w:rsidR="00A645D2"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8"/>
                <w14:textFill>
                  <w14:solidFill>
                    <w14:srgbClr w14:val="000000">
                      <w14:alpha w14:val="100000"/>
                    </w14:srgbClr>
                  </w14:solidFill>
                </w14:textFill>
              </w:rPr>
              <w:t xml:space="preserve">　</w:t>
            </w:r>
            <w:r w:rsidRPr="00E70DA3">
              <w:rPr>
                <w:color w:val="000000"/>
                <w:w w:val="15"/>
                <w:shd w:val="solid" w:color="000000" w:fill="000000"/>
                <w:fitText w:val="37" w:id="-962883578"/>
                <w14:textFill>
                  <w14:solidFill>
                    <w14:srgbClr w14:val="000000">
                      <w14:alpha w14:val="100000"/>
                    </w14:srgbClr>
                  </w14:solidFill>
                </w14:textFill>
              </w:rPr>
              <w:t>|</w:t>
            </w:r>
            <w:r w:rsidRPr="00E70DA3">
              <w:rPr>
                <w:rFonts w:hint="eastAsia"/>
                <w:color w:val="000000"/>
                <w:spacing w:val="-28"/>
                <w:w w:val="15"/>
                <w:shd w:val="solid" w:color="000000" w:fill="000000"/>
                <w:fitText w:val="37" w:id="-962883578"/>
                <w14:textFill>
                  <w14:solidFill>
                    <w14:srgbClr w14:val="000000">
                      <w14:alpha w14:val="100000"/>
                    </w14:srgbClr>
                  </w14:solidFill>
                </w14:textFill>
              </w:rPr>
              <w:t xml:space="preserve">　</w:t>
            </w:r>
            <w:r w:rsidR="00B56083" w:rsidRPr="00B56083">
              <w:rPr>
                <w:vertAlign w:val="superscript"/>
              </w:rPr>
              <w:t>3</w:t>
            </w:r>
          </w:p>
        </w:tc>
        <w:tc>
          <w:tcPr>
            <w:tcW w:w="611" w:type="pct"/>
            <w:shd w:val="clear" w:color="auto" w:fill="auto"/>
          </w:tcPr>
          <w:p w14:paraId="0BFBC265" w14:textId="366C0D04" w:rsidR="00A645D2" w:rsidRPr="00B56083" w:rsidRDefault="00E70DA3" w:rsidP="000540A4">
            <w:pPr>
              <w:pStyle w:val="TableText0"/>
              <w:jc w:val="center"/>
              <w:rPr>
                <w:highlight w:val="lightGray"/>
              </w:rPr>
            </w:pPr>
            <w:r w:rsidRPr="00E70DA3">
              <w:rPr>
                <w:rFonts w:hint="eastAsia"/>
                <w:color w:val="000000"/>
                <w:w w:val="15"/>
                <w:shd w:val="solid" w:color="000000" w:fill="000000"/>
                <w:fitText w:val="38" w:id="-962883577"/>
                <w14:textFill>
                  <w14:solidFill>
                    <w14:srgbClr w14:val="000000">
                      <w14:alpha w14:val="100000"/>
                    </w14:srgbClr>
                  </w14:solidFill>
                </w14:textFill>
              </w:rPr>
              <w:t xml:space="preserve">　</w:t>
            </w:r>
            <w:r w:rsidRPr="00E70DA3">
              <w:rPr>
                <w:color w:val="000000"/>
                <w:w w:val="15"/>
                <w:shd w:val="solid" w:color="000000" w:fill="000000"/>
                <w:fitText w:val="38" w:id="-962883577"/>
                <w14:textFill>
                  <w14:solidFill>
                    <w14:srgbClr w14:val="000000">
                      <w14:alpha w14:val="100000"/>
                    </w14:srgbClr>
                  </w14:solidFill>
                </w14:textFill>
              </w:rPr>
              <w:t>|</w:t>
            </w:r>
            <w:r w:rsidRPr="00E70DA3">
              <w:rPr>
                <w:rFonts w:hint="eastAsia"/>
                <w:color w:val="000000"/>
                <w:spacing w:val="-27"/>
                <w:w w:val="15"/>
                <w:shd w:val="solid" w:color="000000" w:fill="000000"/>
                <w:fitText w:val="38" w:id="-962883577"/>
                <w14:textFill>
                  <w14:solidFill>
                    <w14:srgbClr w14:val="000000">
                      <w14:alpha w14:val="100000"/>
                    </w14:srgbClr>
                  </w14:solidFill>
                </w14:textFill>
              </w:rPr>
              <w:t xml:space="preserve">　</w:t>
            </w:r>
            <w:r w:rsidR="00B56083" w:rsidRPr="00B56083">
              <w:rPr>
                <w:vertAlign w:val="superscript"/>
              </w:rPr>
              <w:t>3</w:t>
            </w:r>
          </w:p>
        </w:tc>
        <w:tc>
          <w:tcPr>
            <w:tcW w:w="611" w:type="pct"/>
          </w:tcPr>
          <w:p w14:paraId="545D45FA" w14:textId="335E6D2C" w:rsidR="00A645D2"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6"/>
                <w14:textFill>
                  <w14:solidFill>
                    <w14:srgbClr w14:val="000000">
                      <w14:alpha w14:val="100000"/>
                    </w14:srgbClr>
                  </w14:solidFill>
                </w14:textFill>
              </w:rPr>
              <w:t xml:space="preserve">　</w:t>
            </w:r>
            <w:r w:rsidRPr="00E70DA3">
              <w:rPr>
                <w:color w:val="000000"/>
                <w:w w:val="15"/>
                <w:shd w:val="solid" w:color="000000" w:fill="000000"/>
                <w:fitText w:val="37" w:id="-962883576"/>
                <w14:textFill>
                  <w14:solidFill>
                    <w14:srgbClr w14:val="000000">
                      <w14:alpha w14:val="100000"/>
                    </w14:srgbClr>
                  </w14:solidFill>
                </w14:textFill>
              </w:rPr>
              <w:t>|</w:t>
            </w:r>
            <w:r w:rsidRPr="00E70DA3">
              <w:rPr>
                <w:rFonts w:hint="eastAsia"/>
                <w:color w:val="000000"/>
                <w:spacing w:val="-28"/>
                <w:w w:val="15"/>
                <w:shd w:val="solid" w:color="000000" w:fill="000000"/>
                <w:fitText w:val="37" w:id="-962883576"/>
                <w14:textFill>
                  <w14:solidFill>
                    <w14:srgbClr w14:val="000000">
                      <w14:alpha w14:val="100000"/>
                    </w14:srgbClr>
                  </w14:solidFill>
                </w14:textFill>
              </w:rPr>
              <w:t xml:space="preserve">　</w:t>
            </w:r>
            <w:r w:rsidR="00B56083" w:rsidRPr="00B56083">
              <w:rPr>
                <w:vertAlign w:val="superscript"/>
              </w:rPr>
              <w:t>3</w:t>
            </w:r>
          </w:p>
        </w:tc>
      </w:tr>
      <w:tr w:rsidR="00F515B9" w:rsidRPr="00D8548E" w14:paraId="633100CB" w14:textId="77777777" w:rsidTr="00F515B9">
        <w:tc>
          <w:tcPr>
            <w:tcW w:w="5000" w:type="pct"/>
            <w:gridSpan w:val="7"/>
            <w:shd w:val="clear" w:color="auto" w:fill="auto"/>
          </w:tcPr>
          <w:p w14:paraId="37236045" w14:textId="49D9983A" w:rsidR="00F515B9" w:rsidRPr="00D8548E" w:rsidRDefault="00F515B9" w:rsidP="000540A4">
            <w:pPr>
              <w:pStyle w:val="TableText0"/>
              <w:rPr>
                <w:b/>
                <w:bCs w:val="0"/>
              </w:rPr>
            </w:pPr>
            <w:r w:rsidRPr="00D8548E">
              <w:rPr>
                <w:b/>
                <w:bCs w:val="0"/>
              </w:rPr>
              <w:t>Vaccine costs</w:t>
            </w:r>
          </w:p>
        </w:tc>
      </w:tr>
      <w:tr w:rsidR="00F515B9" w:rsidRPr="00D8548E" w14:paraId="5CA622D0" w14:textId="77777777" w:rsidTr="00E70DA3">
        <w:tc>
          <w:tcPr>
            <w:tcW w:w="1334" w:type="pct"/>
            <w:shd w:val="clear" w:color="auto" w:fill="auto"/>
          </w:tcPr>
          <w:p w14:paraId="33AE050D" w14:textId="43765214" w:rsidR="00F515B9" w:rsidRPr="00D8548E" w:rsidRDefault="004A6F49" w:rsidP="000540A4">
            <w:pPr>
              <w:pStyle w:val="TableText0"/>
            </w:pPr>
            <w:r w:rsidRPr="00D8548E">
              <w:t>RIV4</w:t>
            </w:r>
            <w:r w:rsidR="00B56083">
              <w:t xml:space="preserve"> ($)</w:t>
            </w:r>
          </w:p>
        </w:tc>
        <w:tc>
          <w:tcPr>
            <w:tcW w:w="611" w:type="pct"/>
            <w:tcBorders>
              <w:bottom w:val="single" w:sz="4" w:space="0" w:color="auto"/>
            </w:tcBorders>
            <w:shd w:val="solid" w:color="000000" w:fill="000000"/>
          </w:tcPr>
          <w:p w14:paraId="36049971" w14:textId="1985B2AF" w:rsidR="00F515B9" w:rsidRPr="00B56083" w:rsidRDefault="00E70DA3" w:rsidP="000540A4">
            <w:pPr>
              <w:pStyle w:val="TableText0"/>
              <w:jc w:val="center"/>
              <w:rPr>
                <w:highlight w:val="lightGray"/>
              </w:rPr>
            </w:pPr>
            <w:r w:rsidRPr="00E70DA3">
              <w:rPr>
                <w:rFonts w:hint="eastAsia"/>
                <w:color w:val="000000"/>
                <w:w w:val="15"/>
                <w:fitText w:val="37" w:id="-962883575"/>
                <w14:textFill>
                  <w14:solidFill>
                    <w14:srgbClr w14:val="000000">
                      <w14:alpha w14:val="100000"/>
                    </w14:srgbClr>
                  </w14:solidFill>
                </w14:textFill>
              </w:rPr>
              <w:t xml:space="preserve">　</w:t>
            </w:r>
            <w:r w:rsidRPr="00E70DA3">
              <w:rPr>
                <w:color w:val="000000"/>
                <w:w w:val="15"/>
                <w:fitText w:val="37" w:id="-962883575"/>
                <w14:textFill>
                  <w14:solidFill>
                    <w14:srgbClr w14:val="000000">
                      <w14:alpha w14:val="100000"/>
                    </w14:srgbClr>
                  </w14:solidFill>
                </w14:textFill>
              </w:rPr>
              <w:t>|</w:t>
            </w:r>
            <w:r w:rsidRPr="00E70DA3">
              <w:rPr>
                <w:rFonts w:hint="eastAsia"/>
                <w:color w:val="000000"/>
                <w:spacing w:val="-28"/>
                <w:w w:val="15"/>
                <w:fitText w:val="37" w:id="-962883575"/>
                <w14:textFill>
                  <w14:solidFill>
                    <w14:srgbClr w14:val="000000">
                      <w14:alpha w14:val="100000"/>
                    </w14:srgbClr>
                  </w14:solidFill>
                </w14:textFill>
              </w:rPr>
              <w:t xml:space="preserve">　</w:t>
            </w:r>
          </w:p>
        </w:tc>
        <w:tc>
          <w:tcPr>
            <w:tcW w:w="611" w:type="pct"/>
            <w:tcBorders>
              <w:bottom w:val="single" w:sz="4" w:space="0" w:color="auto"/>
            </w:tcBorders>
            <w:shd w:val="solid" w:color="000000" w:fill="000000"/>
          </w:tcPr>
          <w:p w14:paraId="697F5618" w14:textId="32100E5D" w:rsidR="00F515B9" w:rsidRPr="00B56083" w:rsidRDefault="00E70DA3" w:rsidP="000540A4">
            <w:pPr>
              <w:pStyle w:val="TableText0"/>
              <w:jc w:val="center"/>
              <w:rPr>
                <w:highlight w:val="lightGray"/>
              </w:rPr>
            </w:pPr>
            <w:r w:rsidRPr="00E70DA3">
              <w:rPr>
                <w:rFonts w:hint="eastAsia"/>
                <w:color w:val="000000"/>
                <w:w w:val="15"/>
                <w:fitText w:val="37" w:id="-962883574"/>
                <w14:textFill>
                  <w14:solidFill>
                    <w14:srgbClr w14:val="000000">
                      <w14:alpha w14:val="100000"/>
                    </w14:srgbClr>
                  </w14:solidFill>
                </w14:textFill>
              </w:rPr>
              <w:t xml:space="preserve">　</w:t>
            </w:r>
            <w:r w:rsidRPr="00E70DA3">
              <w:rPr>
                <w:color w:val="000000"/>
                <w:w w:val="15"/>
                <w:fitText w:val="37" w:id="-962883574"/>
                <w14:textFill>
                  <w14:solidFill>
                    <w14:srgbClr w14:val="000000">
                      <w14:alpha w14:val="100000"/>
                    </w14:srgbClr>
                  </w14:solidFill>
                </w14:textFill>
              </w:rPr>
              <w:t>|</w:t>
            </w:r>
            <w:r w:rsidRPr="00E70DA3">
              <w:rPr>
                <w:rFonts w:hint="eastAsia"/>
                <w:color w:val="000000"/>
                <w:spacing w:val="-28"/>
                <w:w w:val="15"/>
                <w:fitText w:val="37" w:id="-962883574"/>
                <w14:textFill>
                  <w14:solidFill>
                    <w14:srgbClr w14:val="000000">
                      <w14:alpha w14:val="100000"/>
                    </w14:srgbClr>
                  </w14:solidFill>
                </w14:textFill>
              </w:rPr>
              <w:t xml:space="preserve">　</w:t>
            </w:r>
          </w:p>
        </w:tc>
        <w:tc>
          <w:tcPr>
            <w:tcW w:w="611" w:type="pct"/>
            <w:tcBorders>
              <w:bottom w:val="single" w:sz="4" w:space="0" w:color="auto"/>
            </w:tcBorders>
            <w:shd w:val="solid" w:color="000000" w:fill="000000"/>
          </w:tcPr>
          <w:p w14:paraId="5516D2F3" w14:textId="067E99DE" w:rsidR="00F515B9" w:rsidRPr="00B56083" w:rsidRDefault="00E70DA3" w:rsidP="000540A4">
            <w:pPr>
              <w:pStyle w:val="TableText0"/>
              <w:jc w:val="center"/>
              <w:rPr>
                <w:highlight w:val="lightGray"/>
              </w:rPr>
            </w:pPr>
            <w:r w:rsidRPr="00E70DA3">
              <w:rPr>
                <w:rFonts w:hint="eastAsia"/>
                <w:color w:val="000000"/>
                <w:w w:val="15"/>
                <w:fitText w:val="38" w:id="-962883573"/>
                <w14:textFill>
                  <w14:solidFill>
                    <w14:srgbClr w14:val="000000">
                      <w14:alpha w14:val="100000"/>
                    </w14:srgbClr>
                  </w14:solidFill>
                </w14:textFill>
              </w:rPr>
              <w:t xml:space="preserve">　</w:t>
            </w:r>
            <w:r w:rsidRPr="00E70DA3">
              <w:rPr>
                <w:color w:val="000000"/>
                <w:w w:val="15"/>
                <w:fitText w:val="38" w:id="-962883573"/>
                <w14:textFill>
                  <w14:solidFill>
                    <w14:srgbClr w14:val="000000">
                      <w14:alpha w14:val="100000"/>
                    </w14:srgbClr>
                  </w14:solidFill>
                </w14:textFill>
              </w:rPr>
              <w:t>|</w:t>
            </w:r>
            <w:r w:rsidRPr="00E70DA3">
              <w:rPr>
                <w:rFonts w:hint="eastAsia"/>
                <w:color w:val="000000"/>
                <w:spacing w:val="-27"/>
                <w:w w:val="15"/>
                <w:fitText w:val="38" w:id="-962883573"/>
                <w14:textFill>
                  <w14:solidFill>
                    <w14:srgbClr w14:val="000000">
                      <w14:alpha w14:val="100000"/>
                    </w14:srgbClr>
                  </w14:solidFill>
                </w14:textFill>
              </w:rPr>
              <w:t xml:space="preserve">　</w:t>
            </w:r>
          </w:p>
        </w:tc>
        <w:tc>
          <w:tcPr>
            <w:tcW w:w="611" w:type="pct"/>
            <w:tcBorders>
              <w:bottom w:val="single" w:sz="4" w:space="0" w:color="auto"/>
            </w:tcBorders>
            <w:shd w:val="solid" w:color="000000" w:fill="000000"/>
          </w:tcPr>
          <w:p w14:paraId="67A79442" w14:textId="12325732" w:rsidR="00F515B9" w:rsidRPr="00B56083" w:rsidRDefault="00E70DA3" w:rsidP="000540A4">
            <w:pPr>
              <w:pStyle w:val="TableText0"/>
              <w:jc w:val="center"/>
              <w:rPr>
                <w:highlight w:val="lightGray"/>
              </w:rPr>
            </w:pPr>
            <w:r w:rsidRPr="00E70DA3">
              <w:rPr>
                <w:rFonts w:hint="eastAsia"/>
                <w:color w:val="000000"/>
                <w:w w:val="15"/>
                <w:fitText w:val="37" w:id="-962883572"/>
                <w14:textFill>
                  <w14:solidFill>
                    <w14:srgbClr w14:val="000000">
                      <w14:alpha w14:val="100000"/>
                    </w14:srgbClr>
                  </w14:solidFill>
                </w14:textFill>
              </w:rPr>
              <w:t xml:space="preserve">　</w:t>
            </w:r>
            <w:r w:rsidRPr="00E70DA3">
              <w:rPr>
                <w:color w:val="000000"/>
                <w:w w:val="15"/>
                <w:fitText w:val="37" w:id="-962883572"/>
                <w14:textFill>
                  <w14:solidFill>
                    <w14:srgbClr w14:val="000000">
                      <w14:alpha w14:val="100000"/>
                    </w14:srgbClr>
                  </w14:solidFill>
                </w14:textFill>
              </w:rPr>
              <w:t>|</w:t>
            </w:r>
            <w:r w:rsidRPr="00E70DA3">
              <w:rPr>
                <w:rFonts w:hint="eastAsia"/>
                <w:color w:val="000000"/>
                <w:spacing w:val="-28"/>
                <w:w w:val="15"/>
                <w:fitText w:val="37" w:id="-962883572"/>
                <w14:textFill>
                  <w14:solidFill>
                    <w14:srgbClr w14:val="000000">
                      <w14:alpha w14:val="100000"/>
                    </w14:srgbClr>
                  </w14:solidFill>
                </w14:textFill>
              </w:rPr>
              <w:t xml:space="preserve">　</w:t>
            </w:r>
          </w:p>
        </w:tc>
        <w:tc>
          <w:tcPr>
            <w:tcW w:w="611" w:type="pct"/>
            <w:tcBorders>
              <w:bottom w:val="single" w:sz="4" w:space="0" w:color="auto"/>
            </w:tcBorders>
            <w:shd w:val="solid" w:color="000000" w:fill="000000"/>
          </w:tcPr>
          <w:p w14:paraId="22EF9BF8" w14:textId="19148903" w:rsidR="00F515B9" w:rsidRPr="00B56083" w:rsidRDefault="00E70DA3" w:rsidP="000540A4">
            <w:pPr>
              <w:pStyle w:val="TableText0"/>
              <w:jc w:val="center"/>
              <w:rPr>
                <w:highlight w:val="lightGray"/>
              </w:rPr>
            </w:pPr>
            <w:r w:rsidRPr="00E70DA3">
              <w:rPr>
                <w:rFonts w:hint="eastAsia"/>
                <w:color w:val="000000"/>
                <w:w w:val="15"/>
                <w:fitText w:val="38" w:id="-962883571"/>
                <w14:textFill>
                  <w14:solidFill>
                    <w14:srgbClr w14:val="000000">
                      <w14:alpha w14:val="100000"/>
                    </w14:srgbClr>
                  </w14:solidFill>
                </w14:textFill>
              </w:rPr>
              <w:t xml:space="preserve">　</w:t>
            </w:r>
            <w:r w:rsidRPr="00E70DA3">
              <w:rPr>
                <w:color w:val="000000"/>
                <w:w w:val="15"/>
                <w:fitText w:val="38" w:id="-962883571"/>
                <w14:textFill>
                  <w14:solidFill>
                    <w14:srgbClr w14:val="000000">
                      <w14:alpha w14:val="100000"/>
                    </w14:srgbClr>
                  </w14:solidFill>
                </w14:textFill>
              </w:rPr>
              <w:t>|</w:t>
            </w:r>
            <w:r w:rsidRPr="00E70DA3">
              <w:rPr>
                <w:rFonts w:hint="eastAsia"/>
                <w:color w:val="000000"/>
                <w:spacing w:val="-27"/>
                <w:w w:val="15"/>
                <w:fitText w:val="38" w:id="-962883571"/>
                <w14:textFill>
                  <w14:solidFill>
                    <w14:srgbClr w14:val="000000">
                      <w14:alpha w14:val="100000"/>
                    </w14:srgbClr>
                  </w14:solidFill>
                </w14:textFill>
              </w:rPr>
              <w:t xml:space="preserve">　</w:t>
            </w:r>
          </w:p>
        </w:tc>
        <w:tc>
          <w:tcPr>
            <w:tcW w:w="611" w:type="pct"/>
            <w:tcBorders>
              <w:bottom w:val="single" w:sz="4" w:space="0" w:color="auto"/>
            </w:tcBorders>
            <w:shd w:val="solid" w:color="000000" w:fill="000000"/>
          </w:tcPr>
          <w:p w14:paraId="5D3F3376" w14:textId="229411C2" w:rsidR="00F515B9" w:rsidRPr="00B56083" w:rsidRDefault="00E70DA3" w:rsidP="000540A4">
            <w:pPr>
              <w:pStyle w:val="TableText0"/>
              <w:jc w:val="center"/>
              <w:rPr>
                <w:highlight w:val="lightGray"/>
              </w:rPr>
            </w:pPr>
            <w:r w:rsidRPr="00E70DA3">
              <w:rPr>
                <w:rFonts w:hint="eastAsia"/>
                <w:color w:val="000000"/>
                <w:w w:val="15"/>
                <w:fitText w:val="38" w:id="-962883570"/>
                <w14:textFill>
                  <w14:solidFill>
                    <w14:srgbClr w14:val="000000">
                      <w14:alpha w14:val="100000"/>
                    </w14:srgbClr>
                  </w14:solidFill>
                </w14:textFill>
              </w:rPr>
              <w:t xml:space="preserve">　</w:t>
            </w:r>
            <w:r w:rsidRPr="00E70DA3">
              <w:rPr>
                <w:color w:val="000000"/>
                <w:w w:val="15"/>
                <w:fitText w:val="38" w:id="-962883570"/>
                <w14:textFill>
                  <w14:solidFill>
                    <w14:srgbClr w14:val="000000">
                      <w14:alpha w14:val="100000"/>
                    </w14:srgbClr>
                  </w14:solidFill>
                </w14:textFill>
              </w:rPr>
              <w:t>|</w:t>
            </w:r>
            <w:r w:rsidRPr="00E70DA3">
              <w:rPr>
                <w:rFonts w:hint="eastAsia"/>
                <w:color w:val="000000"/>
                <w:spacing w:val="-27"/>
                <w:w w:val="15"/>
                <w:fitText w:val="38" w:id="-962883570"/>
                <w14:textFill>
                  <w14:solidFill>
                    <w14:srgbClr w14:val="000000">
                      <w14:alpha w14:val="100000"/>
                    </w14:srgbClr>
                  </w14:solidFill>
                </w14:textFill>
              </w:rPr>
              <w:t xml:space="preserve">　</w:t>
            </w:r>
          </w:p>
        </w:tc>
      </w:tr>
      <w:tr w:rsidR="00F515B9" w:rsidRPr="00D8548E" w14:paraId="21D34950" w14:textId="77777777" w:rsidTr="00E70DA3">
        <w:tc>
          <w:tcPr>
            <w:tcW w:w="1334" w:type="pct"/>
            <w:shd w:val="clear" w:color="auto" w:fill="auto"/>
          </w:tcPr>
          <w:p w14:paraId="6377AD97" w14:textId="0E712B50" w:rsidR="00F515B9" w:rsidRPr="00D8548E" w:rsidRDefault="004A32A4" w:rsidP="000540A4">
            <w:pPr>
              <w:pStyle w:val="TableText0"/>
            </w:pPr>
            <w:r w:rsidRPr="00D8548E">
              <w:t>aQIV</w:t>
            </w:r>
            <w:r w:rsidR="00B56083">
              <w:t xml:space="preserve"> ($)</w:t>
            </w:r>
          </w:p>
        </w:tc>
        <w:tc>
          <w:tcPr>
            <w:tcW w:w="611" w:type="pct"/>
            <w:shd w:val="solid" w:color="000000" w:fill="000000"/>
          </w:tcPr>
          <w:p w14:paraId="014B757E" w14:textId="61A5097A" w:rsidR="00F515B9" w:rsidRPr="00B56083" w:rsidRDefault="00E70DA3" w:rsidP="000540A4">
            <w:pPr>
              <w:pStyle w:val="TableText0"/>
              <w:jc w:val="center"/>
              <w:rPr>
                <w:highlight w:val="lightGray"/>
              </w:rPr>
            </w:pPr>
            <w:r w:rsidRPr="00E70DA3">
              <w:rPr>
                <w:rFonts w:hint="eastAsia"/>
                <w:color w:val="000000"/>
                <w:w w:val="15"/>
                <w:fitText w:val="37" w:id="-962883569"/>
                <w14:textFill>
                  <w14:solidFill>
                    <w14:srgbClr w14:val="000000">
                      <w14:alpha w14:val="100000"/>
                    </w14:srgbClr>
                  </w14:solidFill>
                </w14:textFill>
              </w:rPr>
              <w:t xml:space="preserve">　</w:t>
            </w:r>
            <w:r w:rsidRPr="00E70DA3">
              <w:rPr>
                <w:color w:val="000000"/>
                <w:w w:val="15"/>
                <w:fitText w:val="37" w:id="-962883569"/>
                <w14:textFill>
                  <w14:solidFill>
                    <w14:srgbClr w14:val="000000">
                      <w14:alpha w14:val="100000"/>
                    </w14:srgbClr>
                  </w14:solidFill>
                </w14:textFill>
              </w:rPr>
              <w:t>|</w:t>
            </w:r>
            <w:r w:rsidRPr="00E70DA3">
              <w:rPr>
                <w:rFonts w:hint="eastAsia"/>
                <w:color w:val="000000"/>
                <w:spacing w:val="-28"/>
                <w:w w:val="15"/>
                <w:fitText w:val="37" w:id="-962883569"/>
                <w14:textFill>
                  <w14:solidFill>
                    <w14:srgbClr w14:val="000000">
                      <w14:alpha w14:val="100000"/>
                    </w14:srgbClr>
                  </w14:solidFill>
                </w14:textFill>
              </w:rPr>
              <w:t xml:space="preserve">　</w:t>
            </w:r>
          </w:p>
        </w:tc>
        <w:tc>
          <w:tcPr>
            <w:tcW w:w="611" w:type="pct"/>
            <w:shd w:val="solid" w:color="000000" w:fill="000000"/>
          </w:tcPr>
          <w:p w14:paraId="46E70B03" w14:textId="7C4710F8" w:rsidR="00F515B9" w:rsidRPr="00B56083" w:rsidRDefault="00E70DA3" w:rsidP="000540A4">
            <w:pPr>
              <w:pStyle w:val="TableText0"/>
              <w:jc w:val="center"/>
              <w:rPr>
                <w:highlight w:val="lightGray"/>
              </w:rPr>
            </w:pPr>
            <w:r w:rsidRPr="00E70DA3">
              <w:rPr>
                <w:rFonts w:hint="eastAsia"/>
                <w:color w:val="000000"/>
                <w:w w:val="15"/>
                <w:fitText w:val="37" w:id="-962883568"/>
                <w14:textFill>
                  <w14:solidFill>
                    <w14:srgbClr w14:val="000000">
                      <w14:alpha w14:val="100000"/>
                    </w14:srgbClr>
                  </w14:solidFill>
                </w14:textFill>
              </w:rPr>
              <w:t xml:space="preserve">　</w:t>
            </w:r>
            <w:r w:rsidRPr="00E70DA3">
              <w:rPr>
                <w:color w:val="000000"/>
                <w:w w:val="15"/>
                <w:fitText w:val="37" w:id="-962883568"/>
                <w14:textFill>
                  <w14:solidFill>
                    <w14:srgbClr w14:val="000000">
                      <w14:alpha w14:val="100000"/>
                    </w14:srgbClr>
                  </w14:solidFill>
                </w14:textFill>
              </w:rPr>
              <w:t>|</w:t>
            </w:r>
            <w:r w:rsidRPr="00E70DA3">
              <w:rPr>
                <w:rFonts w:hint="eastAsia"/>
                <w:color w:val="000000"/>
                <w:spacing w:val="-28"/>
                <w:w w:val="15"/>
                <w:fitText w:val="37" w:id="-962883568"/>
                <w14:textFill>
                  <w14:solidFill>
                    <w14:srgbClr w14:val="000000">
                      <w14:alpha w14:val="100000"/>
                    </w14:srgbClr>
                  </w14:solidFill>
                </w14:textFill>
              </w:rPr>
              <w:t xml:space="preserve">　</w:t>
            </w:r>
          </w:p>
        </w:tc>
        <w:tc>
          <w:tcPr>
            <w:tcW w:w="611" w:type="pct"/>
            <w:shd w:val="solid" w:color="000000" w:fill="000000"/>
          </w:tcPr>
          <w:p w14:paraId="289E3A53" w14:textId="41CCA84F" w:rsidR="00F515B9" w:rsidRPr="00B56083" w:rsidRDefault="00E70DA3" w:rsidP="000540A4">
            <w:pPr>
              <w:pStyle w:val="TableText0"/>
              <w:jc w:val="center"/>
              <w:rPr>
                <w:highlight w:val="lightGray"/>
              </w:rPr>
            </w:pPr>
            <w:r w:rsidRPr="00E70DA3">
              <w:rPr>
                <w:rFonts w:hint="eastAsia"/>
                <w:color w:val="000000"/>
                <w:w w:val="15"/>
                <w:fitText w:val="38" w:id="-962883584"/>
                <w14:textFill>
                  <w14:solidFill>
                    <w14:srgbClr w14:val="000000">
                      <w14:alpha w14:val="100000"/>
                    </w14:srgbClr>
                  </w14:solidFill>
                </w14:textFill>
              </w:rPr>
              <w:t xml:space="preserve">　</w:t>
            </w:r>
            <w:r w:rsidRPr="00E70DA3">
              <w:rPr>
                <w:color w:val="000000"/>
                <w:w w:val="15"/>
                <w:fitText w:val="38" w:id="-962883584"/>
                <w14:textFill>
                  <w14:solidFill>
                    <w14:srgbClr w14:val="000000">
                      <w14:alpha w14:val="100000"/>
                    </w14:srgbClr>
                  </w14:solidFill>
                </w14:textFill>
              </w:rPr>
              <w:t>|</w:t>
            </w:r>
            <w:r w:rsidRPr="00E70DA3">
              <w:rPr>
                <w:rFonts w:hint="eastAsia"/>
                <w:color w:val="000000"/>
                <w:spacing w:val="-27"/>
                <w:w w:val="15"/>
                <w:fitText w:val="38" w:id="-962883584"/>
                <w14:textFill>
                  <w14:solidFill>
                    <w14:srgbClr w14:val="000000">
                      <w14:alpha w14:val="100000"/>
                    </w14:srgbClr>
                  </w14:solidFill>
                </w14:textFill>
              </w:rPr>
              <w:t xml:space="preserve">　</w:t>
            </w:r>
          </w:p>
        </w:tc>
        <w:tc>
          <w:tcPr>
            <w:tcW w:w="611" w:type="pct"/>
            <w:shd w:val="solid" w:color="000000" w:fill="000000"/>
          </w:tcPr>
          <w:p w14:paraId="593044FD" w14:textId="69890CCB" w:rsidR="00F515B9" w:rsidRPr="00B56083" w:rsidRDefault="00E70DA3" w:rsidP="000540A4">
            <w:pPr>
              <w:pStyle w:val="TableText0"/>
              <w:jc w:val="center"/>
              <w:rPr>
                <w:highlight w:val="lightGray"/>
              </w:rPr>
            </w:pPr>
            <w:r w:rsidRPr="00E70DA3">
              <w:rPr>
                <w:rFonts w:hint="eastAsia"/>
                <w:color w:val="000000"/>
                <w:w w:val="15"/>
                <w:fitText w:val="37" w:id="-962883583"/>
                <w14:textFill>
                  <w14:solidFill>
                    <w14:srgbClr w14:val="000000">
                      <w14:alpha w14:val="100000"/>
                    </w14:srgbClr>
                  </w14:solidFill>
                </w14:textFill>
              </w:rPr>
              <w:t xml:space="preserve">　</w:t>
            </w:r>
            <w:r w:rsidRPr="00E70DA3">
              <w:rPr>
                <w:color w:val="000000"/>
                <w:w w:val="15"/>
                <w:fitText w:val="37" w:id="-962883583"/>
                <w14:textFill>
                  <w14:solidFill>
                    <w14:srgbClr w14:val="000000">
                      <w14:alpha w14:val="100000"/>
                    </w14:srgbClr>
                  </w14:solidFill>
                </w14:textFill>
              </w:rPr>
              <w:t>|</w:t>
            </w:r>
            <w:r w:rsidRPr="00E70DA3">
              <w:rPr>
                <w:rFonts w:hint="eastAsia"/>
                <w:color w:val="000000"/>
                <w:spacing w:val="-28"/>
                <w:w w:val="15"/>
                <w:fitText w:val="37" w:id="-962883583"/>
                <w14:textFill>
                  <w14:solidFill>
                    <w14:srgbClr w14:val="000000">
                      <w14:alpha w14:val="100000"/>
                    </w14:srgbClr>
                  </w14:solidFill>
                </w14:textFill>
              </w:rPr>
              <w:t xml:space="preserve">　</w:t>
            </w:r>
          </w:p>
        </w:tc>
        <w:tc>
          <w:tcPr>
            <w:tcW w:w="611" w:type="pct"/>
            <w:shd w:val="solid" w:color="000000" w:fill="000000"/>
          </w:tcPr>
          <w:p w14:paraId="2BD378A6" w14:textId="279098B9" w:rsidR="00F515B9" w:rsidRPr="00B56083" w:rsidRDefault="00E70DA3" w:rsidP="000540A4">
            <w:pPr>
              <w:pStyle w:val="TableText0"/>
              <w:jc w:val="center"/>
              <w:rPr>
                <w:highlight w:val="lightGray"/>
              </w:rPr>
            </w:pPr>
            <w:r w:rsidRPr="00E70DA3">
              <w:rPr>
                <w:rFonts w:hint="eastAsia"/>
                <w:color w:val="000000"/>
                <w:w w:val="15"/>
                <w:fitText w:val="38" w:id="-962883582"/>
                <w14:textFill>
                  <w14:solidFill>
                    <w14:srgbClr w14:val="000000">
                      <w14:alpha w14:val="100000"/>
                    </w14:srgbClr>
                  </w14:solidFill>
                </w14:textFill>
              </w:rPr>
              <w:t xml:space="preserve">　</w:t>
            </w:r>
            <w:r w:rsidRPr="00E70DA3">
              <w:rPr>
                <w:color w:val="000000"/>
                <w:w w:val="15"/>
                <w:fitText w:val="38" w:id="-962883582"/>
                <w14:textFill>
                  <w14:solidFill>
                    <w14:srgbClr w14:val="000000">
                      <w14:alpha w14:val="100000"/>
                    </w14:srgbClr>
                  </w14:solidFill>
                </w14:textFill>
              </w:rPr>
              <w:t>|</w:t>
            </w:r>
            <w:r w:rsidRPr="00E70DA3">
              <w:rPr>
                <w:rFonts w:hint="eastAsia"/>
                <w:color w:val="000000"/>
                <w:spacing w:val="-27"/>
                <w:w w:val="15"/>
                <w:fitText w:val="38" w:id="-962883582"/>
                <w14:textFill>
                  <w14:solidFill>
                    <w14:srgbClr w14:val="000000">
                      <w14:alpha w14:val="100000"/>
                    </w14:srgbClr>
                  </w14:solidFill>
                </w14:textFill>
              </w:rPr>
              <w:t xml:space="preserve">　</w:t>
            </w:r>
          </w:p>
        </w:tc>
        <w:tc>
          <w:tcPr>
            <w:tcW w:w="611" w:type="pct"/>
            <w:shd w:val="solid" w:color="000000" w:fill="000000"/>
          </w:tcPr>
          <w:p w14:paraId="6AC850DE" w14:textId="27F9531D" w:rsidR="00F515B9" w:rsidRPr="00B56083" w:rsidRDefault="00E70DA3" w:rsidP="000540A4">
            <w:pPr>
              <w:pStyle w:val="TableText0"/>
              <w:jc w:val="center"/>
              <w:rPr>
                <w:highlight w:val="lightGray"/>
              </w:rPr>
            </w:pPr>
            <w:r w:rsidRPr="00E70DA3">
              <w:rPr>
                <w:rFonts w:hint="eastAsia"/>
                <w:color w:val="000000"/>
                <w:w w:val="15"/>
                <w:fitText w:val="38" w:id="-962883581"/>
                <w14:textFill>
                  <w14:solidFill>
                    <w14:srgbClr w14:val="000000">
                      <w14:alpha w14:val="100000"/>
                    </w14:srgbClr>
                  </w14:solidFill>
                </w14:textFill>
              </w:rPr>
              <w:t xml:space="preserve">　</w:t>
            </w:r>
            <w:r w:rsidRPr="00E70DA3">
              <w:rPr>
                <w:color w:val="000000"/>
                <w:w w:val="15"/>
                <w:fitText w:val="38" w:id="-962883581"/>
                <w14:textFill>
                  <w14:solidFill>
                    <w14:srgbClr w14:val="000000">
                      <w14:alpha w14:val="100000"/>
                    </w14:srgbClr>
                  </w14:solidFill>
                </w14:textFill>
              </w:rPr>
              <w:t>|</w:t>
            </w:r>
            <w:r w:rsidRPr="00E70DA3">
              <w:rPr>
                <w:rFonts w:hint="eastAsia"/>
                <w:color w:val="000000"/>
                <w:spacing w:val="-27"/>
                <w:w w:val="15"/>
                <w:fitText w:val="38" w:id="-962883581"/>
                <w14:textFill>
                  <w14:solidFill>
                    <w14:srgbClr w14:val="000000">
                      <w14:alpha w14:val="100000"/>
                    </w14:srgbClr>
                  </w14:solidFill>
                </w14:textFill>
              </w:rPr>
              <w:t xml:space="preserve">　</w:t>
            </w:r>
          </w:p>
        </w:tc>
      </w:tr>
      <w:tr w:rsidR="00385A9D" w:rsidRPr="00D8548E" w14:paraId="1E699D47" w14:textId="77777777" w:rsidTr="009C3A3A">
        <w:tc>
          <w:tcPr>
            <w:tcW w:w="5000" w:type="pct"/>
            <w:gridSpan w:val="7"/>
            <w:shd w:val="clear" w:color="auto" w:fill="auto"/>
            <w:vAlign w:val="center"/>
          </w:tcPr>
          <w:p w14:paraId="7D0E0884" w14:textId="434AD0AD" w:rsidR="00385A9D" w:rsidRPr="00D8548E" w:rsidRDefault="00385A9D" w:rsidP="000540A4">
            <w:pPr>
              <w:pStyle w:val="In-tableHeading"/>
            </w:pPr>
            <w:r w:rsidRPr="00D8548E">
              <w:t xml:space="preserve">Estimated financial implications of </w:t>
            </w:r>
            <w:r w:rsidR="006964F9" w:rsidRPr="00D8548E">
              <w:t xml:space="preserve">RIV4 </w:t>
            </w:r>
          </w:p>
        </w:tc>
      </w:tr>
      <w:tr w:rsidR="00F515B9" w:rsidRPr="00D8548E" w14:paraId="4B4ACF1A" w14:textId="77777777" w:rsidTr="001C4730">
        <w:tc>
          <w:tcPr>
            <w:tcW w:w="1334" w:type="pct"/>
            <w:shd w:val="clear" w:color="auto" w:fill="auto"/>
            <w:vAlign w:val="center"/>
          </w:tcPr>
          <w:p w14:paraId="467993BD" w14:textId="636EBE0D" w:rsidR="00F515B9" w:rsidRPr="00D8548E" w:rsidRDefault="00F515B9" w:rsidP="000540A4">
            <w:pPr>
              <w:pStyle w:val="TableText0"/>
            </w:pPr>
            <w:r w:rsidRPr="00D8548E">
              <w:t>Cost to NIP</w:t>
            </w:r>
          </w:p>
        </w:tc>
        <w:tc>
          <w:tcPr>
            <w:tcW w:w="611" w:type="pct"/>
            <w:shd w:val="clear" w:color="auto" w:fill="auto"/>
          </w:tcPr>
          <w:p w14:paraId="4125A2B6" w14:textId="6021AF31"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80"/>
                <w14:textFill>
                  <w14:solidFill>
                    <w14:srgbClr w14:val="000000">
                      <w14:alpha w14:val="100000"/>
                    </w14:srgbClr>
                  </w14:solidFill>
                </w14:textFill>
              </w:rPr>
              <w:t xml:space="preserve">　</w:t>
            </w:r>
            <w:r w:rsidRPr="00E70DA3">
              <w:rPr>
                <w:color w:val="000000"/>
                <w:w w:val="15"/>
                <w:shd w:val="solid" w:color="000000" w:fill="000000"/>
                <w:fitText w:val="37" w:id="-962883580"/>
                <w14:textFill>
                  <w14:solidFill>
                    <w14:srgbClr w14:val="000000">
                      <w14:alpha w14:val="100000"/>
                    </w14:srgbClr>
                  </w14:solidFill>
                </w14:textFill>
              </w:rPr>
              <w:t>|</w:t>
            </w:r>
            <w:r w:rsidRPr="00E70DA3">
              <w:rPr>
                <w:rFonts w:hint="eastAsia"/>
                <w:color w:val="000000"/>
                <w:spacing w:val="-28"/>
                <w:w w:val="15"/>
                <w:shd w:val="solid" w:color="000000" w:fill="000000"/>
                <w:fitText w:val="37" w:id="-962883580"/>
                <w14:textFill>
                  <w14:solidFill>
                    <w14:srgbClr w14:val="000000">
                      <w14:alpha w14:val="100000"/>
                    </w14:srgbClr>
                  </w14:solidFill>
                </w14:textFill>
              </w:rPr>
              <w:t xml:space="preserve">　</w:t>
            </w:r>
            <w:r w:rsidR="00BD2ADC" w:rsidRPr="00BD2ADC">
              <w:rPr>
                <w:vertAlign w:val="superscript"/>
              </w:rPr>
              <w:t>4</w:t>
            </w:r>
          </w:p>
        </w:tc>
        <w:tc>
          <w:tcPr>
            <w:tcW w:w="611" w:type="pct"/>
            <w:shd w:val="clear" w:color="auto" w:fill="auto"/>
          </w:tcPr>
          <w:p w14:paraId="5BDFECEB" w14:textId="440CFA1D"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8" w:id="-962883579"/>
                <w14:textFill>
                  <w14:solidFill>
                    <w14:srgbClr w14:val="000000">
                      <w14:alpha w14:val="100000"/>
                    </w14:srgbClr>
                  </w14:solidFill>
                </w14:textFill>
              </w:rPr>
              <w:t xml:space="preserve">　</w:t>
            </w:r>
            <w:r w:rsidRPr="00E70DA3">
              <w:rPr>
                <w:color w:val="000000"/>
                <w:w w:val="15"/>
                <w:shd w:val="solid" w:color="000000" w:fill="000000"/>
                <w:fitText w:val="38" w:id="-962883579"/>
                <w14:textFill>
                  <w14:solidFill>
                    <w14:srgbClr w14:val="000000">
                      <w14:alpha w14:val="100000"/>
                    </w14:srgbClr>
                  </w14:solidFill>
                </w14:textFill>
              </w:rPr>
              <w:t>|</w:t>
            </w:r>
            <w:r w:rsidRPr="00E70DA3">
              <w:rPr>
                <w:rFonts w:hint="eastAsia"/>
                <w:color w:val="000000"/>
                <w:spacing w:val="-27"/>
                <w:w w:val="15"/>
                <w:shd w:val="solid" w:color="000000" w:fill="000000"/>
                <w:fitText w:val="38" w:id="-962883579"/>
                <w14:textFill>
                  <w14:solidFill>
                    <w14:srgbClr w14:val="000000">
                      <w14:alpha w14:val="100000"/>
                    </w14:srgbClr>
                  </w14:solidFill>
                </w14:textFill>
              </w:rPr>
              <w:t xml:space="preserve">　</w:t>
            </w:r>
            <w:r w:rsidR="00BD2ADC" w:rsidRPr="00BD2ADC">
              <w:rPr>
                <w:vertAlign w:val="superscript"/>
              </w:rPr>
              <w:t>4</w:t>
            </w:r>
          </w:p>
        </w:tc>
        <w:tc>
          <w:tcPr>
            <w:tcW w:w="611" w:type="pct"/>
            <w:shd w:val="clear" w:color="auto" w:fill="auto"/>
          </w:tcPr>
          <w:p w14:paraId="3890D42E" w14:textId="281DE80F"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8"/>
                <w14:textFill>
                  <w14:solidFill>
                    <w14:srgbClr w14:val="000000">
                      <w14:alpha w14:val="100000"/>
                    </w14:srgbClr>
                  </w14:solidFill>
                </w14:textFill>
              </w:rPr>
              <w:t xml:space="preserve">　</w:t>
            </w:r>
            <w:r w:rsidRPr="00E70DA3">
              <w:rPr>
                <w:color w:val="000000"/>
                <w:w w:val="15"/>
                <w:shd w:val="solid" w:color="000000" w:fill="000000"/>
                <w:fitText w:val="37" w:id="-962883578"/>
                <w14:textFill>
                  <w14:solidFill>
                    <w14:srgbClr w14:val="000000">
                      <w14:alpha w14:val="100000"/>
                    </w14:srgbClr>
                  </w14:solidFill>
                </w14:textFill>
              </w:rPr>
              <w:t>|</w:t>
            </w:r>
            <w:r w:rsidRPr="00E70DA3">
              <w:rPr>
                <w:rFonts w:hint="eastAsia"/>
                <w:color w:val="000000"/>
                <w:spacing w:val="-28"/>
                <w:w w:val="15"/>
                <w:shd w:val="solid" w:color="000000" w:fill="000000"/>
                <w:fitText w:val="37" w:id="-962883578"/>
                <w14:textFill>
                  <w14:solidFill>
                    <w14:srgbClr w14:val="000000">
                      <w14:alpha w14:val="100000"/>
                    </w14:srgbClr>
                  </w14:solidFill>
                </w14:textFill>
              </w:rPr>
              <w:t xml:space="preserve">　</w:t>
            </w:r>
            <w:r w:rsidR="00BD2ADC" w:rsidRPr="00BD2ADC">
              <w:rPr>
                <w:vertAlign w:val="superscript"/>
              </w:rPr>
              <w:t>4</w:t>
            </w:r>
          </w:p>
        </w:tc>
        <w:tc>
          <w:tcPr>
            <w:tcW w:w="611" w:type="pct"/>
            <w:shd w:val="clear" w:color="auto" w:fill="auto"/>
          </w:tcPr>
          <w:p w14:paraId="2728B643" w14:textId="1E8F7655"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7"/>
                <w14:textFill>
                  <w14:solidFill>
                    <w14:srgbClr w14:val="000000">
                      <w14:alpha w14:val="100000"/>
                    </w14:srgbClr>
                  </w14:solidFill>
                </w14:textFill>
              </w:rPr>
              <w:t xml:space="preserve">　</w:t>
            </w:r>
            <w:r w:rsidRPr="00E70DA3">
              <w:rPr>
                <w:color w:val="000000"/>
                <w:w w:val="15"/>
                <w:shd w:val="solid" w:color="000000" w:fill="000000"/>
                <w:fitText w:val="37" w:id="-962883577"/>
                <w14:textFill>
                  <w14:solidFill>
                    <w14:srgbClr w14:val="000000">
                      <w14:alpha w14:val="100000"/>
                    </w14:srgbClr>
                  </w14:solidFill>
                </w14:textFill>
              </w:rPr>
              <w:t>|</w:t>
            </w:r>
            <w:r w:rsidRPr="00E70DA3">
              <w:rPr>
                <w:rFonts w:hint="eastAsia"/>
                <w:color w:val="000000"/>
                <w:spacing w:val="-28"/>
                <w:w w:val="15"/>
                <w:shd w:val="solid" w:color="000000" w:fill="000000"/>
                <w:fitText w:val="37" w:id="-962883577"/>
                <w14:textFill>
                  <w14:solidFill>
                    <w14:srgbClr w14:val="000000">
                      <w14:alpha w14:val="100000"/>
                    </w14:srgbClr>
                  </w14:solidFill>
                </w14:textFill>
              </w:rPr>
              <w:t xml:space="preserve">　</w:t>
            </w:r>
            <w:r w:rsidR="00BD2ADC" w:rsidRPr="00BD2ADC">
              <w:rPr>
                <w:vertAlign w:val="superscript"/>
              </w:rPr>
              <w:t>4</w:t>
            </w:r>
          </w:p>
        </w:tc>
        <w:tc>
          <w:tcPr>
            <w:tcW w:w="611" w:type="pct"/>
            <w:shd w:val="clear" w:color="auto" w:fill="auto"/>
          </w:tcPr>
          <w:p w14:paraId="5FE5021A" w14:textId="2D547EB0"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8" w:id="-962883576"/>
                <w14:textFill>
                  <w14:solidFill>
                    <w14:srgbClr w14:val="000000">
                      <w14:alpha w14:val="100000"/>
                    </w14:srgbClr>
                  </w14:solidFill>
                </w14:textFill>
              </w:rPr>
              <w:t xml:space="preserve">　</w:t>
            </w:r>
            <w:r w:rsidRPr="00E70DA3">
              <w:rPr>
                <w:color w:val="000000"/>
                <w:w w:val="15"/>
                <w:shd w:val="solid" w:color="000000" w:fill="000000"/>
                <w:fitText w:val="38" w:id="-962883576"/>
                <w14:textFill>
                  <w14:solidFill>
                    <w14:srgbClr w14:val="000000">
                      <w14:alpha w14:val="100000"/>
                    </w14:srgbClr>
                  </w14:solidFill>
                </w14:textFill>
              </w:rPr>
              <w:t>|</w:t>
            </w:r>
            <w:r w:rsidRPr="00E70DA3">
              <w:rPr>
                <w:rFonts w:hint="eastAsia"/>
                <w:color w:val="000000"/>
                <w:spacing w:val="-27"/>
                <w:w w:val="15"/>
                <w:shd w:val="solid" w:color="000000" w:fill="000000"/>
                <w:fitText w:val="38" w:id="-962883576"/>
                <w14:textFill>
                  <w14:solidFill>
                    <w14:srgbClr w14:val="000000">
                      <w14:alpha w14:val="100000"/>
                    </w14:srgbClr>
                  </w14:solidFill>
                </w14:textFill>
              </w:rPr>
              <w:t xml:space="preserve">　</w:t>
            </w:r>
            <w:r w:rsidR="00BD2ADC" w:rsidRPr="00BD2ADC">
              <w:rPr>
                <w:vertAlign w:val="superscript"/>
              </w:rPr>
              <w:t>4</w:t>
            </w:r>
          </w:p>
        </w:tc>
        <w:tc>
          <w:tcPr>
            <w:tcW w:w="611" w:type="pct"/>
          </w:tcPr>
          <w:p w14:paraId="6F8E9082" w14:textId="3B5D32F6"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5"/>
                <w14:textFill>
                  <w14:solidFill>
                    <w14:srgbClr w14:val="000000">
                      <w14:alpha w14:val="100000"/>
                    </w14:srgbClr>
                  </w14:solidFill>
                </w14:textFill>
              </w:rPr>
              <w:t xml:space="preserve">　</w:t>
            </w:r>
            <w:r w:rsidRPr="00E70DA3">
              <w:rPr>
                <w:color w:val="000000"/>
                <w:w w:val="15"/>
                <w:shd w:val="solid" w:color="000000" w:fill="000000"/>
                <w:fitText w:val="37" w:id="-962883575"/>
                <w14:textFill>
                  <w14:solidFill>
                    <w14:srgbClr w14:val="000000">
                      <w14:alpha w14:val="100000"/>
                    </w14:srgbClr>
                  </w14:solidFill>
                </w14:textFill>
              </w:rPr>
              <w:t>|</w:t>
            </w:r>
            <w:r w:rsidRPr="00E70DA3">
              <w:rPr>
                <w:rFonts w:hint="eastAsia"/>
                <w:color w:val="000000"/>
                <w:spacing w:val="-28"/>
                <w:w w:val="15"/>
                <w:shd w:val="solid" w:color="000000" w:fill="000000"/>
                <w:fitText w:val="37" w:id="-962883575"/>
                <w14:textFill>
                  <w14:solidFill>
                    <w14:srgbClr w14:val="000000">
                      <w14:alpha w14:val="100000"/>
                    </w14:srgbClr>
                  </w14:solidFill>
                </w14:textFill>
              </w:rPr>
              <w:t xml:space="preserve">　</w:t>
            </w:r>
            <w:r w:rsidR="00BD2ADC" w:rsidRPr="00BD2ADC">
              <w:rPr>
                <w:vertAlign w:val="superscript"/>
              </w:rPr>
              <w:t>4</w:t>
            </w:r>
          </w:p>
        </w:tc>
      </w:tr>
      <w:tr w:rsidR="00385A9D" w:rsidRPr="00D8548E" w14:paraId="344AC0E2" w14:textId="77777777" w:rsidTr="009C3A3A">
        <w:tc>
          <w:tcPr>
            <w:tcW w:w="5000" w:type="pct"/>
            <w:gridSpan w:val="7"/>
            <w:shd w:val="clear" w:color="auto" w:fill="auto"/>
            <w:vAlign w:val="center"/>
          </w:tcPr>
          <w:p w14:paraId="0FF7E64D" w14:textId="283446E1" w:rsidR="00385A9D" w:rsidRPr="00D8548E" w:rsidRDefault="00385A9D" w:rsidP="000540A4">
            <w:pPr>
              <w:pStyle w:val="TableText0"/>
              <w:rPr>
                <w:b/>
                <w:bCs w:val="0"/>
              </w:rPr>
            </w:pPr>
            <w:r w:rsidRPr="00D8548E">
              <w:rPr>
                <w:b/>
                <w:bCs w:val="0"/>
              </w:rPr>
              <w:t xml:space="preserve">Estimated financial implications for </w:t>
            </w:r>
            <w:r w:rsidR="00BA29F2" w:rsidRPr="00D8548E">
              <w:rPr>
                <w:b/>
                <w:bCs w:val="0"/>
              </w:rPr>
              <w:t>aQIV</w:t>
            </w:r>
            <w:r w:rsidR="006964F9" w:rsidRPr="00D8548E">
              <w:rPr>
                <w:b/>
                <w:bCs w:val="0"/>
              </w:rPr>
              <w:t xml:space="preserve"> </w:t>
            </w:r>
          </w:p>
        </w:tc>
      </w:tr>
      <w:tr w:rsidR="006964F9" w:rsidRPr="00D8548E" w14:paraId="0CE077D9" w14:textId="77777777" w:rsidTr="0094220B">
        <w:tc>
          <w:tcPr>
            <w:tcW w:w="1334" w:type="pct"/>
            <w:shd w:val="clear" w:color="auto" w:fill="auto"/>
            <w:vAlign w:val="center"/>
          </w:tcPr>
          <w:p w14:paraId="40F6A2C5" w14:textId="289485B6" w:rsidR="006964F9" w:rsidRPr="00D8548E" w:rsidRDefault="006964F9" w:rsidP="000540A4">
            <w:pPr>
              <w:pStyle w:val="TableText0"/>
            </w:pPr>
            <w:r w:rsidRPr="00D8548E">
              <w:t>Cost to NIP</w:t>
            </w:r>
          </w:p>
        </w:tc>
        <w:tc>
          <w:tcPr>
            <w:tcW w:w="611" w:type="pct"/>
            <w:shd w:val="clear" w:color="auto" w:fill="auto"/>
          </w:tcPr>
          <w:p w14:paraId="50CF2446" w14:textId="5EAD7ED7" w:rsidR="006964F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4"/>
                <w14:textFill>
                  <w14:solidFill>
                    <w14:srgbClr w14:val="000000">
                      <w14:alpha w14:val="100000"/>
                    </w14:srgbClr>
                  </w14:solidFill>
                </w14:textFill>
              </w:rPr>
              <w:t xml:space="preserve">　</w:t>
            </w:r>
            <w:r w:rsidRPr="00E70DA3">
              <w:rPr>
                <w:color w:val="000000"/>
                <w:w w:val="15"/>
                <w:shd w:val="solid" w:color="000000" w:fill="000000"/>
                <w:fitText w:val="37" w:id="-962883574"/>
                <w14:textFill>
                  <w14:solidFill>
                    <w14:srgbClr w14:val="000000">
                      <w14:alpha w14:val="100000"/>
                    </w14:srgbClr>
                  </w14:solidFill>
                </w14:textFill>
              </w:rPr>
              <w:t>|</w:t>
            </w:r>
            <w:r w:rsidRPr="00E70DA3">
              <w:rPr>
                <w:rFonts w:hint="eastAsia"/>
                <w:color w:val="000000"/>
                <w:spacing w:val="-28"/>
                <w:w w:val="15"/>
                <w:shd w:val="solid" w:color="000000" w:fill="000000"/>
                <w:fitText w:val="37" w:id="-962883574"/>
                <w14:textFill>
                  <w14:solidFill>
                    <w14:srgbClr w14:val="000000">
                      <w14:alpha w14:val="100000"/>
                    </w14:srgbClr>
                  </w14:solidFill>
                </w14:textFill>
              </w:rPr>
              <w:t xml:space="preserve">　</w:t>
            </w:r>
            <w:r w:rsidR="00BD2ADC" w:rsidRPr="00BD2ADC">
              <w:rPr>
                <w:vertAlign w:val="superscript"/>
              </w:rPr>
              <w:t>5</w:t>
            </w:r>
          </w:p>
        </w:tc>
        <w:tc>
          <w:tcPr>
            <w:tcW w:w="611" w:type="pct"/>
            <w:shd w:val="clear" w:color="auto" w:fill="auto"/>
          </w:tcPr>
          <w:p w14:paraId="35AF80ED" w14:textId="6417988E" w:rsidR="006964F9" w:rsidRPr="00B56083" w:rsidRDefault="00E70DA3" w:rsidP="000540A4">
            <w:pPr>
              <w:pStyle w:val="TableText0"/>
              <w:jc w:val="center"/>
              <w:rPr>
                <w:highlight w:val="lightGray"/>
              </w:rPr>
            </w:pPr>
            <w:r w:rsidRPr="00E70DA3">
              <w:rPr>
                <w:rFonts w:hint="eastAsia"/>
                <w:color w:val="000000"/>
                <w:w w:val="15"/>
                <w:shd w:val="solid" w:color="000000" w:fill="000000"/>
                <w:fitText w:val="38" w:id="-962883573"/>
                <w14:textFill>
                  <w14:solidFill>
                    <w14:srgbClr w14:val="000000">
                      <w14:alpha w14:val="100000"/>
                    </w14:srgbClr>
                  </w14:solidFill>
                </w14:textFill>
              </w:rPr>
              <w:t xml:space="preserve">　</w:t>
            </w:r>
            <w:r w:rsidRPr="00E70DA3">
              <w:rPr>
                <w:color w:val="000000"/>
                <w:w w:val="15"/>
                <w:shd w:val="solid" w:color="000000" w:fill="000000"/>
                <w:fitText w:val="38" w:id="-962883573"/>
                <w14:textFill>
                  <w14:solidFill>
                    <w14:srgbClr w14:val="000000">
                      <w14:alpha w14:val="100000"/>
                    </w14:srgbClr>
                  </w14:solidFill>
                </w14:textFill>
              </w:rPr>
              <w:t>|</w:t>
            </w:r>
            <w:r w:rsidRPr="00E70DA3">
              <w:rPr>
                <w:rFonts w:hint="eastAsia"/>
                <w:color w:val="000000"/>
                <w:spacing w:val="-27"/>
                <w:w w:val="15"/>
                <w:shd w:val="solid" w:color="000000" w:fill="000000"/>
                <w:fitText w:val="38" w:id="-962883573"/>
                <w14:textFill>
                  <w14:solidFill>
                    <w14:srgbClr w14:val="000000">
                      <w14:alpha w14:val="100000"/>
                    </w14:srgbClr>
                  </w14:solidFill>
                </w14:textFill>
              </w:rPr>
              <w:t xml:space="preserve">　</w:t>
            </w:r>
            <w:r w:rsidR="00BD2ADC" w:rsidRPr="00BD2ADC">
              <w:rPr>
                <w:vertAlign w:val="superscript"/>
              </w:rPr>
              <w:t>5</w:t>
            </w:r>
          </w:p>
        </w:tc>
        <w:tc>
          <w:tcPr>
            <w:tcW w:w="611" w:type="pct"/>
            <w:shd w:val="clear" w:color="auto" w:fill="auto"/>
          </w:tcPr>
          <w:p w14:paraId="28F1C25D" w14:textId="1DA1DDEF" w:rsidR="006964F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2"/>
                <w14:textFill>
                  <w14:solidFill>
                    <w14:srgbClr w14:val="000000">
                      <w14:alpha w14:val="100000"/>
                    </w14:srgbClr>
                  </w14:solidFill>
                </w14:textFill>
              </w:rPr>
              <w:t xml:space="preserve">　</w:t>
            </w:r>
            <w:r w:rsidRPr="00E70DA3">
              <w:rPr>
                <w:color w:val="000000"/>
                <w:w w:val="15"/>
                <w:shd w:val="solid" w:color="000000" w:fill="000000"/>
                <w:fitText w:val="37" w:id="-962883572"/>
                <w14:textFill>
                  <w14:solidFill>
                    <w14:srgbClr w14:val="000000">
                      <w14:alpha w14:val="100000"/>
                    </w14:srgbClr>
                  </w14:solidFill>
                </w14:textFill>
              </w:rPr>
              <w:t>|</w:t>
            </w:r>
            <w:r w:rsidRPr="00E70DA3">
              <w:rPr>
                <w:rFonts w:hint="eastAsia"/>
                <w:color w:val="000000"/>
                <w:spacing w:val="-28"/>
                <w:w w:val="15"/>
                <w:shd w:val="solid" w:color="000000" w:fill="000000"/>
                <w:fitText w:val="37" w:id="-962883572"/>
                <w14:textFill>
                  <w14:solidFill>
                    <w14:srgbClr w14:val="000000">
                      <w14:alpha w14:val="100000"/>
                    </w14:srgbClr>
                  </w14:solidFill>
                </w14:textFill>
              </w:rPr>
              <w:t xml:space="preserve">　</w:t>
            </w:r>
            <w:r w:rsidR="00BD2ADC" w:rsidRPr="00BD2ADC">
              <w:rPr>
                <w:vertAlign w:val="superscript"/>
              </w:rPr>
              <w:t>5</w:t>
            </w:r>
          </w:p>
        </w:tc>
        <w:tc>
          <w:tcPr>
            <w:tcW w:w="611" w:type="pct"/>
            <w:shd w:val="clear" w:color="auto" w:fill="auto"/>
          </w:tcPr>
          <w:p w14:paraId="5DBA4173" w14:textId="1B593DE2" w:rsidR="006964F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71"/>
                <w14:textFill>
                  <w14:solidFill>
                    <w14:srgbClr w14:val="000000">
                      <w14:alpha w14:val="100000"/>
                    </w14:srgbClr>
                  </w14:solidFill>
                </w14:textFill>
              </w:rPr>
              <w:t xml:space="preserve">　</w:t>
            </w:r>
            <w:r w:rsidRPr="00E70DA3">
              <w:rPr>
                <w:color w:val="000000"/>
                <w:w w:val="15"/>
                <w:shd w:val="solid" w:color="000000" w:fill="000000"/>
                <w:fitText w:val="37" w:id="-962883571"/>
                <w14:textFill>
                  <w14:solidFill>
                    <w14:srgbClr w14:val="000000">
                      <w14:alpha w14:val="100000"/>
                    </w14:srgbClr>
                  </w14:solidFill>
                </w14:textFill>
              </w:rPr>
              <w:t>|</w:t>
            </w:r>
            <w:r w:rsidRPr="00E70DA3">
              <w:rPr>
                <w:rFonts w:hint="eastAsia"/>
                <w:color w:val="000000"/>
                <w:spacing w:val="-28"/>
                <w:w w:val="15"/>
                <w:shd w:val="solid" w:color="000000" w:fill="000000"/>
                <w:fitText w:val="37" w:id="-962883571"/>
                <w14:textFill>
                  <w14:solidFill>
                    <w14:srgbClr w14:val="000000">
                      <w14:alpha w14:val="100000"/>
                    </w14:srgbClr>
                  </w14:solidFill>
                </w14:textFill>
              </w:rPr>
              <w:t xml:space="preserve">　</w:t>
            </w:r>
            <w:r w:rsidR="00BD2ADC" w:rsidRPr="00BD2ADC">
              <w:rPr>
                <w:vertAlign w:val="superscript"/>
              </w:rPr>
              <w:t>5</w:t>
            </w:r>
          </w:p>
        </w:tc>
        <w:tc>
          <w:tcPr>
            <w:tcW w:w="611" w:type="pct"/>
            <w:shd w:val="clear" w:color="auto" w:fill="auto"/>
          </w:tcPr>
          <w:p w14:paraId="4D6DC68C" w14:textId="2FF5340D" w:rsidR="006964F9" w:rsidRPr="00B56083" w:rsidRDefault="00E70DA3" w:rsidP="000540A4">
            <w:pPr>
              <w:pStyle w:val="TableText0"/>
              <w:jc w:val="center"/>
              <w:rPr>
                <w:highlight w:val="lightGray"/>
              </w:rPr>
            </w:pPr>
            <w:r w:rsidRPr="00E70DA3">
              <w:rPr>
                <w:rFonts w:hint="eastAsia"/>
                <w:color w:val="000000"/>
                <w:w w:val="15"/>
                <w:shd w:val="solid" w:color="000000" w:fill="000000"/>
                <w:fitText w:val="38" w:id="-962883570"/>
                <w14:textFill>
                  <w14:solidFill>
                    <w14:srgbClr w14:val="000000">
                      <w14:alpha w14:val="100000"/>
                    </w14:srgbClr>
                  </w14:solidFill>
                </w14:textFill>
              </w:rPr>
              <w:t xml:space="preserve">　</w:t>
            </w:r>
            <w:r w:rsidRPr="00E70DA3">
              <w:rPr>
                <w:color w:val="000000"/>
                <w:w w:val="15"/>
                <w:shd w:val="solid" w:color="000000" w:fill="000000"/>
                <w:fitText w:val="38" w:id="-962883570"/>
                <w14:textFill>
                  <w14:solidFill>
                    <w14:srgbClr w14:val="000000">
                      <w14:alpha w14:val="100000"/>
                    </w14:srgbClr>
                  </w14:solidFill>
                </w14:textFill>
              </w:rPr>
              <w:t>|</w:t>
            </w:r>
            <w:r w:rsidRPr="00E70DA3">
              <w:rPr>
                <w:rFonts w:hint="eastAsia"/>
                <w:color w:val="000000"/>
                <w:spacing w:val="-27"/>
                <w:w w:val="15"/>
                <w:shd w:val="solid" w:color="000000" w:fill="000000"/>
                <w:fitText w:val="38" w:id="-962883570"/>
                <w14:textFill>
                  <w14:solidFill>
                    <w14:srgbClr w14:val="000000">
                      <w14:alpha w14:val="100000"/>
                    </w14:srgbClr>
                  </w14:solidFill>
                </w14:textFill>
              </w:rPr>
              <w:t xml:space="preserve">　</w:t>
            </w:r>
            <w:r w:rsidR="00BD2ADC" w:rsidRPr="00BD2ADC">
              <w:rPr>
                <w:vertAlign w:val="superscript"/>
              </w:rPr>
              <w:t>5</w:t>
            </w:r>
          </w:p>
        </w:tc>
        <w:tc>
          <w:tcPr>
            <w:tcW w:w="611" w:type="pct"/>
          </w:tcPr>
          <w:p w14:paraId="0766C6AC" w14:textId="750C8CBA" w:rsidR="006964F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69"/>
                <w14:textFill>
                  <w14:solidFill>
                    <w14:srgbClr w14:val="000000">
                      <w14:alpha w14:val="100000"/>
                    </w14:srgbClr>
                  </w14:solidFill>
                </w14:textFill>
              </w:rPr>
              <w:t xml:space="preserve">　</w:t>
            </w:r>
            <w:r w:rsidRPr="00E70DA3">
              <w:rPr>
                <w:color w:val="000000"/>
                <w:w w:val="15"/>
                <w:shd w:val="solid" w:color="000000" w:fill="000000"/>
                <w:fitText w:val="37" w:id="-962883569"/>
                <w14:textFill>
                  <w14:solidFill>
                    <w14:srgbClr w14:val="000000">
                      <w14:alpha w14:val="100000"/>
                    </w14:srgbClr>
                  </w14:solidFill>
                </w14:textFill>
              </w:rPr>
              <w:t>|</w:t>
            </w:r>
            <w:r w:rsidRPr="00E70DA3">
              <w:rPr>
                <w:rFonts w:hint="eastAsia"/>
                <w:color w:val="000000"/>
                <w:spacing w:val="-28"/>
                <w:w w:val="15"/>
                <w:shd w:val="solid" w:color="000000" w:fill="000000"/>
                <w:fitText w:val="37" w:id="-962883569"/>
                <w14:textFill>
                  <w14:solidFill>
                    <w14:srgbClr w14:val="000000">
                      <w14:alpha w14:val="100000"/>
                    </w14:srgbClr>
                  </w14:solidFill>
                </w14:textFill>
              </w:rPr>
              <w:t xml:space="preserve">　</w:t>
            </w:r>
            <w:r w:rsidR="00BD2ADC" w:rsidRPr="00BD2ADC">
              <w:rPr>
                <w:vertAlign w:val="superscript"/>
              </w:rPr>
              <w:t>5</w:t>
            </w:r>
          </w:p>
        </w:tc>
      </w:tr>
      <w:tr w:rsidR="00385A9D" w:rsidRPr="00D8548E" w14:paraId="4FA07BD8" w14:textId="77777777" w:rsidTr="009C3A3A">
        <w:tc>
          <w:tcPr>
            <w:tcW w:w="5000" w:type="pct"/>
            <w:gridSpan w:val="7"/>
            <w:shd w:val="clear" w:color="auto" w:fill="auto"/>
            <w:vAlign w:val="center"/>
          </w:tcPr>
          <w:p w14:paraId="1A627EA0" w14:textId="51EE30EB" w:rsidR="00385A9D" w:rsidRPr="00D8548E" w:rsidRDefault="00385A9D" w:rsidP="000540A4">
            <w:pPr>
              <w:pStyle w:val="In-tableHeading"/>
            </w:pPr>
            <w:r w:rsidRPr="00D8548E">
              <w:t>Net financial implications</w:t>
            </w:r>
            <w:r w:rsidRPr="00D8548E">
              <w:rPr>
                <w:color w:val="4BACC6" w:themeColor="accent5"/>
              </w:rPr>
              <w:t xml:space="preserve"> </w:t>
            </w:r>
          </w:p>
        </w:tc>
      </w:tr>
      <w:tr w:rsidR="00F515B9" w:rsidRPr="00D8548E" w14:paraId="3F33D4C6" w14:textId="77777777" w:rsidTr="00206657">
        <w:tc>
          <w:tcPr>
            <w:tcW w:w="1334" w:type="pct"/>
            <w:shd w:val="clear" w:color="auto" w:fill="auto"/>
            <w:vAlign w:val="center"/>
          </w:tcPr>
          <w:p w14:paraId="5ABBDE64" w14:textId="67AF6F7F" w:rsidR="00F515B9" w:rsidRPr="00D8548E" w:rsidRDefault="00F515B9" w:rsidP="000540A4">
            <w:pPr>
              <w:pStyle w:val="TableText0"/>
              <w:rPr>
                <w:sz w:val="19"/>
                <w:szCs w:val="19"/>
              </w:rPr>
            </w:pPr>
            <w:r w:rsidRPr="00D8548E">
              <w:t>Net cost to NIP</w:t>
            </w:r>
          </w:p>
        </w:tc>
        <w:tc>
          <w:tcPr>
            <w:tcW w:w="611" w:type="pct"/>
            <w:shd w:val="clear" w:color="auto" w:fill="auto"/>
          </w:tcPr>
          <w:p w14:paraId="744F82C2" w14:textId="74D74CC7"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68"/>
                <w14:textFill>
                  <w14:solidFill>
                    <w14:srgbClr w14:val="000000">
                      <w14:alpha w14:val="100000"/>
                    </w14:srgbClr>
                  </w14:solidFill>
                </w14:textFill>
              </w:rPr>
              <w:t xml:space="preserve">　</w:t>
            </w:r>
            <w:r w:rsidRPr="00E70DA3">
              <w:rPr>
                <w:color w:val="000000"/>
                <w:w w:val="15"/>
                <w:shd w:val="solid" w:color="000000" w:fill="000000"/>
                <w:fitText w:val="37" w:id="-962883568"/>
                <w14:textFill>
                  <w14:solidFill>
                    <w14:srgbClr w14:val="000000">
                      <w14:alpha w14:val="100000"/>
                    </w14:srgbClr>
                  </w14:solidFill>
                </w14:textFill>
              </w:rPr>
              <w:t>|</w:t>
            </w:r>
            <w:r w:rsidRPr="00E70DA3">
              <w:rPr>
                <w:rFonts w:hint="eastAsia"/>
                <w:color w:val="000000"/>
                <w:spacing w:val="-28"/>
                <w:w w:val="15"/>
                <w:shd w:val="solid" w:color="000000" w:fill="000000"/>
                <w:fitText w:val="37" w:id="-962883568"/>
                <w14:textFill>
                  <w14:solidFill>
                    <w14:srgbClr w14:val="000000">
                      <w14:alpha w14:val="100000"/>
                    </w14:srgbClr>
                  </w14:solidFill>
                </w14:textFill>
              </w:rPr>
              <w:t xml:space="preserve">　</w:t>
            </w:r>
            <w:r w:rsidR="00BD2ADC" w:rsidRPr="00BD2ADC">
              <w:rPr>
                <w:vertAlign w:val="superscript"/>
              </w:rPr>
              <w:t>6</w:t>
            </w:r>
          </w:p>
        </w:tc>
        <w:tc>
          <w:tcPr>
            <w:tcW w:w="611" w:type="pct"/>
            <w:shd w:val="clear" w:color="auto" w:fill="auto"/>
          </w:tcPr>
          <w:p w14:paraId="295843EA" w14:textId="009FC543"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8" w:id="-962883584"/>
                <w14:textFill>
                  <w14:solidFill>
                    <w14:srgbClr w14:val="000000">
                      <w14:alpha w14:val="100000"/>
                    </w14:srgbClr>
                  </w14:solidFill>
                </w14:textFill>
              </w:rPr>
              <w:t xml:space="preserve">　</w:t>
            </w:r>
            <w:r w:rsidRPr="00E70DA3">
              <w:rPr>
                <w:color w:val="000000"/>
                <w:w w:val="15"/>
                <w:shd w:val="solid" w:color="000000" w:fill="000000"/>
                <w:fitText w:val="38" w:id="-962883584"/>
                <w14:textFill>
                  <w14:solidFill>
                    <w14:srgbClr w14:val="000000">
                      <w14:alpha w14:val="100000"/>
                    </w14:srgbClr>
                  </w14:solidFill>
                </w14:textFill>
              </w:rPr>
              <w:t>|</w:t>
            </w:r>
            <w:r w:rsidRPr="00E70DA3">
              <w:rPr>
                <w:rFonts w:hint="eastAsia"/>
                <w:color w:val="000000"/>
                <w:spacing w:val="-27"/>
                <w:w w:val="15"/>
                <w:shd w:val="solid" w:color="000000" w:fill="000000"/>
                <w:fitText w:val="38" w:id="-962883584"/>
                <w14:textFill>
                  <w14:solidFill>
                    <w14:srgbClr w14:val="000000">
                      <w14:alpha w14:val="100000"/>
                    </w14:srgbClr>
                  </w14:solidFill>
                </w14:textFill>
              </w:rPr>
              <w:t xml:space="preserve">　</w:t>
            </w:r>
            <w:r w:rsidR="00BD2ADC" w:rsidRPr="00BD2ADC">
              <w:rPr>
                <w:vertAlign w:val="superscript"/>
              </w:rPr>
              <w:t>6</w:t>
            </w:r>
          </w:p>
        </w:tc>
        <w:tc>
          <w:tcPr>
            <w:tcW w:w="611" w:type="pct"/>
            <w:shd w:val="clear" w:color="auto" w:fill="auto"/>
          </w:tcPr>
          <w:p w14:paraId="3A32302A" w14:textId="6DB314C2"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83"/>
                <w14:textFill>
                  <w14:solidFill>
                    <w14:srgbClr w14:val="000000">
                      <w14:alpha w14:val="100000"/>
                    </w14:srgbClr>
                  </w14:solidFill>
                </w14:textFill>
              </w:rPr>
              <w:t xml:space="preserve">　</w:t>
            </w:r>
            <w:r w:rsidRPr="00E70DA3">
              <w:rPr>
                <w:color w:val="000000"/>
                <w:w w:val="15"/>
                <w:shd w:val="solid" w:color="000000" w:fill="000000"/>
                <w:fitText w:val="37" w:id="-962883583"/>
                <w14:textFill>
                  <w14:solidFill>
                    <w14:srgbClr w14:val="000000">
                      <w14:alpha w14:val="100000"/>
                    </w14:srgbClr>
                  </w14:solidFill>
                </w14:textFill>
              </w:rPr>
              <w:t>|</w:t>
            </w:r>
            <w:r w:rsidRPr="00E70DA3">
              <w:rPr>
                <w:rFonts w:hint="eastAsia"/>
                <w:color w:val="000000"/>
                <w:spacing w:val="-28"/>
                <w:w w:val="15"/>
                <w:shd w:val="solid" w:color="000000" w:fill="000000"/>
                <w:fitText w:val="37" w:id="-962883583"/>
                <w14:textFill>
                  <w14:solidFill>
                    <w14:srgbClr w14:val="000000">
                      <w14:alpha w14:val="100000"/>
                    </w14:srgbClr>
                  </w14:solidFill>
                </w14:textFill>
              </w:rPr>
              <w:t xml:space="preserve">　</w:t>
            </w:r>
            <w:r w:rsidR="00BD2ADC" w:rsidRPr="00BD2ADC">
              <w:rPr>
                <w:vertAlign w:val="superscript"/>
              </w:rPr>
              <w:t>6</w:t>
            </w:r>
          </w:p>
        </w:tc>
        <w:tc>
          <w:tcPr>
            <w:tcW w:w="611" w:type="pct"/>
            <w:shd w:val="clear" w:color="auto" w:fill="auto"/>
          </w:tcPr>
          <w:p w14:paraId="326E9207" w14:textId="28CD80B7"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82"/>
                <w14:textFill>
                  <w14:solidFill>
                    <w14:srgbClr w14:val="000000">
                      <w14:alpha w14:val="100000"/>
                    </w14:srgbClr>
                  </w14:solidFill>
                </w14:textFill>
              </w:rPr>
              <w:t xml:space="preserve">　</w:t>
            </w:r>
            <w:r w:rsidRPr="00E70DA3">
              <w:rPr>
                <w:color w:val="000000"/>
                <w:w w:val="15"/>
                <w:shd w:val="solid" w:color="000000" w:fill="000000"/>
                <w:fitText w:val="37" w:id="-962883582"/>
                <w14:textFill>
                  <w14:solidFill>
                    <w14:srgbClr w14:val="000000">
                      <w14:alpha w14:val="100000"/>
                    </w14:srgbClr>
                  </w14:solidFill>
                </w14:textFill>
              </w:rPr>
              <w:t>|</w:t>
            </w:r>
            <w:r w:rsidRPr="00E70DA3">
              <w:rPr>
                <w:rFonts w:hint="eastAsia"/>
                <w:color w:val="000000"/>
                <w:spacing w:val="-28"/>
                <w:w w:val="15"/>
                <w:shd w:val="solid" w:color="000000" w:fill="000000"/>
                <w:fitText w:val="37" w:id="-962883582"/>
                <w14:textFill>
                  <w14:solidFill>
                    <w14:srgbClr w14:val="000000">
                      <w14:alpha w14:val="100000"/>
                    </w14:srgbClr>
                  </w14:solidFill>
                </w14:textFill>
              </w:rPr>
              <w:t xml:space="preserve">　</w:t>
            </w:r>
            <w:r w:rsidR="00BD2ADC" w:rsidRPr="00BD2ADC">
              <w:rPr>
                <w:vertAlign w:val="superscript"/>
              </w:rPr>
              <w:t>6</w:t>
            </w:r>
          </w:p>
        </w:tc>
        <w:tc>
          <w:tcPr>
            <w:tcW w:w="611" w:type="pct"/>
            <w:shd w:val="clear" w:color="auto" w:fill="auto"/>
          </w:tcPr>
          <w:p w14:paraId="56E4D70E" w14:textId="2BC52665"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8" w:id="-962883581"/>
                <w14:textFill>
                  <w14:solidFill>
                    <w14:srgbClr w14:val="000000">
                      <w14:alpha w14:val="100000"/>
                    </w14:srgbClr>
                  </w14:solidFill>
                </w14:textFill>
              </w:rPr>
              <w:t xml:space="preserve">　</w:t>
            </w:r>
            <w:r w:rsidRPr="00E70DA3">
              <w:rPr>
                <w:color w:val="000000"/>
                <w:w w:val="15"/>
                <w:shd w:val="solid" w:color="000000" w:fill="000000"/>
                <w:fitText w:val="38" w:id="-962883581"/>
                <w14:textFill>
                  <w14:solidFill>
                    <w14:srgbClr w14:val="000000">
                      <w14:alpha w14:val="100000"/>
                    </w14:srgbClr>
                  </w14:solidFill>
                </w14:textFill>
              </w:rPr>
              <w:t>|</w:t>
            </w:r>
            <w:r w:rsidRPr="00E70DA3">
              <w:rPr>
                <w:rFonts w:hint="eastAsia"/>
                <w:color w:val="000000"/>
                <w:spacing w:val="-27"/>
                <w:w w:val="15"/>
                <w:shd w:val="solid" w:color="000000" w:fill="000000"/>
                <w:fitText w:val="38" w:id="-962883581"/>
                <w14:textFill>
                  <w14:solidFill>
                    <w14:srgbClr w14:val="000000">
                      <w14:alpha w14:val="100000"/>
                    </w14:srgbClr>
                  </w14:solidFill>
                </w14:textFill>
              </w:rPr>
              <w:t xml:space="preserve">　</w:t>
            </w:r>
            <w:r w:rsidR="00BD2ADC" w:rsidRPr="00BD2ADC">
              <w:rPr>
                <w:vertAlign w:val="superscript"/>
              </w:rPr>
              <w:t>6</w:t>
            </w:r>
          </w:p>
        </w:tc>
        <w:tc>
          <w:tcPr>
            <w:tcW w:w="611" w:type="pct"/>
          </w:tcPr>
          <w:p w14:paraId="241B1CFD" w14:textId="4079F703" w:rsidR="00F515B9" w:rsidRPr="00B56083" w:rsidRDefault="00E70DA3" w:rsidP="000540A4">
            <w:pPr>
              <w:pStyle w:val="TableText0"/>
              <w:jc w:val="center"/>
              <w:rPr>
                <w:highlight w:val="lightGray"/>
              </w:rPr>
            </w:pPr>
            <w:r w:rsidRPr="00E70DA3">
              <w:rPr>
                <w:rFonts w:hint="eastAsia"/>
                <w:color w:val="000000"/>
                <w:w w:val="15"/>
                <w:shd w:val="solid" w:color="000000" w:fill="000000"/>
                <w:fitText w:val="37" w:id="-962883580"/>
                <w14:textFill>
                  <w14:solidFill>
                    <w14:srgbClr w14:val="000000">
                      <w14:alpha w14:val="100000"/>
                    </w14:srgbClr>
                  </w14:solidFill>
                </w14:textFill>
              </w:rPr>
              <w:t xml:space="preserve">　</w:t>
            </w:r>
            <w:r w:rsidRPr="00E70DA3">
              <w:rPr>
                <w:color w:val="000000"/>
                <w:w w:val="15"/>
                <w:shd w:val="solid" w:color="000000" w:fill="000000"/>
                <w:fitText w:val="37" w:id="-962883580"/>
                <w14:textFill>
                  <w14:solidFill>
                    <w14:srgbClr w14:val="000000">
                      <w14:alpha w14:val="100000"/>
                    </w14:srgbClr>
                  </w14:solidFill>
                </w14:textFill>
              </w:rPr>
              <w:t>|</w:t>
            </w:r>
            <w:r w:rsidRPr="00E70DA3">
              <w:rPr>
                <w:rFonts w:hint="eastAsia"/>
                <w:color w:val="000000"/>
                <w:spacing w:val="-28"/>
                <w:w w:val="15"/>
                <w:shd w:val="solid" w:color="000000" w:fill="000000"/>
                <w:fitText w:val="37" w:id="-962883580"/>
                <w14:textFill>
                  <w14:solidFill>
                    <w14:srgbClr w14:val="000000">
                      <w14:alpha w14:val="100000"/>
                    </w14:srgbClr>
                  </w14:solidFill>
                </w14:textFill>
              </w:rPr>
              <w:t xml:space="preserve">　</w:t>
            </w:r>
            <w:r w:rsidR="00BD2ADC" w:rsidRPr="00BD2ADC">
              <w:rPr>
                <w:vertAlign w:val="superscript"/>
              </w:rPr>
              <w:t>6</w:t>
            </w:r>
          </w:p>
        </w:tc>
      </w:tr>
    </w:tbl>
    <w:p w14:paraId="484CF5B6" w14:textId="11E97CA3" w:rsidR="00620C25" w:rsidRDefault="00620C25" w:rsidP="000540A4">
      <w:pPr>
        <w:pStyle w:val="FooterTableFigure"/>
        <w:keepNext/>
      </w:pPr>
      <w:r w:rsidRPr="00D8548E">
        <w:t xml:space="preserve">Source: </w:t>
      </w:r>
      <w:r w:rsidR="00F515B9" w:rsidRPr="00D8548E">
        <w:t>Table 4.1, p55 of the submission</w:t>
      </w:r>
      <w:r w:rsidR="006964F9" w:rsidRPr="00D8548E">
        <w:t>, Table 4.4, p57 of the submission.</w:t>
      </w:r>
    </w:p>
    <w:p w14:paraId="77D1F328" w14:textId="7AC2FB95" w:rsidR="00B56083" w:rsidRPr="00CD5614" w:rsidRDefault="00B56083" w:rsidP="000540A4">
      <w:pPr>
        <w:pStyle w:val="FooterTableFigure"/>
        <w:keepNext/>
        <w:rPr>
          <w:i/>
          <w:iCs/>
        </w:rPr>
      </w:pPr>
      <w:r w:rsidRPr="00CD5614">
        <w:rPr>
          <w:i/>
          <w:iCs/>
        </w:rPr>
        <w:t>The redacted values correspond to the following ranges:</w:t>
      </w:r>
    </w:p>
    <w:p w14:paraId="4FC1F7D2" w14:textId="36C5137D" w:rsidR="00B56083" w:rsidRPr="00CD5614" w:rsidRDefault="00B56083" w:rsidP="000540A4">
      <w:pPr>
        <w:pStyle w:val="FooterTableFigure"/>
        <w:keepNext/>
        <w:rPr>
          <w:rStyle w:val="CommentReference"/>
          <w:b w:val="0"/>
          <w:bCs/>
          <w:i/>
          <w:iCs/>
          <w:sz w:val="18"/>
          <w:szCs w:val="18"/>
        </w:rPr>
      </w:pPr>
      <w:r w:rsidRPr="00CD5614">
        <w:rPr>
          <w:rStyle w:val="CommentReference"/>
          <w:b w:val="0"/>
          <w:bCs/>
          <w:i/>
          <w:iCs/>
          <w:sz w:val="18"/>
          <w:szCs w:val="18"/>
          <w:vertAlign w:val="superscript"/>
        </w:rPr>
        <w:t>1</w:t>
      </w:r>
      <w:r w:rsidRPr="00CD5614">
        <w:rPr>
          <w:rStyle w:val="CommentReference"/>
          <w:b w:val="0"/>
          <w:bCs/>
          <w:i/>
          <w:iCs/>
          <w:sz w:val="18"/>
          <w:szCs w:val="18"/>
        </w:rPr>
        <w:t xml:space="preserve"> 4,000,000 to &lt; 6,000,000</w:t>
      </w:r>
    </w:p>
    <w:p w14:paraId="40B227F0" w14:textId="439D335C" w:rsidR="00B56083" w:rsidRPr="00CD5614" w:rsidRDefault="00B56083" w:rsidP="000540A4">
      <w:pPr>
        <w:pStyle w:val="FooterTableFigure"/>
        <w:keepNext/>
        <w:rPr>
          <w:rStyle w:val="CommentReference"/>
          <w:b w:val="0"/>
          <w:bCs/>
          <w:i/>
          <w:iCs/>
          <w:sz w:val="18"/>
          <w:szCs w:val="18"/>
        </w:rPr>
      </w:pPr>
      <w:r w:rsidRPr="00CD5614">
        <w:rPr>
          <w:rStyle w:val="CommentReference"/>
          <w:b w:val="0"/>
          <w:bCs/>
          <w:i/>
          <w:iCs/>
          <w:sz w:val="18"/>
          <w:szCs w:val="18"/>
          <w:vertAlign w:val="superscript"/>
        </w:rPr>
        <w:t>2</w:t>
      </w:r>
      <w:r w:rsidRPr="00CD5614">
        <w:rPr>
          <w:rStyle w:val="CommentReference"/>
          <w:b w:val="0"/>
          <w:bCs/>
          <w:i/>
          <w:iCs/>
          <w:sz w:val="18"/>
          <w:szCs w:val="18"/>
        </w:rPr>
        <w:t xml:space="preserve"> 3,000,000 to &lt; 4,000,000</w:t>
      </w:r>
    </w:p>
    <w:p w14:paraId="16ED89C6" w14:textId="0A679754" w:rsidR="00B56083" w:rsidRPr="00CD5614" w:rsidRDefault="00B56083" w:rsidP="000540A4">
      <w:pPr>
        <w:pStyle w:val="FooterTableFigure"/>
        <w:keepNext/>
        <w:rPr>
          <w:rStyle w:val="CommentReference"/>
          <w:b w:val="0"/>
          <w:bCs/>
          <w:i/>
          <w:iCs/>
          <w:sz w:val="18"/>
          <w:szCs w:val="18"/>
        </w:rPr>
      </w:pPr>
      <w:r w:rsidRPr="00CD5614">
        <w:rPr>
          <w:rStyle w:val="CommentReference"/>
          <w:b w:val="0"/>
          <w:bCs/>
          <w:i/>
          <w:iCs/>
          <w:sz w:val="18"/>
          <w:szCs w:val="18"/>
          <w:vertAlign w:val="superscript"/>
        </w:rPr>
        <w:t>3</w:t>
      </w:r>
      <w:r w:rsidRPr="00CD5614">
        <w:rPr>
          <w:rStyle w:val="CommentReference"/>
          <w:b w:val="0"/>
          <w:bCs/>
          <w:i/>
          <w:iCs/>
          <w:sz w:val="18"/>
          <w:szCs w:val="18"/>
        </w:rPr>
        <w:t xml:space="preserve"> 1,000,000 to &lt; 2,000,000</w:t>
      </w:r>
    </w:p>
    <w:p w14:paraId="3C7A5C50" w14:textId="7E89EECF" w:rsidR="00BD2ADC" w:rsidRPr="00CD5614" w:rsidRDefault="00BD2ADC" w:rsidP="000540A4">
      <w:pPr>
        <w:pStyle w:val="FooterTableFigure"/>
        <w:keepNext/>
        <w:rPr>
          <w:rStyle w:val="CommentReference"/>
          <w:b w:val="0"/>
          <w:bCs/>
          <w:i/>
          <w:iCs/>
          <w:sz w:val="18"/>
          <w:szCs w:val="18"/>
        </w:rPr>
      </w:pPr>
      <w:r w:rsidRPr="00CD5614">
        <w:rPr>
          <w:rStyle w:val="CommentReference"/>
          <w:b w:val="0"/>
          <w:bCs/>
          <w:i/>
          <w:iCs/>
          <w:sz w:val="18"/>
          <w:szCs w:val="18"/>
          <w:vertAlign w:val="superscript"/>
        </w:rPr>
        <w:t>4</w:t>
      </w:r>
      <w:r w:rsidRPr="00CD5614">
        <w:rPr>
          <w:rStyle w:val="CommentReference"/>
          <w:b w:val="0"/>
          <w:bCs/>
          <w:i/>
          <w:iCs/>
          <w:sz w:val="18"/>
          <w:szCs w:val="18"/>
        </w:rPr>
        <w:t xml:space="preserve"> $30 million to &lt; $40 million</w:t>
      </w:r>
    </w:p>
    <w:p w14:paraId="08343E90" w14:textId="55BCDB60" w:rsidR="00BD2ADC" w:rsidRPr="00CD5614" w:rsidRDefault="00BD2ADC" w:rsidP="000540A4">
      <w:pPr>
        <w:pStyle w:val="FooterTableFigure"/>
        <w:keepNext/>
        <w:rPr>
          <w:rStyle w:val="CommentReference"/>
          <w:b w:val="0"/>
          <w:bCs/>
          <w:i/>
          <w:iCs/>
          <w:sz w:val="18"/>
          <w:szCs w:val="18"/>
        </w:rPr>
      </w:pPr>
      <w:r w:rsidRPr="00CD5614">
        <w:rPr>
          <w:rStyle w:val="CommentReference"/>
          <w:b w:val="0"/>
          <w:bCs/>
          <w:i/>
          <w:iCs/>
          <w:sz w:val="18"/>
          <w:szCs w:val="18"/>
          <w:vertAlign w:val="superscript"/>
        </w:rPr>
        <w:t>5</w:t>
      </w:r>
      <w:r w:rsidRPr="00CD5614">
        <w:rPr>
          <w:rStyle w:val="CommentReference"/>
          <w:b w:val="0"/>
          <w:bCs/>
          <w:i/>
          <w:iCs/>
          <w:sz w:val="18"/>
          <w:szCs w:val="18"/>
        </w:rPr>
        <w:t xml:space="preserve"> net cost saving</w:t>
      </w:r>
    </w:p>
    <w:p w14:paraId="0507BE00" w14:textId="2E7D1F3A" w:rsidR="00B56083" w:rsidRPr="0073365E" w:rsidRDefault="00BD2ADC" w:rsidP="0073365E">
      <w:pPr>
        <w:pStyle w:val="FooterTableFigure"/>
        <w:rPr>
          <w:rStyle w:val="CommentReference"/>
          <w:b w:val="0"/>
          <w:bCs/>
          <w:i/>
          <w:iCs/>
          <w:sz w:val="18"/>
          <w:szCs w:val="18"/>
        </w:rPr>
      </w:pPr>
      <w:r w:rsidRPr="00CD5614">
        <w:rPr>
          <w:rStyle w:val="CommentReference"/>
          <w:b w:val="0"/>
          <w:bCs/>
          <w:i/>
          <w:iCs/>
          <w:sz w:val="18"/>
          <w:szCs w:val="18"/>
          <w:vertAlign w:val="superscript"/>
        </w:rPr>
        <w:t>6</w:t>
      </w:r>
      <w:r w:rsidRPr="00CD5614">
        <w:rPr>
          <w:rStyle w:val="CommentReference"/>
          <w:b w:val="0"/>
          <w:bCs/>
          <w:i/>
          <w:iCs/>
          <w:sz w:val="18"/>
          <w:szCs w:val="18"/>
        </w:rPr>
        <w:t xml:space="preserve"> $0 to &lt; $10 million</w:t>
      </w:r>
    </w:p>
    <w:p w14:paraId="75586731" w14:textId="6BDF6E92" w:rsidR="000902D9" w:rsidRPr="00D8548E" w:rsidRDefault="000902D9" w:rsidP="00DA34D5">
      <w:pPr>
        <w:pStyle w:val="3-BodyText"/>
      </w:pPr>
      <w:r w:rsidRPr="00D8548E">
        <w:t xml:space="preserve">The total </w:t>
      </w:r>
      <w:r w:rsidR="00A645D2" w:rsidRPr="00D8548E">
        <w:t xml:space="preserve">net </w:t>
      </w:r>
      <w:r w:rsidRPr="00D8548E">
        <w:t xml:space="preserve">cost to the </w:t>
      </w:r>
      <w:r w:rsidR="00F515B9" w:rsidRPr="00D8548E">
        <w:t>NIP</w:t>
      </w:r>
      <w:r w:rsidRPr="00D8548E">
        <w:t xml:space="preserve"> of listing </w:t>
      </w:r>
      <w:r w:rsidR="00F515B9" w:rsidRPr="00D8548E">
        <w:t>RIV4</w:t>
      </w:r>
      <w:r w:rsidRPr="00D8548E">
        <w:t xml:space="preserve"> was estimated </w:t>
      </w:r>
      <w:r w:rsidR="00A05C32" w:rsidRPr="00D8548E">
        <w:t>to be</w:t>
      </w:r>
      <w:r w:rsidRPr="00D8548E">
        <w:t xml:space="preserve"> $</w:t>
      </w:r>
      <w:r w:rsidR="00595877">
        <w:t xml:space="preserve">0 </w:t>
      </w:r>
      <w:r w:rsidR="00BD2ADC" w:rsidRPr="00BD2ADC">
        <w:t>to &lt; $10 million</w:t>
      </w:r>
      <w:r w:rsidR="00BD2ADC" w:rsidRPr="00BD2ADC" w:rsidDel="00BD2ADC">
        <w:t xml:space="preserve"> </w:t>
      </w:r>
      <w:r w:rsidRPr="00D8548E">
        <w:t xml:space="preserve">in Year 6, and a total of </w:t>
      </w:r>
      <w:r w:rsidR="00F515B9" w:rsidRPr="00D8548E">
        <w:t>$</w:t>
      </w:r>
      <w:r w:rsidR="00BD2ADC" w:rsidRPr="00BD2ADC">
        <w:t>40 million to &lt; $50 million</w:t>
      </w:r>
      <w:r w:rsidR="006200AE">
        <w:t xml:space="preserve"> </w:t>
      </w:r>
      <w:r w:rsidRPr="00D8548E">
        <w:t>in the first 6 years of listing</w:t>
      </w:r>
      <w:r w:rsidR="00A645D2" w:rsidRPr="00D8548E">
        <w:t>.</w:t>
      </w:r>
    </w:p>
    <w:p w14:paraId="625976FD" w14:textId="363C1340" w:rsidR="006E06EF" w:rsidRPr="00D8548E" w:rsidRDefault="00A645D2" w:rsidP="00DA34D5">
      <w:pPr>
        <w:pStyle w:val="3-BodyText"/>
      </w:pPr>
      <w:r w:rsidRPr="00D8548E">
        <w:t xml:space="preserve">The submission estimated the market share for RIV4 would be 50% every year, with aQIV </w:t>
      </w:r>
      <w:r w:rsidR="004A32A4" w:rsidRPr="00D8548E">
        <w:t>assum</w:t>
      </w:r>
      <w:r w:rsidRPr="00D8548E">
        <w:t xml:space="preserve">ed to have the remaining 50% of the market. </w:t>
      </w:r>
      <w:r w:rsidR="003340F6" w:rsidRPr="00D8548E">
        <w:t>T</w:t>
      </w:r>
      <w:r w:rsidR="0063285C" w:rsidRPr="00D8548E">
        <w:t>he ATAGI post-submission advice stated</w:t>
      </w:r>
      <w:r w:rsidR="00E674CD" w:rsidRPr="00D8548E">
        <w:t xml:space="preserve"> “In the absence of any other data, the assumption of a peak uptake of 50% may be reasonable given the clinical claim of ‘at least’ non-inferior efficacy and similar safety. However, the assumption that RIV4 will achieve peak uptake in the first year of listing was not reasonable as it does not account for gradual uptake over time against a well-established comparator.”</w:t>
      </w:r>
      <w:r w:rsidR="00733541" w:rsidRPr="00D8548E">
        <w:t xml:space="preserve"> </w:t>
      </w:r>
    </w:p>
    <w:p w14:paraId="4C809E66" w14:textId="7E6D56B3" w:rsidR="00A645D2" w:rsidRPr="00D8548E" w:rsidRDefault="00733541" w:rsidP="00DA34D5">
      <w:pPr>
        <w:pStyle w:val="3-BodyText"/>
      </w:pPr>
      <w:r w:rsidRPr="00D8548E">
        <w:t xml:space="preserve">The </w:t>
      </w:r>
      <w:r w:rsidR="008C0293" w:rsidRPr="00D8548E">
        <w:t xml:space="preserve">results of sensitivity analyses assessing </w:t>
      </w:r>
      <w:r w:rsidR="00B56D95" w:rsidRPr="00D8548E">
        <w:t xml:space="preserve">a </w:t>
      </w:r>
      <w:r w:rsidR="008C0293" w:rsidRPr="00D8548E">
        <w:t xml:space="preserve">gradual </w:t>
      </w:r>
      <w:r w:rsidR="00B56D95" w:rsidRPr="00D8548E">
        <w:t xml:space="preserve">increase in the market share </w:t>
      </w:r>
      <w:r w:rsidR="008C0293" w:rsidRPr="00D8548E">
        <w:t xml:space="preserve">of RIV4 are presented in </w:t>
      </w:r>
      <w:r w:rsidR="008C0293" w:rsidRPr="00D8548E">
        <w:fldChar w:fldCharType="begin" w:fldLock="1"/>
      </w:r>
      <w:r w:rsidR="008C0293" w:rsidRPr="00D8548E">
        <w:instrText xml:space="preserve"> REF _Ref158638578 \h </w:instrText>
      </w:r>
      <w:r w:rsidR="00A678AC" w:rsidRPr="00D8548E">
        <w:instrText xml:space="preserve"> \* MERGEFORMAT </w:instrText>
      </w:r>
      <w:r w:rsidR="008C0293" w:rsidRPr="00D8548E">
        <w:fldChar w:fldCharType="separate"/>
      </w:r>
      <w:r w:rsidR="00C364E6" w:rsidRPr="00D8548E">
        <w:t xml:space="preserve">Table </w:t>
      </w:r>
      <w:r w:rsidR="00C364E6">
        <w:rPr>
          <w:noProof/>
        </w:rPr>
        <w:t>13</w:t>
      </w:r>
      <w:r w:rsidR="008C0293" w:rsidRPr="00D8548E">
        <w:fldChar w:fldCharType="end"/>
      </w:r>
      <w:r w:rsidR="008C0293" w:rsidRPr="00D8548E">
        <w:t xml:space="preserve">. </w:t>
      </w:r>
      <w:r w:rsidR="00B56D95" w:rsidRPr="00D8548E">
        <w:t xml:space="preserve">The ESC considered that the sensitivity analysis applying a gradual increase in market share to 50% by Year 3 was particularly informative. </w:t>
      </w:r>
    </w:p>
    <w:p w14:paraId="35DF8028" w14:textId="7B16D862" w:rsidR="00B404F0" w:rsidRPr="00D8548E" w:rsidRDefault="00B404F0" w:rsidP="005362BD">
      <w:pPr>
        <w:pStyle w:val="Caption"/>
      </w:pPr>
      <w:bookmarkStart w:id="66" w:name="_Ref158638578"/>
      <w:r w:rsidRPr="00D8548E">
        <w:t xml:space="preserve">Table </w:t>
      </w:r>
      <w:r w:rsidR="005362BD">
        <w:fldChar w:fldCharType="begin" w:fldLock="1"/>
      </w:r>
      <w:r w:rsidR="005362BD">
        <w:instrText xml:space="preserve"> SEQ Table \* ARABIC </w:instrText>
      </w:r>
      <w:r w:rsidR="005362BD">
        <w:fldChar w:fldCharType="separate"/>
      </w:r>
      <w:r w:rsidR="00C364E6">
        <w:rPr>
          <w:noProof/>
        </w:rPr>
        <w:t>13</w:t>
      </w:r>
      <w:r w:rsidR="005362BD">
        <w:rPr>
          <w:noProof/>
        </w:rPr>
        <w:fldChar w:fldCharType="end"/>
      </w:r>
      <w:bookmarkEnd w:id="66"/>
      <w:r w:rsidRPr="00D8548E">
        <w:t xml:space="preserve">: Sensitivity analyses for RIV4 </w:t>
      </w:r>
      <w:r w:rsidR="00B56D95" w:rsidRPr="00D8548E">
        <w:t>market share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Sensitivity analyses for RIV4 market share"/>
      </w:tblPr>
      <w:tblGrid>
        <w:gridCol w:w="6374"/>
        <w:gridCol w:w="1702"/>
        <w:gridCol w:w="941"/>
      </w:tblGrid>
      <w:tr w:rsidR="00B404F0" w:rsidRPr="00D8548E" w14:paraId="36A72D62" w14:textId="77777777" w:rsidTr="00B56D95">
        <w:trPr>
          <w:tblHeader/>
        </w:trPr>
        <w:tc>
          <w:tcPr>
            <w:tcW w:w="3534" w:type="pct"/>
            <w:shd w:val="clear" w:color="auto" w:fill="auto"/>
            <w:vAlign w:val="center"/>
          </w:tcPr>
          <w:p w14:paraId="5A4440B1" w14:textId="77777777" w:rsidR="00B404F0" w:rsidRPr="00D8548E" w:rsidRDefault="00B404F0" w:rsidP="005362BD">
            <w:pPr>
              <w:pStyle w:val="In-tableHeading"/>
              <w:keepLines/>
              <w:jc w:val="center"/>
            </w:pPr>
          </w:p>
        </w:tc>
        <w:tc>
          <w:tcPr>
            <w:tcW w:w="944" w:type="pct"/>
            <w:shd w:val="clear" w:color="auto" w:fill="auto"/>
            <w:vAlign w:val="center"/>
          </w:tcPr>
          <w:p w14:paraId="0772AF0E" w14:textId="77777777" w:rsidR="00B404F0" w:rsidRPr="00D8548E" w:rsidRDefault="00B404F0" w:rsidP="005362BD">
            <w:pPr>
              <w:pStyle w:val="In-tableHeading"/>
              <w:keepLines/>
              <w:jc w:val="center"/>
            </w:pPr>
            <w:r w:rsidRPr="00D8548E">
              <w:t>Total over 6 years</w:t>
            </w:r>
          </w:p>
        </w:tc>
        <w:tc>
          <w:tcPr>
            <w:tcW w:w="522" w:type="pct"/>
          </w:tcPr>
          <w:p w14:paraId="55B25D03" w14:textId="77777777" w:rsidR="00B404F0" w:rsidRPr="00D8548E" w:rsidRDefault="00B404F0" w:rsidP="005362BD">
            <w:pPr>
              <w:pStyle w:val="In-tableHeading"/>
              <w:keepLines/>
              <w:jc w:val="center"/>
            </w:pPr>
            <w:r w:rsidRPr="00D8548E">
              <w:t>% change</w:t>
            </w:r>
          </w:p>
        </w:tc>
      </w:tr>
      <w:tr w:rsidR="00B404F0" w:rsidRPr="00D8548E" w14:paraId="17F74A93" w14:textId="77777777" w:rsidTr="00B56D95">
        <w:tc>
          <w:tcPr>
            <w:tcW w:w="3534" w:type="pct"/>
            <w:shd w:val="clear" w:color="auto" w:fill="auto"/>
            <w:vAlign w:val="center"/>
          </w:tcPr>
          <w:p w14:paraId="4684D4A7" w14:textId="77777777" w:rsidR="00B404F0" w:rsidRPr="00D8548E" w:rsidRDefault="00B404F0" w:rsidP="005362BD">
            <w:pPr>
              <w:pStyle w:val="TableText0"/>
              <w:keepLines/>
              <w:rPr>
                <w:rFonts w:cs="Arial"/>
                <w:b/>
                <w:bCs w:val="0"/>
                <w:color w:val="000000"/>
              </w:rPr>
            </w:pPr>
            <w:r w:rsidRPr="00D8548E">
              <w:rPr>
                <w:b/>
                <w:bCs w:val="0"/>
              </w:rPr>
              <w:t>Base case</w:t>
            </w:r>
          </w:p>
        </w:tc>
        <w:tc>
          <w:tcPr>
            <w:tcW w:w="944" w:type="pct"/>
            <w:shd w:val="clear" w:color="auto" w:fill="auto"/>
          </w:tcPr>
          <w:p w14:paraId="70DEF284" w14:textId="1CED8846" w:rsidR="00B404F0" w:rsidRPr="00D8548E" w:rsidRDefault="00B404F0" w:rsidP="005362BD">
            <w:pPr>
              <w:pStyle w:val="TableText0"/>
              <w:keepLines/>
              <w:jc w:val="center"/>
              <w:rPr>
                <w:rFonts w:cs="Arial"/>
                <w:b/>
                <w:bCs w:val="0"/>
                <w:color w:val="000000"/>
              </w:rPr>
            </w:pPr>
            <w:r w:rsidRPr="00D8548E">
              <w:rPr>
                <w:b/>
                <w:bCs w:val="0"/>
              </w:rPr>
              <w:t>$</w:t>
            </w:r>
            <w:r w:rsidR="00E70DA3" w:rsidRPr="00E70DA3">
              <w:rPr>
                <w:b/>
                <w:bCs w:val="0"/>
                <w:color w:val="000000"/>
                <w:shd w:val="solid" w:color="000000" w:fill="000000"/>
                <w14:textFill>
                  <w14:solidFill>
                    <w14:srgbClr w14:val="000000">
                      <w14:alpha w14:val="100000"/>
                    </w14:srgbClr>
                  </w14:solidFill>
                </w14:textFill>
              </w:rPr>
              <w:t>|</w:t>
            </w:r>
            <w:r w:rsidR="005362BD" w:rsidRPr="00E70DA3">
              <w:rPr>
                <w:rFonts w:hint="eastAsia"/>
                <w:color w:val="000000"/>
                <w:w w:val="15"/>
                <w:shd w:val="solid" w:color="000000" w:fill="000000"/>
                <w:fitText w:val="37" w:id="-962883576"/>
                <w14:textFill>
                  <w14:solidFill>
                    <w14:srgbClr w14:val="000000">
                      <w14:alpha w14:val="100000"/>
                    </w14:srgbClr>
                  </w14:solidFill>
                </w14:textFill>
              </w:rPr>
              <w:t xml:space="preserve">　</w:t>
            </w:r>
            <w:r w:rsidR="005362BD" w:rsidRPr="00E70DA3">
              <w:rPr>
                <w:color w:val="000000"/>
                <w:w w:val="15"/>
                <w:shd w:val="solid" w:color="000000" w:fill="000000"/>
                <w:fitText w:val="37" w:id="-962883576"/>
                <w14:textFill>
                  <w14:solidFill>
                    <w14:srgbClr w14:val="000000">
                      <w14:alpha w14:val="100000"/>
                    </w14:srgbClr>
                  </w14:solidFill>
                </w14:textFill>
              </w:rPr>
              <w:t>|</w:t>
            </w:r>
            <w:r w:rsidR="005362BD" w:rsidRPr="00E70DA3">
              <w:rPr>
                <w:rFonts w:hint="eastAsia"/>
                <w:color w:val="000000"/>
                <w:spacing w:val="-28"/>
                <w:w w:val="15"/>
                <w:shd w:val="solid" w:color="000000" w:fill="000000"/>
                <w:fitText w:val="37" w:id="-962883576"/>
                <w14:textFill>
                  <w14:solidFill>
                    <w14:srgbClr w14:val="000000">
                      <w14:alpha w14:val="100000"/>
                    </w14:srgbClr>
                  </w14:solidFill>
                </w14:textFill>
              </w:rPr>
              <w:t xml:space="preserve">　</w:t>
            </w:r>
            <w:r w:rsidR="005362BD" w:rsidRPr="00B56083">
              <w:rPr>
                <w:vertAlign w:val="superscript"/>
              </w:rPr>
              <w:t>1</w:t>
            </w:r>
          </w:p>
        </w:tc>
        <w:tc>
          <w:tcPr>
            <w:tcW w:w="522" w:type="pct"/>
          </w:tcPr>
          <w:p w14:paraId="340AA8B7" w14:textId="77777777" w:rsidR="00B404F0" w:rsidRPr="00D8548E" w:rsidRDefault="00B404F0" w:rsidP="005362BD">
            <w:pPr>
              <w:pStyle w:val="TableText0"/>
              <w:keepLines/>
              <w:jc w:val="center"/>
              <w:rPr>
                <w:b/>
                <w:bCs w:val="0"/>
              </w:rPr>
            </w:pPr>
            <w:r w:rsidRPr="00D8548E">
              <w:rPr>
                <w:b/>
                <w:bCs w:val="0"/>
              </w:rPr>
              <w:t>-</w:t>
            </w:r>
          </w:p>
        </w:tc>
      </w:tr>
      <w:tr w:rsidR="00B404F0" w:rsidRPr="00D8548E" w14:paraId="09942D32" w14:textId="77777777" w:rsidTr="00B56D95">
        <w:tc>
          <w:tcPr>
            <w:tcW w:w="3534" w:type="pct"/>
            <w:shd w:val="clear" w:color="auto" w:fill="auto"/>
            <w:vAlign w:val="center"/>
          </w:tcPr>
          <w:p w14:paraId="04F4B7EE" w14:textId="6401E03F" w:rsidR="00B404F0" w:rsidRPr="00D8548E" w:rsidRDefault="00B56D95" w:rsidP="005362BD">
            <w:pPr>
              <w:pStyle w:val="TableText0"/>
              <w:keepLines/>
            </w:pPr>
            <w:r w:rsidRPr="00D8548E">
              <w:t>Market share:</w:t>
            </w:r>
            <w:r w:rsidR="00B404F0" w:rsidRPr="00D8548E">
              <w:t xml:space="preserve"> Y1: 16.7%; Y2: 33.3%; Y3 to Y6: 50.0%.</w:t>
            </w:r>
          </w:p>
        </w:tc>
        <w:tc>
          <w:tcPr>
            <w:tcW w:w="944" w:type="pct"/>
            <w:shd w:val="clear" w:color="auto" w:fill="auto"/>
            <w:vAlign w:val="center"/>
          </w:tcPr>
          <w:p w14:paraId="3B40E6B9" w14:textId="51174E2E" w:rsidR="00B404F0" w:rsidRPr="00D8548E" w:rsidRDefault="005362BD" w:rsidP="005362BD">
            <w:pPr>
              <w:pStyle w:val="TableText0"/>
              <w:keepLines/>
              <w:jc w:val="center"/>
              <w:rPr>
                <w:rFonts w:cs="Arial"/>
              </w:rPr>
            </w:pPr>
            <w:r w:rsidRPr="00D8548E">
              <w:rPr>
                <w:b/>
                <w:bCs w:val="0"/>
              </w:rPr>
              <w:t>$</w:t>
            </w:r>
            <w:r w:rsidRPr="00E70DA3">
              <w:rPr>
                <w:b/>
                <w:bCs w:val="0"/>
                <w:color w:val="000000"/>
                <w:shd w:val="solid" w:color="000000" w:fill="000000"/>
                <w14:textFill>
                  <w14:solidFill>
                    <w14:srgbClr w14:val="000000">
                      <w14:alpha w14:val="100000"/>
                    </w14:srgbClr>
                  </w14:solidFill>
                </w14:textFill>
              </w:rPr>
              <w:t>|</w:t>
            </w:r>
            <w:r w:rsidRPr="00E70DA3">
              <w:rPr>
                <w:rFonts w:hint="eastAsia"/>
                <w:color w:val="000000"/>
                <w:w w:val="15"/>
                <w:shd w:val="solid" w:color="000000" w:fill="000000"/>
                <w:fitText w:val="37" w:id="-962883576"/>
                <w14:textFill>
                  <w14:solidFill>
                    <w14:srgbClr w14:val="000000">
                      <w14:alpha w14:val="100000"/>
                    </w14:srgbClr>
                  </w14:solidFill>
                </w14:textFill>
              </w:rPr>
              <w:t xml:space="preserve">　</w:t>
            </w:r>
            <w:r w:rsidRPr="00E70DA3">
              <w:rPr>
                <w:color w:val="000000"/>
                <w:w w:val="15"/>
                <w:shd w:val="solid" w:color="000000" w:fill="000000"/>
                <w:fitText w:val="37" w:id="-962883576"/>
                <w14:textFill>
                  <w14:solidFill>
                    <w14:srgbClr w14:val="000000">
                      <w14:alpha w14:val="100000"/>
                    </w14:srgbClr>
                  </w14:solidFill>
                </w14:textFill>
              </w:rPr>
              <w:t>|</w:t>
            </w:r>
            <w:r w:rsidRPr="00E70DA3">
              <w:rPr>
                <w:rFonts w:hint="eastAsia"/>
                <w:color w:val="000000"/>
                <w:spacing w:val="-28"/>
                <w:w w:val="15"/>
                <w:shd w:val="solid" w:color="000000" w:fill="000000"/>
                <w:fitText w:val="37" w:id="-962883576"/>
                <w14:textFill>
                  <w14:solidFill>
                    <w14:srgbClr w14:val="000000">
                      <w14:alpha w14:val="100000"/>
                    </w14:srgbClr>
                  </w14:solidFill>
                </w14:textFill>
              </w:rPr>
              <w:t xml:space="preserve">　</w:t>
            </w:r>
            <w:r w:rsidRPr="00B56083">
              <w:rPr>
                <w:vertAlign w:val="superscript"/>
              </w:rPr>
              <w:t>1</w:t>
            </w:r>
          </w:p>
        </w:tc>
        <w:tc>
          <w:tcPr>
            <w:tcW w:w="522" w:type="pct"/>
          </w:tcPr>
          <w:p w14:paraId="43E02910" w14:textId="77777777" w:rsidR="00B404F0" w:rsidRPr="00D8548E" w:rsidRDefault="00B404F0" w:rsidP="005362BD">
            <w:pPr>
              <w:pStyle w:val="TableText0"/>
              <w:keepLines/>
              <w:jc w:val="center"/>
            </w:pPr>
            <w:r w:rsidRPr="00D8548E">
              <w:t>-16%</w:t>
            </w:r>
          </w:p>
        </w:tc>
      </w:tr>
      <w:tr w:rsidR="00B404F0" w:rsidRPr="00D8548E" w14:paraId="11055442" w14:textId="77777777" w:rsidTr="00B56D95">
        <w:tc>
          <w:tcPr>
            <w:tcW w:w="3534" w:type="pct"/>
            <w:shd w:val="clear" w:color="auto" w:fill="auto"/>
            <w:vAlign w:val="center"/>
          </w:tcPr>
          <w:p w14:paraId="14969D9A" w14:textId="6C7201E8" w:rsidR="00B404F0" w:rsidRPr="00D8548E" w:rsidRDefault="00B56D95" w:rsidP="005362BD">
            <w:pPr>
              <w:pStyle w:val="TableText0"/>
              <w:keepLines/>
              <w:rPr>
                <w:rFonts w:cs="Arial"/>
              </w:rPr>
            </w:pPr>
            <w:r w:rsidRPr="00D8548E">
              <w:t>Market share:</w:t>
            </w:r>
            <w:r w:rsidR="00B404F0" w:rsidRPr="00D8548E">
              <w:t xml:space="preserve"> Y1: 8.3%; Y2: 16.7%; Y3: 25.0%; Y4: 33.3%; Y5: 41.7%; Y6: 50.0%.</w:t>
            </w:r>
          </w:p>
        </w:tc>
        <w:tc>
          <w:tcPr>
            <w:tcW w:w="944" w:type="pct"/>
            <w:shd w:val="clear" w:color="auto" w:fill="auto"/>
            <w:vAlign w:val="center"/>
          </w:tcPr>
          <w:p w14:paraId="7128C687" w14:textId="13A88F5B" w:rsidR="00B404F0" w:rsidRPr="00D8548E" w:rsidRDefault="005362BD" w:rsidP="005362BD">
            <w:pPr>
              <w:pStyle w:val="TableText0"/>
              <w:keepLines/>
              <w:jc w:val="center"/>
              <w:rPr>
                <w:rFonts w:cs="Arial"/>
              </w:rPr>
            </w:pPr>
            <w:r w:rsidRPr="00D8548E">
              <w:rPr>
                <w:b/>
                <w:bCs w:val="0"/>
              </w:rPr>
              <w:t>$</w:t>
            </w:r>
            <w:r w:rsidRPr="00E70DA3">
              <w:rPr>
                <w:b/>
                <w:bCs w:val="0"/>
                <w:color w:val="000000"/>
                <w:shd w:val="solid" w:color="000000" w:fill="000000"/>
                <w14:textFill>
                  <w14:solidFill>
                    <w14:srgbClr w14:val="000000">
                      <w14:alpha w14:val="100000"/>
                    </w14:srgbClr>
                  </w14:solidFill>
                </w14:textFill>
              </w:rPr>
              <w:t>|</w:t>
            </w:r>
            <w:r w:rsidRPr="00E70DA3">
              <w:rPr>
                <w:rFonts w:hint="eastAsia"/>
                <w:color w:val="000000"/>
                <w:w w:val="15"/>
                <w:shd w:val="solid" w:color="000000" w:fill="000000"/>
                <w:fitText w:val="37" w:id="-962883576"/>
                <w14:textFill>
                  <w14:solidFill>
                    <w14:srgbClr w14:val="000000">
                      <w14:alpha w14:val="100000"/>
                    </w14:srgbClr>
                  </w14:solidFill>
                </w14:textFill>
              </w:rPr>
              <w:t xml:space="preserve">　</w:t>
            </w:r>
            <w:r w:rsidRPr="00E70DA3">
              <w:rPr>
                <w:color w:val="000000"/>
                <w:w w:val="15"/>
                <w:shd w:val="solid" w:color="000000" w:fill="000000"/>
                <w:fitText w:val="37" w:id="-962883576"/>
                <w14:textFill>
                  <w14:solidFill>
                    <w14:srgbClr w14:val="000000">
                      <w14:alpha w14:val="100000"/>
                    </w14:srgbClr>
                  </w14:solidFill>
                </w14:textFill>
              </w:rPr>
              <w:t>|</w:t>
            </w:r>
            <w:r w:rsidRPr="00E70DA3">
              <w:rPr>
                <w:rFonts w:hint="eastAsia"/>
                <w:color w:val="000000"/>
                <w:spacing w:val="-28"/>
                <w:w w:val="15"/>
                <w:shd w:val="solid" w:color="000000" w:fill="000000"/>
                <w:fitText w:val="37" w:id="-962883576"/>
                <w14:textFill>
                  <w14:solidFill>
                    <w14:srgbClr w14:val="000000">
                      <w14:alpha w14:val="100000"/>
                    </w14:srgbClr>
                  </w14:solidFill>
                </w14:textFill>
              </w:rPr>
              <w:t xml:space="preserve">　</w:t>
            </w:r>
            <w:r>
              <w:rPr>
                <w:vertAlign w:val="superscript"/>
              </w:rPr>
              <w:t>2</w:t>
            </w:r>
          </w:p>
        </w:tc>
        <w:tc>
          <w:tcPr>
            <w:tcW w:w="522" w:type="pct"/>
          </w:tcPr>
          <w:p w14:paraId="445521FA" w14:textId="77777777" w:rsidR="00B404F0" w:rsidRPr="00D8548E" w:rsidRDefault="00B404F0" w:rsidP="005362BD">
            <w:pPr>
              <w:pStyle w:val="TableText0"/>
              <w:keepLines/>
              <w:jc w:val="center"/>
              <w:rPr>
                <w:rFonts w:cs="Arial"/>
              </w:rPr>
            </w:pPr>
            <w:r w:rsidRPr="00D8548E">
              <w:rPr>
                <w:rFonts w:cs="Arial"/>
              </w:rPr>
              <w:t>-40%</w:t>
            </w:r>
          </w:p>
        </w:tc>
      </w:tr>
    </w:tbl>
    <w:p w14:paraId="147E12B0" w14:textId="6CC13CE1" w:rsidR="00B404F0" w:rsidRPr="00D8548E" w:rsidRDefault="00B404F0" w:rsidP="005362BD">
      <w:pPr>
        <w:pStyle w:val="FooterTableFigure"/>
        <w:keepNext/>
        <w:keepLines/>
      </w:pPr>
      <w:r w:rsidRPr="00D8548E">
        <w:t xml:space="preserve">Source: </w:t>
      </w:r>
      <w:r w:rsidR="008C0293" w:rsidRPr="00D8548E">
        <w:t>ATAGI post-submission advice, p</w:t>
      </w:r>
      <w:r w:rsidR="00142565">
        <w:t>5</w:t>
      </w:r>
      <w:r w:rsidR="008C0293" w:rsidRPr="00D8548E">
        <w:t>.</w:t>
      </w:r>
    </w:p>
    <w:p w14:paraId="28E19E40" w14:textId="7593E355" w:rsidR="007950BA" w:rsidRDefault="00B404F0" w:rsidP="005362BD">
      <w:pPr>
        <w:pStyle w:val="FooterTableFigure"/>
        <w:keepNext/>
      </w:pPr>
      <w:r w:rsidRPr="00D8548E">
        <w:t xml:space="preserve">Abbreviations: Y, Year. </w:t>
      </w:r>
    </w:p>
    <w:p w14:paraId="3F0F4B30" w14:textId="77777777" w:rsidR="005362BD" w:rsidRPr="00CD5614" w:rsidRDefault="005362BD" w:rsidP="005362BD">
      <w:pPr>
        <w:pStyle w:val="FooterTableFigure"/>
        <w:keepNext/>
        <w:rPr>
          <w:i/>
          <w:iCs/>
        </w:rPr>
      </w:pPr>
      <w:r w:rsidRPr="00CD5614">
        <w:rPr>
          <w:i/>
          <w:iCs/>
        </w:rPr>
        <w:t>The redacted values correspond to the following ranges:</w:t>
      </w:r>
    </w:p>
    <w:p w14:paraId="48C44AF3" w14:textId="24AC6E62" w:rsidR="005362BD" w:rsidRPr="00CD5614" w:rsidRDefault="005362BD" w:rsidP="005362BD">
      <w:pPr>
        <w:pStyle w:val="FooterTableFigure"/>
        <w:keepNext/>
        <w:rPr>
          <w:rStyle w:val="CommentReference"/>
          <w:b w:val="0"/>
          <w:bCs/>
          <w:i/>
          <w:iCs/>
          <w:sz w:val="18"/>
          <w:szCs w:val="18"/>
        </w:rPr>
      </w:pPr>
      <w:r w:rsidRPr="00CD5614">
        <w:rPr>
          <w:rStyle w:val="CommentReference"/>
          <w:b w:val="0"/>
          <w:bCs/>
          <w:i/>
          <w:iCs/>
          <w:sz w:val="18"/>
          <w:szCs w:val="18"/>
          <w:vertAlign w:val="superscript"/>
        </w:rPr>
        <w:t>1</w:t>
      </w:r>
      <w:r w:rsidRPr="00CD5614">
        <w:rPr>
          <w:rStyle w:val="CommentReference"/>
          <w:b w:val="0"/>
          <w:bCs/>
          <w:i/>
          <w:iCs/>
          <w:sz w:val="18"/>
          <w:szCs w:val="18"/>
        </w:rPr>
        <w:t xml:space="preserve"> $</w:t>
      </w:r>
      <w:r>
        <w:rPr>
          <w:rStyle w:val="CommentReference"/>
          <w:b w:val="0"/>
          <w:bCs/>
          <w:i/>
          <w:iCs/>
          <w:sz w:val="18"/>
          <w:szCs w:val="18"/>
        </w:rPr>
        <w:t>4</w:t>
      </w:r>
      <w:r w:rsidRPr="00CD5614">
        <w:rPr>
          <w:rStyle w:val="CommentReference"/>
          <w:b w:val="0"/>
          <w:bCs/>
          <w:i/>
          <w:iCs/>
          <w:sz w:val="18"/>
          <w:szCs w:val="18"/>
        </w:rPr>
        <w:t>0 million to &lt; $</w:t>
      </w:r>
      <w:r>
        <w:rPr>
          <w:rStyle w:val="CommentReference"/>
          <w:b w:val="0"/>
          <w:bCs/>
          <w:i/>
          <w:iCs/>
          <w:sz w:val="18"/>
          <w:szCs w:val="18"/>
        </w:rPr>
        <w:t>5</w:t>
      </w:r>
      <w:r w:rsidRPr="00CD5614">
        <w:rPr>
          <w:rStyle w:val="CommentReference"/>
          <w:b w:val="0"/>
          <w:bCs/>
          <w:i/>
          <w:iCs/>
          <w:sz w:val="18"/>
          <w:szCs w:val="18"/>
        </w:rPr>
        <w:t>0 million</w:t>
      </w:r>
    </w:p>
    <w:p w14:paraId="41BE5D55" w14:textId="4BA0F802" w:rsidR="005362BD" w:rsidRPr="005362BD" w:rsidRDefault="005362BD" w:rsidP="008C0293">
      <w:pPr>
        <w:pStyle w:val="FooterTableFigure"/>
        <w:rPr>
          <w:bCs/>
          <w:i/>
          <w:iCs/>
          <w:szCs w:val="18"/>
        </w:rPr>
      </w:pPr>
      <w:r w:rsidRPr="00CD5614">
        <w:rPr>
          <w:rStyle w:val="CommentReference"/>
          <w:b w:val="0"/>
          <w:bCs/>
          <w:i/>
          <w:iCs/>
          <w:sz w:val="18"/>
          <w:szCs w:val="18"/>
          <w:vertAlign w:val="superscript"/>
        </w:rPr>
        <w:t>2</w:t>
      </w:r>
      <w:r w:rsidRPr="00CD5614">
        <w:rPr>
          <w:rStyle w:val="CommentReference"/>
          <w:b w:val="0"/>
          <w:bCs/>
          <w:i/>
          <w:iCs/>
          <w:sz w:val="18"/>
          <w:szCs w:val="18"/>
        </w:rPr>
        <w:t xml:space="preserve"> $</w:t>
      </w:r>
      <w:r>
        <w:rPr>
          <w:rStyle w:val="CommentReference"/>
          <w:b w:val="0"/>
          <w:bCs/>
          <w:i/>
          <w:iCs/>
          <w:sz w:val="18"/>
          <w:szCs w:val="18"/>
        </w:rPr>
        <w:t>2</w:t>
      </w:r>
      <w:r w:rsidRPr="00CD5614">
        <w:rPr>
          <w:rStyle w:val="CommentReference"/>
          <w:b w:val="0"/>
          <w:bCs/>
          <w:i/>
          <w:iCs/>
          <w:sz w:val="18"/>
          <w:szCs w:val="18"/>
        </w:rPr>
        <w:t>0 million to &lt; $</w:t>
      </w:r>
      <w:r>
        <w:rPr>
          <w:rStyle w:val="CommentReference"/>
          <w:b w:val="0"/>
          <w:bCs/>
          <w:i/>
          <w:iCs/>
          <w:sz w:val="18"/>
          <w:szCs w:val="18"/>
        </w:rPr>
        <w:t>3</w:t>
      </w:r>
      <w:r w:rsidRPr="00CD5614">
        <w:rPr>
          <w:rStyle w:val="CommentReference"/>
          <w:b w:val="0"/>
          <w:bCs/>
          <w:i/>
          <w:iCs/>
          <w:sz w:val="18"/>
          <w:szCs w:val="18"/>
        </w:rPr>
        <w:t>0 million</w:t>
      </w:r>
    </w:p>
    <w:p w14:paraId="5BCBCF84" w14:textId="1A666B3E" w:rsidR="00E70A38" w:rsidRDefault="006964F9" w:rsidP="000C5527">
      <w:pPr>
        <w:pStyle w:val="3-BodyText"/>
      </w:pPr>
      <w:r w:rsidRPr="00D8548E">
        <w:lastRenderedPageBreak/>
        <w:t>The</w:t>
      </w:r>
      <w:r w:rsidR="00A645D2" w:rsidRPr="00D8548E">
        <w:t xml:space="preserve"> submission assumed the</w:t>
      </w:r>
      <w:r w:rsidRPr="00D8548E">
        <w:t xml:space="preserve"> </w:t>
      </w:r>
      <w:r w:rsidR="004A6F49" w:rsidRPr="00D8548E">
        <w:t>influenza vaccine coverage rate</w:t>
      </w:r>
      <w:r w:rsidR="00E647AF" w:rsidRPr="00D8548E">
        <w:t xml:space="preserve"> (the uptake rate)</w:t>
      </w:r>
      <w:r w:rsidR="004A6F49" w:rsidRPr="00D8548E">
        <w:t xml:space="preserve"> </w:t>
      </w:r>
      <w:r w:rsidR="00A645D2" w:rsidRPr="00D8548E">
        <w:t>would</w:t>
      </w:r>
      <w:r w:rsidRPr="00D8548E">
        <w:t xml:space="preserve"> be 63.1% based on 2023 utilisation</w:t>
      </w:r>
      <w:r w:rsidR="002612E4" w:rsidRPr="00D8548E">
        <w:t xml:space="preserve"> </w:t>
      </w:r>
      <w:r w:rsidR="008E0767" w:rsidRPr="00D8548E">
        <w:t xml:space="preserve">of influenza vaccines in Australians aged </w:t>
      </w:r>
      <w:r w:rsidR="008E0767" w:rsidRPr="00E70A38">
        <w:rPr>
          <w:rFonts w:cstheme="minorHAnsi"/>
        </w:rPr>
        <w:t>≥</w:t>
      </w:r>
      <w:r w:rsidR="008E0767" w:rsidRPr="00D8548E">
        <w:t xml:space="preserve"> 65 years, </w:t>
      </w:r>
      <w:r w:rsidR="00187426" w:rsidRPr="00D8548E">
        <w:t xml:space="preserve">sourced </w:t>
      </w:r>
      <w:r w:rsidR="002612E4" w:rsidRPr="00D8548E">
        <w:t xml:space="preserve">from the Australian Immunisation Register, reported by the National Centre for Immunisation Research and Surveillance. </w:t>
      </w:r>
      <w:r w:rsidR="009550C6" w:rsidRPr="00D8548E">
        <w:t>The submission</w:t>
      </w:r>
      <w:r w:rsidR="00A645D2" w:rsidRPr="00D8548E">
        <w:t xml:space="preserve"> </w:t>
      </w:r>
      <w:r w:rsidRPr="00D8548E">
        <w:t>noted there has been annual variation in this rate during recent years.</w:t>
      </w:r>
      <w:r w:rsidR="004A6F49" w:rsidRPr="00D8548E">
        <w:t xml:space="preserve"> The influenza vaccine coverage rate in persons aged </w:t>
      </w:r>
      <w:r w:rsidR="004A6F49" w:rsidRPr="00E70A38">
        <w:rPr>
          <w:rFonts w:cstheme="minorHAnsi"/>
        </w:rPr>
        <w:t>≥</w:t>
      </w:r>
      <w:r w:rsidR="004A6F49" w:rsidRPr="00D8548E">
        <w:t xml:space="preserve"> 65 years was 61.9%, 64.9% and 70.0% in 2020, 2021 and 2022, respectively.</w:t>
      </w:r>
      <w:r w:rsidR="004A6F49" w:rsidRPr="00D8548E">
        <w:rPr>
          <w:rStyle w:val="FootnoteReference"/>
        </w:rPr>
        <w:footnoteReference w:id="2"/>
      </w:r>
      <w:r w:rsidR="004A6F49" w:rsidRPr="00D8548E">
        <w:t xml:space="preserve"> </w:t>
      </w:r>
      <w:r w:rsidR="00023BAC" w:rsidRPr="00D8548E">
        <w:t>The ATAGI post-submission advice stated “ATAGI considered the assumption of stable vaccination rates over the next 6 years (remaining at the 2023 rate) was uncertain, but may be reasonable in the absence of any other data.</w:t>
      </w:r>
      <w:r w:rsidR="00F87E31" w:rsidRPr="00D8548E">
        <w:t>”</w:t>
      </w:r>
    </w:p>
    <w:p w14:paraId="48CD9D80" w14:textId="5E54FC1A" w:rsidR="00E70A38" w:rsidRPr="00D8548E" w:rsidRDefault="00E70A38" w:rsidP="000C5527">
      <w:pPr>
        <w:pStyle w:val="3-BodyText"/>
      </w:pPr>
      <w:r w:rsidRPr="00E70A38">
        <w:t xml:space="preserve">There may be a small increase in utilisation due to uptake in </w:t>
      </w:r>
      <w:r w:rsidR="00B71DE4">
        <w:t>individual</w:t>
      </w:r>
      <w:r w:rsidRPr="00E70A38">
        <w:t>s with egg allergies, although this is expected to be minor</w:t>
      </w:r>
      <w:r>
        <w:t>.</w:t>
      </w:r>
    </w:p>
    <w:p w14:paraId="40384ED2" w14:textId="77777777" w:rsidR="00906439" w:rsidRPr="00142565" w:rsidRDefault="00906439" w:rsidP="00E70A38">
      <w:pPr>
        <w:pStyle w:val="3-BodyText"/>
        <w:keepNext/>
        <w:numPr>
          <w:ilvl w:val="0"/>
          <w:numId w:val="1"/>
        </w:numPr>
        <w:spacing w:before="240"/>
        <w:jc w:val="left"/>
        <w:outlineLvl w:val="0"/>
        <w:rPr>
          <w:b/>
          <w:sz w:val="32"/>
          <w:szCs w:val="32"/>
        </w:rPr>
      </w:pPr>
      <w:r w:rsidRPr="00142565">
        <w:rPr>
          <w:b/>
          <w:sz w:val="32"/>
          <w:szCs w:val="32"/>
        </w:rPr>
        <w:t>PBAC Outcome</w:t>
      </w:r>
    </w:p>
    <w:p w14:paraId="7F277A5C" w14:textId="6103A6CA" w:rsidR="00DB5146" w:rsidRPr="00DB5146" w:rsidRDefault="00DB5146" w:rsidP="00DB5146">
      <w:pPr>
        <w:widowControl w:val="0"/>
        <w:numPr>
          <w:ilvl w:val="1"/>
          <w:numId w:val="1"/>
        </w:numPr>
        <w:spacing w:after="120"/>
        <w:rPr>
          <w:rFonts w:asciiTheme="minorHAnsi" w:hAnsiTheme="minorHAnsi"/>
          <w:snapToGrid w:val="0"/>
          <w:lang w:val="en-GB" w:eastAsia="en-US"/>
        </w:rPr>
      </w:pPr>
      <w:r w:rsidRPr="00F70C4F">
        <w:rPr>
          <w:snapToGrid w:val="0"/>
        </w:rPr>
        <w:t xml:space="preserve">The PBAC recommended that </w:t>
      </w:r>
      <w:r w:rsidR="005D4742">
        <w:t>i</w:t>
      </w:r>
      <w:r w:rsidR="005D4742" w:rsidRPr="00DC6805">
        <w:t xml:space="preserve">nfluenza </w:t>
      </w:r>
      <w:r w:rsidR="005D4742">
        <w:t>v</w:t>
      </w:r>
      <w:r w:rsidR="005D4742" w:rsidRPr="00DC6805">
        <w:t xml:space="preserve">accine </w:t>
      </w:r>
      <w:r w:rsidR="005D4742">
        <w:t>(</w:t>
      </w:r>
      <w:r w:rsidR="00CC5CD4" w:rsidRPr="00CC5CD4">
        <w:t>Flublok® Quadrivalent</w:t>
      </w:r>
      <w:r w:rsidR="00CC5CD4">
        <w:t xml:space="preserve">, </w:t>
      </w:r>
      <w:r w:rsidR="005D4742">
        <w:t xml:space="preserve">RIV4) </w:t>
      </w:r>
      <w:r w:rsidRPr="00F70C4F">
        <w:rPr>
          <w:snapToGrid w:val="0"/>
        </w:rPr>
        <w:t xml:space="preserve">be a designated vaccine for the purposes of the </w:t>
      </w:r>
      <w:r w:rsidRPr="00F70C4F">
        <w:rPr>
          <w:i/>
          <w:iCs/>
          <w:snapToGrid w:val="0"/>
        </w:rPr>
        <w:t>National Health Act 1953</w:t>
      </w:r>
      <w:r w:rsidRPr="00F70C4F">
        <w:rPr>
          <w:snapToGrid w:val="0"/>
        </w:rPr>
        <w:t xml:space="preserve"> for vaccination against</w:t>
      </w:r>
      <w:r w:rsidRPr="00F70C4F">
        <w:t xml:space="preserve"> influenza in people aged </w:t>
      </w:r>
      <w:r w:rsidR="003B367B">
        <w:t xml:space="preserve">at least </w:t>
      </w:r>
      <w:r w:rsidRPr="00F70C4F">
        <w:t>65 years</w:t>
      </w:r>
      <w:r w:rsidR="003B367B">
        <w:t xml:space="preserve"> of age</w:t>
      </w:r>
      <w:r w:rsidRPr="00F70C4F">
        <w:t>.</w:t>
      </w:r>
      <w:r w:rsidRPr="00F70C4F">
        <w:rPr>
          <w:snapToGrid w:val="0"/>
        </w:rPr>
        <w:t xml:space="preserve"> The PBAC’s recommendation for listing was based on, among other matters, its assessment that the cost-effectiveness of </w:t>
      </w:r>
      <w:r>
        <w:rPr>
          <w:snapToGrid w:val="0"/>
        </w:rPr>
        <w:t>RIV4</w:t>
      </w:r>
      <w:r w:rsidRPr="00F70C4F">
        <w:rPr>
          <w:snapToGrid w:val="0"/>
        </w:rPr>
        <w:t xml:space="preserve"> would be acceptable </w:t>
      </w:r>
      <w:r w:rsidR="003B367B">
        <w:rPr>
          <w:snapToGrid w:val="0"/>
        </w:rPr>
        <w:t xml:space="preserve">if it were cost-minimised against </w:t>
      </w:r>
      <w:r w:rsidR="00CC5CD4" w:rsidRPr="00CC5CD4">
        <w:rPr>
          <w:snapToGrid w:val="0"/>
        </w:rPr>
        <w:t>adjuvanted quadrivalent influenza vaccine (aQIV</w:t>
      </w:r>
      <w:r w:rsidR="00CC5CD4">
        <w:rPr>
          <w:snapToGrid w:val="0"/>
        </w:rPr>
        <w:t>)</w:t>
      </w:r>
      <w:r w:rsidRPr="00F70C4F">
        <w:rPr>
          <w:snapToGrid w:val="0"/>
        </w:rPr>
        <w:t>.</w:t>
      </w:r>
    </w:p>
    <w:p w14:paraId="0FA8D29C" w14:textId="029589A4" w:rsidR="003B367B" w:rsidRPr="00906439" w:rsidRDefault="003B367B" w:rsidP="003B367B">
      <w:pPr>
        <w:widowControl w:val="0"/>
        <w:numPr>
          <w:ilvl w:val="1"/>
          <w:numId w:val="1"/>
        </w:numPr>
        <w:spacing w:after="120"/>
        <w:jc w:val="left"/>
        <w:rPr>
          <w:rFonts w:asciiTheme="minorHAnsi" w:hAnsiTheme="minorHAnsi"/>
          <w:snapToGrid w:val="0"/>
          <w:lang w:val="en-GB" w:eastAsia="en-US"/>
        </w:rPr>
      </w:pPr>
      <w:r>
        <w:rPr>
          <w:rFonts w:asciiTheme="minorHAnsi" w:hAnsiTheme="minorHAnsi"/>
          <w:snapToGrid w:val="0"/>
          <w:lang w:val="en-GB" w:eastAsia="en-US"/>
        </w:rPr>
        <w:t xml:space="preserve">The PBAC noted </w:t>
      </w:r>
      <w:r w:rsidR="003B082D">
        <w:rPr>
          <w:rFonts w:asciiTheme="minorHAnsi" w:hAnsiTheme="minorHAnsi"/>
          <w:snapToGrid w:val="0"/>
          <w:lang w:val="en-GB" w:eastAsia="en-US"/>
        </w:rPr>
        <w:t xml:space="preserve">that </w:t>
      </w:r>
      <w:r>
        <w:rPr>
          <w:rFonts w:asciiTheme="minorHAnsi" w:hAnsiTheme="minorHAnsi"/>
          <w:snapToGrid w:val="0"/>
          <w:lang w:val="en-GB" w:eastAsia="en-US"/>
        </w:rPr>
        <w:t xml:space="preserve">the consumer comments outlined </w:t>
      </w:r>
      <w:r w:rsidRPr="003B367B">
        <w:rPr>
          <w:rFonts w:asciiTheme="minorHAnsi" w:hAnsiTheme="minorHAnsi"/>
          <w:snapToGrid w:val="0"/>
          <w:lang w:val="en-GB" w:eastAsia="en-US"/>
        </w:rPr>
        <w:t xml:space="preserve">that </w:t>
      </w:r>
      <w:r>
        <w:rPr>
          <w:rFonts w:asciiTheme="minorHAnsi" w:hAnsiTheme="minorHAnsi"/>
          <w:snapToGrid w:val="0"/>
          <w:lang w:val="en-GB" w:eastAsia="en-US"/>
        </w:rPr>
        <w:t>RIV4</w:t>
      </w:r>
      <w:r w:rsidRPr="003B367B">
        <w:rPr>
          <w:rFonts w:asciiTheme="minorHAnsi" w:hAnsiTheme="minorHAnsi"/>
          <w:snapToGrid w:val="0"/>
          <w:lang w:val="en-GB" w:eastAsia="en-US"/>
        </w:rPr>
        <w:t xml:space="preserve"> would provide an additional option for</w:t>
      </w:r>
      <w:r w:rsidR="00036147">
        <w:rPr>
          <w:rFonts w:asciiTheme="minorHAnsi" w:hAnsiTheme="minorHAnsi"/>
          <w:snapToGrid w:val="0"/>
          <w:lang w:val="en-GB" w:eastAsia="en-US"/>
        </w:rPr>
        <w:t xml:space="preserve"> influenza vaccination in</w:t>
      </w:r>
      <w:r w:rsidRPr="003B367B">
        <w:rPr>
          <w:rFonts w:asciiTheme="minorHAnsi" w:hAnsiTheme="minorHAnsi"/>
          <w:snapToGrid w:val="0"/>
          <w:lang w:val="en-GB" w:eastAsia="en-US"/>
        </w:rPr>
        <w:t xml:space="preserve"> people aged ≥ 65 years</w:t>
      </w:r>
      <w:r>
        <w:rPr>
          <w:rFonts w:asciiTheme="minorHAnsi" w:hAnsiTheme="minorHAnsi"/>
          <w:snapToGrid w:val="0"/>
          <w:lang w:val="en-GB" w:eastAsia="en-US"/>
        </w:rPr>
        <w:t>.</w:t>
      </w:r>
    </w:p>
    <w:p w14:paraId="376E3FD1" w14:textId="7DE3013A" w:rsidR="002B1542" w:rsidRDefault="002B1542" w:rsidP="002B1542">
      <w:pPr>
        <w:pStyle w:val="3-BodyText"/>
        <w:rPr>
          <w:snapToGrid/>
          <w:lang w:val="en-US"/>
        </w:rPr>
      </w:pPr>
      <w:r>
        <w:rPr>
          <w:snapToGrid/>
          <w:lang w:val="en-US"/>
        </w:rPr>
        <w:t xml:space="preserve">The PBAC considered that the comparator nominated by the submission, </w:t>
      </w:r>
      <w:r w:rsidRPr="00DD3BE8">
        <w:t>a</w:t>
      </w:r>
      <w:r>
        <w:t xml:space="preserve">QIV, </w:t>
      </w:r>
      <w:r>
        <w:rPr>
          <w:snapToGrid/>
          <w:lang w:val="en-US"/>
        </w:rPr>
        <w:t>was appropriate</w:t>
      </w:r>
      <w:r w:rsidR="00930640">
        <w:rPr>
          <w:snapToGrid/>
          <w:lang w:val="en-US"/>
        </w:rPr>
        <w:t>.</w:t>
      </w:r>
    </w:p>
    <w:p w14:paraId="118E1C1B" w14:textId="57EDF841" w:rsidR="00902ABA" w:rsidRPr="00902ABA" w:rsidRDefault="002B1542" w:rsidP="003C1D53">
      <w:pPr>
        <w:pStyle w:val="3-BodyText"/>
        <w:rPr>
          <w:lang w:val="en-GB" w:eastAsia="en-US"/>
        </w:rPr>
      </w:pPr>
      <w:bookmarkStart w:id="67" w:name="_Ref161915626"/>
      <w:r w:rsidRPr="00F817FF">
        <w:rPr>
          <w:snapToGrid/>
          <w:lang w:val="en-US"/>
        </w:rPr>
        <w:t xml:space="preserve">The PBAC noted that </w:t>
      </w:r>
      <w:r w:rsidR="00036147" w:rsidRPr="00F817FF">
        <w:rPr>
          <w:snapToGrid/>
          <w:lang w:val="en-US"/>
        </w:rPr>
        <w:t>the submission did not identify any studies comparing RIV4 and aQIV,</w:t>
      </w:r>
      <w:r w:rsidRPr="00F817FF">
        <w:rPr>
          <w:snapToGrid/>
          <w:lang w:val="en-US"/>
        </w:rPr>
        <w:t xml:space="preserve"> </w:t>
      </w:r>
      <w:r w:rsidR="00036147" w:rsidRPr="00F817FF">
        <w:rPr>
          <w:snapToGrid/>
          <w:lang w:val="en-US"/>
        </w:rPr>
        <w:t>and instead presented studies comparing RIV4 and adjuvanted trivalent influenza vaccine (aTIV) on the basis that the</w:t>
      </w:r>
      <w:r w:rsidRPr="00F817FF">
        <w:rPr>
          <w:snapToGrid/>
          <w:lang w:val="en-US"/>
        </w:rPr>
        <w:t xml:space="preserve"> PBAC had previously accepted that aQIV is at least non inferior to aTIV</w:t>
      </w:r>
      <w:r w:rsidR="00036147" w:rsidRPr="00F817FF">
        <w:rPr>
          <w:snapToGrid/>
          <w:lang w:val="en-US"/>
        </w:rPr>
        <w:t>.</w:t>
      </w:r>
      <w:bookmarkEnd w:id="67"/>
      <w:r w:rsidR="00036147" w:rsidRPr="00F817FF">
        <w:rPr>
          <w:snapToGrid/>
          <w:lang w:val="en-US"/>
        </w:rPr>
        <w:t xml:space="preserve"> </w:t>
      </w:r>
      <w:r w:rsidR="00E1529A" w:rsidRPr="00D8548E">
        <w:t>No indirect comparison</w:t>
      </w:r>
      <w:r w:rsidR="00E1529A">
        <w:t xml:space="preserve">s </w:t>
      </w:r>
      <w:r w:rsidR="00E1529A" w:rsidRPr="00D8548E">
        <w:t>were presented.</w:t>
      </w:r>
    </w:p>
    <w:p w14:paraId="5ACAF04C" w14:textId="2FFE7D93" w:rsidR="008158E8" w:rsidRPr="00F817FF" w:rsidRDefault="00036147" w:rsidP="003C1D53">
      <w:pPr>
        <w:pStyle w:val="3-BodyText"/>
        <w:rPr>
          <w:lang w:val="en-GB" w:eastAsia="en-US"/>
        </w:rPr>
      </w:pPr>
      <w:r w:rsidRPr="00F817FF">
        <w:rPr>
          <w:snapToGrid/>
          <w:lang w:val="en-US"/>
        </w:rPr>
        <w:t xml:space="preserve">The PBAC noted that the key study presented, Izurieta 2021, </w:t>
      </w:r>
      <w:r w:rsidR="00850FFD">
        <w:rPr>
          <w:snapToGrid/>
          <w:lang w:val="en-US"/>
        </w:rPr>
        <w:t xml:space="preserve">was </w:t>
      </w:r>
      <w:r w:rsidR="00850FFD" w:rsidRPr="00850FFD">
        <w:rPr>
          <w:snapToGrid/>
          <w:lang w:val="en-US"/>
        </w:rPr>
        <w:t>a retrospective analysis of US Medicare claims data with an uncertain risk of bias</w:t>
      </w:r>
      <w:r w:rsidR="00850FFD">
        <w:rPr>
          <w:snapToGrid/>
          <w:lang w:val="en-US"/>
        </w:rPr>
        <w:t xml:space="preserve">. Though the study </w:t>
      </w:r>
      <w:r w:rsidR="00850FFD" w:rsidRPr="00850FFD">
        <w:rPr>
          <w:snapToGrid/>
          <w:lang w:val="en-US"/>
        </w:rPr>
        <w:t xml:space="preserve">attempted to minimise the risk of bias by using an </w:t>
      </w:r>
      <w:r w:rsidR="00E1529A" w:rsidRPr="00D8548E">
        <w:t>inverse probability of treatment weighting</w:t>
      </w:r>
      <w:r w:rsidR="00E1529A" w:rsidRPr="00850FFD">
        <w:rPr>
          <w:snapToGrid/>
          <w:lang w:val="en-US"/>
        </w:rPr>
        <w:t xml:space="preserve"> </w:t>
      </w:r>
      <w:r w:rsidR="00E1529A">
        <w:rPr>
          <w:snapToGrid/>
          <w:lang w:val="en-US"/>
        </w:rPr>
        <w:t>(</w:t>
      </w:r>
      <w:r w:rsidR="00850FFD" w:rsidRPr="00850FFD">
        <w:rPr>
          <w:snapToGrid/>
          <w:lang w:val="en-US"/>
        </w:rPr>
        <w:t>IPTW</w:t>
      </w:r>
      <w:r w:rsidR="00E1529A">
        <w:rPr>
          <w:snapToGrid/>
          <w:lang w:val="en-US"/>
        </w:rPr>
        <w:t>)</w:t>
      </w:r>
      <w:r w:rsidR="00850FFD" w:rsidRPr="00850FFD">
        <w:rPr>
          <w:snapToGrid/>
          <w:lang w:val="en-US"/>
        </w:rPr>
        <w:t xml:space="preserve"> approach</w:t>
      </w:r>
      <w:r w:rsidR="00850FFD">
        <w:rPr>
          <w:snapToGrid/>
          <w:lang w:val="en-US"/>
        </w:rPr>
        <w:t>,</w:t>
      </w:r>
      <w:r w:rsidR="00850FFD" w:rsidRPr="00850FFD">
        <w:t xml:space="preserve"> </w:t>
      </w:r>
      <w:r w:rsidR="00850FFD" w:rsidRPr="00850FFD">
        <w:rPr>
          <w:snapToGrid/>
          <w:lang w:val="en-US"/>
        </w:rPr>
        <w:t xml:space="preserve">the </w:t>
      </w:r>
      <w:r w:rsidR="005C1791">
        <w:rPr>
          <w:snapToGrid/>
          <w:lang w:val="en-US"/>
        </w:rPr>
        <w:t xml:space="preserve">PBAC considered that the </w:t>
      </w:r>
      <w:r w:rsidR="00850FFD" w:rsidRPr="00850FFD">
        <w:rPr>
          <w:snapToGrid/>
          <w:lang w:val="en-US"/>
        </w:rPr>
        <w:t>potential for residual confounding due to unmeasured variables could not be excluded</w:t>
      </w:r>
      <w:r w:rsidR="00850FFD">
        <w:rPr>
          <w:snapToGrid/>
          <w:lang w:val="en-US"/>
        </w:rPr>
        <w:t>.</w:t>
      </w:r>
      <w:r w:rsidR="00850FFD" w:rsidRPr="00850FFD">
        <w:rPr>
          <w:snapToGrid/>
          <w:lang w:val="en-US"/>
        </w:rPr>
        <w:t xml:space="preserve"> </w:t>
      </w:r>
      <w:r w:rsidR="00850FFD" w:rsidRPr="005A7618">
        <w:rPr>
          <w:snapToGrid/>
          <w:lang w:val="en-US"/>
        </w:rPr>
        <w:t>The PBAC noted that</w:t>
      </w:r>
      <w:r w:rsidR="005A7618" w:rsidRPr="005A7618">
        <w:rPr>
          <w:snapToGrid/>
          <w:lang w:val="en-US"/>
        </w:rPr>
        <w:t>, while</w:t>
      </w:r>
      <w:r w:rsidR="00850FFD" w:rsidRPr="005A7618">
        <w:rPr>
          <w:snapToGrid/>
          <w:lang w:val="en-US"/>
        </w:rPr>
        <w:t xml:space="preserve"> Izurieta 2021 </w:t>
      </w:r>
      <w:r w:rsidRPr="005A7618">
        <w:rPr>
          <w:snapToGrid/>
          <w:lang w:val="en-US"/>
        </w:rPr>
        <w:t xml:space="preserve">found </w:t>
      </w:r>
      <w:r w:rsidR="005A7618" w:rsidRPr="005A7618">
        <w:rPr>
          <w:snapToGrid/>
          <w:lang w:val="en-US"/>
        </w:rPr>
        <w:t xml:space="preserve">RIV4 was associated with a statistically significant improvement in relative vaccine effectiveness (rVE) for the outcome of influenza inpatient stays versus aTIV (10.7%, 95% CI: 2.7%, 17.9%), there was </w:t>
      </w:r>
      <w:r w:rsidRPr="005A7618">
        <w:rPr>
          <w:snapToGrid/>
          <w:lang w:val="en-US"/>
        </w:rPr>
        <w:t xml:space="preserve">no statistically significant difference in </w:t>
      </w:r>
      <w:r w:rsidR="00937945">
        <w:rPr>
          <w:snapToGrid/>
          <w:lang w:val="en-US"/>
        </w:rPr>
        <w:t xml:space="preserve">the primary outcome of </w:t>
      </w:r>
      <w:r w:rsidRPr="005A7618">
        <w:rPr>
          <w:snapToGrid/>
          <w:lang w:val="en-US"/>
        </w:rPr>
        <w:t xml:space="preserve">influenza hospital encounters (5.6%, 95% CI: -0.6%, 11.4%). </w:t>
      </w:r>
      <w:r w:rsidR="008158E8" w:rsidRPr="005A7618">
        <w:rPr>
          <w:snapToGrid/>
          <w:lang w:val="en-US"/>
        </w:rPr>
        <w:t>The</w:t>
      </w:r>
      <w:r w:rsidR="008158E8" w:rsidRPr="00F817FF">
        <w:rPr>
          <w:snapToGrid/>
          <w:lang w:val="en-US"/>
        </w:rPr>
        <w:t xml:space="preserve"> PBAC noted that </w:t>
      </w:r>
      <w:r w:rsidR="003B082D">
        <w:rPr>
          <w:snapToGrid/>
          <w:lang w:val="en-US"/>
        </w:rPr>
        <w:t xml:space="preserve">the </w:t>
      </w:r>
      <w:r w:rsidR="008158E8" w:rsidRPr="00F817FF">
        <w:rPr>
          <w:snapToGrid/>
          <w:lang w:val="en-US"/>
        </w:rPr>
        <w:t>ATAGI pre-submission advice</w:t>
      </w:r>
      <w:r w:rsidR="008A1792">
        <w:rPr>
          <w:snapToGrid/>
          <w:lang w:val="en-US"/>
        </w:rPr>
        <w:t xml:space="preserve"> </w:t>
      </w:r>
      <w:r w:rsidR="008158E8" w:rsidRPr="00F817FF">
        <w:rPr>
          <w:snapToGrid/>
          <w:lang w:val="en-US"/>
        </w:rPr>
        <w:t xml:space="preserve">stated </w:t>
      </w:r>
      <w:r w:rsidR="008158E8" w:rsidRPr="00F817FF">
        <w:rPr>
          <w:snapToGrid/>
          <w:lang w:val="en-US"/>
        </w:rPr>
        <w:lastRenderedPageBreak/>
        <w:t xml:space="preserve">“ATAGI had reasonable confidence that RIV4 is ‘at least’ equivalent to adjuvanted vaccines in this population, but was less confident that the available data were sufficient to support a claim of superiority”. </w:t>
      </w:r>
    </w:p>
    <w:p w14:paraId="2765F6C5" w14:textId="51243902" w:rsidR="008158E8" w:rsidRPr="00252CE4" w:rsidRDefault="008158E8" w:rsidP="00F817FF">
      <w:pPr>
        <w:pStyle w:val="3-BodyText"/>
        <w:rPr>
          <w:lang w:val="en-GB" w:eastAsia="en-US"/>
        </w:rPr>
      </w:pPr>
      <w:r>
        <w:rPr>
          <w:snapToGrid/>
          <w:lang w:val="en-US"/>
        </w:rPr>
        <w:t>The PBAC noted that additional immunogenicity data was included in the PBAC subm</w:t>
      </w:r>
      <w:r w:rsidR="00F817FF">
        <w:rPr>
          <w:snapToGrid/>
          <w:lang w:val="en-US"/>
        </w:rPr>
        <w:t xml:space="preserve">ission </w:t>
      </w:r>
      <w:r w:rsidR="005E125E">
        <w:rPr>
          <w:snapToGrid/>
          <w:lang w:val="en-US"/>
        </w:rPr>
        <w:t>which</w:t>
      </w:r>
      <w:r w:rsidR="00F817FF">
        <w:rPr>
          <w:snapToGrid/>
          <w:lang w:val="en-US"/>
        </w:rPr>
        <w:t xml:space="preserve"> had </w:t>
      </w:r>
      <w:r w:rsidR="00F817FF" w:rsidRPr="00F817FF">
        <w:rPr>
          <w:snapToGrid/>
          <w:lang w:val="en-US"/>
        </w:rPr>
        <w:t xml:space="preserve">not </w:t>
      </w:r>
      <w:r w:rsidR="00F817FF">
        <w:rPr>
          <w:snapToGrid/>
          <w:lang w:val="en-US"/>
        </w:rPr>
        <w:t xml:space="preserve">been </w:t>
      </w:r>
      <w:r w:rsidR="00F817FF" w:rsidRPr="00F817FF">
        <w:rPr>
          <w:snapToGrid/>
          <w:lang w:val="en-US"/>
        </w:rPr>
        <w:t>included in the ATAGI pre-submission advice</w:t>
      </w:r>
      <w:r w:rsidR="00F817FF">
        <w:rPr>
          <w:snapToGrid/>
          <w:lang w:val="en-US"/>
        </w:rPr>
        <w:t xml:space="preserve">, </w:t>
      </w:r>
      <w:r w:rsidR="003B082D">
        <w:rPr>
          <w:snapToGrid/>
          <w:lang w:val="en-US"/>
        </w:rPr>
        <w:t>with</w:t>
      </w:r>
      <w:r w:rsidR="00F817FF">
        <w:rPr>
          <w:snapToGrid/>
          <w:lang w:val="en-US"/>
        </w:rPr>
        <w:t xml:space="preserve"> t</w:t>
      </w:r>
      <w:r>
        <w:rPr>
          <w:snapToGrid/>
          <w:lang w:val="en-US"/>
        </w:rPr>
        <w:t>he ATAGI post-submission advice stat</w:t>
      </w:r>
      <w:r w:rsidR="003B082D">
        <w:rPr>
          <w:snapToGrid/>
          <w:lang w:val="en-US"/>
        </w:rPr>
        <w:t>ing</w:t>
      </w:r>
      <w:r>
        <w:rPr>
          <w:snapToGrid/>
          <w:lang w:val="en-US"/>
        </w:rPr>
        <w:t xml:space="preserve"> “</w:t>
      </w:r>
      <w:r w:rsidRPr="008158E8">
        <w:rPr>
          <w:snapToGrid/>
          <w:lang w:val="en-US"/>
        </w:rPr>
        <w:t xml:space="preserve">Overall, the additional studies presented in the PBAC submission </w:t>
      </w:r>
      <w:r w:rsidRPr="00252CE4">
        <w:rPr>
          <w:snapToGrid/>
          <w:lang w:val="en-US"/>
        </w:rPr>
        <w:t>do not change ATAGI’s previous advice that RIV4 is ‘at least’ equivalent to adjuvant vaccines in individuals aged ≥ 65 years”.</w:t>
      </w:r>
    </w:p>
    <w:p w14:paraId="1B0C041B" w14:textId="1E042C6C" w:rsidR="00906439" w:rsidRPr="00252CE4" w:rsidRDefault="00F817FF" w:rsidP="00F817FF">
      <w:pPr>
        <w:widowControl w:val="0"/>
        <w:numPr>
          <w:ilvl w:val="1"/>
          <w:numId w:val="1"/>
        </w:numPr>
        <w:spacing w:after="120"/>
        <w:rPr>
          <w:rFonts w:asciiTheme="minorHAnsi" w:hAnsiTheme="minorHAnsi"/>
          <w:snapToGrid w:val="0"/>
          <w:lang w:val="en-GB" w:eastAsia="en-US"/>
        </w:rPr>
      </w:pPr>
      <w:bookmarkStart w:id="68" w:name="_Ref161915628"/>
      <w:r w:rsidRPr="00252CE4">
        <w:rPr>
          <w:rFonts w:asciiTheme="minorHAnsi" w:hAnsiTheme="minorHAnsi"/>
          <w:snapToGrid w:val="0"/>
          <w:lang w:val="en-GB" w:eastAsia="en-US"/>
        </w:rPr>
        <w:t xml:space="preserve">The PBAC considered that the claim of “at least non-inferior” comparative effectiveness </w:t>
      </w:r>
      <w:r w:rsidR="003B082D">
        <w:rPr>
          <w:rFonts w:asciiTheme="minorHAnsi" w:hAnsiTheme="minorHAnsi"/>
          <w:snapToGrid w:val="0"/>
          <w:lang w:val="en-GB" w:eastAsia="en-US"/>
        </w:rPr>
        <w:t xml:space="preserve">versus aQIV </w:t>
      </w:r>
      <w:r w:rsidRPr="00252CE4">
        <w:rPr>
          <w:rFonts w:asciiTheme="minorHAnsi" w:hAnsiTheme="minorHAnsi"/>
          <w:snapToGrid w:val="0"/>
          <w:lang w:val="en-GB" w:eastAsia="en-US"/>
        </w:rPr>
        <w:t>was reasonable</w:t>
      </w:r>
      <w:r w:rsidR="00906439" w:rsidRPr="00252CE4">
        <w:rPr>
          <w:rFonts w:asciiTheme="minorHAnsi" w:hAnsiTheme="minorHAnsi"/>
          <w:snapToGrid w:val="0"/>
          <w:lang w:val="en-GB" w:eastAsia="en-US"/>
        </w:rPr>
        <w:t>.</w:t>
      </w:r>
      <w:bookmarkEnd w:id="68"/>
    </w:p>
    <w:p w14:paraId="37062EF0" w14:textId="4D626EAE" w:rsidR="00906439" w:rsidRPr="00906439" w:rsidRDefault="00F817FF" w:rsidP="00F817FF">
      <w:pPr>
        <w:widowControl w:val="0"/>
        <w:numPr>
          <w:ilvl w:val="1"/>
          <w:numId w:val="1"/>
        </w:numPr>
        <w:spacing w:after="120"/>
        <w:rPr>
          <w:rFonts w:asciiTheme="minorHAnsi" w:hAnsiTheme="minorHAnsi"/>
          <w:snapToGrid w:val="0"/>
          <w:lang w:val="en-GB" w:eastAsia="en-US"/>
        </w:rPr>
      </w:pPr>
      <w:r w:rsidRPr="00252CE4">
        <w:rPr>
          <w:rFonts w:asciiTheme="minorHAnsi" w:hAnsiTheme="minorHAnsi"/>
          <w:snapToGrid w:val="0"/>
          <w:lang w:val="en-GB" w:eastAsia="en-US"/>
        </w:rPr>
        <w:t>The PBAC noted that RIV4 appeared to be associated with a similar incidence of adverse events one day after vaccination compared with aTIV</w:t>
      </w:r>
      <w:r w:rsidR="00850FFD" w:rsidRPr="00252CE4">
        <w:rPr>
          <w:rFonts w:asciiTheme="minorHAnsi" w:hAnsiTheme="minorHAnsi"/>
          <w:snapToGrid w:val="0"/>
          <w:lang w:val="en-GB" w:eastAsia="en-US"/>
        </w:rPr>
        <w:t xml:space="preserve">, </w:t>
      </w:r>
      <w:r w:rsidRPr="00252CE4">
        <w:rPr>
          <w:rFonts w:asciiTheme="minorHAnsi" w:hAnsiTheme="minorHAnsi"/>
          <w:snapToGrid w:val="0"/>
          <w:lang w:val="en-GB" w:eastAsia="en-US"/>
        </w:rPr>
        <w:t xml:space="preserve">and the TGA Delegate had concluded: “The safety profile of RIV4 has been adequately characterised in adults. The exposure was adequate and there appears to be sufficient post-market experience.” </w:t>
      </w:r>
      <w:r w:rsidR="00850FFD" w:rsidRPr="00252CE4">
        <w:rPr>
          <w:rFonts w:asciiTheme="minorHAnsi" w:hAnsiTheme="minorHAnsi"/>
          <w:snapToGrid w:val="0"/>
          <w:lang w:val="en-GB" w:eastAsia="en-US"/>
        </w:rPr>
        <w:t>Overall, t</w:t>
      </w:r>
      <w:r w:rsidRPr="00252CE4">
        <w:rPr>
          <w:rFonts w:asciiTheme="minorHAnsi" w:hAnsiTheme="minorHAnsi"/>
          <w:snapToGrid w:val="0"/>
          <w:lang w:val="en-GB" w:eastAsia="en-US"/>
        </w:rPr>
        <w:t>he PBAC considered</w:t>
      </w:r>
      <w:r w:rsidRPr="00F817FF">
        <w:rPr>
          <w:rFonts w:asciiTheme="minorHAnsi" w:hAnsiTheme="minorHAnsi"/>
          <w:snapToGrid w:val="0"/>
          <w:lang w:val="en-GB" w:eastAsia="en-US"/>
        </w:rPr>
        <w:t xml:space="preserve"> that the claim of “at least non-inferior” comparative safety </w:t>
      </w:r>
      <w:r w:rsidR="00252CE4">
        <w:rPr>
          <w:rFonts w:asciiTheme="minorHAnsi" w:hAnsiTheme="minorHAnsi"/>
          <w:snapToGrid w:val="0"/>
          <w:lang w:val="en-GB" w:eastAsia="en-US"/>
        </w:rPr>
        <w:t xml:space="preserve">versus aQIV </w:t>
      </w:r>
      <w:r w:rsidRPr="00F817FF">
        <w:rPr>
          <w:rFonts w:asciiTheme="minorHAnsi" w:hAnsiTheme="minorHAnsi"/>
          <w:snapToGrid w:val="0"/>
          <w:lang w:val="en-GB" w:eastAsia="en-US"/>
        </w:rPr>
        <w:t>was reasonable</w:t>
      </w:r>
      <w:r w:rsidR="00906439" w:rsidRPr="00906439">
        <w:rPr>
          <w:rFonts w:asciiTheme="minorHAnsi" w:hAnsiTheme="minorHAnsi"/>
          <w:snapToGrid w:val="0"/>
          <w:lang w:val="en-GB" w:eastAsia="en-US"/>
        </w:rPr>
        <w:t>.</w:t>
      </w:r>
    </w:p>
    <w:p w14:paraId="4A71C98F" w14:textId="66E9B4BA" w:rsidR="00F817FF" w:rsidRPr="003F1E6A" w:rsidRDefault="00F817FF" w:rsidP="00BA64AF">
      <w:pPr>
        <w:pStyle w:val="3-BodyText"/>
        <w:rPr>
          <w:lang w:val="en-GB" w:eastAsia="en-US"/>
        </w:rPr>
      </w:pPr>
      <w:r w:rsidRPr="00F817FF">
        <w:rPr>
          <w:lang w:val="en-GB" w:eastAsia="en-US"/>
        </w:rPr>
        <w:t xml:space="preserve">The PBAC noted that the submission requested a “technology premium” for RIV4 due to: </w:t>
      </w:r>
      <w:r w:rsidR="00252CE4">
        <w:rPr>
          <w:lang w:val="en-GB" w:eastAsia="en-US"/>
        </w:rPr>
        <w:t xml:space="preserve">potential </w:t>
      </w:r>
      <w:r w:rsidRPr="00F817FF">
        <w:rPr>
          <w:lang w:val="en-GB" w:eastAsia="en-US"/>
        </w:rPr>
        <w:t>advantages over alternative egg- and cell-based quadrivalent influenza vaccines; the potential benefits associated with the diversification of the vaccine manufacturing process; and to support investment in new vaccine technologies in Australia.</w:t>
      </w:r>
      <w:r>
        <w:rPr>
          <w:lang w:val="en-GB" w:eastAsia="en-US"/>
        </w:rPr>
        <w:t xml:space="preserve"> The ATAGI pre-submission advice stated </w:t>
      </w:r>
      <w:r w:rsidRPr="00F817FF">
        <w:rPr>
          <w:lang w:val="en-GB" w:eastAsia="en-US"/>
        </w:rPr>
        <w:t xml:space="preserve">“it is plausible that RIV4 has some benefits over standard dose quadrivalent influenza vaccines given the higher HA dose as well as advantages over egg-based vaccines in terms of avoiding adaptations (primarily affecting the A/H3N2 strain) during the manufacturing process.” </w:t>
      </w:r>
      <w:r>
        <w:rPr>
          <w:lang w:val="en-GB" w:eastAsia="en-US"/>
        </w:rPr>
        <w:t xml:space="preserve">However, the PBAC </w:t>
      </w:r>
      <w:r w:rsidRPr="00F817FF">
        <w:rPr>
          <w:lang w:val="en-GB" w:eastAsia="en-US"/>
        </w:rPr>
        <w:t xml:space="preserve">noted that </w:t>
      </w:r>
      <w:r w:rsidR="002A23AC">
        <w:rPr>
          <w:lang w:val="en-GB" w:eastAsia="en-US"/>
        </w:rPr>
        <w:t xml:space="preserve">claimed advantages were not based on comparative clinical data and </w:t>
      </w:r>
      <w:r w:rsidR="00641D95">
        <w:rPr>
          <w:lang w:val="en-GB" w:eastAsia="en-US"/>
        </w:rPr>
        <w:t>considered that</w:t>
      </w:r>
      <w:r w:rsidR="002A23AC">
        <w:rPr>
          <w:lang w:val="en-GB" w:eastAsia="en-US"/>
        </w:rPr>
        <w:t xml:space="preserve"> the </w:t>
      </w:r>
      <w:r w:rsidRPr="00F817FF">
        <w:rPr>
          <w:lang w:val="en-GB" w:eastAsia="en-US"/>
        </w:rPr>
        <w:t xml:space="preserve">clinical relevance of </w:t>
      </w:r>
      <w:r w:rsidR="00641D95">
        <w:rPr>
          <w:lang w:val="en-GB" w:eastAsia="en-US"/>
        </w:rPr>
        <w:t xml:space="preserve">any potential </w:t>
      </w:r>
      <w:r w:rsidRPr="00F817FF">
        <w:rPr>
          <w:lang w:val="en-GB" w:eastAsia="en-US"/>
        </w:rPr>
        <w:t>difference</w:t>
      </w:r>
      <w:r w:rsidR="00641D95">
        <w:rPr>
          <w:lang w:val="en-GB" w:eastAsia="en-US"/>
        </w:rPr>
        <w:t>s</w:t>
      </w:r>
      <w:r w:rsidRPr="00F817FF">
        <w:rPr>
          <w:lang w:val="en-GB" w:eastAsia="en-US"/>
        </w:rPr>
        <w:t xml:space="preserve"> </w:t>
      </w:r>
      <w:r w:rsidR="00641D95">
        <w:rPr>
          <w:lang w:val="en-GB" w:eastAsia="en-US"/>
        </w:rPr>
        <w:t>wa</w:t>
      </w:r>
      <w:r w:rsidRPr="00F817FF">
        <w:rPr>
          <w:lang w:val="en-GB" w:eastAsia="en-US"/>
        </w:rPr>
        <w:t>s unclear</w:t>
      </w:r>
      <w:r>
        <w:rPr>
          <w:lang w:val="en-GB" w:eastAsia="en-US"/>
        </w:rPr>
        <w:t>.</w:t>
      </w:r>
      <w:r w:rsidR="003F1E6A">
        <w:rPr>
          <w:lang w:val="en-GB" w:eastAsia="en-US"/>
        </w:rPr>
        <w:t xml:space="preserve"> </w:t>
      </w:r>
      <w:r w:rsidR="00B71DE4" w:rsidRPr="00B71DE4">
        <w:rPr>
          <w:lang w:val="en-GB" w:eastAsia="en-US"/>
        </w:rPr>
        <w:t>The PBAC also noted no comparative evidence was available that suggested there would be any clinical benefit with RIV4 versus aQIV. The key study presented, Izurieta 2021</w:t>
      </w:r>
      <w:r w:rsidR="00B71DE4">
        <w:rPr>
          <w:lang w:val="en-GB" w:eastAsia="en-US"/>
        </w:rPr>
        <w:t>,</w:t>
      </w:r>
      <w:r w:rsidR="00B71DE4" w:rsidRPr="00B71DE4">
        <w:rPr>
          <w:lang w:val="en-GB" w:eastAsia="en-US"/>
        </w:rPr>
        <w:t xml:space="preserve"> was a retrospective observational study with an uncertain risk of bias, however it did not demonstrate a statistically significant difference between RIV4 and aTIV for the primary outcome of influenza hospital encounters (5.6%, 95% CI: -0.6%, 11.4%).</w:t>
      </w:r>
      <w:r w:rsidR="00B71DE4">
        <w:rPr>
          <w:lang w:val="en-GB" w:eastAsia="en-US"/>
        </w:rPr>
        <w:t xml:space="preserve"> </w:t>
      </w:r>
    </w:p>
    <w:p w14:paraId="4EA2B6EA" w14:textId="08B31685" w:rsidR="00F817FF" w:rsidRDefault="00F817FF" w:rsidP="00C509F6">
      <w:pPr>
        <w:pStyle w:val="3-BodyText"/>
        <w:keepLines/>
        <w:rPr>
          <w:lang w:val="en-GB" w:eastAsia="en-US"/>
        </w:rPr>
      </w:pPr>
      <w:r w:rsidRPr="003F1E6A">
        <w:rPr>
          <w:lang w:val="en-GB" w:eastAsia="en-US"/>
        </w:rPr>
        <w:t>Given it had considered that</w:t>
      </w:r>
      <w:r w:rsidR="002A23AC">
        <w:rPr>
          <w:lang w:val="en-GB" w:eastAsia="en-US"/>
        </w:rPr>
        <w:t xml:space="preserve">: </w:t>
      </w:r>
      <w:r w:rsidRPr="003F1E6A">
        <w:rPr>
          <w:lang w:val="en-GB" w:eastAsia="en-US"/>
        </w:rPr>
        <w:t>the claim of “at least non-inferior” comparative effectiveness and safety versus aQIV was reasonable</w:t>
      </w:r>
      <w:r w:rsidR="002A23AC">
        <w:rPr>
          <w:lang w:val="en-GB" w:eastAsia="en-US"/>
        </w:rPr>
        <w:t>;</w:t>
      </w:r>
      <w:r w:rsidRPr="003F1E6A">
        <w:rPr>
          <w:lang w:val="en-GB" w:eastAsia="en-US"/>
        </w:rPr>
        <w:t xml:space="preserve"> </w:t>
      </w:r>
      <w:r w:rsidR="00122BCF" w:rsidRPr="003F1E6A">
        <w:rPr>
          <w:lang w:val="en-GB" w:eastAsia="en-US"/>
        </w:rPr>
        <w:t>the</w:t>
      </w:r>
      <w:r w:rsidR="00142565">
        <w:rPr>
          <w:lang w:val="en-GB" w:eastAsia="en-US"/>
        </w:rPr>
        <w:t xml:space="preserve"> </w:t>
      </w:r>
      <w:r w:rsidR="00142565" w:rsidRPr="00142565">
        <w:rPr>
          <w:lang w:val="en-GB" w:eastAsia="en-US"/>
        </w:rPr>
        <w:t xml:space="preserve">comparative clinical evidence provided did not demonstrate </w:t>
      </w:r>
      <w:r w:rsidR="00B71DE4">
        <w:rPr>
          <w:lang w:val="en-GB" w:eastAsia="en-US"/>
        </w:rPr>
        <w:t>any clinical benefit</w:t>
      </w:r>
      <w:r w:rsidR="00142565">
        <w:rPr>
          <w:lang w:val="en-GB" w:eastAsia="en-US"/>
        </w:rPr>
        <w:t>,</w:t>
      </w:r>
      <w:r w:rsidR="00147D2D">
        <w:rPr>
          <w:lang w:val="en-GB" w:eastAsia="en-US"/>
        </w:rPr>
        <w:t xml:space="preserve"> </w:t>
      </w:r>
      <w:r w:rsidR="008E4268">
        <w:rPr>
          <w:lang w:val="en-GB" w:eastAsia="en-US"/>
        </w:rPr>
        <w:t>a</w:t>
      </w:r>
      <w:r w:rsidR="007A79F5">
        <w:rPr>
          <w:lang w:val="en-GB" w:eastAsia="en-US"/>
        </w:rPr>
        <w:t xml:space="preserve">QIV already has a premium over </w:t>
      </w:r>
      <w:r w:rsidR="00042FB5">
        <w:rPr>
          <w:lang w:val="en-GB" w:eastAsia="en-US"/>
        </w:rPr>
        <w:t xml:space="preserve">non adjuvant </w:t>
      </w:r>
      <w:r w:rsidR="00C64168">
        <w:rPr>
          <w:lang w:val="en-GB" w:eastAsia="en-US"/>
        </w:rPr>
        <w:t>influenza vaccines</w:t>
      </w:r>
      <w:r w:rsidR="00C364E6">
        <w:rPr>
          <w:lang w:val="en-GB" w:eastAsia="en-US"/>
        </w:rPr>
        <w:t>,</w:t>
      </w:r>
      <w:r w:rsidRPr="003F1E6A">
        <w:rPr>
          <w:lang w:val="en-GB" w:eastAsia="en-US"/>
        </w:rPr>
        <w:t xml:space="preserve"> the PBAC considered that</w:t>
      </w:r>
      <w:r w:rsidR="00122BCF" w:rsidRPr="003F1E6A">
        <w:rPr>
          <w:lang w:val="en-GB" w:eastAsia="en-US"/>
        </w:rPr>
        <w:t xml:space="preserve"> RIV4 should be cost-minimised against aQIV</w:t>
      </w:r>
      <w:r w:rsidR="002A23AC">
        <w:rPr>
          <w:lang w:val="en-GB" w:eastAsia="en-US"/>
        </w:rPr>
        <w:t xml:space="preserve"> </w:t>
      </w:r>
      <w:r w:rsidR="00122BCF" w:rsidRPr="003F1E6A">
        <w:rPr>
          <w:lang w:val="en-GB" w:eastAsia="en-US"/>
        </w:rPr>
        <w:t>with no premium applied</w:t>
      </w:r>
      <w:r w:rsidRPr="003F1E6A">
        <w:rPr>
          <w:lang w:val="en-GB" w:eastAsia="en-US"/>
        </w:rPr>
        <w:t xml:space="preserve">. </w:t>
      </w:r>
    </w:p>
    <w:p w14:paraId="758F5479" w14:textId="713C33CF" w:rsidR="00CD09E9" w:rsidRPr="003F1E6A" w:rsidRDefault="00CD09E9" w:rsidP="00BA64AF">
      <w:pPr>
        <w:pStyle w:val="3-BodyText"/>
        <w:rPr>
          <w:lang w:val="en-GB" w:eastAsia="en-US"/>
        </w:rPr>
      </w:pPr>
      <w:r>
        <w:rPr>
          <w:lang w:val="en-GB" w:eastAsia="en-US"/>
        </w:rPr>
        <w:t>The PBAC considered that the equi-effective doses should be one dose of RIV4 0.5mL and one dose of aQIV 0.5mL.</w:t>
      </w:r>
    </w:p>
    <w:p w14:paraId="74633C58" w14:textId="75ABDBF0" w:rsidR="00E70A38" w:rsidRPr="00AF516C" w:rsidRDefault="00E70A38" w:rsidP="00F817FF">
      <w:pPr>
        <w:widowControl w:val="0"/>
        <w:numPr>
          <w:ilvl w:val="1"/>
          <w:numId w:val="1"/>
        </w:numPr>
        <w:spacing w:after="120"/>
        <w:rPr>
          <w:rFonts w:ascii="Times New Roman" w:hAnsi="Times New Roman" w:cs="Times New Roman"/>
          <w:lang w:eastAsia="en-US"/>
        </w:rPr>
      </w:pPr>
      <w:r>
        <w:rPr>
          <w:rFonts w:asciiTheme="minorHAnsi" w:hAnsiTheme="minorHAnsi"/>
          <w:snapToGrid w:val="0"/>
          <w:lang w:val="en-GB" w:eastAsia="en-US"/>
        </w:rPr>
        <w:t>The PBAC noted that</w:t>
      </w:r>
      <w:r w:rsidR="00AF516C">
        <w:rPr>
          <w:rFonts w:asciiTheme="minorHAnsi" w:hAnsiTheme="minorHAnsi"/>
          <w:snapToGrid w:val="0"/>
          <w:lang w:val="en-GB" w:eastAsia="en-US"/>
        </w:rPr>
        <w:t>, while</w:t>
      </w:r>
      <w:r>
        <w:rPr>
          <w:rFonts w:asciiTheme="minorHAnsi" w:hAnsiTheme="minorHAnsi"/>
          <w:snapToGrid w:val="0"/>
          <w:lang w:val="en-GB" w:eastAsia="en-US"/>
        </w:rPr>
        <w:t xml:space="preserve"> the submission assumed </w:t>
      </w:r>
      <w:r w:rsidR="00CD09E9">
        <w:rPr>
          <w:rFonts w:asciiTheme="minorHAnsi" w:hAnsiTheme="minorHAnsi"/>
          <w:snapToGrid w:val="0"/>
          <w:lang w:val="en-GB" w:eastAsia="en-US"/>
        </w:rPr>
        <w:t>that the</w:t>
      </w:r>
      <w:r>
        <w:rPr>
          <w:rFonts w:asciiTheme="minorHAnsi" w:hAnsiTheme="minorHAnsi"/>
          <w:snapToGrid w:val="0"/>
          <w:lang w:val="en-GB" w:eastAsia="en-US"/>
        </w:rPr>
        <w:t xml:space="preserve"> market share of </w:t>
      </w:r>
      <w:r w:rsidR="00CD09E9">
        <w:rPr>
          <w:rFonts w:asciiTheme="minorHAnsi" w:hAnsiTheme="minorHAnsi"/>
          <w:snapToGrid w:val="0"/>
          <w:lang w:val="en-GB" w:eastAsia="en-US"/>
        </w:rPr>
        <w:t xml:space="preserve">RIV4 would be </w:t>
      </w:r>
      <w:r>
        <w:rPr>
          <w:rFonts w:asciiTheme="minorHAnsi" w:hAnsiTheme="minorHAnsi"/>
          <w:snapToGrid w:val="0"/>
          <w:lang w:val="en-GB" w:eastAsia="en-US"/>
        </w:rPr>
        <w:t xml:space="preserve">50% each year, the </w:t>
      </w:r>
      <w:r w:rsidRPr="00E70A38">
        <w:rPr>
          <w:rFonts w:asciiTheme="minorHAnsi" w:hAnsiTheme="minorHAnsi"/>
          <w:snapToGrid w:val="0"/>
          <w:lang w:val="en-GB" w:eastAsia="en-US"/>
        </w:rPr>
        <w:t xml:space="preserve">ATAGI post-submission advice  stated the “assumption </w:t>
      </w:r>
      <w:r w:rsidRPr="00E70A38">
        <w:rPr>
          <w:rFonts w:asciiTheme="minorHAnsi" w:hAnsiTheme="minorHAnsi"/>
          <w:snapToGrid w:val="0"/>
          <w:lang w:val="en-GB" w:eastAsia="en-US"/>
        </w:rPr>
        <w:lastRenderedPageBreak/>
        <w:t xml:space="preserve">of a peak uptake of 50% may be reasonable…However, the assumption that RIV4 will achieve peak uptake in the first year of listing was not reasonable as it does not account for gradual uptake over time against a well-established comparator.” </w:t>
      </w:r>
      <w:r>
        <w:rPr>
          <w:rFonts w:asciiTheme="minorHAnsi" w:hAnsiTheme="minorHAnsi"/>
          <w:snapToGrid w:val="0"/>
          <w:lang w:val="en-GB" w:eastAsia="en-US"/>
        </w:rPr>
        <w:t xml:space="preserve">The PBAC agreed with ATAGI and considered that </w:t>
      </w:r>
      <w:r w:rsidR="00AF516C">
        <w:rPr>
          <w:rFonts w:asciiTheme="minorHAnsi" w:hAnsiTheme="minorHAnsi"/>
          <w:snapToGrid w:val="0"/>
          <w:lang w:val="en-GB" w:eastAsia="en-US"/>
        </w:rPr>
        <w:t xml:space="preserve">the market share of </w:t>
      </w:r>
      <w:r>
        <w:rPr>
          <w:rFonts w:asciiTheme="minorHAnsi" w:hAnsiTheme="minorHAnsi"/>
          <w:snapToGrid w:val="0"/>
          <w:lang w:val="en-GB" w:eastAsia="en-US"/>
        </w:rPr>
        <w:t>RIV4 was likely to reach 50% by Year 3 (</w:t>
      </w:r>
      <w:r w:rsidR="0048391A">
        <w:rPr>
          <w:rFonts w:asciiTheme="minorHAnsi" w:hAnsiTheme="minorHAnsi"/>
          <w:snapToGrid w:val="0"/>
          <w:lang w:val="en-GB" w:eastAsia="en-US"/>
        </w:rPr>
        <w:t>i.e.,</w:t>
      </w:r>
      <w:r>
        <w:rPr>
          <w:rFonts w:asciiTheme="minorHAnsi" w:hAnsiTheme="minorHAnsi"/>
          <w:snapToGrid w:val="0"/>
          <w:lang w:val="en-GB" w:eastAsia="en-US"/>
        </w:rPr>
        <w:t xml:space="preserve"> </w:t>
      </w:r>
      <w:r w:rsidR="00AF516C">
        <w:rPr>
          <w:rFonts w:asciiTheme="minorHAnsi" w:hAnsiTheme="minorHAnsi"/>
          <w:snapToGrid w:val="0"/>
          <w:lang w:val="en-GB" w:eastAsia="en-US"/>
        </w:rPr>
        <w:t>the PBAC considered the following market share assumptions were reasonable: 16.7% in Year 1, 33.3% in Year 2 and 50% in Years 3 to 6)</w:t>
      </w:r>
      <w:r>
        <w:rPr>
          <w:rFonts w:asciiTheme="minorHAnsi" w:hAnsiTheme="minorHAnsi"/>
          <w:snapToGrid w:val="0"/>
          <w:lang w:val="en-GB" w:eastAsia="en-US"/>
        </w:rPr>
        <w:t xml:space="preserve">. </w:t>
      </w:r>
    </w:p>
    <w:p w14:paraId="4756A891" w14:textId="24C2E975" w:rsidR="00AF516C" w:rsidRPr="00E70A38" w:rsidRDefault="00AF516C" w:rsidP="00F817FF">
      <w:pPr>
        <w:widowControl w:val="0"/>
        <w:numPr>
          <w:ilvl w:val="1"/>
          <w:numId w:val="1"/>
        </w:numPr>
        <w:spacing w:after="120"/>
        <w:rPr>
          <w:rFonts w:ascii="Times New Roman" w:hAnsi="Times New Roman" w:cs="Times New Roman"/>
          <w:lang w:eastAsia="en-US"/>
        </w:rPr>
      </w:pPr>
      <w:r>
        <w:rPr>
          <w:rFonts w:asciiTheme="minorHAnsi" w:hAnsiTheme="minorHAnsi"/>
          <w:snapToGrid w:val="0"/>
          <w:lang w:val="en-GB" w:eastAsia="en-US"/>
        </w:rPr>
        <w:t xml:space="preserve">The PBAC considered that the other assumptions applied in the financial estimates were reasonable, but also noted the price of RIV4 would need to be updated to reflect its consideration that </w:t>
      </w:r>
      <w:r w:rsidR="00C16180">
        <w:rPr>
          <w:rFonts w:asciiTheme="minorHAnsi" w:hAnsiTheme="minorHAnsi"/>
          <w:snapToGrid w:val="0"/>
          <w:lang w:val="en-GB" w:eastAsia="en-US"/>
        </w:rPr>
        <w:t xml:space="preserve">RIV4 </w:t>
      </w:r>
      <w:r w:rsidRPr="003F1E6A">
        <w:rPr>
          <w:lang w:val="en-GB" w:eastAsia="en-US"/>
        </w:rPr>
        <w:t xml:space="preserve">should be </w:t>
      </w:r>
      <w:r w:rsidRPr="003F1E6A">
        <w:rPr>
          <w:rFonts w:asciiTheme="minorHAnsi" w:hAnsiTheme="minorHAnsi"/>
          <w:snapToGrid w:val="0"/>
          <w:lang w:val="en-GB" w:eastAsia="en-US"/>
        </w:rPr>
        <w:t xml:space="preserve">cost-minimised against </w:t>
      </w:r>
      <w:r w:rsidRPr="003F1E6A">
        <w:rPr>
          <w:lang w:val="en-GB" w:eastAsia="en-US"/>
        </w:rPr>
        <w:t>aQIV with no premium applied</w:t>
      </w:r>
      <w:r>
        <w:rPr>
          <w:lang w:val="en-GB" w:eastAsia="en-US"/>
        </w:rPr>
        <w:t>.</w:t>
      </w:r>
    </w:p>
    <w:p w14:paraId="421CD73A" w14:textId="77777777" w:rsidR="00DB5146" w:rsidRPr="00F70C4F" w:rsidRDefault="00DB5146" w:rsidP="00F817FF">
      <w:pPr>
        <w:widowControl w:val="0"/>
        <w:numPr>
          <w:ilvl w:val="1"/>
          <w:numId w:val="1"/>
        </w:numPr>
        <w:spacing w:after="120" w:line="259" w:lineRule="auto"/>
        <w:rPr>
          <w:snapToGrid w:val="0"/>
        </w:rPr>
      </w:pPr>
      <w:r>
        <w:rPr>
          <w:snapToGrid w:val="0"/>
        </w:rPr>
        <w:t xml:space="preserve">The </w:t>
      </w:r>
      <w:r w:rsidRPr="00F70C4F">
        <w:rPr>
          <w:snapToGrid w:val="0"/>
        </w:rPr>
        <w:t>PBAC noted that this submission is not eligible for an independent review as independent review is only relevant to requests for PBS listing.</w:t>
      </w:r>
    </w:p>
    <w:p w14:paraId="702984E4" w14:textId="77777777" w:rsidR="00906439" w:rsidRPr="00525B39" w:rsidRDefault="00906439" w:rsidP="005362BD">
      <w:pPr>
        <w:spacing w:before="120"/>
        <w:rPr>
          <w:rFonts w:asciiTheme="minorHAnsi" w:hAnsiTheme="minorHAnsi"/>
          <w:b/>
          <w:bCs/>
          <w:snapToGrid w:val="0"/>
          <w:lang w:val="en-GB"/>
        </w:rPr>
      </w:pPr>
      <w:r w:rsidRPr="00525B39">
        <w:rPr>
          <w:rFonts w:asciiTheme="minorHAnsi" w:hAnsiTheme="minorHAnsi"/>
          <w:b/>
          <w:bCs/>
          <w:snapToGrid w:val="0"/>
          <w:lang w:val="en-GB"/>
        </w:rPr>
        <w:t>Outcome:</w:t>
      </w:r>
    </w:p>
    <w:p w14:paraId="03DC08EE" w14:textId="67799187" w:rsidR="00906439" w:rsidRPr="00525B39" w:rsidRDefault="00906439" w:rsidP="00906439">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0DD29151" w14:textId="77777777" w:rsidR="00906439" w:rsidRPr="00F237A4" w:rsidRDefault="00906439" w:rsidP="005362BD">
      <w:pPr>
        <w:pStyle w:val="2-SectionHeading"/>
        <w:keepNext w:val="0"/>
        <w:numPr>
          <w:ilvl w:val="0"/>
          <w:numId w:val="1"/>
        </w:numPr>
        <w:rPr>
          <w:b w:val="0"/>
          <w:bCs/>
          <w:iCs/>
          <w:lang w:val="en-GB"/>
        </w:rPr>
      </w:pPr>
      <w:r w:rsidRPr="00525B39">
        <w:rPr>
          <w:bCs/>
          <w:lang w:val="en-GB"/>
        </w:rPr>
        <w:t>Recommended listing</w:t>
      </w:r>
    </w:p>
    <w:p w14:paraId="1406C46C" w14:textId="77777777" w:rsidR="003C7C67" w:rsidRPr="00361A30" w:rsidRDefault="003C7C67" w:rsidP="005362BD">
      <w:pPr>
        <w:widowControl w:val="0"/>
        <w:numPr>
          <w:ilvl w:val="1"/>
          <w:numId w:val="1"/>
        </w:numPr>
        <w:spacing w:before="120" w:after="120"/>
        <w:rPr>
          <w:b/>
          <w:bCs/>
          <w:snapToGrid w:val="0"/>
        </w:rPr>
      </w:pPr>
      <w:r w:rsidRPr="00361A30">
        <w:rPr>
          <w:bCs/>
          <w:snapToGrid w:val="0"/>
        </w:rPr>
        <w:t xml:space="preserve">Add new item to the Determination: </w:t>
      </w:r>
    </w:p>
    <w:tbl>
      <w:tblPr>
        <w:tblW w:w="5000" w:type="pct"/>
        <w:tblInd w:w="28" w:type="dxa"/>
        <w:tblCellMar>
          <w:left w:w="28" w:type="dxa"/>
          <w:right w:w="28" w:type="dxa"/>
        </w:tblCellMar>
        <w:tblLook w:val="0000" w:firstRow="0" w:lastRow="0" w:firstColumn="0" w:lastColumn="0" w:noHBand="0" w:noVBand="0"/>
      </w:tblPr>
      <w:tblGrid>
        <w:gridCol w:w="2085"/>
        <w:gridCol w:w="1850"/>
        <w:gridCol w:w="2554"/>
        <w:gridCol w:w="2528"/>
      </w:tblGrid>
      <w:tr w:rsidR="003C7C67" w:rsidRPr="00C34520" w14:paraId="24976021" w14:textId="77777777" w:rsidTr="00B4474A">
        <w:trPr>
          <w:cantSplit/>
          <w:trHeight w:val="463"/>
        </w:trPr>
        <w:tc>
          <w:tcPr>
            <w:tcW w:w="1156" w:type="pct"/>
            <w:tcBorders>
              <w:top w:val="single" w:sz="4" w:space="0" w:color="auto"/>
              <w:left w:val="single" w:sz="4" w:space="0" w:color="auto"/>
              <w:bottom w:val="single" w:sz="4" w:space="0" w:color="auto"/>
              <w:right w:val="single" w:sz="4" w:space="0" w:color="auto"/>
            </w:tcBorders>
            <w:vAlign w:val="bottom"/>
          </w:tcPr>
          <w:p w14:paraId="4F33D778" w14:textId="77777777" w:rsidR="003C7C67" w:rsidRPr="003C7C67" w:rsidRDefault="003C7C67" w:rsidP="005362BD">
            <w:pPr>
              <w:jc w:val="left"/>
              <w:rPr>
                <w:rFonts w:ascii="Arial Narrow" w:hAnsi="Arial Narrow"/>
                <w:b/>
                <w:sz w:val="20"/>
              </w:rPr>
            </w:pPr>
            <w:r w:rsidRPr="003C7C67">
              <w:rPr>
                <w:rFonts w:ascii="Arial Narrow" w:hAnsi="Arial Narrow"/>
                <w:b/>
                <w:sz w:val="20"/>
              </w:rPr>
              <w:t>Vaccine and the circumstances in which vaccine may be provided</w:t>
            </w:r>
          </w:p>
        </w:tc>
        <w:tc>
          <w:tcPr>
            <w:tcW w:w="1026" w:type="pct"/>
            <w:tcBorders>
              <w:top w:val="single" w:sz="4" w:space="0" w:color="auto"/>
              <w:left w:val="single" w:sz="4" w:space="0" w:color="auto"/>
              <w:bottom w:val="single" w:sz="4" w:space="0" w:color="auto"/>
              <w:right w:val="single" w:sz="4" w:space="0" w:color="auto"/>
            </w:tcBorders>
            <w:vAlign w:val="center"/>
          </w:tcPr>
          <w:p w14:paraId="12DDFA2D" w14:textId="77777777" w:rsidR="003C7C67" w:rsidRPr="003C7C67" w:rsidRDefault="003C7C67" w:rsidP="005362BD">
            <w:pPr>
              <w:jc w:val="center"/>
              <w:rPr>
                <w:rFonts w:ascii="Arial Narrow" w:hAnsi="Arial Narrow"/>
                <w:b/>
                <w:sz w:val="20"/>
              </w:rPr>
            </w:pPr>
            <w:r w:rsidRPr="003C7C67">
              <w:rPr>
                <w:rFonts w:ascii="Arial Narrow" w:hAnsi="Arial Narrow"/>
                <w:b/>
                <w:sz w:val="20"/>
              </w:rPr>
              <w:t>Brand</w:t>
            </w:r>
          </w:p>
        </w:tc>
        <w:tc>
          <w:tcPr>
            <w:tcW w:w="1416" w:type="pct"/>
            <w:tcBorders>
              <w:top w:val="single" w:sz="4" w:space="0" w:color="auto"/>
              <w:left w:val="single" w:sz="4" w:space="0" w:color="auto"/>
              <w:bottom w:val="single" w:sz="4" w:space="0" w:color="auto"/>
              <w:right w:val="single" w:sz="4" w:space="0" w:color="auto"/>
            </w:tcBorders>
            <w:vAlign w:val="center"/>
          </w:tcPr>
          <w:p w14:paraId="68D3532E" w14:textId="77777777" w:rsidR="003C7C67" w:rsidRPr="003C7C67" w:rsidRDefault="003C7C67" w:rsidP="005362BD">
            <w:pPr>
              <w:jc w:val="center"/>
              <w:rPr>
                <w:rFonts w:ascii="Arial Narrow" w:hAnsi="Arial Narrow"/>
                <w:b/>
                <w:sz w:val="20"/>
              </w:rPr>
            </w:pPr>
            <w:r w:rsidRPr="003C7C67">
              <w:rPr>
                <w:rFonts w:ascii="Arial Narrow" w:hAnsi="Arial Narrow"/>
                <w:b/>
                <w:sz w:val="20"/>
              </w:rPr>
              <w:t>Formulation</w:t>
            </w:r>
          </w:p>
        </w:tc>
        <w:tc>
          <w:tcPr>
            <w:tcW w:w="1402" w:type="pct"/>
            <w:tcBorders>
              <w:top w:val="single" w:sz="4" w:space="0" w:color="auto"/>
              <w:left w:val="single" w:sz="4" w:space="0" w:color="auto"/>
              <w:bottom w:val="single" w:sz="4" w:space="0" w:color="auto"/>
              <w:right w:val="single" w:sz="4" w:space="0" w:color="auto"/>
            </w:tcBorders>
            <w:vAlign w:val="center"/>
          </w:tcPr>
          <w:p w14:paraId="0E2B0CD1" w14:textId="77777777" w:rsidR="003C7C67" w:rsidRPr="003C7C67" w:rsidRDefault="003C7C67" w:rsidP="005362BD">
            <w:pPr>
              <w:jc w:val="center"/>
              <w:rPr>
                <w:rFonts w:ascii="Arial Narrow" w:hAnsi="Arial Narrow"/>
                <w:b/>
                <w:sz w:val="20"/>
              </w:rPr>
            </w:pPr>
            <w:r w:rsidRPr="003C7C67">
              <w:rPr>
                <w:rFonts w:ascii="Arial Narrow" w:hAnsi="Arial Narrow"/>
                <w:b/>
                <w:sz w:val="20"/>
              </w:rPr>
              <w:t>Number and timing of doses</w:t>
            </w:r>
          </w:p>
        </w:tc>
      </w:tr>
      <w:tr w:rsidR="003C7C67" w:rsidRPr="00C34520" w14:paraId="47E2581C" w14:textId="77777777" w:rsidTr="005362BD">
        <w:trPr>
          <w:cantSplit/>
          <w:trHeight w:val="463"/>
        </w:trPr>
        <w:tc>
          <w:tcPr>
            <w:tcW w:w="1156" w:type="pct"/>
            <w:tcBorders>
              <w:top w:val="single" w:sz="4" w:space="0" w:color="auto"/>
              <w:left w:val="single" w:sz="4" w:space="0" w:color="auto"/>
              <w:bottom w:val="single" w:sz="4" w:space="0" w:color="auto"/>
              <w:right w:val="single" w:sz="4" w:space="0" w:color="auto"/>
            </w:tcBorders>
            <w:vAlign w:val="center"/>
          </w:tcPr>
          <w:p w14:paraId="350E472A" w14:textId="06FD2D5E" w:rsidR="003C7C67" w:rsidRPr="003C7C67" w:rsidRDefault="003C7C67" w:rsidP="005362BD">
            <w:pPr>
              <w:jc w:val="left"/>
              <w:rPr>
                <w:rFonts w:ascii="Arial Narrow" w:hAnsi="Arial Narrow"/>
                <w:b/>
                <w:sz w:val="20"/>
              </w:rPr>
            </w:pPr>
            <w:r w:rsidRPr="003C7C67">
              <w:rPr>
                <w:rFonts w:ascii="Arial Narrow" w:hAnsi="Arial Narrow"/>
                <w:sz w:val="20"/>
              </w:rPr>
              <w:t>Influenza Vaccine</w:t>
            </w:r>
            <w:r w:rsidRPr="003C7C67">
              <w:rPr>
                <w:rFonts w:ascii="Arial Narrow" w:hAnsi="Arial Narrow"/>
                <w:smallCaps/>
                <w:sz w:val="20"/>
              </w:rPr>
              <w:t xml:space="preserve"> </w:t>
            </w:r>
          </w:p>
        </w:tc>
        <w:tc>
          <w:tcPr>
            <w:tcW w:w="1026" w:type="pct"/>
            <w:tcBorders>
              <w:top w:val="single" w:sz="4" w:space="0" w:color="auto"/>
              <w:left w:val="single" w:sz="4" w:space="0" w:color="auto"/>
              <w:bottom w:val="single" w:sz="4" w:space="0" w:color="auto"/>
              <w:right w:val="single" w:sz="4" w:space="0" w:color="auto"/>
            </w:tcBorders>
            <w:vAlign w:val="center"/>
          </w:tcPr>
          <w:p w14:paraId="7FCCF783" w14:textId="77777777" w:rsidR="003C7C67" w:rsidRPr="003C7C67" w:rsidRDefault="003C7C67" w:rsidP="005362BD">
            <w:pPr>
              <w:jc w:val="center"/>
              <w:rPr>
                <w:rFonts w:ascii="Arial Narrow" w:hAnsi="Arial Narrow"/>
                <w:b/>
                <w:sz w:val="20"/>
              </w:rPr>
            </w:pPr>
            <w:r w:rsidRPr="003C7C67">
              <w:rPr>
                <w:rFonts w:ascii="Arial Narrow" w:hAnsi="Arial Narrow"/>
                <w:sz w:val="20"/>
              </w:rPr>
              <w:t>Flublok</w:t>
            </w:r>
            <w:r w:rsidRPr="003C7C67">
              <w:rPr>
                <w:rFonts w:ascii="Arial Narrow" w:hAnsi="Arial Narrow"/>
                <w:sz w:val="20"/>
                <w:vertAlign w:val="superscript"/>
              </w:rPr>
              <w:t>®</w:t>
            </w:r>
            <w:r w:rsidRPr="003C7C67">
              <w:rPr>
                <w:rFonts w:ascii="Arial Narrow" w:hAnsi="Arial Narrow"/>
                <w:sz w:val="20"/>
              </w:rPr>
              <w:t xml:space="preserve"> Quadrivalent</w:t>
            </w:r>
          </w:p>
        </w:tc>
        <w:tc>
          <w:tcPr>
            <w:tcW w:w="1416" w:type="pct"/>
            <w:tcBorders>
              <w:top w:val="single" w:sz="4" w:space="0" w:color="auto"/>
              <w:left w:val="single" w:sz="4" w:space="0" w:color="auto"/>
              <w:bottom w:val="single" w:sz="4" w:space="0" w:color="auto"/>
              <w:right w:val="single" w:sz="4" w:space="0" w:color="auto"/>
            </w:tcBorders>
            <w:vAlign w:val="center"/>
          </w:tcPr>
          <w:p w14:paraId="754053F3" w14:textId="77777777" w:rsidR="003C7C67" w:rsidRPr="003C7C67" w:rsidRDefault="003C7C67" w:rsidP="005362BD">
            <w:pPr>
              <w:jc w:val="center"/>
              <w:rPr>
                <w:rFonts w:ascii="Arial Narrow" w:hAnsi="Arial Narrow"/>
                <w:sz w:val="20"/>
              </w:rPr>
            </w:pPr>
            <w:r w:rsidRPr="003C7C67">
              <w:rPr>
                <w:rFonts w:ascii="Arial Narrow" w:hAnsi="Arial Narrow"/>
                <w:sz w:val="20"/>
              </w:rPr>
              <w:t>Injection (0.5mL)</w:t>
            </w:r>
          </w:p>
        </w:tc>
        <w:tc>
          <w:tcPr>
            <w:tcW w:w="1402" w:type="pct"/>
            <w:tcBorders>
              <w:top w:val="single" w:sz="4" w:space="0" w:color="auto"/>
              <w:left w:val="single" w:sz="4" w:space="0" w:color="auto"/>
              <w:bottom w:val="single" w:sz="4" w:space="0" w:color="auto"/>
              <w:right w:val="single" w:sz="4" w:space="0" w:color="auto"/>
            </w:tcBorders>
            <w:vAlign w:val="center"/>
          </w:tcPr>
          <w:p w14:paraId="3FE178C1" w14:textId="77777777" w:rsidR="003C7C67" w:rsidRPr="003C7C67" w:rsidRDefault="003C7C67" w:rsidP="005362BD">
            <w:pPr>
              <w:jc w:val="center"/>
              <w:rPr>
                <w:rFonts w:ascii="Arial Narrow" w:hAnsi="Arial Narrow"/>
                <w:b/>
                <w:sz w:val="20"/>
              </w:rPr>
            </w:pPr>
            <w:r w:rsidRPr="003C7C67">
              <w:rPr>
                <w:rFonts w:ascii="Arial Narrow" w:hAnsi="Arial Narrow"/>
                <w:sz w:val="20"/>
              </w:rPr>
              <w:t>1 dose per calendar year</w:t>
            </w:r>
          </w:p>
        </w:tc>
      </w:tr>
      <w:tr w:rsidR="003C7C67" w:rsidRPr="00C34520" w14:paraId="776E901E" w14:textId="77777777" w:rsidTr="00B4474A">
        <w:trPr>
          <w:cantSplit/>
          <w:trHeight w:val="66"/>
        </w:trPr>
        <w:tc>
          <w:tcPr>
            <w:tcW w:w="5000" w:type="pct"/>
            <w:gridSpan w:val="4"/>
            <w:tcBorders>
              <w:top w:val="single" w:sz="4" w:space="0" w:color="auto"/>
              <w:left w:val="single" w:sz="4" w:space="0" w:color="auto"/>
              <w:bottom w:val="single" w:sz="4" w:space="0" w:color="auto"/>
              <w:right w:val="single" w:sz="4" w:space="0" w:color="auto"/>
            </w:tcBorders>
            <w:vAlign w:val="bottom"/>
          </w:tcPr>
          <w:p w14:paraId="515AF566" w14:textId="77777777" w:rsidR="003C7C67" w:rsidRPr="003C7C67" w:rsidRDefault="003C7C67" w:rsidP="005362BD">
            <w:pPr>
              <w:rPr>
                <w:rFonts w:ascii="Arial Narrow" w:hAnsi="Arial Narrow"/>
                <w:sz w:val="20"/>
              </w:rPr>
            </w:pPr>
            <w:r w:rsidRPr="003C7C67">
              <w:rPr>
                <w:rFonts w:ascii="Arial Narrow" w:hAnsi="Arial Narrow"/>
                <w:sz w:val="20"/>
              </w:rPr>
              <w:t>Circumstances</w:t>
            </w:r>
          </w:p>
          <w:p w14:paraId="298531FB" w14:textId="77777777" w:rsidR="003C7C67" w:rsidRPr="003C7C67" w:rsidRDefault="003C7C67" w:rsidP="005362BD">
            <w:pPr>
              <w:rPr>
                <w:rFonts w:ascii="Arial Narrow" w:hAnsi="Arial Narrow"/>
                <w:sz w:val="20"/>
              </w:rPr>
            </w:pPr>
            <w:r w:rsidRPr="003C7C67">
              <w:rPr>
                <w:rFonts w:ascii="Arial Narrow" w:hAnsi="Arial Narrow"/>
                <w:sz w:val="20"/>
              </w:rPr>
              <w:t>Vaccine may be provided:</w:t>
            </w:r>
          </w:p>
          <w:p w14:paraId="75DB418C" w14:textId="77777777" w:rsidR="003C7C67" w:rsidRPr="003C7C67" w:rsidRDefault="003C7C67" w:rsidP="005362BD">
            <w:pPr>
              <w:rPr>
                <w:rFonts w:ascii="Arial Narrow" w:hAnsi="Arial Narrow"/>
                <w:b/>
                <w:sz w:val="20"/>
              </w:rPr>
            </w:pPr>
            <w:r w:rsidRPr="003C7C67">
              <w:rPr>
                <w:rFonts w:ascii="Arial Narrow" w:hAnsi="Arial Narrow"/>
                <w:sz w:val="20"/>
              </w:rPr>
              <w:t>to a person who is at least 65 years of age.</w:t>
            </w:r>
          </w:p>
        </w:tc>
      </w:tr>
    </w:tbl>
    <w:p w14:paraId="3099BC2C" w14:textId="34C91A94" w:rsidR="00BD2ADC" w:rsidRPr="00BD2ADC" w:rsidRDefault="003C7C67" w:rsidP="005362BD">
      <w:pPr>
        <w:spacing w:before="120"/>
        <w:rPr>
          <w:rFonts w:eastAsia="Calibri"/>
          <w:bCs/>
          <w:snapToGrid w:val="0"/>
          <w:szCs w:val="22"/>
          <w:lang w:val="en-GB" w:eastAsia="en-US"/>
        </w:rPr>
      </w:pPr>
      <w:r w:rsidRPr="00361A30">
        <w:rPr>
          <w:b/>
          <w:i/>
        </w:rPr>
        <w:t>This restriction may be subject to further review. Should there be any changes made to the restriction the sponsor will be informed.</w:t>
      </w:r>
    </w:p>
    <w:p w14:paraId="14D4A699" w14:textId="77777777" w:rsidR="00BD2ADC" w:rsidRPr="00BD2ADC" w:rsidRDefault="00BD2ADC" w:rsidP="005362BD">
      <w:pPr>
        <w:numPr>
          <w:ilvl w:val="0"/>
          <w:numId w:val="1"/>
        </w:numPr>
        <w:spacing w:before="240" w:after="120"/>
        <w:jc w:val="left"/>
        <w:outlineLvl w:val="0"/>
        <w:rPr>
          <w:b/>
          <w:snapToGrid w:val="0"/>
          <w:sz w:val="32"/>
          <w:szCs w:val="32"/>
        </w:rPr>
      </w:pPr>
      <w:bookmarkStart w:id="69" w:name="_Hlk165280286"/>
      <w:r w:rsidRPr="00BD2ADC">
        <w:rPr>
          <w:b/>
          <w:snapToGrid w:val="0"/>
          <w:sz w:val="32"/>
          <w:szCs w:val="32"/>
        </w:rPr>
        <w:t>Context for Decision</w:t>
      </w:r>
    </w:p>
    <w:p w14:paraId="3D08016A" w14:textId="77777777" w:rsidR="00BD2ADC" w:rsidRPr="00BD2ADC" w:rsidRDefault="00BD2ADC" w:rsidP="005362BD">
      <w:pPr>
        <w:widowControl w:val="0"/>
        <w:spacing w:after="120"/>
        <w:ind w:left="720"/>
        <w:rPr>
          <w:bCs/>
          <w:snapToGrid w:val="0"/>
        </w:rPr>
      </w:pPr>
      <w:r w:rsidRPr="00BD2ADC">
        <w:rPr>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72B246F" w14:textId="77777777" w:rsidR="00BD2ADC" w:rsidRPr="00BD2ADC" w:rsidRDefault="00BD2ADC" w:rsidP="005362BD">
      <w:pPr>
        <w:numPr>
          <w:ilvl w:val="0"/>
          <w:numId w:val="1"/>
        </w:numPr>
        <w:spacing w:before="240" w:after="120"/>
        <w:jc w:val="left"/>
        <w:outlineLvl w:val="0"/>
        <w:rPr>
          <w:b/>
          <w:snapToGrid w:val="0"/>
          <w:sz w:val="32"/>
          <w:szCs w:val="32"/>
        </w:rPr>
      </w:pPr>
      <w:r w:rsidRPr="00BD2ADC">
        <w:rPr>
          <w:b/>
          <w:snapToGrid w:val="0"/>
          <w:sz w:val="32"/>
          <w:szCs w:val="32"/>
        </w:rPr>
        <w:t>Sponsor’s Comment</w:t>
      </w:r>
    </w:p>
    <w:p w14:paraId="710881C9" w14:textId="3BB0E6BE" w:rsidR="003C7C67" w:rsidRPr="005362BD" w:rsidRDefault="00BD2ADC" w:rsidP="005362BD">
      <w:pPr>
        <w:widowControl w:val="0"/>
        <w:spacing w:after="120"/>
        <w:ind w:firstLine="720"/>
        <w:rPr>
          <w:bCs/>
          <w:snapToGrid w:val="0"/>
        </w:rPr>
      </w:pPr>
      <w:r w:rsidRPr="00BD2ADC">
        <w:rPr>
          <w:bCs/>
          <w:snapToGrid w:val="0"/>
        </w:rPr>
        <w:t>The sponsor had no comment.</w:t>
      </w:r>
      <w:bookmarkEnd w:id="69"/>
    </w:p>
    <w:sectPr w:rsidR="003C7C67" w:rsidRPr="005362BD"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5EB8" w14:textId="77777777" w:rsidR="006746D5" w:rsidRDefault="006746D5" w:rsidP="00124A51">
      <w:r>
        <w:separator/>
      </w:r>
    </w:p>
    <w:p w14:paraId="17C772D7" w14:textId="77777777" w:rsidR="006746D5" w:rsidRDefault="006746D5"/>
  </w:endnote>
  <w:endnote w:type="continuationSeparator" w:id="0">
    <w:p w14:paraId="217D1FBF" w14:textId="77777777" w:rsidR="006746D5" w:rsidRDefault="006746D5" w:rsidP="00124A51">
      <w:r>
        <w:continuationSeparator/>
      </w:r>
    </w:p>
    <w:p w14:paraId="5837AAD7" w14:textId="77777777" w:rsidR="006746D5" w:rsidRDefault="00674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1377" w14:textId="77777777" w:rsidR="0073365E" w:rsidRDefault="00733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26FB4E16" w14:textId="7499693C" w:rsidR="003C7C67" w:rsidRPr="00B40AAA" w:rsidRDefault="005362BD" w:rsidP="00B40AAA">
    <w:pPr>
      <w:pStyle w:val="Footer"/>
      <w:jc w:val="center"/>
      <w:rPr>
        <w:b/>
        <w:bCs/>
      </w:rPr>
    </w:pPr>
    <w:sdt>
      <w:sdtPr>
        <w:rPr>
          <w:b/>
          <w:bCs/>
        </w:rPr>
        <w:id w:val="1036156457"/>
        <w:docPartObj>
          <w:docPartGallery w:val="Page Numbers (Bottom of Page)"/>
          <w:docPartUnique/>
        </w:docPartObj>
      </w:sdtPr>
      <w:sdtEndPr>
        <w:rPr>
          <w:noProof/>
        </w:rPr>
      </w:sdtEndPr>
      <w:sdtContent>
        <w:r w:rsidR="00D843F2" w:rsidRPr="00C509F6">
          <w:rPr>
            <w:b/>
            <w:bCs/>
          </w:rPr>
          <w:fldChar w:fldCharType="begin"/>
        </w:r>
        <w:r w:rsidR="00D843F2" w:rsidRPr="00C509F6">
          <w:rPr>
            <w:b/>
            <w:bCs/>
          </w:rPr>
          <w:instrText xml:space="preserve"> PAGE   \* MERGEFORMAT </w:instrText>
        </w:r>
        <w:r w:rsidR="00D843F2" w:rsidRPr="00C509F6">
          <w:rPr>
            <w:b/>
            <w:bCs/>
          </w:rPr>
          <w:fldChar w:fldCharType="separate"/>
        </w:r>
        <w:r w:rsidR="00D843F2" w:rsidRPr="00C509F6">
          <w:rPr>
            <w:b/>
            <w:bCs/>
            <w:noProof/>
          </w:rPr>
          <w:t>2</w:t>
        </w:r>
        <w:r w:rsidR="00D843F2" w:rsidRPr="00C509F6">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CD7" w14:textId="77777777" w:rsidR="0073365E" w:rsidRDefault="007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0A96" w14:textId="77777777" w:rsidR="006746D5" w:rsidRDefault="006746D5" w:rsidP="00124A51">
      <w:r>
        <w:separator/>
      </w:r>
    </w:p>
    <w:p w14:paraId="5145D583" w14:textId="77777777" w:rsidR="006746D5" w:rsidRDefault="006746D5"/>
  </w:footnote>
  <w:footnote w:type="continuationSeparator" w:id="0">
    <w:p w14:paraId="12918A81" w14:textId="77777777" w:rsidR="006746D5" w:rsidRDefault="006746D5" w:rsidP="00124A51">
      <w:r>
        <w:continuationSeparator/>
      </w:r>
    </w:p>
    <w:p w14:paraId="747B3A85" w14:textId="77777777" w:rsidR="006746D5" w:rsidRDefault="006746D5"/>
  </w:footnote>
  <w:footnote w:id="1">
    <w:p w14:paraId="67102D94" w14:textId="77777777" w:rsidR="006F2E96" w:rsidRPr="003F11E1" w:rsidRDefault="006F2E96" w:rsidP="006F2E96">
      <w:pPr>
        <w:pStyle w:val="FootnoteText"/>
        <w:rPr>
          <w:rFonts w:cstheme="minorHAnsi"/>
          <w:i/>
          <w:iCs/>
        </w:rPr>
      </w:pPr>
      <w:r w:rsidRPr="003F11E1">
        <w:rPr>
          <w:rStyle w:val="FootnoteReference"/>
          <w:rFonts w:eastAsiaTheme="minorHAnsi"/>
          <w:i/>
          <w:iCs/>
        </w:rPr>
        <w:footnoteRef/>
      </w:r>
      <w:r w:rsidRPr="003F11E1">
        <w:rPr>
          <w:rFonts w:cstheme="minorHAnsi"/>
          <w:i/>
          <w:iCs/>
        </w:rPr>
        <w:t xml:space="preserve"> https://www.tga.gov.au/aivc-terms-reference</w:t>
      </w:r>
    </w:p>
  </w:footnote>
  <w:footnote w:id="2">
    <w:p w14:paraId="4C995F7D" w14:textId="15A182FE" w:rsidR="004A6F49" w:rsidRDefault="004A6F49">
      <w:pPr>
        <w:pStyle w:val="FootnoteText"/>
      </w:pPr>
      <w:r>
        <w:rPr>
          <w:rStyle w:val="FootnoteReference"/>
        </w:rPr>
        <w:footnoteRef/>
      </w:r>
      <w:r>
        <w:t xml:space="preserve"> </w:t>
      </w:r>
      <w:hyperlink r:id="rId1" w:history="1">
        <w:r w:rsidRPr="007D74F5">
          <w:rPr>
            <w:rStyle w:val="Hyperlink"/>
            <w:color w:val="auto"/>
          </w:rPr>
          <w:t>https://ncirs.org.au/influenza-vaccination-coverage-data/historical-national-influenza-vaccination-coverage-2020-2022</w:t>
        </w:r>
      </w:hyperlink>
      <w:r w:rsidRPr="007D74F5">
        <w:t>. Acc</w:t>
      </w:r>
      <w:r>
        <w:t xml:space="preserve">essed 17 November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A54B" w14:textId="77777777" w:rsidR="0073365E" w:rsidRDefault="00733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77C4E452" w:rsidR="00D843F2" w:rsidRPr="00195452" w:rsidRDefault="00E55814" w:rsidP="00D822E2">
    <w:pPr>
      <w:pStyle w:val="Header"/>
      <w:rPr>
        <w:rFonts w:asciiTheme="minorHAnsi" w:hAnsiTheme="minorHAnsi"/>
        <w:i/>
        <w:color w:val="808080"/>
      </w:rPr>
    </w:pPr>
    <w:r w:rsidRPr="00E55814">
      <w:rPr>
        <w:rFonts w:asciiTheme="minorHAnsi" w:hAnsiTheme="minorHAnsi"/>
        <w:i/>
        <w:color w:val="808080"/>
      </w:rPr>
      <w:t xml:space="preserve">Public Summary Document </w:t>
    </w:r>
    <w:r w:rsidR="00D8548E">
      <w:rPr>
        <w:rFonts w:asciiTheme="minorHAnsi" w:hAnsiTheme="minorHAnsi"/>
        <w:i/>
        <w:color w:val="808080"/>
      </w:rPr>
      <w:t xml:space="preserve">- </w:t>
    </w:r>
    <w:r w:rsidR="00D30996">
      <w:rPr>
        <w:rFonts w:asciiTheme="minorHAnsi" w:hAnsiTheme="minorHAnsi"/>
        <w:i/>
        <w:color w:val="808080"/>
      </w:rPr>
      <w:t>March 2024</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7201" w14:textId="77777777" w:rsidR="0073365E" w:rsidRDefault="0073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5AB7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2176C"/>
    <w:multiLevelType w:val="hybridMultilevel"/>
    <w:tmpl w:val="92CC2C1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562B8D"/>
    <w:multiLevelType w:val="hybridMultilevel"/>
    <w:tmpl w:val="632CF972"/>
    <w:lvl w:ilvl="0" w:tplc="2C7E282C">
      <w:start w:val="5"/>
      <w:numFmt w:val="bullet"/>
      <w:lvlText w:val="-"/>
      <w:lvlJc w:val="left"/>
      <w:pPr>
        <w:ind w:left="720" w:hanging="360"/>
      </w:pPr>
      <w:rPr>
        <w:rFonts w:ascii="Arial Narrow" w:eastAsiaTheme="majorEastAsia"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86A2E"/>
    <w:multiLevelType w:val="hybridMultilevel"/>
    <w:tmpl w:val="7AD24276"/>
    <w:lvl w:ilvl="0" w:tplc="1C94A1DA">
      <w:start w:val="1"/>
      <w:numFmt w:val="lowerRoman"/>
      <w:lvlText w:val="%1)"/>
      <w:lvlJc w:val="right"/>
      <w:pPr>
        <w:ind w:left="720" w:hanging="360"/>
      </w:pPr>
    </w:lvl>
    <w:lvl w:ilvl="1" w:tplc="C87A9830">
      <w:start w:val="1"/>
      <w:numFmt w:val="lowerRoman"/>
      <w:lvlText w:val="%2)"/>
      <w:lvlJc w:val="right"/>
      <w:pPr>
        <w:ind w:left="720" w:hanging="360"/>
      </w:pPr>
    </w:lvl>
    <w:lvl w:ilvl="2" w:tplc="F9C49B3E">
      <w:start w:val="1"/>
      <w:numFmt w:val="lowerRoman"/>
      <w:lvlText w:val="%3)"/>
      <w:lvlJc w:val="right"/>
      <w:pPr>
        <w:ind w:left="720" w:hanging="360"/>
      </w:pPr>
    </w:lvl>
    <w:lvl w:ilvl="3" w:tplc="05E6B66E">
      <w:start w:val="1"/>
      <w:numFmt w:val="lowerRoman"/>
      <w:lvlText w:val="%4)"/>
      <w:lvlJc w:val="right"/>
      <w:pPr>
        <w:ind w:left="720" w:hanging="360"/>
      </w:pPr>
    </w:lvl>
    <w:lvl w:ilvl="4" w:tplc="391076E8">
      <w:start w:val="1"/>
      <w:numFmt w:val="lowerRoman"/>
      <w:lvlText w:val="%5)"/>
      <w:lvlJc w:val="right"/>
      <w:pPr>
        <w:ind w:left="720" w:hanging="360"/>
      </w:pPr>
    </w:lvl>
    <w:lvl w:ilvl="5" w:tplc="0FB270DE">
      <w:start w:val="1"/>
      <w:numFmt w:val="lowerRoman"/>
      <w:lvlText w:val="%6)"/>
      <w:lvlJc w:val="right"/>
      <w:pPr>
        <w:ind w:left="720" w:hanging="360"/>
      </w:pPr>
    </w:lvl>
    <w:lvl w:ilvl="6" w:tplc="7DB4C04E">
      <w:start w:val="1"/>
      <w:numFmt w:val="lowerRoman"/>
      <w:lvlText w:val="%7)"/>
      <w:lvlJc w:val="right"/>
      <w:pPr>
        <w:ind w:left="720" w:hanging="360"/>
      </w:pPr>
    </w:lvl>
    <w:lvl w:ilvl="7" w:tplc="F126D590">
      <w:start w:val="1"/>
      <w:numFmt w:val="lowerRoman"/>
      <w:lvlText w:val="%8)"/>
      <w:lvlJc w:val="right"/>
      <w:pPr>
        <w:ind w:left="720" w:hanging="360"/>
      </w:pPr>
    </w:lvl>
    <w:lvl w:ilvl="8" w:tplc="9488A706">
      <w:start w:val="1"/>
      <w:numFmt w:val="lowerRoman"/>
      <w:lvlText w:val="%9)"/>
      <w:lvlJc w:val="right"/>
      <w:pPr>
        <w:ind w:left="720" w:hanging="360"/>
      </w:pPr>
    </w:lvl>
  </w:abstractNum>
  <w:abstractNum w:abstractNumId="6" w15:restartNumberingAfterBreak="0">
    <w:nsid w:val="15C855D6"/>
    <w:multiLevelType w:val="hybridMultilevel"/>
    <w:tmpl w:val="72F6C8B8"/>
    <w:lvl w:ilvl="0" w:tplc="E50A5712">
      <w:start w:val="1"/>
      <w:numFmt w:val="bullet"/>
      <w:lvlText w:val=""/>
      <w:lvlJc w:val="left"/>
      <w:pPr>
        <w:ind w:left="720" w:hanging="360"/>
      </w:pPr>
      <w:rPr>
        <w:rFonts w:ascii="Symbol" w:hAnsi="Symbol"/>
      </w:rPr>
    </w:lvl>
    <w:lvl w:ilvl="1" w:tplc="B7107FFC">
      <w:start w:val="1"/>
      <w:numFmt w:val="bullet"/>
      <w:lvlText w:val=""/>
      <w:lvlJc w:val="left"/>
      <w:pPr>
        <w:ind w:left="720" w:hanging="360"/>
      </w:pPr>
      <w:rPr>
        <w:rFonts w:ascii="Symbol" w:hAnsi="Symbol"/>
      </w:rPr>
    </w:lvl>
    <w:lvl w:ilvl="2" w:tplc="7C647210">
      <w:start w:val="1"/>
      <w:numFmt w:val="bullet"/>
      <w:lvlText w:val=""/>
      <w:lvlJc w:val="left"/>
      <w:pPr>
        <w:ind w:left="720" w:hanging="360"/>
      </w:pPr>
      <w:rPr>
        <w:rFonts w:ascii="Symbol" w:hAnsi="Symbol"/>
      </w:rPr>
    </w:lvl>
    <w:lvl w:ilvl="3" w:tplc="36269CE6">
      <w:start w:val="1"/>
      <w:numFmt w:val="bullet"/>
      <w:lvlText w:val=""/>
      <w:lvlJc w:val="left"/>
      <w:pPr>
        <w:ind w:left="720" w:hanging="360"/>
      </w:pPr>
      <w:rPr>
        <w:rFonts w:ascii="Symbol" w:hAnsi="Symbol"/>
      </w:rPr>
    </w:lvl>
    <w:lvl w:ilvl="4" w:tplc="9710D6FA">
      <w:start w:val="1"/>
      <w:numFmt w:val="bullet"/>
      <w:lvlText w:val=""/>
      <w:lvlJc w:val="left"/>
      <w:pPr>
        <w:ind w:left="720" w:hanging="360"/>
      </w:pPr>
      <w:rPr>
        <w:rFonts w:ascii="Symbol" w:hAnsi="Symbol"/>
      </w:rPr>
    </w:lvl>
    <w:lvl w:ilvl="5" w:tplc="AE52332E">
      <w:start w:val="1"/>
      <w:numFmt w:val="bullet"/>
      <w:lvlText w:val=""/>
      <w:lvlJc w:val="left"/>
      <w:pPr>
        <w:ind w:left="720" w:hanging="360"/>
      </w:pPr>
      <w:rPr>
        <w:rFonts w:ascii="Symbol" w:hAnsi="Symbol"/>
      </w:rPr>
    </w:lvl>
    <w:lvl w:ilvl="6" w:tplc="F8BABD2E">
      <w:start w:val="1"/>
      <w:numFmt w:val="bullet"/>
      <w:lvlText w:val=""/>
      <w:lvlJc w:val="left"/>
      <w:pPr>
        <w:ind w:left="720" w:hanging="360"/>
      </w:pPr>
      <w:rPr>
        <w:rFonts w:ascii="Symbol" w:hAnsi="Symbol"/>
      </w:rPr>
    </w:lvl>
    <w:lvl w:ilvl="7" w:tplc="28709D26">
      <w:start w:val="1"/>
      <w:numFmt w:val="bullet"/>
      <w:lvlText w:val=""/>
      <w:lvlJc w:val="left"/>
      <w:pPr>
        <w:ind w:left="720" w:hanging="360"/>
      </w:pPr>
      <w:rPr>
        <w:rFonts w:ascii="Symbol" w:hAnsi="Symbol"/>
      </w:rPr>
    </w:lvl>
    <w:lvl w:ilvl="8" w:tplc="670E0950">
      <w:start w:val="1"/>
      <w:numFmt w:val="bullet"/>
      <w:lvlText w:val=""/>
      <w:lvlJc w:val="left"/>
      <w:pPr>
        <w:ind w:left="720" w:hanging="360"/>
      </w:pPr>
      <w:rPr>
        <w:rFonts w:ascii="Symbol" w:hAnsi="Symbol"/>
      </w:rPr>
    </w:lvl>
  </w:abstractNum>
  <w:abstractNum w:abstractNumId="7" w15:restartNumberingAfterBreak="0">
    <w:nsid w:val="15E470DC"/>
    <w:multiLevelType w:val="hybridMultilevel"/>
    <w:tmpl w:val="3D463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5979B8"/>
    <w:multiLevelType w:val="hybridMultilevel"/>
    <w:tmpl w:val="7F9E7098"/>
    <w:lvl w:ilvl="0" w:tplc="E01C1174">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77D32"/>
    <w:multiLevelType w:val="hybridMultilevel"/>
    <w:tmpl w:val="9CBA120E"/>
    <w:lvl w:ilvl="0" w:tplc="E19EE61A">
      <w:start w:val="1"/>
      <w:numFmt w:val="lowerLetter"/>
      <w:pStyle w:val="NormalLetter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3C5EC0"/>
    <w:multiLevelType w:val="hybridMultilevel"/>
    <w:tmpl w:val="92CC2C16"/>
    <w:lvl w:ilvl="0" w:tplc="2AB01CE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14601B6"/>
    <w:multiLevelType w:val="hybridMultilevel"/>
    <w:tmpl w:val="B158283A"/>
    <w:lvl w:ilvl="0" w:tplc="C37C0DF4">
      <w:start w:val="1"/>
      <w:numFmt w:val="bullet"/>
      <w:lvlText w:val=""/>
      <w:lvlJc w:val="left"/>
      <w:pPr>
        <w:ind w:left="720" w:hanging="360"/>
      </w:pPr>
      <w:rPr>
        <w:rFonts w:ascii="Symbol" w:hAnsi="Symbol"/>
      </w:rPr>
    </w:lvl>
    <w:lvl w:ilvl="1" w:tplc="AF666148">
      <w:start w:val="1"/>
      <w:numFmt w:val="bullet"/>
      <w:lvlText w:val=""/>
      <w:lvlJc w:val="left"/>
      <w:pPr>
        <w:ind w:left="720" w:hanging="360"/>
      </w:pPr>
      <w:rPr>
        <w:rFonts w:ascii="Symbol" w:hAnsi="Symbol"/>
      </w:rPr>
    </w:lvl>
    <w:lvl w:ilvl="2" w:tplc="5AE6C492">
      <w:start w:val="1"/>
      <w:numFmt w:val="bullet"/>
      <w:lvlText w:val=""/>
      <w:lvlJc w:val="left"/>
      <w:pPr>
        <w:ind w:left="720" w:hanging="360"/>
      </w:pPr>
      <w:rPr>
        <w:rFonts w:ascii="Symbol" w:hAnsi="Symbol"/>
      </w:rPr>
    </w:lvl>
    <w:lvl w:ilvl="3" w:tplc="87DC6466">
      <w:start w:val="1"/>
      <w:numFmt w:val="bullet"/>
      <w:lvlText w:val=""/>
      <w:lvlJc w:val="left"/>
      <w:pPr>
        <w:ind w:left="720" w:hanging="360"/>
      </w:pPr>
      <w:rPr>
        <w:rFonts w:ascii="Symbol" w:hAnsi="Symbol"/>
      </w:rPr>
    </w:lvl>
    <w:lvl w:ilvl="4" w:tplc="12906490">
      <w:start w:val="1"/>
      <w:numFmt w:val="bullet"/>
      <w:lvlText w:val=""/>
      <w:lvlJc w:val="left"/>
      <w:pPr>
        <w:ind w:left="720" w:hanging="360"/>
      </w:pPr>
      <w:rPr>
        <w:rFonts w:ascii="Symbol" w:hAnsi="Symbol"/>
      </w:rPr>
    </w:lvl>
    <w:lvl w:ilvl="5" w:tplc="40AC730A">
      <w:start w:val="1"/>
      <w:numFmt w:val="bullet"/>
      <w:lvlText w:val=""/>
      <w:lvlJc w:val="left"/>
      <w:pPr>
        <w:ind w:left="720" w:hanging="360"/>
      </w:pPr>
      <w:rPr>
        <w:rFonts w:ascii="Symbol" w:hAnsi="Symbol"/>
      </w:rPr>
    </w:lvl>
    <w:lvl w:ilvl="6" w:tplc="CB3E8562">
      <w:start w:val="1"/>
      <w:numFmt w:val="bullet"/>
      <w:lvlText w:val=""/>
      <w:lvlJc w:val="left"/>
      <w:pPr>
        <w:ind w:left="720" w:hanging="360"/>
      </w:pPr>
      <w:rPr>
        <w:rFonts w:ascii="Symbol" w:hAnsi="Symbol"/>
      </w:rPr>
    </w:lvl>
    <w:lvl w:ilvl="7" w:tplc="A1769F44">
      <w:start w:val="1"/>
      <w:numFmt w:val="bullet"/>
      <w:lvlText w:val=""/>
      <w:lvlJc w:val="left"/>
      <w:pPr>
        <w:ind w:left="720" w:hanging="360"/>
      </w:pPr>
      <w:rPr>
        <w:rFonts w:ascii="Symbol" w:hAnsi="Symbol"/>
      </w:rPr>
    </w:lvl>
    <w:lvl w:ilvl="8" w:tplc="80B65C00">
      <w:start w:val="1"/>
      <w:numFmt w:val="bullet"/>
      <w:lvlText w:val=""/>
      <w:lvlJc w:val="left"/>
      <w:pPr>
        <w:ind w:left="720" w:hanging="360"/>
      </w:pPr>
      <w:rPr>
        <w:rFonts w:ascii="Symbol" w:hAnsi="Symbol"/>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45C6B"/>
    <w:multiLevelType w:val="hybridMultilevel"/>
    <w:tmpl w:val="4532EFD8"/>
    <w:lvl w:ilvl="0" w:tplc="E97837D4">
      <w:start w:val="1"/>
      <w:numFmt w:val="bullet"/>
      <w:pStyle w:val="Intextbulletpoints"/>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294B87"/>
    <w:multiLevelType w:val="hybridMultilevel"/>
    <w:tmpl w:val="5FF81B04"/>
    <w:lvl w:ilvl="0" w:tplc="BD2A89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1C2187"/>
    <w:multiLevelType w:val="hybridMultilevel"/>
    <w:tmpl w:val="DED65C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3AD0455"/>
    <w:multiLevelType w:val="hybridMultilevel"/>
    <w:tmpl w:val="F6326594"/>
    <w:lvl w:ilvl="0" w:tplc="7364451E">
      <w:start w:val="14"/>
      <w:numFmt w:val="bullet"/>
      <w:lvlText w:val="-"/>
      <w:lvlJc w:val="left"/>
      <w:pPr>
        <w:ind w:left="720" w:hanging="360"/>
      </w:pPr>
      <w:rPr>
        <w:rFonts w:ascii="Arial Narrow" w:eastAsiaTheme="majorEastAsia"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162584"/>
    <w:multiLevelType w:val="hybridMultilevel"/>
    <w:tmpl w:val="158A9C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22D80E2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EC272B"/>
    <w:multiLevelType w:val="hybridMultilevel"/>
    <w:tmpl w:val="97BC9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0937688">
    <w:abstractNumId w:val="27"/>
  </w:num>
  <w:num w:numId="2" w16cid:durableId="2019230618">
    <w:abstractNumId w:val="15"/>
  </w:num>
  <w:num w:numId="3" w16cid:durableId="578753867">
    <w:abstractNumId w:val="16"/>
  </w:num>
  <w:num w:numId="4" w16cid:durableId="840124465">
    <w:abstractNumId w:val="0"/>
  </w:num>
  <w:num w:numId="5" w16cid:durableId="1500081062">
    <w:abstractNumId w:val="27"/>
  </w:num>
  <w:num w:numId="6" w16cid:durableId="1637251816">
    <w:abstractNumId w:val="28"/>
  </w:num>
  <w:num w:numId="7" w16cid:durableId="1978413837">
    <w:abstractNumId w:val="21"/>
  </w:num>
  <w:num w:numId="8" w16cid:durableId="11952485">
    <w:abstractNumId w:val="17"/>
  </w:num>
  <w:num w:numId="9" w16cid:durableId="1322732110">
    <w:abstractNumId w:val="8"/>
  </w:num>
  <w:num w:numId="10" w16cid:durableId="194539351">
    <w:abstractNumId w:val="13"/>
  </w:num>
  <w:num w:numId="11" w16cid:durableId="840387734">
    <w:abstractNumId w:val="19"/>
  </w:num>
  <w:num w:numId="12" w16cid:durableId="1096753059">
    <w:abstractNumId w:val="7"/>
  </w:num>
  <w:num w:numId="13" w16cid:durableId="1336155079">
    <w:abstractNumId w:val="9"/>
  </w:num>
  <w:num w:numId="14" w16cid:durableId="531922466">
    <w:abstractNumId w:val="25"/>
  </w:num>
  <w:num w:numId="15" w16cid:durableId="814371266">
    <w:abstractNumId w:val="1"/>
  </w:num>
  <w:num w:numId="16" w16cid:durableId="1914074235">
    <w:abstractNumId w:val="14"/>
  </w:num>
  <w:num w:numId="17" w16cid:durableId="101727241">
    <w:abstractNumId w:val="5"/>
  </w:num>
  <w:num w:numId="18" w16cid:durableId="1309240717">
    <w:abstractNumId w:val="27"/>
  </w:num>
  <w:num w:numId="19" w16cid:durableId="1287201870">
    <w:abstractNumId w:val="27"/>
  </w:num>
  <w:num w:numId="20" w16cid:durableId="662047400">
    <w:abstractNumId w:val="7"/>
  </w:num>
  <w:num w:numId="21" w16cid:durableId="414713221">
    <w:abstractNumId w:val="27"/>
  </w:num>
  <w:num w:numId="22" w16cid:durableId="399332102">
    <w:abstractNumId w:val="27"/>
  </w:num>
  <w:num w:numId="23" w16cid:durableId="421413693">
    <w:abstractNumId w:val="27"/>
  </w:num>
  <w:num w:numId="24" w16cid:durableId="1234001828">
    <w:abstractNumId w:val="27"/>
  </w:num>
  <w:num w:numId="25" w16cid:durableId="1876190472">
    <w:abstractNumId w:val="27"/>
  </w:num>
  <w:num w:numId="26" w16cid:durableId="892355187">
    <w:abstractNumId w:val="22"/>
  </w:num>
  <w:num w:numId="27" w16cid:durableId="463158044">
    <w:abstractNumId w:val="0"/>
  </w:num>
  <w:num w:numId="28" w16cid:durableId="1198204980">
    <w:abstractNumId w:val="0"/>
  </w:num>
  <w:num w:numId="29" w16cid:durableId="1397780848">
    <w:abstractNumId w:val="6"/>
  </w:num>
  <w:num w:numId="30" w16cid:durableId="1611430181">
    <w:abstractNumId w:val="0"/>
  </w:num>
  <w:num w:numId="31" w16cid:durableId="1723869072">
    <w:abstractNumId w:val="24"/>
  </w:num>
  <w:num w:numId="32" w16cid:durableId="1366713907">
    <w:abstractNumId w:val="26"/>
  </w:num>
  <w:num w:numId="33" w16cid:durableId="882207614">
    <w:abstractNumId w:val="3"/>
  </w:num>
  <w:num w:numId="34" w16cid:durableId="1552233928">
    <w:abstractNumId w:val="27"/>
  </w:num>
  <w:num w:numId="35" w16cid:durableId="1704942788">
    <w:abstractNumId w:val="27"/>
  </w:num>
  <w:num w:numId="36" w16cid:durableId="1637561649">
    <w:abstractNumId w:val="27"/>
  </w:num>
  <w:num w:numId="37" w16cid:durableId="1507943018">
    <w:abstractNumId w:val="27"/>
  </w:num>
  <w:num w:numId="38" w16cid:durableId="1436364846">
    <w:abstractNumId w:val="4"/>
  </w:num>
  <w:num w:numId="39" w16cid:durableId="519005213">
    <w:abstractNumId w:val="2"/>
  </w:num>
  <w:num w:numId="40" w16cid:durableId="130024919">
    <w:abstractNumId w:val="11"/>
  </w:num>
  <w:num w:numId="41" w16cid:durableId="1245141340">
    <w:abstractNumId w:val="12"/>
  </w:num>
  <w:num w:numId="42" w16cid:durableId="1849640069">
    <w:abstractNumId w:val="10"/>
  </w:num>
  <w:num w:numId="43" w16cid:durableId="1461067379">
    <w:abstractNumId w:val="23"/>
  </w:num>
  <w:num w:numId="44" w16cid:durableId="2038499789">
    <w:abstractNumId w:val="18"/>
  </w:num>
  <w:num w:numId="45" w16cid:durableId="129744317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34318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8920333">
    <w:abstractNumId w:val="27"/>
  </w:num>
  <w:num w:numId="48" w16cid:durableId="97331530">
    <w:abstractNumId w:val="27"/>
  </w:num>
  <w:num w:numId="49" w16cid:durableId="2076277509">
    <w:abstractNumId w:val="27"/>
  </w:num>
  <w:num w:numId="50" w16cid:durableId="20272040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56B9"/>
    <w:rsid w:val="0000639A"/>
    <w:rsid w:val="00013247"/>
    <w:rsid w:val="0001409A"/>
    <w:rsid w:val="00015886"/>
    <w:rsid w:val="00015B0D"/>
    <w:rsid w:val="000162EF"/>
    <w:rsid w:val="00017EAA"/>
    <w:rsid w:val="000207C9"/>
    <w:rsid w:val="0002225F"/>
    <w:rsid w:val="00023763"/>
    <w:rsid w:val="00023BAC"/>
    <w:rsid w:val="00023CE9"/>
    <w:rsid w:val="00024EB5"/>
    <w:rsid w:val="000274B8"/>
    <w:rsid w:val="00033863"/>
    <w:rsid w:val="00035DC0"/>
    <w:rsid w:val="00036147"/>
    <w:rsid w:val="00036829"/>
    <w:rsid w:val="000374ED"/>
    <w:rsid w:val="00040895"/>
    <w:rsid w:val="000410A0"/>
    <w:rsid w:val="00042B0C"/>
    <w:rsid w:val="00042FB5"/>
    <w:rsid w:val="000435EE"/>
    <w:rsid w:val="00043C37"/>
    <w:rsid w:val="00045017"/>
    <w:rsid w:val="00045A2B"/>
    <w:rsid w:val="0004698F"/>
    <w:rsid w:val="00046D64"/>
    <w:rsid w:val="000508C2"/>
    <w:rsid w:val="000539D0"/>
    <w:rsid w:val="00053A4B"/>
    <w:rsid w:val="000540A4"/>
    <w:rsid w:val="00054621"/>
    <w:rsid w:val="000546D7"/>
    <w:rsid w:val="00054A8D"/>
    <w:rsid w:val="00056ECF"/>
    <w:rsid w:val="00057455"/>
    <w:rsid w:val="00057B29"/>
    <w:rsid w:val="000604DF"/>
    <w:rsid w:val="00063F1D"/>
    <w:rsid w:val="000653B5"/>
    <w:rsid w:val="00066360"/>
    <w:rsid w:val="00066AF8"/>
    <w:rsid w:val="00071248"/>
    <w:rsid w:val="000720B9"/>
    <w:rsid w:val="000737F7"/>
    <w:rsid w:val="0007672F"/>
    <w:rsid w:val="00076B54"/>
    <w:rsid w:val="000774F0"/>
    <w:rsid w:val="00080909"/>
    <w:rsid w:val="000812CA"/>
    <w:rsid w:val="00081E63"/>
    <w:rsid w:val="0008258D"/>
    <w:rsid w:val="00083164"/>
    <w:rsid w:val="00083E99"/>
    <w:rsid w:val="00084FA8"/>
    <w:rsid w:val="0008558D"/>
    <w:rsid w:val="000856C5"/>
    <w:rsid w:val="00085C31"/>
    <w:rsid w:val="000864EE"/>
    <w:rsid w:val="000902D9"/>
    <w:rsid w:val="00090618"/>
    <w:rsid w:val="00090B96"/>
    <w:rsid w:val="00090C7E"/>
    <w:rsid w:val="000911AC"/>
    <w:rsid w:val="00091EFE"/>
    <w:rsid w:val="00092600"/>
    <w:rsid w:val="0009262B"/>
    <w:rsid w:val="00093310"/>
    <w:rsid w:val="00093E68"/>
    <w:rsid w:val="0009445C"/>
    <w:rsid w:val="00095200"/>
    <w:rsid w:val="00095FE5"/>
    <w:rsid w:val="00096284"/>
    <w:rsid w:val="000A1BC0"/>
    <w:rsid w:val="000A22DC"/>
    <w:rsid w:val="000A2F9E"/>
    <w:rsid w:val="000A3E47"/>
    <w:rsid w:val="000A522B"/>
    <w:rsid w:val="000A6039"/>
    <w:rsid w:val="000A70BF"/>
    <w:rsid w:val="000A7453"/>
    <w:rsid w:val="000A7D08"/>
    <w:rsid w:val="000B0121"/>
    <w:rsid w:val="000B0670"/>
    <w:rsid w:val="000B0E75"/>
    <w:rsid w:val="000B2DCB"/>
    <w:rsid w:val="000B5CE0"/>
    <w:rsid w:val="000B6CAC"/>
    <w:rsid w:val="000B7612"/>
    <w:rsid w:val="000B78AE"/>
    <w:rsid w:val="000C03CE"/>
    <w:rsid w:val="000C05EF"/>
    <w:rsid w:val="000C1A42"/>
    <w:rsid w:val="000C2E02"/>
    <w:rsid w:val="000C3DF9"/>
    <w:rsid w:val="000C4CF2"/>
    <w:rsid w:val="000C4FD4"/>
    <w:rsid w:val="000C5440"/>
    <w:rsid w:val="000C6713"/>
    <w:rsid w:val="000C7152"/>
    <w:rsid w:val="000D1BFC"/>
    <w:rsid w:val="000D1D5D"/>
    <w:rsid w:val="000D281A"/>
    <w:rsid w:val="000D2848"/>
    <w:rsid w:val="000D2CC1"/>
    <w:rsid w:val="000D326A"/>
    <w:rsid w:val="000D51FB"/>
    <w:rsid w:val="000E0589"/>
    <w:rsid w:val="000E0640"/>
    <w:rsid w:val="000E135D"/>
    <w:rsid w:val="000E2201"/>
    <w:rsid w:val="000E6A77"/>
    <w:rsid w:val="000E7370"/>
    <w:rsid w:val="000F00BA"/>
    <w:rsid w:val="000F1F3C"/>
    <w:rsid w:val="000F2E58"/>
    <w:rsid w:val="000F316A"/>
    <w:rsid w:val="000F3C74"/>
    <w:rsid w:val="000F4BB8"/>
    <w:rsid w:val="000F4FA9"/>
    <w:rsid w:val="000F53FB"/>
    <w:rsid w:val="000F6982"/>
    <w:rsid w:val="000F7127"/>
    <w:rsid w:val="000F7B54"/>
    <w:rsid w:val="001000B3"/>
    <w:rsid w:val="00100F8A"/>
    <w:rsid w:val="0010452E"/>
    <w:rsid w:val="00105AE2"/>
    <w:rsid w:val="001060C6"/>
    <w:rsid w:val="001061B0"/>
    <w:rsid w:val="00106B80"/>
    <w:rsid w:val="0011032E"/>
    <w:rsid w:val="0011348B"/>
    <w:rsid w:val="00115982"/>
    <w:rsid w:val="00116C53"/>
    <w:rsid w:val="00121799"/>
    <w:rsid w:val="001222FC"/>
    <w:rsid w:val="00122BCF"/>
    <w:rsid w:val="00123902"/>
    <w:rsid w:val="00123F69"/>
    <w:rsid w:val="00124A51"/>
    <w:rsid w:val="00126621"/>
    <w:rsid w:val="00126B1D"/>
    <w:rsid w:val="001301E9"/>
    <w:rsid w:val="0013021A"/>
    <w:rsid w:val="00131D82"/>
    <w:rsid w:val="00132747"/>
    <w:rsid w:val="00132B22"/>
    <w:rsid w:val="00133D36"/>
    <w:rsid w:val="00135D71"/>
    <w:rsid w:val="00137645"/>
    <w:rsid w:val="0014015A"/>
    <w:rsid w:val="00140E99"/>
    <w:rsid w:val="00141267"/>
    <w:rsid w:val="00142565"/>
    <w:rsid w:val="00143F67"/>
    <w:rsid w:val="00145234"/>
    <w:rsid w:val="00145540"/>
    <w:rsid w:val="001456B0"/>
    <w:rsid w:val="00147D2D"/>
    <w:rsid w:val="001525C3"/>
    <w:rsid w:val="001547AB"/>
    <w:rsid w:val="00155D44"/>
    <w:rsid w:val="00156F8F"/>
    <w:rsid w:val="00157130"/>
    <w:rsid w:val="001576B1"/>
    <w:rsid w:val="001579CE"/>
    <w:rsid w:val="0016047B"/>
    <w:rsid w:val="00160A4C"/>
    <w:rsid w:val="001618F8"/>
    <w:rsid w:val="00162913"/>
    <w:rsid w:val="00163EFF"/>
    <w:rsid w:val="00163F66"/>
    <w:rsid w:val="0016478E"/>
    <w:rsid w:val="00165EC4"/>
    <w:rsid w:val="001661FB"/>
    <w:rsid w:val="001663B3"/>
    <w:rsid w:val="001671A0"/>
    <w:rsid w:val="0016767F"/>
    <w:rsid w:val="00167A2A"/>
    <w:rsid w:val="00170721"/>
    <w:rsid w:val="00173565"/>
    <w:rsid w:val="0017394F"/>
    <w:rsid w:val="00173B07"/>
    <w:rsid w:val="001751FA"/>
    <w:rsid w:val="00176F23"/>
    <w:rsid w:val="00181C10"/>
    <w:rsid w:val="00181D9C"/>
    <w:rsid w:val="001837FF"/>
    <w:rsid w:val="00183EAE"/>
    <w:rsid w:val="00184B0E"/>
    <w:rsid w:val="001863D1"/>
    <w:rsid w:val="001866FD"/>
    <w:rsid w:val="00187426"/>
    <w:rsid w:val="0018752F"/>
    <w:rsid w:val="00193838"/>
    <w:rsid w:val="00194AD8"/>
    <w:rsid w:val="00195222"/>
    <w:rsid w:val="00195452"/>
    <w:rsid w:val="001973DD"/>
    <w:rsid w:val="001975D8"/>
    <w:rsid w:val="001A178E"/>
    <w:rsid w:val="001A43FA"/>
    <w:rsid w:val="001A47C5"/>
    <w:rsid w:val="001A59FB"/>
    <w:rsid w:val="001A5E9E"/>
    <w:rsid w:val="001A6354"/>
    <w:rsid w:val="001A6366"/>
    <w:rsid w:val="001A7AE8"/>
    <w:rsid w:val="001B14FE"/>
    <w:rsid w:val="001B204E"/>
    <w:rsid w:val="001B2372"/>
    <w:rsid w:val="001B2FF8"/>
    <w:rsid w:val="001B3443"/>
    <w:rsid w:val="001B4D20"/>
    <w:rsid w:val="001B7BA7"/>
    <w:rsid w:val="001B7D4D"/>
    <w:rsid w:val="001B7F84"/>
    <w:rsid w:val="001C02D4"/>
    <w:rsid w:val="001C2A9B"/>
    <w:rsid w:val="001C3C06"/>
    <w:rsid w:val="001C3DD6"/>
    <w:rsid w:val="001C4299"/>
    <w:rsid w:val="001C4874"/>
    <w:rsid w:val="001C4E78"/>
    <w:rsid w:val="001C5F94"/>
    <w:rsid w:val="001C6E66"/>
    <w:rsid w:val="001D1100"/>
    <w:rsid w:val="001D1391"/>
    <w:rsid w:val="001D25D7"/>
    <w:rsid w:val="001D2834"/>
    <w:rsid w:val="001D50B2"/>
    <w:rsid w:val="001D71F4"/>
    <w:rsid w:val="001D7645"/>
    <w:rsid w:val="001E0A01"/>
    <w:rsid w:val="001E1E86"/>
    <w:rsid w:val="001E238E"/>
    <w:rsid w:val="001E2483"/>
    <w:rsid w:val="001E2B1E"/>
    <w:rsid w:val="001E2CFF"/>
    <w:rsid w:val="001E2F24"/>
    <w:rsid w:val="001E30D4"/>
    <w:rsid w:val="001E34DF"/>
    <w:rsid w:val="001E3C4E"/>
    <w:rsid w:val="001E52EB"/>
    <w:rsid w:val="001E61D2"/>
    <w:rsid w:val="001E740C"/>
    <w:rsid w:val="001F0214"/>
    <w:rsid w:val="001F1235"/>
    <w:rsid w:val="001F1CB3"/>
    <w:rsid w:val="001F24EB"/>
    <w:rsid w:val="001F38B5"/>
    <w:rsid w:val="001F3DA0"/>
    <w:rsid w:val="001F4081"/>
    <w:rsid w:val="001F7361"/>
    <w:rsid w:val="00200708"/>
    <w:rsid w:val="002011B0"/>
    <w:rsid w:val="00201316"/>
    <w:rsid w:val="00203181"/>
    <w:rsid w:val="00203783"/>
    <w:rsid w:val="0020385F"/>
    <w:rsid w:val="002043E6"/>
    <w:rsid w:val="002068A0"/>
    <w:rsid w:val="00207021"/>
    <w:rsid w:val="0020732F"/>
    <w:rsid w:val="00207D00"/>
    <w:rsid w:val="002105C1"/>
    <w:rsid w:val="002116FD"/>
    <w:rsid w:val="00213EF5"/>
    <w:rsid w:val="00215897"/>
    <w:rsid w:val="00216BF5"/>
    <w:rsid w:val="00220543"/>
    <w:rsid w:val="00223B49"/>
    <w:rsid w:val="00223D5A"/>
    <w:rsid w:val="00224515"/>
    <w:rsid w:val="002249C4"/>
    <w:rsid w:val="00224DD4"/>
    <w:rsid w:val="002278A0"/>
    <w:rsid w:val="0023081A"/>
    <w:rsid w:val="002309CC"/>
    <w:rsid w:val="00231BA9"/>
    <w:rsid w:val="0023209F"/>
    <w:rsid w:val="00232A13"/>
    <w:rsid w:val="00233C01"/>
    <w:rsid w:val="0023413C"/>
    <w:rsid w:val="002346F0"/>
    <w:rsid w:val="002359F1"/>
    <w:rsid w:val="0023629D"/>
    <w:rsid w:val="00237255"/>
    <w:rsid w:val="002409AC"/>
    <w:rsid w:val="002424AF"/>
    <w:rsid w:val="002439DC"/>
    <w:rsid w:val="002441D2"/>
    <w:rsid w:val="00244DC8"/>
    <w:rsid w:val="002458BA"/>
    <w:rsid w:val="00245CE9"/>
    <w:rsid w:val="0024636C"/>
    <w:rsid w:val="00246CED"/>
    <w:rsid w:val="00247925"/>
    <w:rsid w:val="00251006"/>
    <w:rsid w:val="002524D5"/>
    <w:rsid w:val="00252CE4"/>
    <w:rsid w:val="00252FCC"/>
    <w:rsid w:val="0025387D"/>
    <w:rsid w:val="00253B1D"/>
    <w:rsid w:val="00254DCF"/>
    <w:rsid w:val="0025534B"/>
    <w:rsid w:val="00255BB7"/>
    <w:rsid w:val="00257541"/>
    <w:rsid w:val="00257A39"/>
    <w:rsid w:val="00257AC4"/>
    <w:rsid w:val="00257BBE"/>
    <w:rsid w:val="002612E4"/>
    <w:rsid w:val="00261EEF"/>
    <w:rsid w:val="002621BF"/>
    <w:rsid w:val="00262A1A"/>
    <w:rsid w:val="00262A87"/>
    <w:rsid w:val="00264D26"/>
    <w:rsid w:val="00267642"/>
    <w:rsid w:val="00267AEA"/>
    <w:rsid w:val="002700E6"/>
    <w:rsid w:val="0027294B"/>
    <w:rsid w:val="00273EB4"/>
    <w:rsid w:val="00273EB5"/>
    <w:rsid w:val="00274682"/>
    <w:rsid w:val="00275158"/>
    <w:rsid w:val="00275C5A"/>
    <w:rsid w:val="002764C9"/>
    <w:rsid w:val="00280397"/>
    <w:rsid w:val="00281014"/>
    <w:rsid w:val="00282983"/>
    <w:rsid w:val="00285BCE"/>
    <w:rsid w:val="0028665D"/>
    <w:rsid w:val="00293EB6"/>
    <w:rsid w:val="002A14AB"/>
    <w:rsid w:val="002A23AC"/>
    <w:rsid w:val="002A2ADE"/>
    <w:rsid w:val="002A2CD7"/>
    <w:rsid w:val="002A2F50"/>
    <w:rsid w:val="002A47D6"/>
    <w:rsid w:val="002A5558"/>
    <w:rsid w:val="002A7943"/>
    <w:rsid w:val="002B05A1"/>
    <w:rsid w:val="002B09A4"/>
    <w:rsid w:val="002B1542"/>
    <w:rsid w:val="002B1C1F"/>
    <w:rsid w:val="002B3C0C"/>
    <w:rsid w:val="002B432F"/>
    <w:rsid w:val="002B62B3"/>
    <w:rsid w:val="002B6754"/>
    <w:rsid w:val="002B6CCE"/>
    <w:rsid w:val="002C2510"/>
    <w:rsid w:val="002C2775"/>
    <w:rsid w:val="002C27C1"/>
    <w:rsid w:val="002C2A6D"/>
    <w:rsid w:val="002C36E3"/>
    <w:rsid w:val="002C4217"/>
    <w:rsid w:val="002C43B4"/>
    <w:rsid w:val="002C5099"/>
    <w:rsid w:val="002C53D9"/>
    <w:rsid w:val="002C5575"/>
    <w:rsid w:val="002C5889"/>
    <w:rsid w:val="002C71CE"/>
    <w:rsid w:val="002D08F8"/>
    <w:rsid w:val="002D30E9"/>
    <w:rsid w:val="002D5711"/>
    <w:rsid w:val="002D577C"/>
    <w:rsid w:val="002D7832"/>
    <w:rsid w:val="002E03BF"/>
    <w:rsid w:val="002E1071"/>
    <w:rsid w:val="002E15B9"/>
    <w:rsid w:val="002E2158"/>
    <w:rsid w:val="002E4DBD"/>
    <w:rsid w:val="002E4F02"/>
    <w:rsid w:val="002E7722"/>
    <w:rsid w:val="002E77F5"/>
    <w:rsid w:val="002E7EED"/>
    <w:rsid w:val="002F0702"/>
    <w:rsid w:val="002F07BA"/>
    <w:rsid w:val="002F0DA9"/>
    <w:rsid w:val="002F1014"/>
    <w:rsid w:val="002F1E3B"/>
    <w:rsid w:val="002F20AC"/>
    <w:rsid w:val="002F643C"/>
    <w:rsid w:val="002F71C0"/>
    <w:rsid w:val="002F74F1"/>
    <w:rsid w:val="00301017"/>
    <w:rsid w:val="0030155F"/>
    <w:rsid w:val="00302309"/>
    <w:rsid w:val="0030587B"/>
    <w:rsid w:val="0030592F"/>
    <w:rsid w:val="00306999"/>
    <w:rsid w:val="00306D98"/>
    <w:rsid w:val="0030786C"/>
    <w:rsid w:val="0031031A"/>
    <w:rsid w:val="00310981"/>
    <w:rsid w:val="00310ED4"/>
    <w:rsid w:val="00311D9B"/>
    <w:rsid w:val="003122B9"/>
    <w:rsid w:val="003124D9"/>
    <w:rsid w:val="00312594"/>
    <w:rsid w:val="00315498"/>
    <w:rsid w:val="00316474"/>
    <w:rsid w:val="00322107"/>
    <w:rsid w:val="00322355"/>
    <w:rsid w:val="00322846"/>
    <w:rsid w:val="00322C65"/>
    <w:rsid w:val="00326DA7"/>
    <w:rsid w:val="003270E4"/>
    <w:rsid w:val="00330DAA"/>
    <w:rsid w:val="00330F5C"/>
    <w:rsid w:val="00331205"/>
    <w:rsid w:val="003316DE"/>
    <w:rsid w:val="00333658"/>
    <w:rsid w:val="003340F6"/>
    <w:rsid w:val="00335F2D"/>
    <w:rsid w:val="003366C9"/>
    <w:rsid w:val="003371B0"/>
    <w:rsid w:val="00340DF1"/>
    <w:rsid w:val="00341814"/>
    <w:rsid w:val="003517F9"/>
    <w:rsid w:val="00351BA9"/>
    <w:rsid w:val="00354D26"/>
    <w:rsid w:val="00354F64"/>
    <w:rsid w:val="0035620E"/>
    <w:rsid w:val="003575BE"/>
    <w:rsid w:val="00360345"/>
    <w:rsid w:val="00360B01"/>
    <w:rsid w:val="00360E8D"/>
    <w:rsid w:val="00361A05"/>
    <w:rsid w:val="003624C4"/>
    <w:rsid w:val="00363B00"/>
    <w:rsid w:val="003654AC"/>
    <w:rsid w:val="00365FDF"/>
    <w:rsid w:val="003705AE"/>
    <w:rsid w:val="003710CF"/>
    <w:rsid w:val="0037358A"/>
    <w:rsid w:val="003750F6"/>
    <w:rsid w:val="00375555"/>
    <w:rsid w:val="003760FC"/>
    <w:rsid w:val="0038365C"/>
    <w:rsid w:val="0038369B"/>
    <w:rsid w:val="00383B78"/>
    <w:rsid w:val="00385A9D"/>
    <w:rsid w:val="00387121"/>
    <w:rsid w:val="003902B1"/>
    <w:rsid w:val="0039179C"/>
    <w:rsid w:val="003955B2"/>
    <w:rsid w:val="00396896"/>
    <w:rsid w:val="00396FD0"/>
    <w:rsid w:val="003A1A7A"/>
    <w:rsid w:val="003A204F"/>
    <w:rsid w:val="003A2286"/>
    <w:rsid w:val="003A2392"/>
    <w:rsid w:val="003A2831"/>
    <w:rsid w:val="003A3CB6"/>
    <w:rsid w:val="003A3ED1"/>
    <w:rsid w:val="003A44DB"/>
    <w:rsid w:val="003A4C14"/>
    <w:rsid w:val="003A700F"/>
    <w:rsid w:val="003B082D"/>
    <w:rsid w:val="003B281D"/>
    <w:rsid w:val="003B367B"/>
    <w:rsid w:val="003B3971"/>
    <w:rsid w:val="003B55D1"/>
    <w:rsid w:val="003B59ED"/>
    <w:rsid w:val="003B5B61"/>
    <w:rsid w:val="003C1654"/>
    <w:rsid w:val="003C25FE"/>
    <w:rsid w:val="003C3FCD"/>
    <w:rsid w:val="003C5538"/>
    <w:rsid w:val="003C5542"/>
    <w:rsid w:val="003C7C15"/>
    <w:rsid w:val="003C7C67"/>
    <w:rsid w:val="003C7D19"/>
    <w:rsid w:val="003C7D2F"/>
    <w:rsid w:val="003D063F"/>
    <w:rsid w:val="003D0C5A"/>
    <w:rsid w:val="003D1828"/>
    <w:rsid w:val="003D1DE4"/>
    <w:rsid w:val="003D1E9A"/>
    <w:rsid w:val="003D2422"/>
    <w:rsid w:val="003D39A1"/>
    <w:rsid w:val="003D3E52"/>
    <w:rsid w:val="003D3FBF"/>
    <w:rsid w:val="003D4A30"/>
    <w:rsid w:val="003D7452"/>
    <w:rsid w:val="003D79BB"/>
    <w:rsid w:val="003D7C98"/>
    <w:rsid w:val="003D7D9D"/>
    <w:rsid w:val="003E0543"/>
    <w:rsid w:val="003E11A2"/>
    <w:rsid w:val="003E1381"/>
    <w:rsid w:val="003E5603"/>
    <w:rsid w:val="003E749E"/>
    <w:rsid w:val="003F0DD4"/>
    <w:rsid w:val="003F1E6A"/>
    <w:rsid w:val="003F2D12"/>
    <w:rsid w:val="003F4156"/>
    <w:rsid w:val="003F5ADF"/>
    <w:rsid w:val="003F6A92"/>
    <w:rsid w:val="00400B29"/>
    <w:rsid w:val="00402812"/>
    <w:rsid w:val="0040471B"/>
    <w:rsid w:val="0040504B"/>
    <w:rsid w:val="0040597A"/>
    <w:rsid w:val="004059F4"/>
    <w:rsid w:val="00407FE5"/>
    <w:rsid w:val="004101B0"/>
    <w:rsid w:val="00410326"/>
    <w:rsid w:val="00410708"/>
    <w:rsid w:val="00410EC7"/>
    <w:rsid w:val="00411B39"/>
    <w:rsid w:val="004127A7"/>
    <w:rsid w:val="00413A1E"/>
    <w:rsid w:val="00414476"/>
    <w:rsid w:val="00414C2E"/>
    <w:rsid w:val="004151CF"/>
    <w:rsid w:val="004156A1"/>
    <w:rsid w:val="00416364"/>
    <w:rsid w:val="0042047F"/>
    <w:rsid w:val="00420AA6"/>
    <w:rsid w:val="00420B9F"/>
    <w:rsid w:val="0042192C"/>
    <w:rsid w:val="00422260"/>
    <w:rsid w:val="0042413F"/>
    <w:rsid w:val="00425F4B"/>
    <w:rsid w:val="00430C4B"/>
    <w:rsid w:val="004319F8"/>
    <w:rsid w:val="00431E55"/>
    <w:rsid w:val="004321F6"/>
    <w:rsid w:val="00433044"/>
    <w:rsid w:val="00434088"/>
    <w:rsid w:val="004375B9"/>
    <w:rsid w:val="00442577"/>
    <w:rsid w:val="004428D0"/>
    <w:rsid w:val="00444185"/>
    <w:rsid w:val="004443A7"/>
    <w:rsid w:val="0044442C"/>
    <w:rsid w:val="004457B9"/>
    <w:rsid w:val="00445941"/>
    <w:rsid w:val="004464EB"/>
    <w:rsid w:val="00447D26"/>
    <w:rsid w:val="00447DFC"/>
    <w:rsid w:val="00453183"/>
    <w:rsid w:val="004553E5"/>
    <w:rsid w:val="00455D45"/>
    <w:rsid w:val="00464595"/>
    <w:rsid w:val="004658B5"/>
    <w:rsid w:val="00471EA5"/>
    <w:rsid w:val="00472A79"/>
    <w:rsid w:val="00473F19"/>
    <w:rsid w:val="00475E22"/>
    <w:rsid w:val="004777EC"/>
    <w:rsid w:val="0048088E"/>
    <w:rsid w:val="00480E3E"/>
    <w:rsid w:val="00480F2B"/>
    <w:rsid w:val="00482720"/>
    <w:rsid w:val="004835E7"/>
    <w:rsid w:val="0048391A"/>
    <w:rsid w:val="004859E1"/>
    <w:rsid w:val="004867E2"/>
    <w:rsid w:val="004874CA"/>
    <w:rsid w:val="00490B17"/>
    <w:rsid w:val="004915BD"/>
    <w:rsid w:val="00491B3A"/>
    <w:rsid w:val="00492CFD"/>
    <w:rsid w:val="00493371"/>
    <w:rsid w:val="00494207"/>
    <w:rsid w:val="00494DD5"/>
    <w:rsid w:val="00495072"/>
    <w:rsid w:val="004950E3"/>
    <w:rsid w:val="00495C9E"/>
    <w:rsid w:val="004962D2"/>
    <w:rsid w:val="004A0DA1"/>
    <w:rsid w:val="004A11EE"/>
    <w:rsid w:val="004A13D6"/>
    <w:rsid w:val="004A306C"/>
    <w:rsid w:val="004A32A4"/>
    <w:rsid w:val="004A52E9"/>
    <w:rsid w:val="004A6040"/>
    <w:rsid w:val="004A6597"/>
    <w:rsid w:val="004A6F49"/>
    <w:rsid w:val="004A7848"/>
    <w:rsid w:val="004A793B"/>
    <w:rsid w:val="004B1CB4"/>
    <w:rsid w:val="004B1FC8"/>
    <w:rsid w:val="004B2419"/>
    <w:rsid w:val="004B2F18"/>
    <w:rsid w:val="004B3DDB"/>
    <w:rsid w:val="004B44FD"/>
    <w:rsid w:val="004B5CFC"/>
    <w:rsid w:val="004B6E10"/>
    <w:rsid w:val="004B6F79"/>
    <w:rsid w:val="004B774D"/>
    <w:rsid w:val="004C2AC2"/>
    <w:rsid w:val="004C35E2"/>
    <w:rsid w:val="004C4AED"/>
    <w:rsid w:val="004D2C2D"/>
    <w:rsid w:val="004D309C"/>
    <w:rsid w:val="004D4114"/>
    <w:rsid w:val="004D4D1C"/>
    <w:rsid w:val="004D6872"/>
    <w:rsid w:val="004D69B5"/>
    <w:rsid w:val="004D7227"/>
    <w:rsid w:val="004D7B5E"/>
    <w:rsid w:val="004E0E7F"/>
    <w:rsid w:val="004E0EB8"/>
    <w:rsid w:val="004E18E9"/>
    <w:rsid w:val="004E2ADC"/>
    <w:rsid w:val="004E43B2"/>
    <w:rsid w:val="004F1D02"/>
    <w:rsid w:val="004F2679"/>
    <w:rsid w:val="004F2F21"/>
    <w:rsid w:val="004F3DE5"/>
    <w:rsid w:val="004F6913"/>
    <w:rsid w:val="004F6AA7"/>
    <w:rsid w:val="004F7865"/>
    <w:rsid w:val="00500873"/>
    <w:rsid w:val="0050174E"/>
    <w:rsid w:val="00501854"/>
    <w:rsid w:val="0050219B"/>
    <w:rsid w:val="00503F17"/>
    <w:rsid w:val="00503F3A"/>
    <w:rsid w:val="00506928"/>
    <w:rsid w:val="005077EF"/>
    <w:rsid w:val="00511410"/>
    <w:rsid w:val="00511AD5"/>
    <w:rsid w:val="00511DC7"/>
    <w:rsid w:val="00512D26"/>
    <w:rsid w:val="005142C5"/>
    <w:rsid w:val="0051501B"/>
    <w:rsid w:val="0051512E"/>
    <w:rsid w:val="005152B5"/>
    <w:rsid w:val="00515886"/>
    <w:rsid w:val="00515EF5"/>
    <w:rsid w:val="00517592"/>
    <w:rsid w:val="0052123C"/>
    <w:rsid w:val="0052127A"/>
    <w:rsid w:val="00521319"/>
    <w:rsid w:val="005220FE"/>
    <w:rsid w:val="00522BC8"/>
    <w:rsid w:val="00523C28"/>
    <w:rsid w:val="00525829"/>
    <w:rsid w:val="00525C78"/>
    <w:rsid w:val="005306FD"/>
    <w:rsid w:val="00530B71"/>
    <w:rsid w:val="00530B86"/>
    <w:rsid w:val="0053176B"/>
    <w:rsid w:val="00531843"/>
    <w:rsid w:val="005341B3"/>
    <w:rsid w:val="005362BD"/>
    <w:rsid w:val="005363B3"/>
    <w:rsid w:val="00536F42"/>
    <w:rsid w:val="00537182"/>
    <w:rsid w:val="00541EDD"/>
    <w:rsid w:val="00542743"/>
    <w:rsid w:val="00542C2D"/>
    <w:rsid w:val="00547849"/>
    <w:rsid w:val="005478BD"/>
    <w:rsid w:val="005479E3"/>
    <w:rsid w:val="005507AE"/>
    <w:rsid w:val="00551985"/>
    <w:rsid w:val="0055225D"/>
    <w:rsid w:val="00552BD3"/>
    <w:rsid w:val="00552F11"/>
    <w:rsid w:val="005532A0"/>
    <w:rsid w:val="00555109"/>
    <w:rsid w:val="00556400"/>
    <w:rsid w:val="00556B35"/>
    <w:rsid w:val="0055741A"/>
    <w:rsid w:val="00560773"/>
    <w:rsid w:val="005611B7"/>
    <w:rsid w:val="005618D4"/>
    <w:rsid w:val="0056202A"/>
    <w:rsid w:val="00563E79"/>
    <w:rsid w:val="00564867"/>
    <w:rsid w:val="00564E38"/>
    <w:rsid w:val="00565555"/>
    <w:rsid w:val="00565B61"/>
    <w:rsid w:val="00565C79"/>
    <w:rsid w:val="00565DF0"/>
    <w:rsid w:val="0056696F"/>
    <w:rsid w:val="005705A7"/>
    <w:rsid w:val="005720FA"/>
    <w:rsid w:val="00572269"/>
    <w:rsid w:val="0057244A"/>
    <w:rsid w:val="00572F26"/>
    <w:rsid w:val="0057456E"/>
    <w:rsid w:val="005750C5"/>
    <w:rsid w:val="005752DE"/>
    <w:rsid w:val="00575D60"/>
    <w:rsid w:val="00575D8D"/>
    <w:rsid w:val="00576972"/>
    <w:rsid w:val="00577248"/>
    <w:rsid w:val="00577DD1"/>
    <w:rsid w:val="00582CF7"/>
    <w:rsid w:val="00583699"/>
    <w:rsid w:val="00585CDD"/>
    <w:rsid w:val="005867B1"/>
    <w:rsid w:val="00587058"/>
    <w:rsid w:val="00591957"/>
    <w:rsid w:val="00595877"/>
    <w:rsid w:val="00597BF9"/>
    <w:rsid w:val="005A0C11"/>
    <w:rsid w:val="005A1103"/>
    <w:rsid w:val="005A1155"/>
    <w:rsid w:val="005A309A"/>
    <w:rsid w:val="005A373D"/>
    <w:rsid w:val="005A4DF2"/>
    <w:rsid w:val="005A7618"/>
    <w:rsid w:val="005B0B58"/>
    <w:rsid w:val="005B0FBD"/>
    <w:rsid w:val="005B3254"/>
    <w:rsid w:val="005B3ADF"/>
    <w:rsid w:val="005B3CE6"/>
    <w:rsid w:val="005B4E53"/>
    <w:rsid w:val="005B5232"/>
    <w:rsid w:val="005B5857"/>
    <w:rsid w:val="005B5DC7"/>
    <w:rsid w:val="005B7EA2"/>
    <w:rsid w:val="005C1791"/>
    <w:rsid w:val="005C19C4"/>
    <w:rsid w:val="005C1B83"/>
    <w:rsid w:val="005C25FF"/>
    <w:rsid w:val="005C2D55"/>
    <w:rsid w:val="005C346B"/>
    <w:rsid w:val="005C5ABC"/>
    <w:rsid w:val="005D044D"/>
    <w:rsid w:val="005D0ABD"/>
    <w:rsid w:val="005D18AD"/>
    <w:rsid w:val="005D2654"/>
    <w:rsid w:val="005D26B4"/>
    <w:rsid w:val="005D4742"/>
    <w:rsid w:val="005D7036"/>
    <w:rsid w:val="005D73CC"/>
    <w:rsid w:val="005E1119"/>
    <w:rsid w:val="005E125E"/>
    <w:rsid w:val="005E1995"/>
    <w:rsid w:val="005E59C5"/>
    <w:rsid w:val="005E6CBC"/>
    <w:rsid w:val="005E72FF"/>
    <w:rsid w:val="005E73C0"/>
    <w:rsid w:val="005E7829"/>
    <w:rsid w:val="005F0304"/>
    <w:rsid w:val="005F07ED"/>
    <w:rsid w:val="005F2706"/>
    <w:rsid w:val="005F3B51"/>
    <w:rsid w:val="005F6A8F"/>
    <w:rsid w:val="005F6BB7"/>
    <w:rsid w:val="005F6D1A"/>
    <w:rsid w:val="005F7588"/>
    <w:rsid w:val="00600998"/>
    <w:rsid w:val="00603246"/>
    <w:rsid w:val="00603DB9"/>
    <w:rsid w:val="00604F99"/>
    <w:rsid w:val="00605202"/>
    <w:rsid w:val="00606FBA"/>
    <w:rsid w:val="00607669"/>
    <w:rsid w:val="006076F4"/>
    <w:rsid w:val="00607AFD"/>
    <w:rsid w:val="00611B12"/>
    <w:rsid w:val="00612742"/>
    <w:rsid w:val="00612F97"/>
    <w:rsid w:val="0061345D"/>
    <w:rsid w:val="0061549B"/>
    <w:rsid w:val="00616802"/>
    <w:rsid w:val="00617E12"/>
    <w:rsid w:val="006200AE"/>
    <w:rsid w:val="00620C25"/>
    <w:rsid w:val="00621477"/>
    <w:rsid w:val="00621ADA"/>
    <w:rsid w:val="00622CBB"/>
    <w:rsid w:val="00623ED1"/>
    <w:rsid w:val="00623F7B"/>
    <w:rsid w:val="006249F9"/>
    <w:rsid w:val="00624BD4"/>
    <w:rsid w:val="00630528"/>
    <w:rsid w:val="0063158F"/>
    <w:rsid w:val="00631D6B"/>
    <w:rsid w:val="00632183"/>
    <w:rsid w:val="0063285C"/>
    <w:rsid w:val="00632980"/>
    <w:rsid w:val="006330A1"/>
    <w:rsid w:val="0063479F"/>
    <w:rsid w:val="006353F0"/>
    <w:rsid w:val="006357B5"/>
    <w:rsid w:val="006364A1"/>
    <w:rsid w:val="0063678E"/>
    <w:rsid w:val="00637BFD"/>
    <w:rsid w:val="00637C5C"/>
    <w:rsid w:val="00641C4E"/>
    <w:rsid w:val="00641D95"/>
    <w:rsid w:val="00641FB3"/>
    <w:rsid w:val="00643607"/>
    <w:rsid w:val="006436CC"/>
    <w:rsid w:val="0064434C"/>
    <w:rsid w:val="006471CC"/>
    <w:rsid w:val="006472FE"/>
    <w:rsid w:val="00647A29"/>
    <w:rsid w:val="0065079F"/>
    <w:rsid w:val="00651EB7"/>
    <w:rsid w:val="00652A28"/>
    <w:rsid w:val="0065379F"/>
    <w:rsid w:val="00655785"/>
    <w:rsid w:val="00656188"/>
    <w:rsid w:val="0065715A"/>
    <w:rsid w:val="006610F1"/>
    <w:rsid w:val="00661C6B"/>
    <w:rsid w:val="00662ACA"/>
    <w:rsid w:val="00662D3E"/>
    <w:rsid w:val="006669BF"/>
    <w:rsid w:val="006669CB"/>
    <w:rsid w:val="00667BE3"/>
    <w:rsid w:val="00671004"/>
    <w:rsid w:val="0067196F"/>
    <w:rsid w:val="00672646"/>
    <w:rsid w:val="00672AF4"/>
    <w:rsid w:val="006746D5"/>
    <w:rsid w:val="00674E42"/>
    <w:rsid w:val="00676563"/>
    <w:rsid w:val="00676812"/>
    <w:rsid w:val="00680173"/>
    <w:rsid w:val="006813F8"/>
    <w:rsid w:val="00682112"/>
    <w:rsid w:val="00682BA6"/>
    <w:rsid w:val="00686957"/>
    <w:rsid w:val="006872BA"/>
    <w:rsid w:val="00690795"/>
    <w:rsid w:val="00691648"/>
    <w:rsid w:val="006917D7"/>
    <w:rsid w:val="00694088"/>
    <w:rsid w:val="0069434C"/>
    <w:rsid w:val="00694F44"/>
    <w:rsid w:val="006964F9"/>
    <w:rsid w:val="00696EF9"/>
    <w:rsid w:val="00696F51"/>
    <w:rsid w:val="00697686"/>
    <w:rsid w:val="006979A5"/>
    <w:rsid w:val="006A016F"/>
    <w:rsid w:val="006A0DF7"/>
    <w:rsid w:val="006A4321"/>
    <w:rsid w:val="006A43D9"/>
    <w:rsid w:val="006A5020"/>
    <w:rsid w:val="006A6B99"/>
    <w:rsid w:val="006A7E5F"/>
    <w:rsid w:val="006B0B56"/>
    <w:rsid w:val="006B1689"/>
    <w:rsid w:val="006B261B"/>
    <w:rsid w:val="006B2C90"/>
    <w:rsid w:val="006B35E6"/>
    <w:rsid w:val="006B465A"/>
    <w:rsid w:val="006B6DD0"/>
    <w:rsid w:val="006C0399"/>
    <w:rsid w:val="006C0B51"/>
    <w:rsid w:val="006C2A8E"/>
    <w:rsid w:val="006C3255"/>
    <w:rsid w:val="006C3648"/>
    <w:rsid w:val="006C3F26"/>
    <w:rsid w:val="006C77A0"/>
    <w:rsid w:val="006C7CED"/>
    <w:rsid w:val="006D0D17"/>
    <w:rsid w:val="006D3C7D"/>
    <w:rsid w:val="006D4659"/>
    <w:rsid w:val="006D5D5F"/>
    <w:rsid w:val="006D646D"/>
    <w:rsid w:val="006D68FB"/>
    <w:rsid w:val="006D78E4"/>
    <w:rsid w:val="006D7FA3"/>
    <w:rsid w:val="006E06EF"/>
    <w:rsid w:val="006E0BFF"/>
    <w:rsid w:val="006E2868"/>
    <w:rsid w:val="006E2FA8"/>
    <w:rsid w:val="006E4397"/>
    <w:rsid w:val="006F2E96"/>
    <w:rsid w:val="006F306C"/>
    <w:rsid w:val="006F3187"/>
    <w:rsid w:val="006F63A5"/>
    <w:rsid w:val="0070142B"/>
    <w:rsid w:val="00701CB7"/>
    <w:rsid w:val="0070276E"/>
    <w:rsid w:val="00702F8F"/>
    <w:rsid w:val="007047DA"/>
    <w:rsid w:val="00706ED1"/>
    <w:rsid w:val="007074E2"/>
    <w:rsid w:val="007079FC"/>
    <w:rsid w:val="007103F5"/>
    <w:rsid w:val="0071175E"/>
    <w:rsid w:val="00711A36"/>
    <w:rsid w:val="007125D3"/>
    <w:rsid w:val="007134E3"/>
    <w:rsid w:val="00714C26"/>
    <w:rsid w:val="0071529C"/>
    <w:rsid w:val="007170DA"/>
    <w:rsid w:val="007172AD"/>
    <w:rsid w:val="00717546"/>
    <w:rsid w:val="0072001C"/>
    <w:rsid w:val="00720801"/>
    <w:rsid w:val="00722B1B"/>
    <w:rsid w:val="0072416F"/>
    <w:rsid w:val="00724795"/>
    <w:rsid w:val="00727C94"/>
    <w:rsid w:val="00730DB6"/>
    <w:rsid w:val="00731B0A"/>
    <w:rsid w:val="00731EAE"/>
    <w:rsid w:val="00732A14"/>
    <w:rsid w:val="00733073"/>
    <w:rsid w:val="00733541"/>
    <w:rsid w:val="0073365E"/>
    <w:rsid w:val="00735033"/>
    <w:rsid w:val="00735328"/>
    <w:rsid w:val="0073685B"/>
    <w:rsid w:val="00742AAE"/>
    <w:rsid w:val="007449BF"/>
    <w:rsid w:val="007463FE"/>
    <w:rsid w:val="00746BC0"/>
    <w:rsid w:val="0074721B"/>
    <w:rsid w:val="007510B4"/>
    <w:rsid w:val="00752142"/>
    <w:rsid w:val="007523F9"/>
    <w:rsid w:val="0075357E"/>
    <w:rsid w:val="00753B29"/>
    <w:rsid w:val="007569F9"/>
    <w:rsid w:val="007573E8"/>
    <w:rsid w:val="00757BAC"/>
    <w:rsid w:val="00760C4E"/>
    <w:rsid w:val="00760F9E"/>
    <w:rsid w:val="007616E6"/>
    <w:rsid w:val="00761F83"/>
    <w:rsid w:val="007627BE"/>
    <w:rsid w:val="00764F03"/>
    <w:rsid w:val="00765B1A"/>
    <w:rsid w:val="00765DC1"/>
    <w:rsid w:val="00770793"/>
    <w:rsid w:val="00771075"/>
    <w:rsid w:val="00772606"/>
    <w:rsid w:val="007766E9"/>
    <w:rsid w:val="00777335"/>
    <w:rsid w:val="0078150D"/>
    <w:rsid w:val="007843F2"/>
    <w:rsid w:val="007846FA"/>
    <w:rsid w:val="00785A9F"/>
    <w:rsid w:val="00786969"/>
    <w:rsid w:val="007876F2"/>
    <w:rsid w:val="00790303"/>
    <w:rsid w:val="007925DF"/>
    <w:rsid w:val="007930A1"/>
    <w:rsid w:val="00794F3C"/>
    <w:rsid w:val="007950BA"/>
    <w:rsid w:val="00795261"/>
    <w:rsid w:val="007A08AA"/>
    <w:rsid w:val="007A0A12"/>
    <w:rsid w:val="007A132D"/>
    <w:rsid w:val="007A1345"/>
    <w:rsid w:val="007A2DDB"/>
    <w:rsid w:val="007A70BA"/>
    <w:rsid w:val="007A79F5"/>
    <w:rsid w:val="007B0D68"/>
    <w:rsid w:val="007B251D"/>
    <w:rsid w:val="007B3533"/>
    <w:rsid w:val="007B3800"/>
    <w:rsid w:val="007B4808"/>
    <w:rsid w:val="007B4F3E"/>
    <w:rsid w:val="007B4F58"/>
    <w:rsid w:val="007B528D"/>
    <w:rsid w:val="007B63CA"/>
    <w:rsid w:val="007B77D1"/>
    <w:rsid w:val="007B7C0E"/>
    <w:rsid w:val="007C01C0"/>
    <w:rsid w:val="007C07C7"/>
    <w:rsid w:val="007C1CD9"/>
    <w:rsid w:val="007C32EF"/>
    <w:rsid w:val="007C361D"/>
    <w:rsid w:val="007C4B84"/>
    <w:rsid w:val="007C70FF"/>
    <w:rsid w:val="007C710C"/>
    <w:rsid w:val="007C7C25"/>
    <w:rsid w:val="007D004F"/>
    <w:rsid w:val="007D035F"/>
    <w:rsid w:val="007D06B2"/>
    <w:rsid w:val="007D0B38"/>
    <w:rsid w:val="007D1F9D"/>
    <w:rsid w:val="007D3CC9"/>
    <w:rsid w:val="007D5440"/>
    <w:rsid w:val="007D69EB"/>
    <w:rsid w:val="007D74F5"/>
    <w:rsid w:val="007D76EE"/>
    <w:rsid w:val="007E08AE"/>
    <w:rsid w:val="007E0AAC"/>
    <w:rsid w:val="007E128F"/>
    <w:rsid w:val="007F01F9"/>
    <w:rsid w:val="007F1017"/>
    <w:rsid w:val="007F3A24"/>
    <w:rsid w:val="007F4A3F"/>
    <w:rsid w:val="007F4A61"/>
    <w:rsid w:val="007F5255"/>
    <w:rsid w:val="007F56CC"/>
    <w:rsid w:val="007F61C2"/>
    <w:rsid w:val="0080067F"/>
    <w:rsid w:val="00800E6D"/>
    <w:rsid w:val="0080402C"/>
    <w:rsid w:val="00805142"/>
    <w:rsid w:val="0080556E"/>
    <w:rsid w:val="00805FCE"/>
    <w:rsid w:val="00807A8B"/>
    <w:rsid w:val="008108C0"/>
    <w:rsid w:val="00811383"/>
    <w:rsid w:val="00812149"/>
    <w:rsid w:val="00812CAC"/>
    <w:rsid w:val="00813128"/>
    <w:rsid w:val="00814FDF"/>
    <w:rsid w:val="008158E8"/>
    <w:rsid w:val="00816361"/>
    <w:rsid w:val="008166EF"/>
    <w:rsid w:val="00816FEF"/>
    <w:rsid w:val="00820A8C"/>
    <w:rsid w:val="008215FB"/>
    <w:rsid w:val="008220CC"/>
    <w:rsid w:val="00823174"/>
    <w:rsid w:val="00825751"/>
    <w:rsid w:val="008264EB"/>
    <w:rsid w:val="008268CE"/>
    <w:rsid w:val="00827C23"/>
    <w:rsid w:val="00832CD5"/>
    <w:rsid w:val="00832DD3"/>
    <w:rsid w:val="00833B05"/>
    <w:rsid w:val="00836092"/>
    <w:rsid w:val="008362B4"/>
    <w:rsid w:val="00837EDB"/>
    <w:rsid w:val="00840CA2"/>
    <w:rsid w:val="0084374F"/>
    <w:rsid w:val="00844A22"/>
    <w:rsid w:val="00845286"/>
    <w:rsid w:val="00847703"/>
    <w:rsid w:val="00847DF5"/>
    <w:rsid w:val="00850FFD"/>
    <w:rsid w:val="0085309D"/>
    <w:rsid w:val="00854EBC"/>
    <w:rsid w:val="00856897"/>
    <w:rsid w:val="008568D1"/>
    <w:rsid w:val="00856E9A"/>
    <w:rsid w:val="0086008F"/>
    <w:rsid w:val="0086075D"/>
    <w:rsid w:val="008618C8"/>
    <w:rsid w:val="00862502"/>
    <w:rsid w:val="00862CC1"/>
    <w:rsid w:val="008642A7"/>
    <w:rsid w:val="0086433A"/>
    <w:rsid w:val="008660D4"/>
    <w:rsid w:val="00870570"/>
    <w:rsid w:val="00871EA4"/>
    <w:rsid w:val="00871FA9"/>
    <w:rsid w:val="008728E9"/>
    <w:rsid w:val="008737C4"/>
    <w:rsid w:val="008764BA"/>
    <w:rsid w:val="00882874"/>
    <w:rsid w:val="00882E3C"/>
    <w:rsid w:val="0088308A"/>
    <w:rsid w:val="00883787"/>
    <w:rsid w:val="008855E4"/>
    <w:rsid w:val="00886CD2"/>
    <w:rsid w:val="00891E6F"/>
    <w:rsid w:val="0089275D"/>
    <w:rsid w:val="00892A36"/>
    <w:rsid w:val="00892CE0"/>
    <w:rsid w:val="00893239"/>
    <w:rsid w:val="00894489"/>
    <w:rsid w:val="00894CD6"/>
    <w:rsid w:val="00895F66"/>
    <w:rsid w:val="008963A5"/>
    <w:rsid w:val="00896D5D"/>
    <w:rsid w:val="008A1792"/>
    <w:rsid w:val="008A22C6"/>
    <w:rsid w:val="008A3158"/>
    <w:rsid w:val="008A3363"/>
    <w:rsid w:val="008A3371"/>
    <w:rsid w:val="008A3C3E"/>
    <w:rsid w:val="008A79DE"/>
    <w:rsid w:val="008A7DD3"/>
    <w:rsid w:val="008B1757"/>
    <w:rsid w:val="008B1C33"/>
    <w:rsid w:val="008B236E"/>
    <w:rsid w:val="008B2A5E"/>
    <w:rsid w:val="008B4B6F"/>
    <w:rsid w:val="008B5876"/>
    <w:rsid w:val="008B7992"/>
    <w:rsid w:val="008B7D7E"/>
    <w:rsid w:val="008C0293"/>
    <w:rsid w:val="008C5610"/>
    <w:rsid w:val="008C5739"/>
    <w:rsid w:val="008C5856"/>
    <w:rsid w:val="008C7282"/>
    <w:rsid w:val="008C7D8A"/>
    <w:rsid w:val="008C7ECB"/>
    <w:rsid w:val="008D13B1"/>
    <w:rsid w:val="008D3410"/>
    <w:rsid w:val="008D3B86"/>
    <w:rsid w:val="008D43FD"/>
    <w:rsid w:val="008D4755"/>
    <w:rsid w:val="008D4C3D"/>
    <w:rsid w:val="008D743C"/>
    <w:rsid w:val="008E0767"/>
    <w:rsid w:val="008E09BB"/>
    <w:rsid w:val="008E0D3C"/>
    <w:rsid w:val="008E1B9E"/>
    <w:rsid w:val="008E4268"/>
    <w:rsid w:val="008E4492"/>
    <w:rsid w:val="008E4A8A"/>
    <w:rsid w:val="008E55AB"/>
    <w:rsid w:val="008F120A"/>
    <w:rsid w:val="008F27E0"/>
    <w:rsid w:val="008F48EB"/>
    <w:rsid w:val="008F4F0B"/>
    <w:rsid w:val="008F7563"/>
    <w:rsid w:val="00902598"/>
    <w:rsid w:val="00902ABA"/>
    <w:rsid w:val="009046C4"/>
    <w:rsid w:val="00905E4A"/>
    <w:rsid w:val="009062A5"/>
    <w:rsid w:val="00906439"/>
    <w:rsid w:val="00907699"/>
    <w:rsid w:val="00910FA7"/>
    <w:rsid w:val="00911272"/>
    <w:rsid w:val="00911339"/>
    <w:rsid w:val="009135D6"/>
    <w:rsid w:val="00914C77"/>
    <w:rsid w:val="00915610"/>
    <w:rsid w:val="0092039E"/>
    <w:rsid w:val="00921ACB"/>
    <w:rsid w:val="0092369B"/>
    <w:rsid w:val="009261DB"/>
    <w:rsid w:val="00930640"/>
    <w:rsid w:val="00931401"/>
    <w:rsid w:val="009324D3"/>
    <w:rsid w:val="00934988"/>
    <w:rsid w:val="00937089"/>
    <w:rsid w:val="00937945"/>
    <w:rsid w:val="00944F8A"/>
    <w:rsid w:val="00950454"/>
    <w:rsid w:val="009510A2"/>
    <w:rsid w:val="00951B04"/>
    <w:rsid w:val="009521F9"/>
    <w:rsid w:val="0095294E"/>
    <w:rsid w:val="00952B2F"/>
    <w:rsid w:val="00953257"/>
    <w:rsid w:val="0095474C"/>
    <w:rsid w:val="009550C6"/>
    <w:rsid w:val="009550CC"/>
    <w:rsid w:val="009575EE"/>
    <w:rsid w:val="009577E9"/>
    <w:rsid w:val="00957820"/>
    <w:rsid w:val="00957D92"/>
    <w:rsid w:val="00962CB9"/>
    <w:rsid w:val="00964312"/>
    <w:rsid w:val="00965B8A"/>
    <w:rsid w:val="0097071F"/>
    <w:rsid w:val="009717AC"/>
    <w:rsid w:val="009751C1"/>
    <w:rsid w:val="00976EAE"/>
    <w:rsid w:val="009811F1"/>
    <w:rsid w:val="00983E57"/>
    <w:rsid w:val="00985DE2"/>
    <w:rsid w:val="0098675D"/>
    <w:rsid w:val="00986DCE"/>
    <w:rsid w:val="009872C4"/>
    <w:rsid w:val="00987BA4"/>
    <w:rsid w:val="009926E0"/>
    <w:rsid w:val="0099451E"/>
    <w:rsid w:val="00996B1A"/>
    <w:rsid w:val="009A18F6"/>
    <w:rsid w:val="009A1CD5"/>
    <w:rsid w:val="009A26FF"/>
    <w:rsid w:val="009A2DCC"/>
    <w:rsid w:val="009A4AF4"/>
    <w:rsid w:val="009A555E"/>
    <w:rsid w:val="009A5ABC"/>
    <w:rsid w:val="009A7F10"/>
    <w:rsid w:val="009B3E26"/>
    <w:rsid w:val="009C1271"/>
    <w:rsid w:val="009C3706"/>
    <w:rsid w:val="009C3A3A"/>
    <w:rsid w:val="009C64C4"/>
    <w:rsid w:val="009C6CEA"/>
    <w:rsid w:val="009C7B85"/>
    <w:rsid w:val="009D0254"/>
    <w:rsid w:val="009D1A64"/>
    <w:rsid w:val="009D3E49"/>
    <w:rsid w:val="009D5931"/>
    <w:rsid w:val="009D5B91"/>
    <w:rsid w:val="009D792E"/>
    <w:rsid w:val="009E0DFE"/>
    <w:rsid w:val="009E31F6"/>
    <w:rsid w:val="009E4BD4"/>
    <w:rsid w:val="009E4C07"/>
    <w:rsid w:val="009E777F"/>
    <w:rsid w:val="009E7EBD"/>
    <w:rsid w:val="009F4485"/>
    <w:rsid w:val="009F6120"/>
    <w:rsid w:val="00A00D76"/>
    <w:rsid w:val="00A01184"/>
    <w:rsid w:val="00A01449"/>
    <w:rsid w:val="00A017B0"/>
    <w:rsid w:val="00A01D5B"/>
    <w:rsid w:val="00A0318F"/>
    <w:rsid w:val="00A037C2"/>
    <w:rsid w:val="00A03D43"/>
    <w:rsid w:val="00A04380"/>
    <w:rsid w:val="00A04786"/>
    <w:rsid w:val="00A05472"/>
    <w:rsid w:val="00A05C32"/>
    <w:rsid w:val="00A0653F"/>
    <w:rsid w:val="00A0781B"/>
    <w:rsid w:val="00A11CD0"/>
    <w:rsid w:val="00A13948"/>
    <w:rsid w:val="00A152DE"/>
    <w:rsid w:val="00A154C9"/>
    <w:rsid w:val="00A1555B"/>
    <w:rsid w:val="00A155C5"/>
    <w:rsid w:val="00A16AD8"/>
    <w:rsid w:val="00A2021E"/>
    <w:rsid w:val="00A21C95"/>
    <w:rsid w:val="00A21CF3"/>
    <w:rsid w:val="00A23368"/>
    <w:rsid w:val="00A2460A"/>
    <w:rsid w:val="00A24813"/>
    <w:rsid w:val="00A2543C"/>
    <w:rsid w:val="00A27AEC"/>
    <w:rsid w:val="00A320DB"/>
    <w:rsid w:val="00A3248E"/>
    <w:rsid w:val="00A35D16"/>
    <w:rsid w:val="00A37BCD"/>
    <w:rsid w:val="00A41689"/>
    <w:rsid w:val="00A42592"/>
    <w:rsid w:val="00A4313A"/>
    <w:rsid w:val="00A43C59"/>
    <w:rsid w:val="00A45564"/>
    <w:rsid w:val="00A45CF5"/>
    <w:rsid w:val="00A47BA0"/>
    <w:rsid w:val="00A50ECD"/>
    <w:rsid w:val="00A518F3"/>
    <w:rsid w:val="00A521A0"/>
    <w:rsid w:val="00A525DF"/>
    <w:rsid w:val="00A52729"/>
    <w:rsid w:val="00A53675"/>
    <w:rsid w:val="00A54B59"/>
    <w:rsid w:val="00A564D7"/>
    <w:rsid w:val="00A56B6A"/>
    <w:rsid w:val="00A5712E"/>
    <w:rsid w:val="00A578DC"/>
    <w:rsid w:val="00A61546"/>
    <w:rsid w:val="00A61930"/>
    <w:rsid w:val="00A640E2"/>
    <w:rsid w:val="00A645D2"/>
    <w:rsid w:val="00A64D65"/>
    <w:rsid w:val="00A6725B"/>
    <w:rsid w:val="00A678AC"/>
    <w:rsid w:val="00A67B95"/>
    <w:rsid w:val="00A701C1"/>
    <w:rsid w:val="00A70605"/>
    <w:rsid w:val="00A73134"/>
    <w:rsid w:val="00A7365A"/>
    <w:rsid w:val="00A76001"/>
    <w:rsid w:val="00A773F4"/>
    <w:rsid w:val="00A77738"/>
    <w:rsid w:val="00A777B2"/>
    <w:rsid w:val="00A825D4"/>
    <w:rsid w:val="00A828F6"/>
    <w:rsid w:val="00A82B73"/>
    <w:rsid w:val="00A82F4B"/>
    <w:rsid w:val="00A83445"/>
    <w:rsid w:val="00A86E8B"/>
    <w:rsid w:val="00A87164"/>
    <w:rsid w:val="00A93072"/>
    <w:rsid w:val="00A938BD"/>
    <w:rsid w:val="00A93953"/>
    <w:rsid w:val="00A959D8"/>
    <w:rsid w:val="00A95FE6"/>
    <w:rsid w:val="00A9705E"/>
    <w:rsid w:val="00AA09DC"/>
    <w:rsid w:val="00AA0EBD"/>
    <w:rsid w:val="00AA113D"/>
    <w:rsid w:val="00AA6140"/>
    <w:rsid w:val="00AA692F"/>
    <w:rsid w:val="00AA6BD5"/>
    <w:rsid w:val="00AA6BD8"/>
    <w:rsid w:val="00AA6C7D"/>
    <w:rsid w:val="00AA72BA"/>
    <w:rsid w:val="00AA7FD6"/>
    <w:rsid w:val="00AB0269"/>
    <w:rsid w:val="00AB042A"/>
    <w:rsid w:val="00AB05A7"/>
    <w:rsid w:val="00AB11AD"/>
    <w:rsid w:val="00AB19EF"/>
    <w:rsid w:val="00AB2495"/>
    <w:rsid w:val="00AB26A9"/>
    <w:rsid w:val="00AB2D34"/>
    <w:rsid w:val="00AB3430"/>
    <w:rsid w:val="00AB37B9"/>
    <w:rsid w:val="00AB4AD1"/>
    <w:rsid w:val="00AB5E07"/>
    <w:rsid w:val="00AB7CFA"/>
    <w:rsid w:val="00AC5B42"/>
    <w:rsid w:val="00AC5B48"/>
    <w:rsid w:val="00AD1450"/>
    <w:rsid w:val="00AD15E8"/>
    <w:rsid w:val="00AD1EB6"/>
    <w:rsid w:val="00AD356D"/>
    <w:rsid w:val="00AD56EF"/>
    <w:rsid w:val="00AD6502"/>
    <w:rsid w:val="00AE0695"/>
    <w:rsid w:val="00AE3E7E"/>
    <w:rsid w:val="00AE74AF"/>
    <w:rsid w:val="00AE7E53"/>
    <w:rsid w:val="00AF1315"/>
    <w:rsid w:val="00AF1325"/>
    <w:rsid w:val="00AF19BF"/>
    <w:rsid w:val="00AF2DC3"/>
    <w:rsid w:val="00AF3AD5"/>
    <w:rsid w:val="00AF516C"/>
    <w:rsid w:val="00AF7C41"/>
    <w:rsid w:val="00B033E5"/>
    <w:rsid w:val="00B03A63"/>
    <w:rsid w:val="00B10538"/>
    <w:rsid w:val="00B129A4"/>
    <w:rsid w:val="00B15A81"/>
    <w:rsid w:val="00B201A4"/>
    <w:rsid w:val="00B201D1"/>
    <w:rsid w:val="00B213A6"/>
    <w:rsid w:val="00B235B0"/>
    <w:rsid w:val="00B24DF6"/>
    <w:rsid w:val="00B27A61"/>
    <w:rsid w:val="00B34FE2"/>
    <w:rsid w:val="00B35166"/>
    <w:rsid w:val="00B357D8"/>
    <w:rsid w:val="00B360F4"/>
    <w:rsid w:val="00B36A00"/>
    <w:rsid w:val="00B36E7E"/>
    <w:rsid w:val="00B3792B"/>
    <w:rsid w:val="00B37BFC"/>
    <w:rsid w:val="00B40358"/>
    <w:rsid w:val="00B404F0"/>
    <w:rsid w:val="00B40AAA"/>
    <w:rsid w:val="00B41614"/>
    <w:rsid w:val="00B42851"/>
    <w:rsid w:val="00B42F80"/>
    <w:rsid w:val="00B435CB"/>
    <w:rsid w:val="00B43DFD"/>
    <w:rsid w:val="00B4499E"/>
    <w:rsid w:val="00B465EC"/>
    <w:rsid w:val="00B50349"/>
    <w:rsid w:val="00B505C8"/>
    <w:rsid w:val="00B50DB8"/>
    <w:rsid w:val="00B53654"/>
    <w:rsid w:val="00B53905"/>
    <w:rsid w:val="00B546DB"/>
    <w:rsid w:val="00B54B5B"/>
    <w:rsid w:val="00B5562E"/>
    <w:rsid w:val="00B55862"/>
    <w:rsid w:val="00B55D65"/>
    <w:rsid w:val="00B56083"/>
    <w:rsid w:val="00B56305"/>
    <w:rsid w:val="00B56B77"/>
    <w:rsid w:val="00B56D95"/>
    <w:rsid w:val="00B57000"/>
    <w:rsid w:val="00B60939"/>
    <w:rsid w:val="00B60AFD"/>
    <w:rsid w:val="00B611F2"/>
    <w:rsid w:val="00B62715"/>
    <w:rsid w:val="00B65611"/>
    <w:rsid w:val="00B70E8E"/>
    <w:rsid w:val="00B71DE4"/>
    <w:rsid w:val="00B72C9F"/>
    <w:rsid w:val="00B76C92"/>
    <w:rsid w:val="00B80EFD"/>
    <w:rsid w:val="00B818A4"/>
    <w:rsid w:val="00B83739"/>
    <w:rsid w:val="00B83F44"/>
    <w:rsid w:val="00B84117"/>
    <w:rsid w:val="00B858F0"/>
    <w:rsid w:val="00B85AA2"/>
    <w:rsid w:val="00B860FC"/>
    <w:rsid w:val="00B8649C"/>
    <w:rsid w:val="00B8695D"/>
    <w:rsid w:val="00B86FC5"/>
    <w:rsid w:val="00B87F0A"/>
    <w:rsid w:val="00B92D0B"/>
    <w:rsid w:val="00B94580"/>
    <w:rsid w:val="00B94945"/>
    <w:rsid w:val="00B94DD6"/>
    <w:rsid w:val="00B97DEA"/>
    <w:rsid w:val="00BA29F2"/>
    <w:rsid w:val="00BA322D"/>
    <w:rsid w:val="00BA3C22"/>
    <w:rsid w:val="00BA4F04"/>
    <w:rsid w:val="00BA63FA"/>
    <w:rsid w:val="00BB00B3"/>
    <w:rsid w:val="00BB0BDD"/>
    <w:rsid w:val="00BB176C"/>
    <w:rsid w:val="00BB2A73"/>
    <w:rsid w:val="00BB3A45"/>
    <w:rsid w:val="00BB4ACC"/>
    <w:rsid w:val="00BB6469"/>
    <w:rsid w:val="00BB703E"/>
    <w:rsid w:val="00BB732D"/>
    <w:rsid w:val="00BB7405"/>
    <w:rsid w:val="00BC3631"/>
    <w:rsid w:val="00BC4074"/>
    <w:rsid w:val="00BC514E"/>
    <w:rsid w:val="00BC5739"/>
    <w:rsid w:val="00BC591F"/>
    <w:rsid w:val="00BC6116"/>
    <w:rsid w:val="00BC7D6D"/>
    <w:rsid w:val="00BD2108"/>
    <w:rsid w:val="00BD2ADC"/>
    <w:rsid w:val="00BD3251"/>
    <w:rsid w:val="00BD3344"/>
    <w:rsid w:val="00BD3418"/>
    <w:rsid w:val="00BD68A3"/>
    <w:rsid w:val="00BD6938"/>
    <w:rsid w:val="00BD6CF3"/>
    <w:rsid w:val="00BD7F72"/>
    <w:rsid w:val="00BE0ECA"/>
    <w:rsid w:val="00BE139F"/>
    <w:rsid w:val="00BE1E6A"/>
    <w:rsid w:val="00BE2180"/>
    <w:rsid w:val="00BE21F2"/>
    <w:rsid w:val="00BE4275"/>
    <w:rsid w:val="00BE5A89"/>
    <w:rsid w:val="00BE755A"/>
    <w:rsid w:val="00BF06AE"/>
    <w:rsid w:val="00BF0F95"/>
    <w:rsid w:val="00BF2433"/>
    <w:rsid w:val="00BF27FB"/>
    <w:rsid w:val="00BF2E6E"/>
    <w:rsid w:val="00BF61C9"/>
    <w:rsid w:val="00BF6C94"/>
    <w:rsid w:val="00C00424"/>
    <w:rsid w:val="00C00BB0"/>
    <w:rsid w:val="00C061AA"/>
    <w:rsid w:val="00C06E51"/>
    <w:rsid w:val="00C0776A"/>
    <w:rsid w:val="00C077F8"/>
    <w:rsid w:val="00C1179F"/>
    <w:rsid w:val="00C127B9"/>
    <w:rsid w:val="00C128FA"/>
    <w:rsid w:val="00C12C14"/>
    <w:rsid w:val="00C1469C"/>
    <w:rsid w:val="00C15F04"/>
    <w:rsid w:val="00C16180"/>
    <w:rsid w:val="00C179B3"/>
    <w:rsid w:val="00C17E3F"/>
    <w:rsid w:val="00C200AA"/>
    <w:rsid w:val="00C21AED"/>
    <w:rsid w:val="00C237ED"/>
    <w:rsid w:val="00C24632"/>
    <w:rsid w:val="00C2535F"/>
    <w:rsid w:val="00C25418"/>
    <w:rsid w:val="00C25D9C"/>
    <w:rsid w:val="00C25E49"/>
    <w:rsid w:val="00C2778B"/>
    <w:rsid w:val="00C31649"/>
    <w:rsid w:val="00C3434C"/>
    <w:rsid w:val="00C364E6"/>
    <w:rsid w:val="00C40385"/>
    <w:rsid w:val="00C4077F"/>
    <w:rsid w:val="00C41768"/>
    <w:rsid w:val="00C45A49"/>
    <w:rsid w:val="00C475AA"/>
    <w:rsid w:val="00C477CD"/>
    <w:rsid w:val="00C509F6"/>
    <w:rsid w:val="00C527C7"/>
    <w:rsid w:val="00C53C98"/>
    <w:rsid w:val="00C53F48"/>
    <w:rsid w:val="00C56FCF"/>
    <w:rsid w:val="00C57B6C"/>
    <w:rsid w:val="00C61A59"/>
    <w:rsid w:val="00C628A6"/>
    <w:rsid w:val="00C62DB7"/>
    <w:rsid w:val="00C64168"/>
    <w:rsid w:val="00C64344"/>
    <w:rsid w:val="00C64B1A"/>
    <w:rsid w:val="00C65108"/>
    <w:rsid w:val="00C65576"/>
    <w:rsid w:val="00C66165"/>
    <w:rsid w:val="00C7060A"/>
    <w:rsid w:val="00C70709"/>
    <w:rsid w:val="00C7151A"/>
    <w:rsid w:val="00C717E3"/>
    <w:rsid w:val="00C71F60"/>
    <w:rsid w:val="00C72241"/>
    <w:rsid w:val="00C74BBA"/>
    <w:rsid w:val="00C750C8"/>
    <w:rsid w:val="00C7560F"/>
    <w:rsid w:val="00C80A0E"/>
    <w:rsid w:val="00C8213F"/>
    <w:rsid w:val="00C8303F"/>
    <w:rsid w:val="00C85154"/>
    <w:rsid w:val="00C85A70"/>
    <w:rsid w:val="00C878DE"/>
    <w:rsid w:val="00C8797A"/>
    <w:rsid w:val="00C900B8"/>
    <w:rsid w:val="00C90197"/>
    <w:rsid w:val="00C90C71"/>
    <w:rsid w:val="00C91FD1"/>
    <w:rsid w:val="00C931CF"/>
    <w:rsid w:val="00C938CF"/>
    <w:rsid w:val="00C94053"/>
    <w:rsid w:val="00C95A0C"/>
    <w:rsid w:val="00C9624D"/>
    <w:rsid w:val="00C969DA"/>
    <w:rsid w:val="00C96FB1"/>
    <w:rsid w:val="00CA2C77"/>
    <w:rsid w:val="00CA444F"/>
    <w:rsid w:val="00CA5245"/>
    <w:rsid w:val="00CA5BA5"/>
    <w:rsid w:val="00CA672E"/>
    <w:rsid w:val="00CA6B57"/>
    <w:rsid w:val="00CA71F4"/>
    <w:rsid w:val="00CA7403"/>
    <w:rsid w:val="00CA7810"/>
    <w:rsid w:val="00CA7B09"/>
    <w:rsid w:val="00CB12A5"/>
    <w:rsid w:val="00CB1CAC"/>
    <w:rsid w:val="00CB2F2A"/>
    <w:rsid w:val="00CB5B1A"/>
    <w:rsid w:val="00CB6B22"/>
    <w:rsid w:val="00CB7F5F"/>
    <w:rsid w:val="00CC1B39"/>
    <w:rsid w:val="00CC1BFA"/>
    <w:rsid w:val="00CC1E13"/>
    <w:rsid w:val="00CC2B15"/>
    <w:rsid w:val="00CC2E9F"/>
    <w:rsid w:val="00CC35EA"/>
    <w:rsid w:val="00CC3790"/>
    <w:rsid w:val="00CC3848"/>
    <w:rsid w:val="00CC5CD4"/>
    <w:rsid w:val="00CC6D5E"/>
    <w:rsid w:val="00CD0200"/>
    <w:rsid w:val="00CD09E9"/>
    <w:rsid w:val="00CD38BA"/>
    <w:rsid w:val="00CD3F77"/>
    <w:rsid w:val="00CD4595"/>
    <w:rsid w:val="00CD5614"/>
    <w:rsid w:val="00CD5865"/>
    <w:rsid w:val="00CD6ADC"/>
    <w:rsid w:val="00CD7193"/>
    <w:rsid w:val="00CE38C8"/>
    <w:rsid w:val="00CE4849"/>
    <w:rsid w:val="00CE524F"/>
    <w:rsid w:val="00CE58CC"/>
    <w:rsid w:val="00CE5B39"/>
    <w:rsid w:val="00CE6274"/>
    <w:rsid w:val="00CE77B6"/>
    <w:rsid w:val="00CF20D1"/>
    <w:rsid w:val="00CF2B8D"/>
    <w:rsid w:val="00CF3A1B"/>
    <w:rsid w:val="00CF456B"/>
    <w:rsid w:val="00CF5A22"/>
    <w:rsid w:val="00D02156"/>
    <w:rsid w:val="00D0262E"/>
    <w:rsid w:val="00D03679"/>
    <w:rsid w:val="00D05E3D"/>
    <w:rsid w:val="00D06139"/>
    <w:rsid w:val="00D06752"/>
    <w:rsid w:val="00D10BAB"/>
    <w:rsid w:val="00D110BD"/>
    <w:rsid w:val="00D13675"/>
    <w:rsid w:val="00D141E1"/>
    <w:rsid w:val="00D143D6"/>
    <w:rsid w:val="00D14A0A"/>
    <w:rsid w:val="00D15314"/>
    <w:rsid w:val="00D15B48"/>
    <w:rsid w:val="00D16C67"/>
    <w:rsid w:val="00D17D6C"/>
    <w:rsid w:val="00D2155B"/>
    <w:rsid w:val="00D23D11"/>
    <w:rsid w:val="00D244B6"/>
    <w:rsid w:val="00D2754D"/>
    <w:rsid w:val="00D27B27"/>
    <w:rsid w:val="00D30996"/>
    <w:rsid w:val="00D30D5B"/>
    <w:rsid w:val="00D31902"/>
    <w:rsid w:val="00D33BE9"/>
    <w:rsid w:val="00D33F93"/>
    <w:rsid w:val="00D34819"/>
    <w:rsid w:val="00D357FF"/>
    <w:rsid w:val="00D403B6"/>
    <w:rsid w:val="00D424C7"/>
    <w:rsid w:val="00D43B2A"/>
    <w:rsid w:val="00D43CF1"/>
    <w:rsid w:val="00D43D83"/>
    <w:rsid w:val="00D47575"/>
    <w:rsid w:val="00D51C1F"/>
    <w:rsid w:val="00D5243B"/>
    <w:rsid w:val="00D533EC"/>
    <w:rsid w:val="00D56A95"/>
    <w:rsid w:val="00D6076E"/>
    <w:rsid w:val="00D70F16"/>
    <w:rsid w:val="00D72617"/>
    <w:rsid w:val="00D72F57"/>
    <w:rsid w:val="00D76A44"/>
    <w:rsid w:val="00D815EF"/>
    <w:rsid w:val="00D81949"/>
    <w:rsid w:val="00D81F26"/>
    <w:rsid w:val="00D822E2"/>
    <w:rsid w:val="00D843F2"/>
    <w:rsid w:val="00D85201"/>
    <w:rsid w:val="00D8548E"/>
    <w:rsid w:val="00D85D45"/>
    <w:rsid w:val="00D86231"/>
    <w:rsid w:val="00D912AB"/>
    <w:rsid w:val="00D91923"/>
    <w:rsid w:val="00D92F3F"/>
    <w:rsid w:val="00D93753"/>
    <w:rsid w:val="00D94F60"/>
    <w:rsid w:val="00D95698"/>
    <w:rsid w:val="00DA0D69"/>
    <w:rsid w:val="00DA3167"/>
    <w:rsid w:val="00DA34D5"/>
    <w:rsid w:val="00DA4DC3"/>
    <w:rsid w:val="00DA56E9"/>
    <w:rsid w:val="00DA7573"/>
    <w:rsid w:val="00DA77A5"/>
    <w:rsid w:val="00DB0E36"/>
    <w:rsid w:val="00DB3DBF"/>
    <w:rsid w:val="00DB484F"/>
    <w:rsid w:val="00DB5146"/>
    <w:rsid w:val="00DB7689"/>
    <w:rsid w:val="00DC04F6"/>
    <w:rsid w:val="00DC0690"/>
    <w:rsid w:val="00DC08BE"/>
    <w:rsid w:val="00DC1333"/>
    <w:rsid w:val="00DC1D65"/>
    <w:rsid w:val="00DC3C57"/>
    <w:rsid w:val="00DC5501"/>
    <w:rsid w:val="00DC5DE4"/>
    <w:rsid w:val="00DC6805"/>
    <w:rsid w:val="00DC7154"/>
    <w:rsid w:val="00DC7E8A"/>
    <w:rsid w:val="00DD0F78"/>
    <w:rsid w:val="00DD273C"/>
    <w:rsid w:val="00DD3BE8"/>
    <w:rsid w:val="00DD3F28"/>
    <w:rsid w:val="00DD4446"/>
    <w:rsid w:val="00DD4537"/>
    <w:rsid w:val="00DD4E15"/>
    <w:rsid w:val="00DD526A"/>
    <w:rsid w:val="00DD55B1"/>
    <w:rsid w:val="00DE2304"/>
    <w:rsid w:val="00DE2350"/>
    <w:rsid w:val="00DE3138"/>
    <w:rsid w:val="00DE37F8"/>
    <w:rsid w:val="00DE4273"/>
    <w:rsid w:val="00DE4FCB"/>
    <w:rsid w:val="00DE5D07"/>
    <w:rsid w:val="00DE6156"/>
    <w:rsid w:val="00DE72A7"/>
    <w:rsid w:val="00DE7832"/>
    <w:rsid w:val="00DF08D9"/>
    <w:rsid w:val="00DF18FC"/>
    <w:rsid w:val="00DF5D2B"/>
    <w:rsid w:val="00DF6341"/>
    <w:rsid w:val="00E00E8E"/>
    <w:rsid w:val="00E05630"/>
    <w:rsid w:val="00E06DBB"/>
    <w:rsid w:val="00E10149"/>
    <w:rsid w:val="00E11340"/>
    <w:rsid w:val="00E122A1"/>
    <w:rsid w:val="00E1408E"/>
    <w:rsid w:val="00E1529A"/>
    <w:rsid w:val="00E15362"/>
    <w:rsid w:val="00E16372"/>
    <w:rsid w:val="00E16AD8"/>
    <w:rsid w:val="00E17E0A"/>
    <w:rsid w:val="00E17FFA"/>
    <w:rsid w:val="00E20E4D"/>
    <w:rsid w:val="00E20ED6"/>
    <w:rsid w:val="00E21358"/>
    <w:rsid w:val="00E2249B"/>
    <w:rsid w:val="00E22A0D"/>
    <w:rsid w:val="00E244F6"/>
    <w:rsid w:val="00E258DB"/>
    <w:rsid w:val="00E26E2D"/>
    <w:rsid w:val="00E2771E"/>
    <w:rsid w:val="00E311EF"/>
    <w:rsid w:val="00E32180"/>
    <w:rsid w:val="00E34404"/>
    <w:rsid w:val="00E34948"/>
    <w:rsid w:val="00E37569"/>
    <w:rsid w:val="00E40144"/>
    <w:rsid w:val="00E401B2"/>
    <w:rsid w:val="00E41E30"/>
    <w:rsid w:val="00E42F73"/>
    <w:rsid w:val="00E43D70"/>
    <w:rsid w:val="00E46586"/>
    <w:rsid w:val="00E466F3"/>
    <w:rsid w:val="00E47B2C"/>
    <w:rsid w:val="00E51560"/>
    <w:rsid w:val="00E51821"/>
    <w:rsid w:val="00E52126"/>
    <w:rsid w:val="00E53FC8"/>
    <w:rsid w:val="00E54231"/>
    <w:rsid w:val="00E54347"/>
    <w:rsid w:val="00E5483A"/>
    <w:rsid w:val="00E55424"/>
    <w:rsid w:val="00E55814"/>
    <w:rsid w:val="00E55915"/>
    <w:rsid w:val="00E55BB5"/>
    <w:rsid w:val="00E611DF"/>
    <w:rsid w:val="00E61EB5"/>
    <w:rsid w:val="00E647AF"/>
    <w:rsid w:val="00E65E79"/>
    <w:rsid w:val="00E6628C"/>
    <w:rsid w:val="00E66BA2"/>
    <w:rsid w:val="00E67416"/>
    <w:rsid w:val="00E674CD"/>
    <w:rsid w:val="00E70A38"/>
    <w:rsid w:val="00E70DA3"/>
    <w:rsid w:val="00E718B6"/>
    <w:rsid w:val="00E723BA"/>
    <w:rsid w:val="00E72802"/>
    <w:rsid w:val="00E73581"/>
    <w:rsid w:val="00E747B2"/>
    <w:rsid w:val="00E7796B"/>
    <w:rsid w:val="00E779B1"/>
    <w:rsid w:val="00E81EC0"/>
    <w:rsid w:val="00E833F7"/>
    <w:rsid w:val="00E83BDF"/>
    <w:rsid w:val="00E86AA5"/>
    <w:rsid w:val="00E86FCC"/>
    <w:rsid w:val="00E87A1D"/>
    <w:rsid w:val="00E9094A"/>
    <w:rsid w:val="00E9130A"/>
    <w:rsid w:val="00E91D35"/>
    <w:rsid w:val="00E926A5"/>
    <w:rsid w:val="00E962CC"/>
    <w:rsid w:val="00EA0A63"/>
    <w:rsid w:val="00EA17C3"/>
    <w:rsid w:val="00EA2CAA"/>
    <w:rsid w:val="00EA3864"/>
    <w:rsid w:val="00EA7F1C"/>
    <w:rsid w:val="00EB10F0"/>
    <w:rsid w:val="00EB15B6"/>
    <w:rsid w:val="00EB3D06"/>
    <w:rsid w:val="00EB4161"/>
    <w:rsid w:val="00EB4916"/>
    <w:rsid w:val="00EB4D25"/>
    <w:rsid w:val="00EC00C9"/>
    <w:rsid w:val="00EC0DD9"/>
    <w:rsid w:val="00EC15C3"/>
    <w:rsid w:val="00EC2649"/>
    <w:rsid w:val="00EC31ED"/>
    <w:rsid w:val="00EC5836"/>
    <w:rsid w:val="00EC688C"/>
    <w:rsid w:val="00EC73B1"/>
    <w:rsid w:val="00EC76CE"/>
    <w:rsid w:val="00ED0300"/>
    <w:rsid w:val="00ED12E3"/>
    <w:rsid w:val="00ED1A9D"/>
    <w:rsid w:val="00ED4B04"/>
    <w:rsid w:val="00ED559D"/>
    <w:rsid w:val="00ED57EA"/>
    <w:rsid w:val="00ED5BD4"/>
    <w:rsid w:val="00EE07D3"/>
    <w:rsid w:val="00EE1996"/>
    <w:rsid w:val="00EE1C01"/>
    <w:rsid w:val="00EE22AF"/>
    <w:rsid w:val="00EE244F"/>
    <w:rsid w:val="00EF0171"/>
    <w:rsid w:val="00EF1B25"/>
    <w:rsid w:val="00EF1DA0"/>
    <w:rsid w:val="00EF4747"/>
    <w:rsid w:val="00EF4BF8"/>
    <w:rsid w:val="00F02253"/>
    <w:rsid w:val="00F03C2E"/>
    <w:rsid w:val="00F04A66"/>
    <w:rsid w:val="00F04B4B"/>
    <w:rsid w:val="00F0516C"/>
    <w:rsid w:val="00F065E7"/>
    <w:rsid w:val="00F067A2"/>
    <w:rsid w:val="00F07B9E"/>
    <w:rsid w:val="00F1116F"/>
    <w:rsid w:val="00F124A6"/>
    <w:rsid w:val="00F1263A"/>
    <w:rsid w:val="00F1280F"/>
    <w:rsid w:val="00F139C5"/>
    <w:rsid w:val="00F15B77"/>
    <w:rsid w:val="00F21236"/>
    <w:rsid w:val="00F24108"/>
    <w:rsid w:val="00F24837"/>
    <w:rsid w:val="00F2575F"/>
    <w:rsid w:val="00F25845"/>
    <w:rsid w:val="00F27565"/>
    <w:rsid w:val="00F310D4"/>
    <w:rsid w:val="00F31D5A"/>
    <w:rsid w:val="00F33975"/>
    <w:rsid w:val="00F33DE9"/>
    <w:rsid w:val="00F358D2"/>
    <w:rsid w:val="00F35E6D"/>
    <w:rsid w:val="00F3619A"/>
    <w:rsid w:val="00F40AAA"/>
    <w:rsid w:val="00F40BA7"/>
    <w:rsid w:val="00F40F9D"/>
    <w:rsid w:val="00F41ACD"/>
    <w:rsid w:val="00F42F1F"/>
    <w:rsid w:val="00F43C27"/>
    <w:rsid w:val="00F46CB6"/>
    <w:rsid w:val="00F4756D"/>
    <w:rsid w:val="00F47DE8"/>
    <w:rsid w:val="00F515B9"/>
    <w:rsid w:val="00F527AE"/>
    <w:rsid w:val="00F542C1"/>
    <w:rsid w:val="00F550E3"/>
    <w:rsid w:val="00F5539F"/>
    <w:rsid w:val="00F55E73"/>
    <w:rsid w:val="00F55EDA"/>
    <w:rsid w:val="00F56C80"/>
    <w:rsid w:val="00F60092"/>
    <w:rsid w:val="00F61C18"/>
    <w:rsid w:val="00F65F4B"/>
    <w:rsid w:val="00F67A69"/>
    <w:rsid w:val="00F70A29"/>
    <w:rsid w:val="00F70BFF"/>
    <w:rsid w:val="00F70C6B"/>
    <w:rsid w:val="00F70C9D"/>
    <w:rsid w:val="00F73E08"/>
    <w:rsid w:val="00F74CD9"/>
    <w:rsid w:val="00F80A7B"/>
    <w:rsid w:val="00F80E5D"/>
    <w:rsid w:val="00F817FF"/>
    <w:rsid w:val="00F81E78"/>
    <w:rsid w:val="00F8203C"/>
    <w:rsid w:val="00F826DC"/>
    <w:rsid w:val="00F83550"/>
    <w:rsid w:val="00F83916"/>
    <w:rsid w:val="00F851CE"/>
    <w:rsid w:val="00F87E31"/>
    <w:rsid w:val="00F90BF0"/>
    <w:rsid w:val="00F91219"/>
    <w:rsid w:val="00F92444"/>
    <w:rsid w:val="00F9393E"/>
    <w:rsid w:val="00F951F2"/>
    <w:rsid w:val="00F96FD0"/>
    <w:rsid w:val="00F9732A"/>
    <w:rsid w:val="00F97A78"/>
    <w:rsid w:val="00F97A8C"/>
    <w:rsid w:val="00FA0B20"/>
    <w:rsid w:val="00FA24E7"/>
    <w:rsid w:val="00FA33DA"/>
    <w:rsid w:val="00FA5EE6"/>
    <w:rsid w:val="00FA7956"/>
    <w:rsid w:val="00FB0824"/>
    <w:rsid w:val="00FB2290"/>
    <w:rsid w:val="00FB2FCB"/>
    <w:rsid w:val="00FB4C9C"/>
    <w:rsid w:val="00FB7C55"/>
    <w:rsid w:val="00FC1074"/>
    <w:rsid w:val="00FC1884"/>
    <w:rsid w:val="00FC3703"/>
    <w:rsid w:val="00FC371D"/>
    <w:rsid w:val="00FC3D7A"/>
    <w:rsid w:val="00FC56DD"/>
    <w:rsid w:val="00FC5F0B"/>
    <w:rsid w:val="00FC6F4C"/>
    <w:rsid w:val="00FD2095"/>
    <w:rsid w:val="00FD2100"/>
    <w:rsid w:val="00FD436C"/>
    <w:rsid w:val="00FD446D"/>
    <w:rsid w:val="00FD4F2C"/>
    <w:rsid w:val="00FD51B2"/>
    <w:rsid w:val="00FD5630"/>
    <w:rsid w:val="00FD6394"/>
    <w:rsid w:val="00FE0245"/>
    <w:rsid w:val="00FE0E6C"/>
    <w:rsid w:val="00FE1CDC"/>
    <w:rsid w:val="00FE2E82"/>
    <w:rsid w:val="00FE3882"/>
    <w:rsid w:val="00FE6BFB"/>
    <w:rsid w:val="00FE70C3"/>
    <w:rsid w:val="00FE766C"/>
    <w:rsid w:val="00FF1A8B"/>
    <w:rsid w:val="00FF2AD9"/>
    <w:rsid w:val="00FF359F"/>
    <w:rsid w:val="00FF3DCF"/>
    <w:rsid w:val="00FF492C"/>
    <w:rsid w:val="00FF4A21"/>
    <w:rsid w:val="00FF5AA3"/>
    <w:rsid w:val="00FF5AD8"/>
    <w:rsid w:val="00FF62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uiPriority w:val="9"/>
    <w:qFormat/>
    <w:rsid w:val="001F7361"/>
    <w:pPr>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uiPriority w:val="9"/>
    <w:rsid w:val="00124A51"/>
    <w:pPr>
      <w:spacing w:before="240" w:after="60"/>
      <w:outlineLvl w:val="4"/>
    </w:pPr>
    <w:rPr>
      <w:b/>
      <w:bCs/>
      <w:iCs/>
      <w:sz w:val="26"/>
      <w:szCs w:val="26"/>
    </w:rPr>
  </w:style>
  <w:style w:type="paragraph" w:styleId="Heading6">
    <w:name w:val="heading 6"/>
    <w:basedOn w:val="Normal"/>
    <w:next w:val="Normal"/>
    <w:uiPriority w:val="9"/>
    <w:rsid w:val="00124A51"/>
    <w:pPr>
      <w:spacing w:before="240" w:after="60"/>
      <w:outlineLvl w:val="5"/>
    </w:pPr>
    <w:rPr>
      <w:b/>
      <w:bCs/>
      <w:i/>
    </w:rPr>
  </w:style>
  <w:style w:type="paragraph" w:styleId="Heading7">
    <w:name w:val="heading 7"/>
    <w:basedOn w:val="Normal"/>
    <w:next w:val="Normal"/>
    <w:link w:val="Heading7Char"/>
    <w:uiPriority w:val="9"/>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FD51B2"/>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FD51B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textbulletpoints">
    <w:name w:val="In text bullet points"/>
    <w:basedOn w:val="Bulletpoints"/>
    <w:link w:val="IntextbulletpointsChar"/>
    <w:qFormat/>
    <w:rsid w:val="00662ACA"/>
    <w:pPr>
      <w:widowControl w:val="0"/>
      <w:numPr>
        <w:numId w:val="8"/>
      </w:numPr>
      <w:contextualSpacing w:val="0"/>
    </w:pPr>
    <w:rPr>
      <w:rFonts w:ascii="Calibri" w:hAnsi="Calibri"/>
      <w:snapToGrid/>
      <w:color w:val="000000" w:themeColor="text1"/>
      <w:lang w:val="en-US"/>
    </w:rPr>
  </w:style>
  <w:style w:type="character" w:customStyle="1" w:styleId="IntextbulletpointsChar">
    <w:name w:val="In text bullet points Char"/>
    <w:basedOn w:val="DefaultParagraphFont"/>
    <w:link w:val="Intextbulletpoints"/>
    <w:rsid w:val="00662ACA"/>
    <w:rPr>
      <w:rFonts w:ascii="Calibri" w:hAnsi="Calibri" w:cs="Arial"/>
      <w:color w:val="000000" w:themeColor="text1"/>
      <w:sz w:val="24"/>
      <w:szCs w:val="24"/>
      <w:lang w:val="en-US"/>
    </w:rPr>
  </w:style>
  <w:style w:type="character" w:styleId="FootnoteReference">
    <w:name w:val="footnote reference"/>
    <w:basedOn w:val="DefaultParagraphFont"/>
    <w:unhideWhenUsed/>
    <w:rsid w:val="00057455"/>
    <w:rPr>
      <w:vertAlign w:val="superscript"/>
    </w:rPr>
  </w:style>
  <w:style w:type="paragraph" w:customStyle="1" w:styleId="NormalBullets">
    <w:name w:val="Normal Bullets"/>
    <w:basedOn w:val="Normal"/>
    <w:qFormat/>
    <w:rsid w:val="00CE4849"/>
    <w:pPr>
      <w:numPr>
        <w:numId w:val="9"/>
      </w:numPr>
      <w:spacing w:after="240" w:line="360" w:lineRule="auto"/>
      <w:ind w:left="357" w:hanging="357"/>
      <w:contextualSpacing/>
      <w:jc w:val="left"/>
    </w:pPr>
    <w:rPr>
      <w:rFonts w:asciiTheme="minorHAnsi" w:eastAsiaTheme="minorHAnsi" w:hAnsiTheme="minorHAnsi" w:cstheme="minorBidi"/>
      <w:sz w:val="22"/>
      <w:szCs w:val="22"/>
      <w:lang w:eastAsia="en-US"/>
    </w:rPr>
  </w:style>
  <w:style w:type="character" w:customStyle="1" w:styleId="ui-provider">
    <w:name w:val="ui-provider"/>
    <w:basedOn w:val="DefaultParagraphFont"/>
    <w:rsid w:val="00CE4849"/>
  </w:style>
  <w:style w:type="character" w:customStyle="1" w:styleId="Font">
    <w:name w:val="Font"/>
    <w:basedOn w:val="DefaultParagraphFont"/>
    <w:uiPriority w:val="1"/>
    <w:qFormat/>
    <w:rsid w:val="008B5876"/>
    <w:rPr>
      <w:rFonts w:asciiTheme="minorHAnsi" w:hAnsiTheme="minorHAnsi"/>
      <w:sz w:val="22"/>
    </w:rPr>
  </w:style>
  <w:style w:type="paragraph" w:styleId="FootnoteText">
    <w:name w:val="footnote text"/>
    <w:basedOn w:val="Normal"/>
    <w:link w:val="FootnoteTextChar"/>
    <w:semiHidden/>
    <w:unhideWhenUsed/>
    <w:rsid w:val="004A6F49"/>
    <w:rPr>
      <w:sz w:val="20"/>
      <w:szCs w:val="20"/>
    </w:rPr>
  </w:style>
  <w:style w:type="character" w:customStyle="1" w:styleId="FootnoteTextChar">
    <w:name w:val="Footnote Text Char"/>
    <w:basedOn w:val="DefaultParagraphFont"/>
    <w:link w:val="FootnoteText"/>
    <w:semiHidden/>
    <w:rsid w:val="004A6F49"/>
    <w:rPr>
      <w:rFonts w:ascii="Calibri" w:hAnsi="Calibri" w:cs="Arial"/>
    </w:rPr>
  </w:style>
  <w:style w:type="character" w:styleId="UnresolvedMention">
    <w:name w:val="Unresolved Mention"/>
    <w:basedOn w:val="DefaultParagraphFont"/>
    <w:uiPriority w:val="99"/>
    <w:semiHidden/>
    <w:unhideWhenUsed/>
    <w:rsid w:val="004A6F49"/>
    <w:rPr>
      <w:color w:val="605E5C"/>
      <w:shd w:val="clear" w:color="auto" w:fill="E1DFDD"/>
    </w:rPr>
  </w:style>
  <w:style w:type="table" w:customStyle="1" w:styleId="TableGrid1">
    <w:name w:val="Table Grid1"/>
    <w:basedOn w:val="TableNormal"/>
    <w:next w:val="TableGrid"/>
    <w:uiPriority w:val="39"/>
    <w:rsid w:val="00565555"/>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Font"/>
    <w:uiPriority w:val="1"/>
    <w:qFormat/>
    <w:rsid w:val="00632980"/>
    <w:rPr>
      <w:rFonts w:asciiTheme="minorHAnsi" w:hAnsiTheme="minorHAnsi"/>
      <w:sz w:val="18"/>
    </w:rPr>
  </w:style>
  <w:style w:type="character" w:customStyle="1" w:styleId="FontItalics">
    <w:name w:val="Font Italics"/>
    <w:basedOn w:val="Font"/>
    <w:uiPriority w:val="1"/>
    <w:qFormat/>
    <w:rsid w:val="00EE244F"/>
    <w:rPr>
      <w:rFonts w:asciiTheme="minorHAnsi" w:hAnsiTheme="minorHAnsi"/>
      <w:i/>
      <w:sz w:val="22"/>
    </w:rPr>
  </w:style>
  <w:style w:type="paragraph" w:customStyle="1" w:styleId="pf0">
    <w:name w:val="pf0"/>
    <w:basedOn w:val="Normal"/>
    <w:rsid w:val="00FC3D7A"/>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FC3D7A"/>
    <w:rPr>
      <w:rFonts w:ascii="Segoe UI" w:hAnsi="Segoe UI" w:cs="Segoe UI" w:hint="default"/>
      <w:sz w:val="18"/>
      <w:szCs w:val="18"/>
    </w:rPr>
  </w:style>
  <w:style w:type="character" w:customStyle="1" w:styleId="cf11">
    <w:name w:val="cf11"/>
    <w:basedOn w:val="DefaultParagraphFont"/>
    <w:rsid w:val="00FC3D7A"/>
    <w:rPr>
      <w:rFonts w:ascii="Segoe UI" w:hAnsi="Segoe UI" w:cs="Segoe UI" w:hint="default"/>
      <w:sz w:val="18"/>
      <w:szCs w:val="18"/>
    </w:rPr>
  </w:style>
  <w:style w:type="character" w:customStyle="1" w:styleId="cf21">
    <w:name w:val="cf21"/>
    <w:basedOn w:val="DefaultParagraphFont"/>
    <w:rsid w:val="00FC3D7A"/>
    <w:rPr>
      <w:rFonts w:ascii="Segoe UI" w:hAnsi="Segoe UI" w:cs="Segoe UI" w:hint="default"/>
      <w:b/>
      <w:bCs/>
      <w:sz w:val="18"/>
      <w:szCs w:val="18"/>
    </w:rPr>
  </w:style>
  <w:style w:type="paragraph" w:customStyle="1" w:styleId="Table">
    <w:name w:val="Table"/>
    <w:basedOn w:val="Normal"/>
    <w:link w:val="TableChar"/>
    <w:qFormat/>
    <w:rsid w:val="00832DD3"/>
    <w:pPr>
      <w:jc w:val="left"/>
    </w:pPr>
    <w:rPr>
      <w:rFonts w:eastAsiaTheme="minorHAnsi" w:cstheme="minorHAnsi"/>
      <w:sz w:val="18"/>
      <w:szCs w:val="18"/>
      <w:lang w:eastAsia="en-US"/>
    </w:rPr>
  </w:style>
  <w:style w:type="character" w:customStyle="1" w:styleId="TableChar">
    <w:name w:val="Table Char"/>
    <w:basedOn w:val="DefaultParagraphFont"/>
    <w:link w:val="Table"/>
    <w:rsid w:val="00832DD3"/>
    <w:rPr>
      <w:rFonts w:ascii="Calibri" w:eastAsiaTheme="minorHAnsi" w:hAnsi="Calibri" w:cstheme="minorHAnsi"/>
      <w:sz w:val="18"/>
      <w:szCs w:val="18"/>
      <w:lang w:eastAsia="en-US"/>
    </w:rPr>
  </w:style>
  <w:style w:type="paragraph" w:customStyle="1" w:styleId="CaptionFootnote">
    <w:name w:val="Caption Footnote"/>
    <w:basedOn w:val="Table"/>
    <w:link w:val="CaptionFootnoteChar"/>
    <w:qFormat/>
    <w:rsid w:val="00832DD3"/>
  </w:style>
  <w:style w:type="paragraph" w:customStyle="1" w:styleId="TableCentre">
    <w:name w:val="Table Centre"/>
    <w:basedOn w:val="Table"/>
    <w:qFormat/>
    <w:rsid w:val="00832DD3"/>
    <w:pPr>
      <w:jc w:val="center"/>
    </w:pPr>
    <w:rPr>
      <w:rFonts w:asciiTheme="minorHAnsi" w:eastAsiaTheme="majorEastAsia" w:hAnsiTheme="minorHAnsi" w:cstheme="majorBidi"/>
      <w:szCs w:val="22"/>
      <w:lang w:bidi="en-US"/>
    </w:rPr>
  </w:style>
  <w:style w:type="character" w:customStyle="1" w:styleId="CaptionFootnoteChar">
    <w:name w:val="Caption Footnote Char"/>
    <w:basedOn w:val="DefaultParagraphFont"/>
    <w:link w:val="CaptionFootnote"/>
    <w:rsid w:val="00832DD3"/>
    <w:rPr>
      <w:rFonts w:ascii="Calibri" w:eastAsiaTheme="minorHAnsi" w:hAnsi="Calibri" w:cstheme="minorHAnsi"/>
      <w:sz w:val="18"/>
      <w:szCs w:val="18"/>
      <w:lang w:eastAsia="en-US"/>
    </w:rPr>
  </w:style>
  <w:style w:type="paragraph" w:customStyle="1" w:styleId="NormalLetters">
    <w:name w:val="Normal Letters"/>
    <w:basedOn w:val="Normal"/>
    <w:qFormat/>
    <w:rsid w:val="000374ED"/>
    <w:pPr>
      <w:numPr>
        <w:numId w:val="13"/>
      </w:numPr>
      <w:spacing w:line="360" w:lineRule="auto"/>
      <w:ind w:left="357" w:hanging="357"/>
      <w:contextualSpacing/>
      <w:jc w:val="left"/>
    </w:pPr>
    <w:rPr>
      <w:rFonts w:asciiTheme="minorHAnsi" w:eastAsiaTheme="minorHAnsi" w:hAnsiTheme="minorHAnsi" w:cstheme="minorBidi"/>
      <w:sz w:val="22"/>
      <w:szCs w:val="22"/>
      <w:lang w:eastAsia="en-US"/>
    </w:rPr>
  </w:style>
  <w:style w:type="character" w:customStyle="1" w:styleId="SmallSuperscript">
    <w:name w:val="Small Superscript"/>
    <w:basedOn w:val="Small"/>
    <w:uiPriority w:val="1"/>
    <w:qFormat/>
    <w:rsid w:val="000374ED"/>
    <w:rPr>
      <w:rFonts w:ascii="Candara" w:hAnsi="Candara"/>
      <w:b w:val="0"/>
      <w:sz w:val="20"/>
      <w:vertAlign w:val="superscript"/>
    </w:rPr>
  </w:style>
  <w:style w:type="paragraph" w:styleId="EndnoteText">
    <w:name w:val="endnote text"/>
    <w:basedOn w:val="Normal"/>
    <w:link w:val="EndnoteTextChar"/>
    <w:semiHidden/>
    <w:unhideWhenUsed/>
    <w:rsid w:val="007103F5"/>
    <w:rPr>
      <w:sz w:val="20"/>
      <w:szCs w:val="20"/>
    </w:rPr>
  </w:style>
  <w:style w:type="character" w:customStyle="1" w:styleId="EndnoteTextChar">
    <w:name w:val="Endnote Text Char"/>
    <w:basedOn w:val="DefaultParagraphFont"/>
    <w:link w:val="EndnoteText"/>
    <w:semiHidden/>
    <w:rsid w:val="007103F5"/>
    <w:rPr>
      <w:rFonts w:ascii="Calibri" w:hAnsi="Calibri" w:cs="Arial"/>
    </w:rPr>
  </w:style>
  <w:style w:type="character" w:styleId="EndnoteReference">
    <w:name w:val="endnote reference"/>
    <w:basedOn w:val="DefaultParagraphFont"/>
    <w:semiHidden/>
    <w:unhideWhenUsed/>
    <w:rsid w:val="007103F5"/>
    <w:rPr>
      <w:vertAlign w:val="superscript"/>
    </w:rPr>
  </w:style>
  <w:style w:type="paragraph" w:customStyle="1" w:styleId="TableHeading0">
    <w:name w:val="Table Heading"/>
    <w:basedOn w:val="Normal"/>
    <w:link w:val="TableHeadingChar"/>
    <w:qFormat/>
    <w:rsid w:val="00B404F0"/>
    <w:pPr>
      <w:keepNext/>
      <w:jc w:val="left"/>
    </w:pPr>
    <w:rPr>
      <w:rFonts w:ascii="Arial Narrow" w:eastAsiaTheme="majorEastAsia" w:hAnsi="Arial Narrow" w:cstheme="majorBidi"/>
      <w:b/>
      <w:bCs/>
      <w:sz w:val="20"/>
    </w:rPr>
  </w:style>
  <w:style w:type="character" w:customStyle="1" w:styleId="TableHeadingChar">
    <w:name w:val="Table Heading Char"/>
    <w:link w:val="TableHeading0"/>
    <w:rsid w:val="00B404F0"/>
    <w:rPr>
      <w:rFonts w:ascii="Arial Narrow" w:eastAsiaTheme="majorEastAsia" w:hAnsi="Arial Narrow" w:cstheme="majorBidi"/>
      <w:b/>
      <w:bCs/>
      <w:szCs w:val="24"/>
    </w:rPr>
  </w:style>
  <w:style w:type="paragraph" w:customStyle="1" w:styleId="3-SubsectionHeading">
    <w:name w:val="3-Subsection Heading"/>
    <w:basedOn w:val="Heading2"/>
    <w:next w:val="Normal"/>
    <w:link w:val="3-SubsectionHeadingChar"/>
    <w:qFormat/>
    <w:rsid w:val="00D8548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8548E"/>
    <w:rPr>
      <w:rFonts w:asciiTheme="minorHAnsi" w:eastAsiaTheme="majorEastAsia" w:hAnsiTheme="minorHAnsi" w:cstheme="majorBidi"/>
      <w:b/>
      <w:i/>
      <w:snapToGrid/>
      <w:spacing w:val="5"/>
      <w:kern w:val="28"/>
      <w:sz w:val="28"/>
      <w:szCs w:val="36"/>
      <w:lang w:eastAsia="en-US"/>
    </w:rPr>
  </w:style>
  <w:style w:type="paragraph" w:customStyle="1" w:styleId="subsection">
    <w:name w:val="subsection"/>
    <w:basedOn w:val="Normal"/>
    <w:rsid w:val="00CD09E9"/>
    <w:pPr>
      <w:spacing w:before="100" w:beforeAutospacing="1" w:after="100" w:afterAutospacing="1"/>
      <w:jc w:val="left"/>
    </w:pPr>
    <w:rPr>
      <w:rFonts w:ascii="Times New Roman" w:hAnsi="Times New Roman" w:cs="Times New Roman"/>
    </w:rPr>
  </w:style>
  <w:style w:type="paragraph" w:customStyle="1" w:styleId="paragraph">
    <w:name w:val="paragraph"/>
    <w:basedOn w:val="Normal"/>
    <w:rsid w:val="00CD09E9"/>
    <w:pPr>
      <w:spacing w:before="100" w:beforeAutospacing="1" w:after="100" w:afterAutospacing="1"/>
      <w:jc w:val="left"/>
    </w:pPr>
    <w:rPr>
      <w:rFonts w:ascii="Times New Roman" w:hAnsi="Times New Roman" w:cs="Times New Roman"/>
    </w:rPr>
  </w:style>
  <w:style w:type="paragraph" w:customStyle="1" w:styleId="PBACESHeading1">
    <w:name w:val="PBAC ES Heading 1"/>
    <w:basedOn w:val="Heading1"/>
    <w:next w:val="ListParagraph"/>
    <w:uiPriority w:val="1"/>
    <w:qFormat/>
    <w:rsid w:val="00BD2ADC"/>
    <w:pPr>
      <w:keepNext/>
      <w:keepLines/>
      <w:tabs>
        <w:tab w:val="left" w:pos="1077"/>
      </w:tabs>
      <w:spacing w:before="240" w:after="120"/>
      <w:jc w:val="left"/>
    </w:pPr>
    <w:rPr>
      <w:caps w:val="0"/>
      <w:snapToGrid w:val="0"/>
      <w:szCs w:val="32"/>
      <w:lang w:eastAsia="en-US"/>
    </w:rPr>
  </w:style>
  <w:style w:type="paragraph" w:customStyle="1" w:styleId="PBACESHeading2">
    <w:name w:val="PBAC ES Heading 2"/>
    <w:basedOn w:val="Heading2"/>
    <w:uiPriority w:val="1"/>
    <w:qFormat/>
    <w:rsid w:val="00BD2ADC"/>
    <w:pPr>
      <w:keepNext/>
      <w:keepLines/>
      <w:spacing w:before="360" w:after="120"/>
      <w:ind w:left="720" w:hanging="720"/>
      <w:jc w:val="left"/>
    </w:pPr>
    <w:rPr>
      <w:rFonts w:ascii="Calibri Light" w:eastAsia="SimSun" w:hAnsi="Calibri Light" w:cs="Times New Roman"/>
      <w:snapToGrid w:val="0"/>
      <w:szCs w:val="28"/>
      <w:lang w:eastAsia="en-US"/>
    </w:rPr>
  </w:style>
  <w:style w:type="paragraph" w:customStyle="1" w:styleId="PBACESHeadingCAPS">
    <w:name w:val="PBAC ES Heading CAPS"/>
    <w:basedOn w:val="PBACESHeading2"/>
    <w:uiPriority w:val="1"/>
    <w:qFormat/>
    <w:rsid w:val="00BD2ADC"/>
    <w:rPr>
      <w:i w:val="0"/>
      <w:smallCaps/>
      <w:sz w:val="32"/>
    </w:rPr>
  </w:style>
  <w:style w:type="paragraph" w:customStyle="1" w:styleId="PBACESHeading3">
    <w:name w:val="PBAC ES Heading 3"/>
    <w:basedOn w:val="PBACESHeading2"/>
    <w:uiPriority w:val="1"/>
    <w:qFormat/>
    <w:rsid w:val="00BD2ADC"/>
    <w:pPr>
      <w:ind w:left="1080" w:hanging="1080"/>
    </w:pPr>
    <w:rPr>
      <w:i w:val="0"/>
      <w:sz w:val="24"/>
    </w:rPr>
  </w:style>
  <w:style w:type="paragraph" w:customStyle="1" w:styleId="MSACHeading1">
    <w:name w:val="MSAC Heading 1"/>
    <w:basedOn w:val="Heading1"/>
    <w:next w:val="Normal"/>
    <w:uiPriority w:val="1"/>
    <w:rsid w:val="00BD2ADC"/>
    <w:pPr>
      <w:keepNext/>
      <w:keepLines/>
      <w:tabs>
        <w:tab w:val="num" w:pos="360"/>
      </w:tabs>
      <w:spacing w:before="160" w:after="240" w:line="259" w:lineRule="auto"/>
      <w:ind w:left="360" w:hanging="360"/>
      <w:jc w:val="left"/>
    </w:pPr>
    <w:rPr>
      <w:rFonts w:ascii="Arial" w:eastAsia="SimSun" w:hAnsi="Arial" w:cs="Times New Roman"/>
      <w:caps w:val="0"/>
      <w:sz w:val="24"/>
      <w:szCs w:val="28"/>
      <w:lang w:eastAsia="en-US"/>
    </w:rPr>
  </w:style>
  <w:style w:type="paragraph" w:customStyle="1" w:styleId="MSACESHeading2">
    <w:name w:val="MSAC ES Heading 2"/>
    <w:basedOn w:val="Heading2"/>
    <w:next w:val="Normal"/>
    <w:uiPriority w:val="1"/>
    <w:rsid w:val="00BD2ADC"/>
    <w:pPr>
      <w:keepNext/>
      <w:keepLines/>
      <w:tabs>
        <w:tab w:val="num" w:pos="360"/>
      </w:tabs>
      <w:spacing w:before="360" w:after="120"/>
      <w:ind w:left="360" w:hanging="360"/>
      <w:jc w:val="left"/>
    </w:pPr>
    <w:rPr>
      <w:rFonts w:ascii="Cambria" w:eastAsia="SimSun" w:hAnsi="Cambria" w:cs="Times New Roman"/>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641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811898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61479651">
      <w:bodyDiv w:val="1"/>
      <w:marLeft w:val="0"/>
      <w:marRight w:val="0"/>
      <w:marTop w:val="0"/>
      <w:marBottom w:val="0"/>
      <w:divBdr>
        <w:top w:val="none" w:sz="0" w:space="0" w:color="auto"/>
        <w:left w:val="none" w:sz="0" w:space="0" w:color="auto"/>
        <w:bottom w:val="none" w:sz="0" w:space="0" w:color="auto"/>
        <w:right w:val="none" w:sz="0" w:space="0" w:color="auto"/>
      </w:divBdr>
    </w:div>
    <w:div w:id="107624282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30669917">
      <w:bodyDiv w:val="1"/>
      <w:marLeft w:val="0"/>
      <w:marRight w:val="0"/>
      <w:marTop w:val="0"/>
      <w:marBottom w:val="0"/>
      <w:divBdr>
        <w:top w:val="none" w:sz="0" w:space="0" w:color="auto"/>
        <w:left w:val="none" w:sz="0" w:space="0" w:color="auto"/>
        <w:bottom w:val="none" w:sz="0" w:space="0" w:color="auto"/>
        <w:right w:val="none" w:sz="0" w:space="0" w:color="auto"/>
      </w:divBdr>
    </w:div>
    <w:div w:id="1406030270">
      <w:bodyDiv w:val="1"/>
      <w:marLeft w:val="0"/>
      <w:marRight w:val="0"/>
      <w:marTop w:val="0"/>
      <w:marBottom w:val="0"/>
      <w:divBdr>
        <w:top w:val="none" w:sz="0" w:space="0" w:color="auto"/>
        <w:left w:val="none" w:sz="0" w:space="0" w:color="auto"/>
        <w:bottom w:val="none" w:sz="0" w:space="0" w:color="auto"/>
        <w:right w:val="none" w:sz="0" w:space="0" w:color="auto"/>
      </w:divBdr>
    </w:div>
    <w:div w:id="144326553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4383993">
      <w:bodyDiv w:val="1"/>
      <w:marLeft w:val="0"/>
      <w:marRight w:val="0"/>
      <w:marTop w:val="0"/>
      <w:marBottom w:val="0"/>
      <w:divBdr>
        <w:top w:val="none" w:sz="0" w:space="0" w:color="auto"/>
        <w:left w:val="none" w:sz="0" w:space="0" w:color="auto"/>
        <w:bottom w:val="none" w:sz="0" w:space="0" w:color="auto"/>
        <w:right w:val="none" w:sz="0" w:space="0" w:color="auto"/>
      </w:divBdr>
    </w:div>
    <w:div w:id="20864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cirs.org.au/influenza-vaccination-coverage-data/historical-national-influenza-vaccination-coverage-20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9413</Words>
  <Characters>52717</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2024-07-05T02:04:00Z</dcterms:created>
  <dcterms:modified xsi:type="dcterms:W3CDTF">2024-07-05T02:04:00Z</dcterms:modified>
</cp:coreProperties>
</file>