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20DFF6F4" w:rsidR="00B60939" w:rsidRPr="00AB34C7" w:rsidRDefault="00EC3035" w:rsidP="004A6040">
      <w:pPr>
        <w:pStyle w:val="COMH1-non-numbered"/>
      </w:pPr>
      <w:bookmarkStart w:id="0" w:name="_Toc156912590"/>
      <w:r w:rsidRPr="00AB34C7">
        <w:t>7.0</w:t>
      </w:r>
      <w:r w:rsidR="00497513" w:rsidRPr="00AB34C7">
        <w:t>4</w:t>
      </w:r>
      <w:r w:rsidR="00163F66" w:rsidRPr="00AB34C7">
        <w:tab/>
      </w:r>
      <w:r w:rsidR="006760B6" w:rsidRPr="00AB34C7">
        <w:t>IBRUTINIB</w:t>
      </w:r>
      <w:r w:rsidR="00163F66" w:rsidRPr="00AB34C7">
        <w:t>,</w:t>
      </w:r>
      <w:r w:rsidR="00163F66" w:rsidRPr="00AB34C7">
        <w:br/>
      </w:r>
      <w:r w:rsidR="00882048" w:rsidRPr="00AB34C7">
        <w:t>Capsule 140 mg,</w:t>
      </w:r>
      <w:r w:rsidR="00882048" w:rsidRPr="00AB34C7">
        <w:br/>
        <w:t>Tablet 280 mg,</w:t>
      </w:r>
      <w:r w:rsidR="00163F66" w:rsidRPr="00AB34C7">
        <w:br/>
      </w:r>
      <w:r w:rsidR="006760B6" w:rsidRPr="00AB34C7">
        <w:t xml:space="preserve">Tablet </w:t>
      </w:r>
      <w:r w:rsidR="001666A4" w:rsidRPr="00AB34C7">
        <w:t>42</w:t>
      </w:r>
      <w:r w:rsidR="006760B6" w:rsidRPr="00AB34C7">
        <w:t>0 mg</w:t>
      </w:r>
      <w:r w:rsidR="00163F66" w:rsidRPr="00AB34C7">
        <w:t>,</w:t>
      </w:r>
      <w:r w:rsidR="00163F66" w:rsidRPr="00AB34C7">
        <w:br/>
      </w:r>
      <w:r w:rsidR="00EE1DFF" w:rsidRPr="00AB34C7">
        <w:t>Imbruvica</w:t>
      </w:r>
      <w:r w:rsidR="00B60939" w:rsidRPr="00AB34C7">
        <w:t>®</w:t>
      </w:r>
      <w:r w:rsidR="004A6040" w:rsidRPr="00AB34C7">
        <w:t>,</w:t>
      </w:r>
      <w:r w:rsidR="004A6040" w:rsidRPr="00AB34C7">
        <w:br/>
      </w:r>
      <w:r w:rsidR="00EE1DFF" w:rsidRPr="00AB34C7">
        <w:t>JANSSEN-CILAG PTY LTD</w:t>
      </w:r>
      <w:r w:rsidR="00B60939" w:rsidRPr="00AB34C7">
        <w:t>.</w:t>
      </w:r>
      <w:bookmarkEnd w:id="0"/>
    </w:p>
    <w:p w14:paraId="11C00795" w14:textId="3DFB6D23" w:rsidR="00B50DB8" w:rsidRPr="00AB34C7" w:rsidRDefault="00B50DB8" w:rsidP="004A6040">
      <w:pPr>
        <w:pStyle w:val="COMH1numbered"/>
      </w:pPr>
      <w:bookmarkStart w:id="1" w:name="_Toc156912592"/>
      <w:r w:rsidRPr="00AB34C7">
        <w:t xml:space="preserve">Purpose of </w:t>
      </w:r>
      <w:r w:rsidR="00CD7193" w:rsidRPr="00AB34C7">
        <w:t>s</w:t>
      </w:r>
      <w:r w:rsidR="00BB3A45" w:rsidRPr="00AB34C7">
        <w:t>ubmission</w:t>
      </w:r>
      <w:bookmarkEnd w:id="1"/>
    </w:p>
    <w:p w14:paraId="7B81A3FA" w14:textId="146F8701" w:rsidR="000A16A9" w:rsidRPr="00AB34C7" w:rsidRDefault="000A16A9" w:rsidP="003746D7">
      <w:pPr>
        <w:pStyle w:val="COMexecsumnumberedpara"/>
        <w:ind w:hanging="720"/>
      </w:pPr>
      <w:r w:rsidRPr="00AB34C7">
        <w:t>The standard re-entry resubmission requested a General Schedule Authority Required listing of ibrutinib, for use in combination with venetoclax</w:t>
      </w:r>
      <w:r w:rsidR="00612665" w:rsidRPr="00AB34C7">
        <w:t xml:space="preserve"> (IBR+VEN)</w:t>
      </w:r>
      <w:r w:rsidRPr="00AB34C7">
        <w:t xml:space="preserve">, for the treatment of patients with previously untreated chronic lymphocytic leukaemia (CLL) or small lymphocytic lymphoma (SLL). </w:t>
      </w:r>
    </w:p>
    <w:p w14:paraId="05CFDC83" w14:textId="317F0F84" w:rsidR="000A16A9" w:rsidRPr="00AB34C7" w:rsidRDefault="005750C5" w:rsidP="003746D7">
      <w:pPr>
        <w:pStyle w:val="COMexecsumnumberedpara"/>
        <w:ind w:hanging="720"/>
      </w:pPr>
      <w:r w:rsidRPr="00AB34C7">
        <w:t>Listing was requested on the basis of a cost-minimisation</w:t>
      </w:r>
      <w:r w:rsidR="001D71F4" w:rsidRPr="00AB34C7">
        <w:t xml:space="preserve"> approach</w:t>
      </w:r>
      <w:r w:rsidRPr="00AB34C7">
        <w:t xml:space="preserve"> versus </w:t>
      </w:r>
      <w:r w:rsidR="000A16A9" w:rsidRPr="00AB34C7">
        <w:t>venetoclax + obinutuzumab</w:t>
      </w:r>
      <w:r w:rsidR="00612665" w:rsidRPr="00AB34C7">
        <w:t xml:space="preserve"> (VEN+OBI)</w:t>
      </w:r>
      <w:r w:rsidRPr="00AB34C7">
        <w:t xml:space="preserve">. </w:t>
      </w:r>
    </w:p>
    <w:p w14:paraId="3718DE61" w14:textId="1D765394" w:rsidR="008B1757" w:rsidRPr="00AB34C7" w:rsidRDefault="00696EF9" w:rsidP="000646D2">
      <w:pPr>
        <w:pStyle w:val="COMtablefigcaption"/>
      </w:pPr>
      <w:r w:rsidRPr="00AB34C7">
        <w:t xml:space="preserve">Table </w:t>
      </w:r>
      <w:fldSimple w:instr=" SEQ Table \* ARABIC " w:fldLock="1">
        <w:r w:rsidR="008A42E6" w:rsidRPr="00B95C74">
          <w:t>1</w:t>
        </w:r>
      </w:fldSimple>
      <w:r w:rsidRPr="00AB34C7">
        <w:t>:</w:t>
      </w:r>
      <w:r w:rsidR="00BC591F" w:rsidRPr="00AB34C7">
        <w:t xml:space="preserve"> </w:t>
      </w:r>
      <w:r w:rsidR="008B1757" w:rsidRPr="00AB34C7">
        <w:t xml:space="preserve">Key components of the clinical issue addressed </w:t>
      </w:r>
      <w:r w:rsidR="006B08E0" w:rsidRPr="00AB34C7">
        <w:t>in</w:t>
      </w:r>
      <w:r w:rsidR="008B1757" w:rsidRPr="00AB34C7">
        <w:t xml:space="preserve"> the </w:t>
      </w:r>
      <w:r w:rsidR="000A16A9" w:rsidRPr="00AB34C7">
        <w:t>re</w:t>
      </w:r>
      <w:r w:rsidR="008B1757" w:rsidRPr="00AB34C7">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Key components of the clinical issue addressed in the resubmission"/>
      </w:tblPr>
      <w:tblGrid>
        <w:gridCol w:w="1196"/>
        <w:gridCol w:w="7821"/>
      </w:tblGrid>
      <w:tr w:rsidR="00F92A6B" w:rsidRPr="00AB34C7" w14:paraId="010F6B31" w14:textId="77777777" w:rsidTr="00A214AB">
        <w:tc>
          <w:tcPr>
            <w:tcW w:w="663" w:type="pct"/>
            <w:vAlign w:val="center"/>
          </w:tcPr>
          <w:p w14:paraId="6F9D80D3" w14:textId="77777777" w:rsidR="00F92A6B" w:rsidRPr="00B95C74" w:rsidRDefault="00F92A6B" w:rsidP="000646D2">
            <w:pPr>
              <w:pStyle w:val="COMTableheadingrow"/>
              <w:rPr>
                <w:lang w:val="en-AU"/>
              </w:rPr>
            </w:pPr>
            <w:r w:rsidRPr="00B95C74">
              <w:rPr>
                <w:lang w:val="en-AU"/>
              </w:rPr>
              <w:t>Component</w:t>
            </w:r>
          </w:p>
        </w:tc>
        <w:tc>
          <w:tcPr>
            <w:tcW w:w="4337" w:type="pct"/>
            <w:vAlign w:val="center"/>
          </w:tcPr>
          <w:p w14:paraId="08640B3A" w14:textId="77777777" w:rsidR="00F92A6B" w:rsidRPr="00B95C74" w:rsidRDefault="00F92A6B" w:rsidP="000646D2">
            <w:pPr>
              <w:pStyle w:val="COMTableheadingrow"/>
              <w:jc w:val="center"/>
              <w:rPr>
                <w:lang w:val="en-AU"/>
              </w:rPr>
            </w:pPr>
            <w:r w:rsidRPr="00B95C74">
              <w:rPr>
                <w:lang w:val="en-AU"/>
              </w:rPr>
              <w:t>Description</w:t>
            </w:r>
          </w:p>
        </w:tc>
      </w:tr>
      <w:tr w:rsidR="00F92A6B" w:rsidRPr="00AB34C7" w14:paraId="4E0B8D7B" w14:textId="77777777" w:rsidTr="00A214AB">
        <w:tc>
          <w:tcPr>
            <w:tcW w:w="663" w:type="pct"/>
            <w:vAlign w:val="center"/>
          </w:tcPr>
          <w:p w14:paraId="478FF657" w14:textId="77777777" w:rsidR="00F92A6B" w:rsidRPr="00AB34C7" w:rsidRDefault="00F92A6B" w:rsidP="000646D2">
            <w:pPr>
              <w:pStyle w:val="COMTabletext"/>
            </w:pPr>
            <w:r w:rsidRPr="00AB34C7">
              <w:t>Population</w:t>
            </w:r>
          </w:p>
        </w:tc>
        <w:tc>
          <w:tcPr>
            <w:tcW w:w="4337" w:type="pct"/>
          </w:tcPr>
          <w:p w14:paraId="78EA42A4" w14:textId="77777777" w:rsidR="00F92A6B" w:rsidRPr="00AB34C7" w:rsidRDefault="00F92A6B" w:rsidP="000646D2">
            <w:pPr>
              <w:pStyle w:val="COMTabletext"/>
            </w:pPr>
            <w:r w:rsidRPr="00AB34C7">
              <w:t>Patients with previously untreated CLL/SLL</w:t>
            </w:r>
            <w:r w:rsidRPr="00AB34C7">
              <w:rPr>
                <w:strike/>
              </w:rPr>
              <w:t xml:space="preserve"> who would otherwise be considered fit for treatment with fludarabine based chemoimmunotherapy</w:t>
            </w:r>
            <w:r w:rsidRPr="00AB34C7">
              <w:t>.</w:t>
            </w:r>
          </w:p>
        </w:tc>
      </w:tr>
      <w:tr w:rsidR="00F92A6B" w:rsidRPr="00AB34C7" w14:paraId="2524E2E8" w14:textId="77777777" w:rsidTr="00A214AB">
        <w:tc>
          <w:tcPr>
            <w:tcW w:w="663" w:type="pct"/>
            <w:vAlign w:val="center"/>
          </w:tcPr>
          <w:p w14:paraId="2C3F83EC" w14:textId="77777777" w:rsidR="00F92A6B" w:rsidRPr="00AB34C7" w:rsidRDefault="00F92A6B" w:rsidP="000646D2">
            <w:pPr>
              <w:pStyle w:val="COMTabletext"/>
            </w:pPr>
            <w:r w:rsidRPr="00AB34C7">
              <w:t>Intervention</w:t>
            </w:r>
          </w:p>
        </w:tc>
        <w:tc>
          <w:tcPr>
            <w:tcW w:w="4337" w:type="pct"/>
          </w:tcPr>
          <w:p w14:paraId="1BB4BF37" w14:textId="77777777" w:rsidR="00F92A6B" w:rsidRPr="00AB34C7" w:rsidRDefault="00F92A6B" w:rsidP="000646D2">
            <w:pPr>
              <w:pStyle w:val="COMTabletext"/>
            </w:pPr>
            <w:r w:rsidRPr="00AB34C7">
              <w:t xml:space="preserve">Fixed duration ibrutinib + venetoclax per the following regimen: </w:t>
            </w:r>
          </w:p>
          <w:p w14:paraId="00186997" w14:textId="77777777" w:rsidR="00F92A6B" w:rsidRPr="00AB34C7" w:rsidRDefault="00F92A6B" w:rsidP="000646D2">
            <w:pPr>
              <w:pStyle w:val="COMTabletext"/>
              <w:numPr>
                <w:ilvl w:val="0"/>
                <w:numId w:val="6"/>
              </w:numPr>
              <w:ind w:left="228" w:hanging="218"/>
            </w:pPr>
            <w:r w:rsidRPr="00AB34C7">
              <w:t xml:space="preserve">Ibrutinib: 420 mg administered orally once daily as a single-agent lead-in for 3 cycles (where each cycle is 28 days), then continued in combination with venetoclax for a further 12 cycles. </w:t>
            </w:r>
          </w:p>
          <w:p w14:paraId="439779B5" w14:textId="77777777" w:rsidR="00F92A6B" w:rsidRPr="00AB34C7" w:rsidRDefault="00F92A6B" w:rsidP="000646D2">
            <w:pPr>
              <w:pStyle w:val="COMTabletext"/>
              <w:numPr>
                <w:ilvl w:val="0"/>
                <w:numId w:val="6"/>
              </w:numPr>
              <w:ind w:left="228" w:hanging="218"/>
            </w:pPr>
            <w:r w:rsidRPr="00AB34C7">
              <w:t xml:space="preserve">Venetoclax: administered orally once daily starting with a 5-week dose ramp-up (20 mg for 1 week followed by 1 week at each dose level of 50 mg, 100 mg, 200 mg), and then continued at the recommended daily dose of 400 mg; added to ongoing ibrutinib therapy commencing in Cycle 4 and continued for a total of 12 cycles. </w:t>
            </w:r>
          </w:p>
        </w:tc>
      </w:tr>
      <w:tr w:rsidR="00F92A6B" w:rsidRPr="00AB34C7" w14:paraId="3B1CCF7A" w14:textId="77777777" w:rsidTr="00A214AB">
        <w:tc>
          <w:tcPr>
            <w:tcW w:w="663" w:type="pct"/>
            <w:vAlign w:val="center"/>
          </w:tcPr>
          <w:p w14:paraId="1321B0B5" w14:textId="77777777" w:rsidR="00F92A6B" w:rsidRPr="00AB34C7" w:rsidRDefault="00F92A6B" w:rsidP="000646D2">
            <w:pPr>
              <w:pStyle w:val="COMTabletext"/>
            </w:pPr>
            <w:r w:rsidRPr="00AB34C7">
              <w:t>Comparator</w:t>
            </w:r>
          </w:p>
        </w:tc>
        <w:tc>
          <w:tcPr>
            <w:tcW w:w="4337" w:type="pct"/>
          </w:tcPr>
          <w:p w14:paraId="0E84BBBD" w14:textId="77777777" w:rsidR="00F92A6B" w:rsidRPr="00B04736" w:rsidRDefault="00F92A6B" w:rsidP="000646D2">
            <w:pPr>
              <w:pStyle w:val="COMTabletext"/>
              <w:numPr>
                <w:ilvl w:val="0"/>
                <w:numId w:val="7"/>
              </w:numPr>
              <w:ind w:left="228" w:hanging="218"/>
            </w:pPr>
            <w:r w:rsidRPr="00B04736">
              <w:rPr>
                <w:shd w:val="clear" w:color="auto" w:fill="C6D9F1" w:themeFill="text2" w:themeFillTint="33"/>
              </w:rPr>
              <w:t>Fixed duration venetoclax + obinutuzumab (main comparator)</w:t>
            </w:r>
          </w:p>
          <w:p w14:paraId="15230D0A" w14:textId="77777777" w:rsidR="00F92A6B" w:rsidRPr="00B04736" w:rsidRDefault="00F92A6B" w:rsidP="000646D2">
            <w:pPr>
              <w:pStyle w:val="COMTabletext"/>
              <w:numPr>
                <w:ilvl w:val="0"/>
                <w:numId w:val="7"/>
              </w:numPr>
              <w:ind w:left="228" w:hanging="218"/>
            </w:pPr>
            <w:r w:rsidRPr="00B04736">
              <w:rPr>
                <w:shd w:val="clear" w:color="auto" w:fill="C6D9F1" w:themeFill="text2" w:themeFillTint="33"/>
              </w:rPr>
              <w:t>Treat-to-progression zanubrutinib (supplementary comparator)</w:t>
            </w:r>
          </w:p>
          <w:p w14:paraId="7CB80821" w14:textId="77777777" w:rsidR="00F92A6B" w:rsidRPr="00AB34C7" w:rsidRDefault="00F92A6B" w:rsidP="000646D2">
            <w:pPr>
              <w:pStyle w:val="COMTabletext"/>
              <w:numPr>
                <w:ilvl w:val="0"/>
                <w:numId w:val="7"/>
              </w:numPr>
              <w:ind w:left="228" w:hanging="218"/>
              <w:rPr>
                <w:strike/>
              </w:rPr>
            </w:pPr>
            <w:r w:rsidRPr="00AB34C7">
              <w:rPr>
                <w:strike/>
              </w:rPr>
              <w:t>Fixed duration fludarabine + cyclophosphamide + rituximab</w:t>
            </w:r>
          </w:p>
        </w:tc>
      </w:tr>
      <w:tr w:rsidR="00F92A6B" w:rsidRPr="00AB34C7" w14:paraId="52F5F990" w14:textId="77777777" w:rsidTr="00A214AB">
        <w:tc>
          <w:tcPr>
            <w:tcW w:w="663" w:type="pct"/>
            <w:vAlign w:val="center"/>
          </w:tcPr>
          <w:p w14:paraId="5B504DF7" w14:textId="77777777" w:rsidR="00F92A6B" w:rsidRPr="00AB34C7" w:rsidRDefault="00F92A6B" w:rsidP="000646D2">
            <w:pPr>
              <w:pStyle w:val="COMTabletext"/>
            </w:pPr>
            <w:r w:rsidRPr="00AB34C7">
              <w:t>Outcomes</w:t>
            </w:r>
          </w:p>
        </w:tc>
        <w:tc>
          <w:tcPr>
            <w:tcW w:w="4337" w:type="pct"/>
          </w:tcPr>
          <w:p w14:paraId="32CBE3FC" w14:textId="77777777" w:rsidR="00F92A6B" w:rsidRPr="00AB34C7" w:rsidRDefault="00F92A6B" w:rsidP="000646D2">
            <w:pPr>
              <w:pStyle w:val="COMTabletext"/>
            </w:pPr>
            <w:r w:rsidRPr="00AB34C7">
              <w:t>Progression free survival, overall survival, overall response rate, complete response rate, MRD negativity, adverse events.</w:t>
            </w:r>
          </w:p>
        </w:tc>
      </w:tr>
      <w:tr w:rsidR="00F92A6B" w:rsidRPr="00AB34C7" w14:paraId="216DF827" w14:textId="77777777" w:rsidTr="00A214AB">
        <w:tc>
          <w:tcPr>
            <w:tcW w:w="663" w:type="pct"/>
            <w:vAlign w:val="center"/>
          </w:tcPr>
          <w:p w14:paraId="4173D9F0" w14:textId="77777777" w:rsidR="00F92A6B" w:rsidRPr="00AB34C7" w:rsidRDefault="00F92A6B" w:rsidP="000646D2">
            <w:pPr>
              <w:pStyle w:val="COMTabletext"/>
            </w:pPr>
            <w:r w:rsidRPr="00AB34C7">
              <w:t>Clinical claim</w:t>
            </w:r>
          </w:p>
        </w:tc>
        <w:tc>
          <w:tcPr>
            <w:tcW w:w="4337" w:type="pct"/>
          </w:tcPr>
          <w:p w14:paraId="147C90C0" w14:textId="77777777" w:rsidR="00F92A6B" w:rsidRPr="00AB34C7" w:rsidRDefault="00F92A6B" w:rsidP="000646D2">
            <w:pPr>
              <w:pStyle w:val="COMTabletext"/>
              <w:numPr>
                <w:ilvl w:val="0"/>
                <w:numId w:val="7"/>
              </w:numPr>
              <w:ind w:left="228" w:hanging="218"/>
            </w:pPr>
            <w:r w:rsidRPr="00AB34C7">
              <w:rPr>
                <w:shd w:val="clear" w:color="auto" w:fill="C6D9F1" w:themeFill="text2" w:themeFillTint="33"/>
              </w:rPr>
              <w:t>In patients with previously untreated CLL/SLL, fixed duration ibrutinib + venetoclax is non-inferior in terms of efficacy and safety compared to fixed duration venetoclax + obinutuzumab.</w:t>
            </w:r>
          </w:p>
          <w:p w14:paraId="09C9D0F2" w14:textId="77777777" w:rsidR="00F92A6B" w:rsidRPr="00AB34C7" w:rsidRDefault="00F92A6B" w:rsidP="000646D2">
            <w:pPr>
              <w:pStyle w:val="COMTabletext"/>
              <w:numPr>
                <w:ilvl w:val="0"/>
                <w:numId w:val="7"/>
              </w:numPr>
              <w:ind w:left="228" w:hanging="218"/>
            </w:pPr>
            <w:r w:rsidRPr="00AB34C7">
              <w:rPr>
                <w:shd w:val="clear" w:color="auto" w:fill="C6D9F1" w:themeFill="text2" w:themeFillTint="33"/>
              </w:rPr>
              <w:t>In patients with previously untreated CLL/SLL, fixed duration ibrutinib + venetoclax is non-inferior in efficacy and safety compared to treat-to-progression zanubrutinib (as a proxy for all available treat-to-progression BTK inhibitor treatments).</w:t>
            </w:r>
          </w:p>
          <w:p w14:paraId="1E619A6D" w14:textId="77777777" w:rsidR="00F92A6B" w:rsidRPr="00AB34C7" w:rsidRDefault="00F92A6B" w:rsidP="000646D2">
            <w:pPr>
              <w:pStyle w:val="COMTabletext"/>
              <w:numPr>
                <w:ilvl w:val="0"/>
                <w:numId w:val="7"/>
              </w:numPr>
              <w:ind w:left="228" w:hanging="218"/>
              <w:rPr>
                <w:strike/>
              </w:rPr>
            </w:pPr>
            <w:r w:rsidRPr="00AB34C7">
              <w:rPr>
                <w:strike/>
              </w:rPr>
              <w:t>Ibrutinib + venetoclax is superior to FCR in terms of efficacy and at least non-inferior in terms of safety, with a different safety profile compared to FCR, and a reduced risk of developing secondary primary malignancies.</w:t>
            </w:r>
          </w:p>
        </w:tc>
      </w:tr>
    </w:tbl>
    <w:p w14:paraId="12D5BE9F" w14:textId="4C050A7F" w:rsidR="00F92A6B" w:rsidRPr="00AB34C7" w:rsidRDefault="00F92A6B" w:rsidP="001C30EF">
      <w:pPr>
        <w:pStyle w:val="COMTablefooter"/>
        <w:keepNext/>
      </w:pPr>
      <w:r w:rsidRPr="00AB34C7">
        <w:t xml:space="preserve">Source: Table 1.1 of the resubmission; Table 1, p1 of the </w:t>
      </w:r>
      <w:r w:rsidR="008B07C1" w:rsidRPr="00AB34C7">
        <w:t>ibrutinib Public Summary Document, December 2022 intracycle PBAC meeting</w:t>
      </w:r>
      <w:r w:rsidRPr="00AB34C7">
        <w:t>.</w:t>
      </w:r>
    </w:p>
    <w:p w14:paraId="2CFE940F" w14:textId="21F93BB0" w:rsidR="00F92A6B" w:rsidRPr="00AB34C7" w:rsidRDefault="00F92A6B" w:rsidP="001C30EF">
      <w:pPr>
        <w:pStyle w:val="COMTablefooter"/>
        <w:keepNext/>
      </w:pPr>
      <w:r w:rsidRPr="00AB34C7">
        <w:t xml:space="preserve">Abbreviations: </w:t>
      </w:r>
      <w:r w:rsidR="00B830A0" w:rsidRPr="00AB34C7">
        <w:t xml:space="preserve">BTK, Bruton’s tyrosine kinase; </w:t>
      </w:r>
      <w:r w:rsidRPr="00AB34C7">
        <w:t>CLL, chronic lymphocytic leukaemia; FCR, fludarabine + cyclophosphamide + rituximab; MRD, minimal residual disease; SLL, small lymphocytic lymphoma.</w:t>
      </w:r>
    </w:p>
    <w:p w14:paraId="3D82C310" w14:textId="63EBE958" w:rsidR="00F92A6B" w:rsidRPr="00AB34C7" w:rsidRDefault="00F92A6B" w:rsidP="00F92A6B">
      <w:pPr>
        <w:pStyle w:val="COMTablefooter"/>
      </w:pPr>
      <w:r w:rsidRPr="00AB34C7">
        <w:t>Changes compared to submission</w:t>
      </w:r>
      <w:r w:rsidR="00F06F59" w:rsidRPr="00AB34C7">
        <w:t xml:space="preserve"> considered at the December 2022 intracycle PBAC meeting</w:t>
      </w:r>
      <w:r w:rsidRPr="00AB34C7">
        <w:t xml:space="preserve"> indicated by shaded text (additions) and strikethrough (removals).</w:t>
      </w:r>
    </w:p>
    <w:p w14:paraId="6B4AB6C2" w14:textId="7F01D731" w:rsidR="005C25FF" w:rsidRPr="00AB34C7" w:rsidRDefault="005C25FF" w:rsidP="003746D7">
      <w:pPr>
        <w:pStyle w:val="COMH1numbered"/>
      </w:pPr>
      <w:bookmarkStart w:id="2" w:name="_Toc156912593"/>
      <w:r w:rsidRPr="00AB34C7">
        <w:lastRenderedPageBreak/>
        <w:t>Background</w:t>
      </w:r>
      <w:bookmarkEnd w:id="2"/>
    </w:p>
    <w:p w14:paraId="2C521D6D" w14:textId="78CF03EE" w:rsidR="005C25FF" w:rsidRPr="00AB34C7" w:rsidRDefault="005C25FF" w:rsidP="003746D7">
      <w:pPr>
        <w:pStyle w:val="COMH2-non-numbered"/>
        <w:ind w:left="720" w:hanging="720"/>
      </w:pPr>
      <w:bookmarkStart w:id="3" w:name="_Toc22897638"/>
      <w:bookmarkStart w:id="4" w:name="_Toc156912594"/>
      <w:r w:rsidRPr="00AB34C7">
        <w:t>Registration status</w:t>
      </w:r>
      <w:bookmarkEnd w:id="3"/>
      <w:bookmarkEnd w:id="4"/>
    </w:p>
    <w:p w14:paraId="069F1855" w14:textId="787091E9" w:rsidR="00B1443C" w:rsidRPr="00AB34C7" w:rsidRDefault="00B1443C" w:rsidP="003746D7">
      <w:pPr>
        <w:pStyle w:val="COMexecsumnumberedpara"/>
        <w:ind w:hanging="720"/>
      </w:pPr>
      <w:r w:rsidRPr="00AB34C7">
        <w:t xml:space="preserve">Ibrutinib was registered on the ARTG for use in combination with venetoclax on </w:t>
      </w:r>
      <w:r w:rsidR="000646D2" w:rsidRPr="00AB34C7">
        <w:t>28</w:t>
      </w:r>
      <w:r w:rsidR="000646D2">
        <w:t> </w:t>
      </w:r>
      <w:r w:rsidRPr="00AB34C7">
        <w:t>March 2023</w:t>
      </w:r>
      <w:r w:rsidR="008D7823" w:rsidRPr="00AB34C7">
        <w:t>,</w:t>
      </w:r>
      <w:r w:rsidRPr="00AB34C7">
        <w:t xml:space="preserve"> based on the following indication:</w:t>
      </w:r>
    </w:p>
    <w:p w14:paraId="648EC6E8" w14:textId="77777777" w:rsidR="000B578B" w:rsidRPr="00AB34C7" w:rsidRDefault="000B578B" w:rsidP="00F0309A">
      <w:pPr>
        <w:pStyle w:val="ListParagraph"/>
        <w:numPr>
          <w:ilvl w:val="0"/>
          <w:numId w:val="28"/>
        </w:numPr>
        <w:tabs>
          <w:tab w:val="left" w:pos="1080"/>
        </w:tabs>
        <w:autoSpaceDE w:val="0"/>
        <w:autoSpaceDN w:val="0"/>
        <w:adjustRightInd w:val="0"/>
      </w:pPr>
      <w:r w:rsidRPr="00F0309A">
        <w:rPr>
          <w:rFonts w:cstheme="minorHAnsi"/>
        </w:rPr>
        <w:t>Ibrutinib</w:t>
      </w:r>
      <w:r w:rsidRPr="00AB34C7">
        <w:t xml:space="preserve"> as a single agent or in combination with rituximab or obinutuzumab or venetoclax for the treatment of adult patients with previously untreated CLL/SLL.</w:t>
      </w:r>
    </w:p>
    <w:p w14:paraId="3E2A6EAB" w14:textId="44CC1F9F" w:rsidR="005C25FF" w:rsidRPr="00AB34C7" w:rsidRDefault="005C25FF" w:rsidP="003746D7">
      <w:pPr>
        <w:pStyle w:val="COMH2-non-numbered"/>
        <w:ind w:left="720" w:hanging="720"/>
      </w:pPr>
      <w:bookmarkStart w:id="5" w:name="_Toc22897639"/>
      <w:bookmarkStart w:id="6" w:name="_Toc156912595"/>
      <w:r w:rsidRPr="00AB34C7">
        <w:t>Previous PBAC consideration</w:t>
      </w:r>
      <w:bookmarkEnd w:id="5"/>
      <w:bookmarkEnd w:id="6"/>
    </w:p>
    <w:p w14:paraId="6241F2C9" w14:textId="724A2C38" w:rsidR="003E2889" w:rsidRPr="00AB34C7" w:rsidRDefault="003E2889" w:rsidP="003746D7">
      <w:pPr>
        <w:pStyle w:val="COMexecsumnumberedpara"/>
        <w:ind w:hanging="720"/>
      </w:pPr>
      <w:r w:rsidRPr="00AB34C7">
        <w:t>A submission for ibrutinib, for use in combination with venetoclax</w:t>
      </w:r>
      <w:r w:rsidR="00F958A8" w:rsidRPr="00AB34C7">
        <w:t>,</w:t>
      </w:r>
      <w:r w:rsidRPr="00AB34C7">
        <w:t xml:space="preserve"> for the treatment of patients with previously untreated </w:t>
      </w:r>
      <w:r w:rsidR="00E909C1" w:rsidRPr="00AB34C7">
        <w:t>CLL/SLL</w:t>
      </w:r>
      <w:r w:rsidR="005569FB" w:rsidRPr="00AB34C7">
        <w:t>,</w:t>
      </w:r>
      <w:r w:rsidR="00E909C1" w:rsidRPr="00AB34C7">
        <w:t xml:space="preserve"> </w:t>
      </w:r>
      <w:r w:rsidR="00F958A8" w:rsidRPr="00AB34C7">
        <w:t xml:space="preserve">was submitted for the November 2022 PBAC meeting. The submission </w:t>
      </w:r>
      <w:r w:rsidRPr="00AB34C7">
        <w:t xml:space="preserve">was </w:t>
      </w:r>
      <w:r w:rsidR="00981EA5" w:rsidRPr="00AB34C7">
        <w:t xml:space="preserve">considered </w:t>
      </w:r>
      <w:r w:rsidR="002043E7" w:rsidRPr="00AB34C7">
        <w:t>and not recommended for listing</w:t>
      </w:r>
      <w:r w:rsidRPr="00AB34C7">
        <w:t xml:space="preserve"> at the </w:t>
      </w:r>
      <w:r w:rsidR="00E909C1" w:rsidRPr="00AB34C7">
        <w:t>December</w:t>
      </w:r>
      <w:r w:rsidRPr="00AB34C7">
        <w:t xml:space="preserve"> </w:t>
      </w:r>
      <w:r w:rsidR="00E909C1" w:rsidRPr="00AB34C7">
        <w:t>2022</w:t>
      </w:r>
      <w:r w:rsidR="00981EA5" w:rsidRPr="00AB34C7">
        <w:t xml:space="preserve"> intracycle</w:t>
      </w:r>
      <w:r w:rsidR="00E909C1" w:rsidRPr="00AB34C7">
        <w:t xml:space="preserve"> PBAC meeting. A summary of </w:t>
      </w:r>
      <w:r w:rsidR="0024302B" w:rsidRPr="00AB34C7">
        <w:t xml:space="preserve">the </w:t>
      </w:r>
      <w:r w:rsidR="00E909C1" w:rsidRPr="00AB34C7">
        <w:t>key ma</w:t>
      </w:r>
      <w:r w:rsidR="0024302B" w:rsidRPr="00AB34C7">
        <w:t>t</w:t>
      </w:r>
      <w:r w:rsidR="00E909C1" w:rsidRPr="00AB34C7">
        <w:t xml:space="preserve">ters of concern are presented in </w:t>
      </w:r>
      <w:r w:rsidR="00E909C1" w:rsidRPr="00AB34C7">
        <w:fldChar w:fldCharType="begin" w:fldLock="1"/>
      </w:r>
      <w:r w:rsidR="00E909C1" w:rsidRPr="00AB34C7">
        <w:instrText xml:space="preserve"> REF _Ref153202795 \h </w:instrText>
      </w:r>
      <w:r w:rsidR="00E909C1" w:rsidRPr="00AB34C7">
        <w:fldChar w:fldCharType="separate"/>
      </w:r>
      <w:r w:rsidR="008A42E6" w:rsidRPr="00AB34C7">
        <w:t xml:space="preserve">Table </w:t>
      </w:r>
      <w:r w:rsidR="008A42E6" w:rsidRPr="00B95C74">
        <w:t>2</w:t>
      </w:r>
      <w:r w:rsidR="00E909C1" w:rsidRPr="00AB34C7">
        <w:fldChar w:fldCharType="end"/>
      </w:r>
      <w:r w:rsidR="00F958A8" w:rsidRPr="00AB34C7">
        <w:t>. P</w:t>
      </w:r>
      <w:r w:rsidR="00043938" w:rsidRPr="00AB34C7">
        <w:t>aragraph numbers in the Table refer to the ibrutinib Public Summary Document from that meeting</w:t>
      </w:r>
      <w:r w:rsidR="00E909C1" w:rsidRPr="00AB34C7">
        <w:t>.</w:t>
      </w:r>
      <w:r w:rsidR="00E61F94" w:rsidRPr="00AB34C7">
        <w:t xml:space="preserve"> </w:t>
      </w:r>
      <w:r w:rsidR="008555BF" w:rsidRPr="00AB34C7">
        <w:t>The ESC considered the resubmission had addressed the key matters of concern raised at the December 2022 intracycle PBAC meeting.</w:t>
      </w:r>
    </w:p>
    <w:p w14:paraId="2A23A49F" w14:textId="4DE3ADF4" w:rsidR="005C25FF" w:rsidRPr="00AB34C7" w:rsidRDefault="00696EF9" w:rsidP="00EC37B6">
      <w:pPr>
        <w:pStyle w:val="COMtablefigcaption"/>
      </w:pPr>
      <w:bookmarkStart w:id="7" w:name="_Ref153202795"/>
      <w:r w:rsidRPr="00AB34C7">
        <w:t xml:space="preserve">Table </w:t>
      </w:r>
      <w:fldSimple w:instr=" SEQ Table \* ARABIC " w:fldLock="1">
        <w:r w:rsidR="008A42E6" w:rsidRPr="00B95C74">
          <w:t>2</w:t>
        </w:r>
      </w:fldSimple>
      <w:bookmarkEnd w:id="7"/>
      <w:r w:rsidRPr="00AB34C7">
        <w:t>:</w:t>
      </w:r>
      <w:r w:rsidR="005C25FF" w:rsidRPr="00AB34C7">
        <w:t xml:space="preserve">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Summary of key matters of concern"/>
      </w:tblPr>
      <w:tblGrid>
        <w:gridCol w:w="4389"/>
        <w:gridCol w:w="4628"/>
      </w:tblGrid>
      <w:tr w:rsidR="00B830A0" w:rsidRPr="00AB34C7" w14:paraId="4AEFD229" w14:textId="77777777" w:rsidTr="00043938">
        <w:trPr>
          <w:cantSplit/>
          <w:tblHeader/>
        </w:trPr>
        <w:tc>
          <w:tcPr>
            <w:tcW w:w="2434" w:type="pct"/>
            <w:vAlign w:val="center"/>
          </w:tcPr>
          <w:p w14:paraId="6A57DCF2" w14:textId="77777777" w:rsidR="00B830A0" w:rsidRPr="00B95C74" w:rsidRDefault="00B830A0" w:rsidP="008A3A37">
            <w:pPr>
              <w:pStyle w:val="COMTableheadingrow"/>
              <w:jc w:val="center"/>
              <w:rPr>
                <w:lang w:val="en-AU"/>
              </w:rPr>
            </w:pPr>
            <w:r w:rsidRPr="00B95C74">
              <w:rPr>
                <w:lang w:val="en-AU"/>
              </w:rPr>
              <w:t>Matter of concern</w:t>
            </w:r>
          </w:p>
        </w:tc>
        <w:tc>
          <w:tcPr>
            <w:tcW w:w="2566" w:type="pct"/>
            <w:vAlign w:val="center"/>
          </w:tcPr>
          <w:p w14:paraId="47C425ED" w14:textId="77777777" w:rsidR="00B830A0" w:rsidRPr="00B95C74" w:rsidRDefault="00B830A0" w:rsidP="008A3A37">
            <w:pPr>
              <w:pStyle w:val="COMTableheadingrow"/>
              <w:jc w:val="center"/>
              <w:rPr>
                <w:lang w:val="en-AU"/>
              </w:rPr>
            </w:pPr>
            <w:r w:rsidRPr="00B95C74">
              <w:rPr>
                <w:lang w:val="en-AU"/>
              </w:rPr>
              <w:t>How the resubmission addresses it</w:t>
            </w:r>
          </w:p>
        </w:tc>
      </w:tr>
      <w:tr w:rsidR="00B830A0" w:rsidRPr="00AB34C7" w14:paraId="52C9009C" w14:textId="77777777" w:rsidTr="008A3A37">
        <w:trPr>
          <w:cantSplit/>
        </w:trPr>
        <w:tc>
          <w:tcPr>
            <w:tcW w:w="5000" w:type="pct"/>
            <w:gridSpan w:val="2"/>
            <w:vAlign w:val="center"/>
          </w:tcPr>
          <w:p w14:paraId="6D5E394C" w14:textId="77777777" w:rsidR="00B830A0" w:rsidRPr="00B95C74" w:rsidRDefault="00B830A0" w:rsidP="008A3A37">
            <w:pPr>
              <w:pStyle w:val="COMTableheadingrow"/>
              <w:rPr>
                <w:lang w:val="en-AU"/>
              </w:rPr>
            </w:pPr>
            <w:r w:rsidRPr="00B95C74">
              <w:rPr>
                <w:lang w:val="en-AU"/>
              </w:rPr>
              <w:t>Proposed restriction</w:t>
            </w:r>
          </w:p>
        </w:tc>
      </w:tr>
      <w:tr w:rsidR="00B830A0" w:rsidRPr="00AB34C7" w14:paraId="3650384F" w14:textId="77777777" w:rsidTr="00043938">
        <w:trPr>
          <w:cantSplit/>
        </w:trPr>
        <w:tc>
          <w:tcPr>
            <w:tcW w:w="2434" w:type="pct"/>
          </w:tcPr>
          <w:p w14:paraId="04293F03" w14:textId="040971D1" w:rsidR="00B830A0" w:rsidRPr="00AB34C7" w:rsidRDefault="00B830A0" w:rsidP="008B7076">
            <w:pPr>
              <w:pStyle w:val="COMTabletext"/>
              <w:keepNext w:val="0"/>
              <w:rPr>
                <w:rFonts w:eastAsia="Times New Roman" w:cs="Arial"/>
                <w:bCs w:val="0"/>
                <w:snapToGrid w:val="0"/>
                <w:szCs w:val="20"/>
              </w:rPr>
            </w:pPr>
            <w:r w:rsidRPr="00AB34C7">
              <w:rPr>
                <w:rFonts w:eastAsia="Times New Roman" w:cs="Arial"/>
                <w:bCs w:val="0"/>
                <w:snapToGrid w:val="0"/>
                <w:szCs w:val="20"/>
              </w:rPr>
              <w:t xml:space="preserve">The PBAC noted that, while the existing PBS restriction criteria define the patient populations </w:t>
            </w:r>
            <w:r w:rsidR="00043938" w:rsidRPr="00AB34C7">
              <w:rPr>
                <w:rFonts w:eastAsia="Times New Roman" w:cs="Arial"/>
                <w:bCs w:val="0"/>
                <w:snapToGrid w:val="0"/>
                <w:szCs w:val="20"/>
              </w:rPr>
              <w:t>based on</w:t>
            </w:r>
            <w:r w:rsidRPr="00AB34C7">
              <w:rPr>
                <w:rFonts w:eastAsia="Times New Roman" w:cs="Arial"/>
                <w:bCs w:val="0"/>
                <w:snapToGrid w:val="0"/>
                <w:szCs w:val="20"/>
              </w:rPr>
              <w:t xml:space="preserve"> patient suitability for fludarabine-based chemoimmunotherapy, the advice from the clinical consultation was that these criteria are no longer relevant to clinical practice (</w:t>
            </w:r>
            <w:r w:rsidR="007306AF" w:rsidRPr="00AB34C7">
              <w:rPr>
                <w:rFonts w:eastAsia="Times New Roman" w:cs="Arial"/>
                <w:bCs w:val="0"/>
                <w:snapToGrid w:val="0"/>
                <w:szCs w:val="20"/>
              </w:rPr>
              <w:t>p</w:t>
            </w:r>
            <w:r w:rsidRPr="00AB34C7">
              <w:rPr>
                <w:rFonts w:eastAsia="Times New Roman" w:cs="Arial"/>
                <w:bCs w:val="0"/>
                <w:snapToGrid w:val="0"/>
                <w:szCs w:val="20"/>
              </w:rPr>
              <w:t>ara 7.1</w:t>
            </w:r>
            <w:r w:rsidR="00043938" w:rsidRPr="00AB34C7">
              <w:rPr>
                <w:rFonts w:eastAsia="Times New Roman" w:cs="Arial"/>
                <w:bCs w:val="0"/>
                <w:snapToGrid w:val="0"/>
                <w:szCs w:val="20"/>
              </w:rPr>
              <w:t>)</w:t>
            </w:r>
            <w:r w:rsidRPr="00AB34C7">
              <w:rPr>
                <w:rFonts w:eastAsia="Times New Roman" w:cs="Arial"/>
                <w:bCs w:val="0"/>
                <w:snapToGrid w:val="0"/>
                <w:szCs w:val="20"/>
              </w:rPr>
              <w:t>.</w:t>
            </w:r>
          </w:p>
          <w:p w14:paraId="3D62FD81" w14:textId="0621DD17" w:rsidR="00B830A0" w:rsidRPr="00AB34C7" w:rsidRDefault="00B830A0" w:rsidP="008B7076">
            <w:pPr>
              <w:pStyle w:val="COMTabletext"/>
              <w:keepNext w:val="0"/>
              <w:rPr>
                <w:rFonts w:eastAsia="Times New Roman" w:cs="Arial"/>
                <w:bCs w:val="0"/>
                <w:snapToGrid w:val="0"/>
                <w:szCs w:val="20"/>
              </w:rPr>
            </w:pPr>
          </w:p>
          <w:p w14:paraId="041A42CA" w14:textId="7290CCB4" w:rsidR="00B830A0" w:rsidRPr="00AB34C7" w:rsidRDefault="00992D84" w:rsidP="008B7076">
            <w:pPr>
              <w:pStyle w:val="COMTabletext"/>
              <w:keepNext w:val="0"/>
              <w:rPr>
                <w:rFonts w:eastAsia="Times New Roman" w:cs="Arial"/>
                <w:bCs w:val="0"/>
                <w:snapToGrid w:val="0"/>
                <w:szCs w:val="20"/>
              </w:rPr>
            </w:pPr>
            <w:r w:rsidRPr="00AB34C7">
              <w:rPr>
                <w:rFonts w:eastAsia="Times New Roman" w:cs="Arial"/>
                <w:bCs w:val="0"/>
                <w:snapToGrid w:val="0"/>
                <w:szCs w:val="20"/>
              </w:rPr>
              <w:t>The PBAC considered that it was no longer clinically relevant to include the CIRS score in restrictions for first-line CLL/SLL therapies, and that, rather than relying on the CIRS score and/or creatinine clearance &lt;70 mL/min, it would be more clinically appropriate for clinicians/patients to decide the most appropriate treatment regimen for a particular patient (para 7.3).</w:t>
            </w:r>
          </w:p>
        </w:tc>
        <w:tc>
          <w:tcPr>
            <w:tcW w:w="2566" w:type="pct"/>
          </w:tcPr>
          <w:p w14:paraId="7E8102AA" w14:textId="1F765C95" w:rsidR="00B830A0" w:rsidRPr="00AB34C7" w:rsidRDefault="00B830A0" w:rsidP="008A3A37">
            <w:pPr>
              <w:pStyle w:val="COMTabletext"/>
              <w:keepNext w:val="0"/>
              <w:rPr>
                <w:rFonts w:eastAsia="Times New Roman" w:cs="Arial"/>
                <w:bCs w:val="0"/>
                <w:snapToGrid w:val="0"/>
                <w:szCs w:val="20"/>
              </w:rPr>
            </w:pPr>
            <w:r w:rsidRPr="00AB34C7">
              <w:rPr>
                <w:rFonts w:eastAsia="Times New Roman" w:cs="Arial"/>
                <w:bCs w:val="0"/>
                <w:snapToGrid w:val="0"/>
                <w:szCs w:val="20"/>
              </w:rPr>
              <w:t>The proposed restriction was broadened to include all patients with previously untreated CLL/SLL</w:t>
            </w:r>
            <w:r w:rsidR="00407F2A" w:rsidRPr="00AB34C7">
              <w:rPr>
                <w:rFonts w:eastAsia="Times New Roman" w:cs="Arial"/>
                <w:bCs w:val="0"/>
                <w:snapToGrid w:val="0"/>
                <w:szCs w:val="20"/>
              </w:rPr>
              <w:t>.</w:t>
            </w:r>
            <w:r w:rsidRPr="00AB34C7">
              <w:rPr>
                <w:rFonts w:eastAsia="Times New Roman" w:cs="Arial"/>
                <w:bCs w:val="0"/>
                <w:snapToGrid w:val="0"/>
                <w:szCs w:val="20"/>
              </w:rPr>
              <w:t xml:space="preserve"> </w:t>
            </w:r>
          </w:p>
        </w:tc>
      </w:tr>
      <w:tr w:rsidR="00B830A0" w:rsidRPr="00AB34C7" w14:paraId="3FAAD48D" w14:textId="77777777" w:rsidTr="008A3A37">
        <w:trPr>
          <w:cantSplit/>
        </w:trPr>
        <w:tc>
          <w:tcPr>
            <w:tcW w:w="5000" w:type="pct"/>
            <w:gridSpan w:val="2"/>
          </w:tcPr>
          <w:p w14:paraId="3E8CEE9D" w14:textId="77777777" w:rsidR="00B830A0" w:rsidRPr="00AB34C7" w:rsidRDefault="00B830A0" w:rsidP="008A3A37">
            <w:pPr>
              <w:pStyle w:val="COMTabletext"/>
              <w:keepNext w:val="0"/>
              <w:rPr>
                <w:rFonts w:eastAsia="Times New Roman" w:cs="Arial"/>
                <w:b/>
                <w:bCs w:val="0"/>
                <w:snapToGrid w:val="0"/>
                <w:szCs w:val="20"/>
              </w:rPr>
            </w:pPr>
            <w:r w:rsidRPr="00AB34C7">
              <w:rPr>
                <w:b/>
                <w:bCs w:val="0"/>
              </w:rPr>
              <w:t>Main comparator</w:t>
            </w:r>
          </w:p>
        </w:tc>
      </w:tr>
      <w:tr w:rsidR="00B830A0" w:rsidRPr="00AB34C7" w14:paraId="6C2F4847" w14:textId="77777777" w:rsidTr="00043938">
        <w:trPr>
          <w:cantSplit/>
        </w:trPr>
        <w:tc>
          <w:tcPr>
            <w:tcW w:w="2434" w:type="pct"/>
          </w:tcPr>
          <w:p w14:paraId="17A9050F" w14:textId="4DC93406" w:rsidR="00B830A0" w:rsidRPr="00AB34C7" w:rsidRDefault="00B830A0" w:rsidP="008B7076">
            <w:pPr>
              <w:pStyle w:val="COMTabletext"/>
              <w:keepNext w:val="0"/>
              <w:rPr>
                <w:rFonts w:eastAsia="Times New Roman" w:cs="Arial"/>
                <w:bCs w:val="0"/>
                <w:snapToGrid w:val="0"/>
                <w:szCs w:val="20"/>
              </w:rPr>
            </w:pPr>
            <w:r w:rsidRPr="00AB34C7">
              <w:rPr>
                <w:rFonts w:eastAsia="Times New Roman" w:cs="Arial"/>
                <w:bCs w:val="0"/>
                <w:snapToGrid w:val="0"/>
                <w:szCs w:val="20"/>
              </w:rPr>
              <w:t>The PBAC considered the nominated comparator of fludarabine + cyclophosphamide + rituximab (FCR), although of historical relevance, is no longer the therapy most likely to be replaced in clinical practice given its limited use (</w:t>
            </w:r>
            <w:r w:rsidR="00325300" w:rsidRPr="00AB34C7">
              <w:rPr>
                <w:rFonts w:eastAsia="Times New Roman" w:cs="Arial"/>
                <w:bCs w:val="0"/>
                <w:snapToGrid w:val="0"/>
                <w:szCs w:val="20"/>
              </w:rPr>
              <w:t xml:space="preserve">para </w:t>
            </w:r>
            <w:r w:rsidRPr="00AB34C7">
              <w:rPr>
                <w:rFonts w:eastAsia="Times New Roman" w:cs="Arial"/>
                <w:bCs w:val="0"/>
                <w:snapToGrid w:val="0"/>
                <w:szCs w:val="20"/>
              </w:rPr>
              <w:t>7.1).</w:t>
            </w:r>
          </w:p>
          <w:p w14:paraId="4A33D023" w14:textId="2B069FDA" w:rsidR="00B830A0" w:rsidRPr="00AB34C7" w:rsidRDefault="00B830A0" w:rsidP="008B7076">
            <w:pPr>
              <w:pStyle w:val="COMTabletext"/>
              <w:keepNext w:val="0"/>
              <w:rPr>
                <w:rFonts w:eastAsia="Times New Roman" w:cs="Arial"/>
                <w:bCs w:val="0"/>
                <w:snapToGrid w:val="0"/>
                <w:szCs w:val="20"/>
              </w:rPr>
            </w:pPr>
          </w:p>
          <w:p w14:paraId="40C4B7B1" w14:textId="62F010BD" w:rsidR="00B830A0" w:rsidRPr="00AB34C7" w:rsidRDefault="00B830A0" w:rsidP="008B7076">
            <w:pPr>
              <w:pStyle w:val="COMTabletext"/>
              <w:keepNext w:val="0"/>
              <w:rPr>
                <w:rFonts w:eastAsia="Times New Roman" w:cs="Arial"/>
                <w:bCs w:val="0"/>
                <w:snapToGrid w:val="0"/>
                <w:szCs w:val="20"/>
              </w:rPr>
            </w:pPr>
            <w:r w:rsidRPr="00AB34C7">
              <w:rPr>
                <w:rFonts w:eastAsia="Times New Roman" w:cs="Arial"/>
                <w:bCs w:val="0"/>
                <w:snapToGrid w:val="0"/>
                <w:szCs w:val="20"/>
              </w:rPr>
              <w:t>The PBAC considered that, should venetoclax + obinutuzumab be listed for all patients regardless of suitability for fludarabine-based chemoimmunotherapy and regardless of CIRS score, there may be a degree of overlap with the likely patient population for ibrutinib + venetoclax</w:t>
            </w:r>
            <w:r w:rsidR="005C5649" w:rsidRPr="00AB34C7">
              <w:rPr>
                <w:rFonts w:eastAsia="Times New Roman" w:cs="Arial"/>
                <w:bCs w:val="0"/>
                <w:snapToGrid w:val="0"/>
                <w:szCs w:val="20"/>
              </w:rPr>
              <w:t xml:space="preserve">, and that a cost comparison would be informative </w:t>
            </w:r>
            <w:r w:rsidRPr="00AB34C7">
              <w:rPr>
                <w:rFonts w:eastAsia="Times New Roman" w:cs="Arial"/>
                <w:bCs w:val="0"/>
                <w:snapToGrid w:val="0"/>
                <w:szCs w:val="20"/>
              </w:rPr>
              <w:t>(</w:t>
            </w:r>
            <w:r w:rsidR="00043938" w:rsidRPr="00AB34C7">
              <w:rPr>
                <w:rFonts w:eastAsia="Times New Roman" w:cs="Arial"/>
                <w:bCs w:val="0"/>
                <w:snapToGrid w:val="0"/>
                <w:szCs w:val="20"/>
              </w:rPr>
              <w:t>p</w:t>
            </w:r>
            <w:r w:rsidRPr="00AB34C7">
              <w:rPr>
                <w:rFonts w:eastAsia="Times New Roman" w:cs="Arial"/>
                <w:bCs w:val="0"/>
                <w:snapToGrid w:val="0"/>
                <w:szCs w:val="20"/>
              </w:rPr>
              <w:t>ara 7.10).</w:t>
            </w:r>
          </w:p>
        </w:tc>
        <w:tc>
          <w:tcPr>
            <w:tcW w:w="2566" w:type="pct"/>
          </w:tcPr>
          <w:p w14:paraId="55C7C722" w14:textId="77777777" w:rsidR="00B830A0" w:rsidRPr="00AB34C7" w:rsidRDefault="00B830A0" w:rsidP="008A3A37">
            <w:pPr>
              <w:pStyle w:val="COMTabletext"/>
              <w:keepNext w:val="0"/>
              <w:rPr>
                <w:rFonts w:eastAsia="Times New Roman" w:cs="Arial"/>
                <w:bCs w:val="0"/>
                <w:snapToGrid w:val="0"/>
                <w:szCs w:val="20"/>
              </w:rPr>
            </w:pPr>
            <w:r w:rsidRPr="00AB34C7">
              <w:rPr>
                <w:rFonts w:eastAsia="Times New Roman" w:cs="Arial"/>
                <w:bCs w:val="0"/>
                <w:snapToGrid w:val="0"/>
                <w:szCs w:val="20"/>
              </w:rPr>
              <w:t>The resubmission nominated fixed duration treatment with venetoclax + obinutuzumab as the main comparator. Treat-to-progression zanubrutinib was nominated as a supplementary comparator.</w:t>
            </w:r>
          </w:p>
        </w:tc>
      </w:tr>
      <w:tr w:rsidR="00B830A0" w:rsidRPr="00AB34C7" w14:paraId="045CFD52" w14:textId="77777777" w:rsidTr="008A3A37">
        <w:trPr>
          <w:cantSplit/>
        </w:trPr>
        <w:tc>
          <w:tcPr>
            <w:tcW w:w="5000" w:type="pct"/>
            <w:gridSpan w:val="2"/>
          </w:tcPr>
          <w:p w14:paraId="6CF4BF54" w14:textId="77777777" w:rsidR="00B830A0" w:rsidRPr="00AB34C7" w:rsidRDefault="00B830A0" w:rsidP="008A3A37">
            <w:pPr>
              <w:pStyle w:val="COMTabletext"/>
              <w:keepNext w:val="0"/>
              <w:rPr>
                <w:rFonts w:eastAsia="Times New Roman" w:cs="Arial"/>
                <w:b/>
                <w:bCs w:val="0"/>
                <w:snapToGrid w:val="0"/>
                <w:szCs w:val="20"/>
              </w:rPr>
            </w:pPr>
            <w:r w:rsidRPr="00AB34C7">
              <w:rPr>
                <w:b/>
                <w:bCs w:val="0"/>
              </w:rPr>
              <w:t>Clinical evidence</w:t>
            </w:r>
          </w:p>
        </w:tc>
      </w:tr>
      <w:tr w:rsidR="00B830A0" w:rsidRPr="00AB34C7" w14:paraId="0E534FF8" w14:textId="77777777" w:rsidTr="00043938">
        <w:trPr>
          <w:cantSplit/>
          <w:trHeight w:val="1560"/>
        </w:trPr>
        <w:tc>
          <w:tcPr>
            <w:tcW w:w="2434" w:type="pct"/>
          </w:tcPr>
          <w:p w14:paraId="7E6ED361" w14:textId="77712EA7" w:rsidR="00B830A0" w:rsidRPr="00AB34C7" w:rsidRDefault="00B830A0" w:rsidP="008A3A37">
            <w:pPr>
              <w:pStyle w:val="COMTabletext"/>
              <w:keepNext w:val="0"/>
              <w:rPr>
                <w:rFonts w:eastAsia="Times New Roman" w:cs="Arial"/>
                <w:bCs w:val="0"/>
                <w:snapToGrid w:val="0"/>
                <w:szCs w:val="20"/>
              </w:rPr>
            </w:pPr>
            <w:r w:rsidRPr="00AB34C7">
              <w:rPr>
                <w:rFonts w:eastAsia="Times New Roman" w:cs="Arial"/>
                <w:bCs w:val="0"/>
                <w:snapToGrid w:val="0"/>
                <w:szCs w:val="20"/>
              </w:rPr>
              <w:lastRenderedPageBreak/>
              <w:t>The</w:t>
            </w:r>
            <w:r w:rsidR="008B7076" w:rsidRPr="00AB34C7">
              <w:rPr>
                <w:rFonts w:eastAsia="Times New Roman" w:cs="Arial"/>
                <w:bCs w:val="0"/>
                <w:snapToGrid w:val="0"/>
                <w:szCs w:val="20"/>
              </w:rPr>
              <w:t xml:space="preserve"> PBAC considered there was</w:t>
            </w:r>
            <w:r w:rsidRPr="00AB34C7">
              <w:rPr>
                <w:rFonts w:eastAsia="Times New Roman" w:cs="Arial"/>
                <w:bCs w:val="0"/>
                <w:snapToGrid w:val="0"/>
                <w:szCs w:val="20"/>
              </w:rPr>
              <w:t xml:space="preserve"> limited clinical evidence presented for ibrutinib + venetoclax. The PBAC noted further follow-up data from the CAPTIVATE study and/or information from the GLOW trial would potentially be informative (</w:t>
            </w:r>
            <w:r w:rsidR="00325300" w:rsidRPr="00AB34C7">
              <w:rPr>
                <w:rFonts w:eastAsia="Times New Roman" w:cs="Arial"/>
                <w:bCs w:val="0"/>
                <w:snapToGrid w:val="0"/>
                <w:szCs w:val="20"/>
              </w:rPr>
              <w:t xml:space="preserve">para </w:t>
            </w:r>
            <w:r w:rsidRPr="00AB34C7">
              <w:rPr>
                <w:rFonts w:eastAsia="Times New Roman" w:cs="Arial"/>
                <w:bCs w:val="0"/>
                <w:snapToGrid w:val="0"/>
                <w:szCs w:val="20"/>
              </w:rPr>
              <w:t>7.10).</w:t>
            </w:r>
          </w:p>
        </w:tc>
        <w:tc>
          <w:tcPr>
            <w:tcW w:w="2566" w:type="pct"/>
          </w:tcPr>
          <w:p w14:paraId="7CB030F6" w14:textId="77777777" w:rsidR="00B830A0" w:rsidRPr="00AB34C7" w:rsidRDefault="00B830A0" w:rsidP="008A3A37">
            <w:pPr>
              <w:pStyle w:val="COMTabletext"/>
              <w:keepNext w:val="0"/>
              <w:rPr>
                <w:rFonts w:eastAsia="Times New Roman" w:cs="Arial"/>
                <w:bCs w:val="0"/>
                <w:snapToGrid w:val="0"/>
                <w:szCs w:val="20"/>
              </w:rPr>
            </w:pPr>
            <w:r w:rsidRPr="00AB34C7">
              <w:rPr>
                <w:rFonts w:eastAsia="Times New Roman" w:cs="Arial"/>
                <w:bCs w:val="0"/>
                <w:snapToGrid w:val="0"/>
                <w:szCs w:val="20"/>
              </w:rPr>
              <w:t xml:space="preserve">The resubmission presented updated data from the CAPTIVATE study corresponding to a median follow-up of 55.7 months (previously a median follow-up of 38.7 months). The resubmission included results for the GLOW trial, which compared ibrutinib + venetoclax with chlorambucil + obinutuzumab in patients with previously untreated CLL/SLL who are older or have comorbidities. Results corresponding to a median follow-up of 52.1 months were presented. </w:t>
            </w:r>
          </w:p>
        </w:tc>
      </w:tr>
      <w:tr w:rsidR="00B830A0" w:rsidRPr="00AB34C7" w14:paraId="518E3FD5" w14:textId="77777777" w:rsidTr="00043938">
        <w:trPr>
          <w:cantSplit/>
        </w:trPr>
        <w:tc>
          <w:tcPr>
            <w:tcW w:w="2434" w:type="pct"/>
          </w:tcPr>
          <w:p w14:paraId="2D2FA7A6" w14:textId="39DBF8B4" w:rsidR="00B830A0" w:rsidRPr="00AB34C7" w:rsidRDefault="00784DDC" w:rsidP="008A3A37">
            <w:pPr>
              <w:pStyle w:val="COMTabletext"/>
              <w:keepNext w:val="0"/>
              <w:rPr>
                <w:rFonts w:eastAsia="Times New Roman" w:cs="Arial"/>
                <w:bCs w:val="0"/>
                <w:snapToGrid w:val="0"/>
                <w:szCs w:val="20"/>
              </w:rPr>
            </w:pPr>
            <w:r w:rsidRPr="00AB34C7">
              <w:rPr>
                <w:rFonts w:eastAsia="Times New Roman" w:cs="Arial"/>
                <w:bCs w:val="0"/>
                <w:snapToGrid w:val="0"/>
                <w:szCs w:val="20"/>
              </w:rPr>
              <w:t>T</w:t>
            </w:r>
            <w:r w:rsidR="00B830A0" w:rsidRPr="00AB34C7">
              <w:rPr>
                <w:rFonts w:eastAsia="Times New Roman" w:cs="Arial"/>
                <w:bCs w:val="0"/>
                <w:snapToGrid w:val="0"/>
                <w:szCs w:val="20"/>
              </w:rPr>
              <w:t xml:space="preserve">he PBAC considered the comparison </w:t>
            </w:r>
            <w:r w:rsidRPr="00AB34C7">
              <w:rPr>
                <w:rFonts w:eastAsia="Times New Roman" w:cs="Arial"/>
                <w:bCs w:val="0"/>
                <w:snapToGrid w:val="0"/>
                <w:szCs w:val="20"/>
              </w:rPr>
              <w:t xml:space="preserve">of ibrutinib + venetoclax versus FCR </w:t>
            </w:r>
            <w:r w:rsidR="00B830A0" w:rsidRPr="00AB34C7">
              <w:rPr>
                <w:rFonts w:eastAsia="Times New Roman" w:cs="Arial"/>
                <w:bCs w:val="0"/>
                <w:snapToGrid w:val="0"/>
                <w:szCs w:val="20"/>
              </w:rPr>
              <w:t>presented in the submission was not an informative basis for the listing of ibrutinib + venetoclax</w:t>
            </w:r>
            <w:r w:rsidR="0042095E" w:rsidRPr="00AB34C7">
              <w:rPr>
                <w:rFonts w:eastAsia="Times New Roman" w:cs="Arial"/>
                <w:bCs w:val="0"/>
                <w:snapToGrid w:val="0"/>
                <w:szCs w:val="20"/>
              </w:rPr>
              <w:t xml:space="preserve"> (para 7.1).</w:t>
            </w:r>
          </w:p>
        </w:tc>
        <w:tc>
          <w:tcPr>
            <w:tcW w:w="2566" w:type="pct"/>
          </w:tcPr>
          <w:p w14:paraId="183F5AE2" w14:textId="67FED72A" w:rsidR="00B830A0" w:rsidRPr="00AB34C7" w:rsidRDefault="00B830A0" w:rsidP="008A3A37">
            <w:pPr>
              <w:pStyle w:val="COMTabletext"/>
              <w:keepNext w:val="0"/>
              <w:rPr>
                <w:rFonts w:eastAsia="Times New Roman" w:cs="Arial"/>
                <w:bCs w:val="0"/>
                <w:snapToGrid w:val="0"/>
                <w:szCs w:val="20"/>
              </w:rPr>
            </w:pPr>
            <w:r w:rsidRPr="00AB34C7">
              <w:rPr>
                <w:rFonts w:eastAsia="Times New Roman" w:cs="Arial"/>
                <w:bCs w:val="0"/>
                <w:snapToGrid w:val="0"/>
                <w:szCs w:val="20"/>
              </w:rPr>
              <w:t>Venetoclax + obinutuzumab was nominated as the main comparator in the resubmission. The claim of non-inferior efficacy versus venetoclax + obinutuzumab was based on the results of a Bucher method indirect comparison and an unanchored MAIC of efficacy outcomes for ibrutinib + venetoclax (GLOW) versus venetoclax + obinutuzumab (CLL-14). The claim of non-inferior safety versus venetoclax + obinutuzumab was based on a</w:t>
            </w:r>
            <w:r w:rsidR="00980200" w:rsidRPr="00AB34C7">
              <w:rPr>
                <w:rFonts w:eastAsia="Times New Roman" w:cs="Arial"/>
                <w:bCs w:val="0"/>
                <w:snapToGrid w:val="0"/>
                <w:szCs w:val="20"/>
              </w:rPr>
              <w:t>n</w:t>
            </w:r>
            <w:r w:rsidRPr="00AB34C7">
              <w:rPr>
                <w:rFonts w:eastAsia="Times New Roman" w:cs="Arial"/>
                <w:bCs w:val="0"/>
                <w:snapToGrid w:val="0"/>
                <w:szCs w:val="20"/>
              </w:rPr>
              <w:t xml:space="preserve"> </w:t>
            </w:r>
            <w:r w:rsidR="00495325" w:rsidRPr="00AB34C7">
              <w:rPr>
                <w:rFonts w:eastAsia="Times New Roman" w:cs="Arial"/>
                <w:bCs w:val="0"/>
                <w:snapToGrid w:val="0"/>
                <w:szCs w:val="20"/>
              </w:rPr>
              <w:t>unanchored unadjusted</w:t>
            </w:r>
            <w:r w:rsidR="00992D84" w:rsidRPr="00AB34C7">
              <w:rPr>
                <w:rFonts w:eastAsia="Times New Roman" w:cs="Arial"/>
                <w:bCs w:val="0"/>
                <w:snapToGrid w:val="0"/>
                <w:szCs w:val="20"/>
              </w:rPr>
              <w:t xml:space="preserve"> (naïve)</w:t>
            </w:r>
            <w:r w:rsidR="00495325" w:rsidRPr="00AB34C7">
              <w:rPr>
                <w:rFonts w:eastAsia="Times New Roman" w:cs="Arial"/>
                <w:bCs w:val="0"/>
                <w:snapToGrid w:val="0"/>
                <w:szCs w:val="20"/>
              </w:rPr>
              <w:t xml:space="preserve"> indirect treatment </w:t>
            </w:r>
            <w:r w:rsidRPr="00AB34C7">
              <w:rPr>
                <w:rFonts w:eastAsia="Times New Roman" w:cs="Arial"/>
                <w:bCs w:val="0"/>
                <w:snapToGrid w:val="0"/>
                <w:szCs w:val="20"/>
              </w:rPr>
              <w:t>comparison of safety outcomes for ibrutinib + venetoclax (GLOW) and venetoclax + obinutuzumab (CLL-14).</w:t>
            </w:r>
          </w:p>
        </w:tc>
      </w:tr>
      <w:tr w:rsidR="00B830A0" w:rsidRPr="00AB34C7" w14:paraId="10D4835B" w14:textId="77777777" w:rsidTr="00043938">
        <w:trPr>
          <w:cantSplit/>
        </w:trPr>
        <w:tc>
          <w:tcPr>
            <w:tcW w:w="2434" w:type="pct"/>
          </w:tcPr>
          <w:p w14:paraId="59339CE7" w14:textId="46E0F39F" w:rsidR="00B830A0" w:rsidRPr="00AB34C7" w:rsidRDefault="00B830A0" w:rsidP="008A3A37">
            <w:pPr>
              <w:pStyle w:val="COMTabletext"/>
              <w:keepNext w:val="0"/>
              <w:rPr>
                <w:rFonts w:eastAsia="Times New Roman" w:cs="Arial"/>
                <w:bCs w:val="0"/>
                <w:snapToGrid w:val="0"/>
                <w:szCs w:val="20"/>
              </w:rPr>
            </w:pPr>
            <w:r w:rsidRPr="00AB34C7">
              <w:rPr>
                <w:rFonts w:eastAsia="Times New Roman" w:cs="Arial"/>
                <w:bCs w:val="0"/>
                <w:snapToGrid w:val="0"/>
                <w:szCs w:val="20"/>
              </w:rPr>
              <w:t>The PBAC considered the benefit of ibrutinib + venetoclax (fixed duration) versus internationally accepted current standard treatments such as BTK</w:t>
            </w:r>
            <w:r w:rsidR="00263E60" w:rsidRPr="00AB34C7">
              <w:rPr>
                <w:rFonts w:eastAsia="Times New Roman" w:cs="Arial"/>
                <w:bCs w:val="0"/>
                <w:snapToGrid w:val="0"/>
                <w:szCs w:val="20"/>
              </w:rPr>
              <w:t xml:space="preserve"> inhibitor</w:t>
            </w:r>
            <w:r w:rsidRPr="00AB34C7">
              <w:rPr>
                <w:rFonts w:eastAsia="Times New Roman" w:cs="Arial"/>
                <w:bCs w:val="0"/>
                <w:snapToGrid w:val="0"/>
                <w:szCs w:val="20"/>
              </w:rPr>
              <w:t xml:space="preserve"> monotherapy (treat to progression) is unclear (</w:t>
            </w:r>
            <w:r w:rsidR="0042095E" w:rsidRPr="00AB34C7">
              <w:rPr>
                <w:rFonts w:eastAsia="Times New Roman" w:cs="Arial"/>
                <w:bCs w:val="0"/>
                <w:snapToGrid w:val="0"/>
                <w:szCs w:val="20"/>
              </w:rPr>
              <w:t xml:space="preserve">para </w:t>
            </w:r>
            <w:r w:rsidRPr="00AB34C7">
              <w:rPr>
                <w:rFonts w:eastAsia="Times New Roman" w:cs="Arial"/>
                <w:bCs w:val="0"/>
                <w:snapToGrid w:val="0"/>
                <w:szCs w:val="20"/>
              </w:rPr>
              <w:t>7.5).</w:t>
            </w:r>
          </w:p>
        </w:tc>
        <w:tc>
          <w:tcPr>
            <w:tcW w:w="2566" w:type="pct"/>
          </w:tcPr>
          <w:p w14:paraId="2C17318C" w14:textId="431FF33D" w:rsidR="00B830A0" w:rsidRPr="00AB34C7" w:rsidRDefault="00B830A0" w:rsidP="008A3A37">
            <w:pPr>
              <w:pStyle w:val="COMTabletext"/>
              <w:keepNext w:val="0"/>
              <w:rPr>
                <w:rFonts w:eastAsia="Times New Roman" w:cs="Arial"/>
                <w:bCs w:val="0"/>
                <w:snapToGrid w:val="0"/>
                <w:szCs w:val="20"/>
              </w:rPr>
            </w:pPr>
            <w:r w:rsidRPr="00AB34C7">
              <w:rPr>
                <w:rFonts w:eastAsia="Times New Roman" w:cs="Arial"/>
                <w:bCs w:val="0"/>
                <w:snapToGrid w:val="0"/>
                <w:szCs w:val="20"/>
              </w:rPr>
              <w:t xml:space="preserve">Zanubrutinib (treat-to-progression) was nominated as a supplementary comparator. </w:t>
            </w:r>
          </w:p>
        </w:tc>
      </w:tr>
      <w:tr w:rsidR="00B830A0" w:rsidRPr="00AB34C7" w14:paraId="3B7659FA" w14:textId="77777777" w:rsidTr="00043938">
        <w:trPr>
          <w:cantSplit/>
        </w:trPr>
        <w:tc>
          <w:tcPr>
            <w:tcW w:w="2434" w:type="pct"/>
          </w:tcPr>
          <w:p w14:paraId="43BFF614" w14:textId="70EB20F3" w:rsidR="00B830A0" w:rsidRPr="00AB34C7" w:rsidRDefault="00B830A0" w:rsidP="008A3A37">
            <w:pPr>
              <w:pStyle w:val="COMTabletext"/>
              <w:keepNext w:val="0"/>
              <w:rPr>
                <w:rFonts w:eastAsia="Times New Roman" w:cs="Arial"/>
                <w:bCs w:val="0"/>
                <w:snapToGrid w:val="0"/>
                <w:szCs w:val="20"/>
              </w:rPr>
            </w:pPr>
            <w:r w:rsidRPr="00AB34C7">
              <w:rPr>
                <w:rFonts w:eastAsia="Times New Roman" w:cs="Arial"/>
                <w:bCs w:val="0"/>
                <w:snapToGrid w:val="0"/>
                <w:szCs w:val="20"/>
              </w:rPr>
              <w:t>The PBAC considered that the outcome of subsequent treatment with BTK inhibitors or venetoclax was unclear, noting that only nine patients in the CAPTIVATE study were retreated with single agent ibrutinib following disease progression (</w:t>
            </w:r>
            <w:r w:rsidR="00430047" w:rsidRPr="00AB34C7">
              <w:rPr>
                <w:rFonts w:eastAsia="Times New Roman" w:cs="Arial"/>
                <w:bCs w:val="0"/>
                <w:snapToGrid w:val="0"/>
                <w:szCs w:val="20"/>
              </w:rPr>
              <w:t xml:space="preserve">para </w:t>
            </w:r>
            <w:r w:rsidRPr="00AB34C7">
              <w:rPr>
                <w:rFonts w:eastAsia="Times New Roman" w:cs="Arial"/>
                <w:bCs w:val="0"/>
                <w:snapToGrid w:val="0"/>
                <w:szCs w:val="20"/>
              </w:rPr>
              <w:t>7.5).</w:t>
            </w:r>
          </w:p>
        </w:tc>
        <w:tc>
          <w:tcPr>
            <w:tcW w:w="2566" w:type="pct"/>
          </w:tcPr>
          <w:p w14:paraId="365023B3" w14:textId="77777777" w:rsidR="00B830A0" w:rsidRPr="00AB34C7" w:rsidRDefault="00B830A0" w:rsidP="008A3A37">
            <w:pPr>
              <w:pStyle w:val="COMTabletext"/>
              <w:keepNext w:val="0"/>
              <w:rPr>
                <w:rFonts w:eastAsia="Times New Roman" w:cs="Arial"/>
                <w:bCs w:val="0"/>
                <w:snapToGrid w:val="0"/>
                <w:szCs w:val="20"/>
              </w:rPr>
            </w:pPr>
            <w:r w:rsidRPr="00AB34C7">
              <w:rPr>
                <w:rFonts w:eastAsia="Times New Roman" w:cs="Arial"/>
                <w:bCs w:val="0"/>
                <w:snapToGrid w:val="0"/>
                <w:szCs w:val="20"/>
              </w:rPr>
              <w:t>The resubmission included additional data on outcomes for patients in the CAPTIVATE and GLOW trials who received retreatment with ibrutinib after experiencing disease progression.</w:t>
            </w:r>
          </w:p>
        </w:tc>
      </w:tr>
      <w:tr w:rsidR="00B830A0" w:rsidRPr="00AB34C7" w14:paraId="0223442D" w14:textId="77777777" w:rsidTr="00043938">
        <w:trPr>
          <w:cantSplit/>
        </w:trPr>
        <w:tc>
          <w:tcPr>
            <w:tcW w:w="2434" w:type="pct"/>
          </w:tcPr>
          <w:p w14:paraId="46669E64" w14:textId="075C0277" w:rsidR="00B830A0" w:rsidRPr="00AB34C7" w:rsidRDefault="00B830A0" w:rsidP="008A3A37">
            <w:pPr>
              <w:pStyle w:val="COMTabletext"/>
              <w:keepNext w:val="0"/>
              <w:rPr>
                <w:rFonts w:eastAsia="Times New Roman" w:cs="Arial"/>
                <w:bCs w:val="0"/>
                <w:snapToGrid w:val="0"/>
                <w:szCs w:val="20"/>
              </w:rPr>
            </w:pPr>
            <w:r w:rsidRPr="00AB34C7">
              <w:rPr>
                <w:rFonts w:eastAsia="Times New Roman" w:cs="Arial"/>
                <w:bCs w:val="0"/>
                <w:snapToGrid w:val="0"/>
                <w:szCs w:val="20"/>
              </w:rPr>
              <w:t>The PBAC noted that cardiac adverse events including atrial fibrillation and cardiac failure, and haemorrhagic events were reported with ibrutinib + venetoclax. The PBAC also noted that the TGA Delegate’s Overview stated, ‘there is an increasing strength in the signal for cardiovascular risk for ibrutinib, a known risk with this medicine’ (</w:t>
            </w:r>
            <w:r w:rsidR="00430047" w:rsidRPr="00AB34C7">
              <w:rPr>
                <w:rFonts w:eastAsia="Times New Roman" w:cs="Arial"/>
                <w:bCs w:val="0"/>
                <w:snapToGrid w:val="0"/>
                <w:szCs w:val="20"/>
              </w:rPr>
              <w:t xml:space="preserve">para </w:t>
            </w:r>
            <w:r w:rsidRPr="00AB34C7">
              <w:rPr>
                <w:rFonts w:eastAsia="Times New Roman" w:cs="Arial"/>
                <w:bCs w:val="0"/>
                <w:snapToGrid w:val="0"/>
                <w:szCs w:val="20"/>
              </w:rPr>
              <w:t>7.6).</w:t>
            </w:r>
          </w:p>
        </w:tc>
        <w:tc>
          <w:tcPr>
            <w:tcW w:w="2566" w:type="pct"/>
          </w:tcPr>
          <w:p w14:paraId="69D7429C" w14:textId="77777777" w:rsidR="00B830A0" w:rsidRPr="00AB34C7" w:rsidRDefault="00B830A0" w:rsidP="008A3A37">
            <w:pPr>
              <w:pStyle w:val="COMTabletext"/>
              <w:keepNext w:val="0"/>
              <w:rPr>
                <w:rFonts w:eastAsia="Times New Roman" w:cs="Arial"/>
                <w:bCs w:val="0"/>
                <w:snapToGrid w:val="0"/>
                <w:szCs w:val="20"/>
              </w:rPr>
            </w:pPr>
            <w:r w:rsidRPr="00AB34C7">
              <w:rPr>
                <w:rFonts w:eastAsia="Times New Roman" w:cs="Arial"/>
                <w:bCs w:val="0"/>
                <w:snapToGrid w:val="0"/>
                <w:szCs w:val="20"/>
              </w:rPr>
              <w:t>The resubmission presented the latest Periodic Benefit Risk Evaluation Report for ibrutinib as well as the results of an updated literature search for publications reporting on adverse events associated with ibrutinib.</w:t>
            </w:r>
          </w:p>
        </w:tc>
      </w:tr>
      <w:tr w:rsidR="00B830A0" w:rsidRPr="00AB34C7" w14:paraId="4576F1E1" w14:textId="77777777" w:rsidTr="008A3A37">
        <w:trPr>
          <w:cantSplit/>
        </w:trPr>
        <w:tc>
          <w:tcPr>
            <w:tcW w:w="5000" w:type="pct"/>
            <w:gridSpan w:val="2"/>
          </w:tcPr>
          <w:p w14:paraId="1DFB1C3C" w14:textId="77777777" w:rsidR="00B830A0" w:rsidRPr="00AB34C7" w:rsidRDefault="00B830A0" w:rsidP="001C30EF">
            <w:pPr>
              <w:pStyle w:val="COMTabletext"/>
              <w:keepLines/>
              <w:rPr>
                <w:rFonts w:eastAsia="Times New Roman" w:cs="Arial"/>
                <w:b/>
                <w:bCs w:val="0"/>
                <w:snapToGrid w:val="0"/>
                <w:szCs w:val="20"/>
              </w:rPr>
            </w:pPr>
            <w:r w:rsidRPr="00AB34C7">
              <w:rPr>
                <w:b/>
                <w:bCs w:val="0"/>
              </w:rPr>
              <w:t>Economic analysis</w:t>
            </w:r>
          </w:p>
        </w:tc>
      </w:tr>
      <w:tr w:rsidR="00B830A0" w:rsidRPr="00AB34C7" w14:paraId="007B623E" w14:textId="77777777" w:rsidTr="00043938">
        <w:trPr>
          <w:cantSplit/>
        </w:trPr>
        <w:tc>
          <w:tcPr>
            <w:tcW w:w="2434" w:type="pct"/>
          </w:tcPr>
          <w:p w14:paraId="7F2A2B89" w14:textId="69A50274" w:rsidR="00B830A0" w:rsidRPr="00AB34C7" w:rsidRDefault="00B830A0" w:rsidP="001C30EF">
            <w:pPr>
              <w:pStyle w:val="COMTabletext"/>
              <w:keepLines/>
              <w:rPr>
                <w:rFonts w:eastAsia="Times New Roman" w:cs="Arial"/>
                <w:bCs w:val="0"/>
                <w:snapToGrid w:val="0"/>
                <w:szCs w:val="20"/>
              </w:rPr>
            </w:pPr>
            <w:r w:rsidRPr="00AB34C7">
              <w:rPr>
                <w:rFonts w:eastAsia="Times New Roman" w:cs="Arial"/>
                <w:bCs w:val="0"/>
                <w:snapToGrid w:val="0"/>
                <w:szCs w:val="20"/>
              </w:rPr>
              <w:t>The PBAC considered that the cost-effectiveness of ibrutinib + venetoclax was unable to be reliably assessed due to the uncertain magnitude of benefit, which relied on immature data from the CAPTIVATE study, and an unanchored, unadjusted indirect comparison versus FCR (</w:t>
            </w:r>
            <w:r w:rsidR="00430047" w:rsidRPr="00AB34C7">
              <w:rPr>
                <w:rFonts w:eastAsia="Times New Roman" w:cs="Arial"/>
                <w:bCs w:val="0"/>
                <w:snapToGrid w:val="0"/>
                <w:szCs w:val="20"/>
              </w:rPr>
              <w:t xml:space="preserve">para </w:t>
            </w:r>
            <w:r w:rsidRPr="00AB34C7">
              <w:rPr>
                <w:rFonts w:eastAsia="Times New Roman" w:cs="Arial"/>
                <w:bCs w:val="0"/>
                <w:snapToGrid w:val="0"/>
                <w:szCs w:val="20"/>
              </w:rPr>
              <w:t>7.7).</w:t>
            </w:r>
          </w:p>
        </w:tc>
        <w:tc>
          <w:tcPr>
            <w:tcW w:w="2566" w:type="pct"/>
          </w:tcPr>
          <w:p w14:paraId="0FD52F11" w14:textId="7ED82E3E" w:rsidR="00B830A0" w:rsidRPr="00AB34C7" w:rsidRDefault="00B830A0" w:rsidP="001C30EF">
            <w:pPr>
              <w:pStyle w:val="COMTabletext"/>
              <w:keepLines/>
              <w:rPr>
                <w:rFonts w:eastAsia="Times New Roman" w:cs="Arial"/>
                <w:bCs w:val="0"/>
                <w:snapToGrid w:val="0"/>
                <w:szCs w:val="20"/>
              </w:rPr>
            </w:pPr>
            <w:r w:rsidRPr="00AB34C7">
              <w:rPr>
                <w:rFonts w:eastAsia="Times New Roman" w:cs="Arial"/>
                <w:bCs w:val="0"/>
                <w:snapToGrid w:val="0"/>
                <w:szCs w:val="20"/>
              </w:rPr>
              <w:t>The nominated main comparator in the resubmission was venetoclax + obinutuzumab. The clinical claim of noninferior efficacy underpinning the cost-minimisation was based on the results of a Bucher method indirect comparison and an unanchored MAIC of ibrutinib + venetoclax (GLOW) versus venetoclax + obinutuzumab (CLL-14). The clinical claim of non-inferior safety was based on a</w:t>
            </w:r>
            <w:r w:rsidR="00430047" w:rsidRPr="00AB34C7">
              <w:rPr>
                <w:rFonts w:eastAsia="Times New Roman" w:cs="Arial"/>
                <w:bCs w:val="0"/>
                <w:snapToGrid w:val="0"/>
                <w:szCs w:val="20"/>
              </w:rPr>
              <w:t>n</w:t>
            </w:r>
            <w:r w:rsidRPr="00AB34C7">
              <w:rPr>
                <w:rFonts w:eastAsia="Times New Roman" w:cs="Arial"/>
                <w:bCs w:val="0"/>
                <w:snapToGrid w:val="0"/>
                <w:szCs w:val="20"/>
              </w:rPr>
              <w:t xml:space="preserve"> </w:t>
            </w:r>
            <w:r w:rsidR="00495325" w:rsidRPr="00AB34C7">
              <w:rPr>
                <w:rFonts w:eastAsia="Times New Roman" w:cs="Arial"/>
                <w:bCs w:val="0"/>
                <w:snapToGrid w:val="0"/>
                <w:szCs w:val="20"/>
              </w:rPr>
              <w:t>unanchored unadjusted</w:t>
            </w:r>
            <w:r w:rsidR="00980200" w:rsidRPr="00AB34C7">
              <w:rPr>
                <w:rFonts w:eastAsia="Times New Roman" w:cs="Arial"/>
                <w:bCs w:val="0"/>
                <w:snapToGrid w:val="0"/>
                <w:szCs w:val="20"/>
              </w:rPr>
              <w:t xml:space="preserve"> (naïve)</w:t>
            </w:r>
            <w:r w:rsidR="00495325" w:rsidRPr="00AB34C7">
              <w:rPr>
                <w:rFonts w:eastAsia="Times New Roman" w:cs="Arial"/>
                <w:bCs w:val="0"/>
                <w:snapToGrid w:val="0"/>
                <w:szCs w:val="20"/>
              </w:rPr>
              <w:t xml:space="preserve"> indirect treatment</w:t>
            </w:r>
            <w:r w:rsidRPr="00AB34C7">
              <w:rPr>
                <w:rFonts w:eastAsia="Times New Roman" w:cs="Arial"/>
                <w:bCs w:val="0"/>
                <w:snapToGrid w:val="0"/>
                <w:szCs w:val="20"/>
              </w:rPr>
              <w:t xml:space="preserve"> comparison of ibrutinib + venetoclax (GLOW) and venetoclax + obinutuzumab (CLL-14).</w:t>
            </w:r>
          </w:p>
        </w:tc>
      </w:tr>
      <w:tr w:rsidR="00B830A0" w:rsidRPr="00AB34C7" w14:paraId="52CE868A" w14:textId="77777777" w:rsidTr="00043938">
        <w:trPr>
          <w:cantSplit/>
        </w:trPr>
        <w:tc>
          <w:tcPr>
            <w:tcW w:w="2434" w:type="pct"/>
          </w:tcPr>
          <w:p w14:paraId="18748771" w14:textId="7A5C155F" w:rsidR="00B830A0" w:rsidRPr="00AB34C7" w:rsidRDefault="00D377FC" w:rsidP="008A3A37">
            <w:pPr>
              <w:pStyle w:val="COMTabletext"/>
              <w:keepNext w:val="0"/>
              <w:rPr>
                <w:rFonts w:eastAsia="Times New Roman" w:cs="Arial"/>
                <w:bCs w:val="0"/>
                <w:snapToGrid w:val="0"/>
                <w:szCs w:val="20"/>
                <w:highlight w:val="yellow"/>
              </w:rPr>
            </w:pPr>
            <w:r w:rsidRPr="00AB34C7">
              <w:rPr>
                <w:rFonts w:eastAsia="Times New Roman" w:cs="Arial"/>
                <w:bCs w:val="0"/>
                <w:snapToGrid w:val="0"/>
                <w:szCs w:val="20"/>
              </w:rPr>
              <w:t>T</w:t>
            </w:r>
            <w:r w:rsidR="00B830A0" w:rsidRPr="00AB34C7">
              <w:rPr>
                <w:rFonts w:eastAsia="Times New Roman" w:cs="Arial"/>
                <w:bCs w:val="0"/>
                <w:snapToGrid w:val="0"/>
                <w:szCs w:val="20"/>
              </w:rPr>
              <w:t xml:space="preserve">he PBAC considered a cost comparison of </w:t>
            </w:r>
            <w:r w:rsidRPr="00AB34C7">
              <w:rPr>
                <w:rFonts w:eastAsia="Times New Roman" w:cs="Arial"/>
                <w:bCs w:val="0"/>
                <w:snapToGrid w:val="0"/>
                <w:szCs w:val="20"/>
              </w:rPr>
              <w:t xml:space="preserve">ibrutinib + venetoclax and venetoclax + obinutuzumab </w:t>
            </w:r>
            <w:r w:rsidR="00B830A0" w:rsidRPr="00AB34C7">
              <w:rPr>
                <w:rFonts w:eastAsia="Times New Roman" w:cs="Arial"/>
                <w:bCs w:val="0"/>
                <w:snapToGrid w:val="0"/>
                <w:szCs w:val="20"/>
              </w:rPr>
              <w:t>would be informative in any resubmission (</w:t>
            </w:r>
            <w:r w:rsidR="00430047" w:rsidRPr="00AB34C7">
              <w:rPr>
                <w:rFonts w:eastAsia="Times New Roman" w:cs="Arial"/>
                <w:bCs w:val="0"/>
                <w:snapToGrid w:val="0"/>
                <w:szCs w:val="20"/>
              </w:rPr>
              <w:t xml:space="preserve">para </w:t>
            </w:r>
            <w:r w:rsidR="00B830A0" w:rsidRPr="00AB34C7">
              <w:rPr>
                <w:rFonts w:eastAsia="Times New Roman" w:cs="Arial"/>
                <w:bCs w:val="0"/>
                <w:snapToGrid w:val="0"/>
                <w:szCs w:val="20"/>
              </w:rPr>
              <w:t>7.10).</w:t>
            </w:r>
          </w:p>
        </w:tc>
        <w:tc>
          <w:tcPr>
            <w:tcW w:w="2566" w:type="pct"/>
          </w:tcPr>
          <w:p w14:paraId="497CC641" w14:textId="42FCC997" w:rsidR="00B830A0" w:rsidRPr="00AB34C7" w:rsidRDefault="00B830A0" w:rsidP="008A3A37">
            <w:pPr>
              <w:pStyle w:val="COMTabletext"/>
              <w:keepNext w:val="0"/>
              <w:rPr>
                <w:rFonts w:eastAsia="Times New Roman" w:cs="Arial"/>
                <w:bCs w:val="0"/>
                <w:snapToGrid w:val="0"/>
                <w:szCs w:val="20"/>
              </w:rPr>
            </w:pPr>
            <w:r w:rsidRPr="00AB34C7">
              <w:rPr>
                <w:rFonts w:eastAsia="Times New Roman" w:cs="Arial"/>
                <w:bCs w:val="0"/>
                <w:snapToGrid w:val="0"/>
                <w:szCs w:val="20"/>
              </w:rPr>
              <w:t xml:space="preserve">The resubmission presented a cost-minimisation </w:t>
            </w:r>
            <w:r w:rsidR="005C5649" w:rsidRPr="00AB34C7">
              <w:rPr>
                <w:rFonts w:eastAsia="Times New Roman" w:cs="Arial"/>
                <w:bCs w:val="0"/>
                <w:snapToGrid w:val="0"/>
                <w:szCs w:val="20"/>
              </w:rPr>
              <w:t xml:space="preserve">approach </w:t>
            </w:r>
            <w:r w:rsidRPr="00AB34C7">
              <w:rPr>
                <w:rFonts w:eastAsia="Times New Roman" w:cs="Arial"/>
                <w:bCs w:val="0"/>
                <w:snapToGrid w:val="0"/>
                <w:szCs w:val="20"/>
              </w:rPr>
              <w:t>comparing treatment with fixed duration ibrutinib + venetoclax to fixed duration venetoclax + obinutuzumab. The cost-minimisation was based on the fixed duration treatment regimens included in the clinical trials (ibrutinib + venetoclax administered over a total of 15 cycles; and venetoclax + obinutuzumab administered over a total of 12 cycles).</w:t>
            </w:r>
          </w:p>
        </w:tc>
      </w:tr>
      <w:tr w:rsidR="00B830A0" w:rsidRPr="00AB34C7" w14:paraId="6709886E" w14:textId="77777777" w:rsidTr="008A3A37">
        <w:trPr>
          <w:cantSplit/>
        </w:trPr>
        <w:tc>
          <w:tcPr>
            <w:tcW w:w="5000" w:type="pct"/>
            <w:gridSpan w:val="2"/>
          </w:tcPr>
          <w:p w14:paraId="580C32E6" w14:textId="77777777" w:rsidR="00B830A0" w:rsidRPr="00AB34C7" w:rsidRDefault="00B830A0" w:rsidP="008A3A37">
            <w:pPr>
              <w:pStyle w:val="COMTabletext"/>
              <w:keepNext w:val="0"/>
              <w:rPr>
                <w:rFonts w:eastAsia="Times New Roman" w:cs="Arial"/>
                <w:bCs w:val="0"/>
                <w:snapToGrid w:val="0"/>
                <w:szCs w:val="20"/>
              </w:rPr>
            </w:pPr>
            <w:r w:rsidRPr="00AB34C7">
              <w:rPr>
                <w:b/>
                <w:bCs w:val="0"/>
              </w:rPr>
              <w:t>Financial issues</w:t>
            </w:r>
          </w:p>
        </w:tc>
      </w:tr>
      <w:tr w:rsidR="00B830A0" w:rsidRPr="00AB34C7" w14:paraId="6FE10FED" w14:textId="77777777" w:rsidTr="00043938">
        <w:trPr>
          <w:cantSplit/>
        </w:trPr>
        <w:tc>
          <w:tcPr>
            <w:tcW w:w="2434" w:type="pct"/>
          </w:tcPr>
          <w:p w14:paraId="73C3CCDC" w14:textId="13B033AD" w:rsidR="00B830A0" w:rsidRPr="00AB34C7" w:rsidRDefault="00B830A0" w:rsidP="008A3A37">
            <w:pPr>
              <w:pStyle w:val="COMTabletext"/>
              <w:keepNext w:val="0"/>
              <w:rPr>
                <w:rFonts w:eastAsia="Times New Roman" w:cs="Arial"/>
                <w:bCs w:val="0"/>
                <w:snapToGrid w:val="0"/>
                <w:szCs w:val="20"/>
              </w:rPr>
            </w:pPr>
            <w:r w:rsidRPr="00AB34C7">
              <w:rPr>
                <w:rFonts w:eastAsia="Times New Roman" w:cs="Arial"/>
                <w:bCs w:val="0"/>
                <w:snapToGrid w:val="0"/>
                <w:szCs w:val="20"/>
              </w:rPr>
              <w:lastRenderedPageBreak/>
              <w:t>The PBAC noted the proposed restrictions and comparator in any resubmission will inform the approach for the economic model and financial forecasts (</w:t>
            </w:r>
            <w:r w:rsidR="00430047" w:rsidRPr="00AB34C7">
              <w:rPr>
                <w:rFonts w:eastAsia="Times New Roman" w:cs="Arial"/>
                <w:bCs w:val="0"/>
                <w:snapToGrid w:val="0"/>
                <w:szCs w:val="20"/>
              </w:rPr>
              <w:t xml:space="preserve">para </w:t>
            </w:r>
            <w:r w:rsidRPr="00AB34C7">
              <w:rPr>
                <w:rFonts w:eastAsia="Times New Roman" w:cs="Arial"/>
                <w:bCs w:val="0"/>
                <w:snapToGrid w:val="0"/>
                <w:szCs w:val="20"/>
              </w:rPr>
              <w:t>7.10).</w:t>
            </w:r>
          </w:p>
        </w:tc>
        <w:tc>
          <w:tcPr>
            <w:tcW w:w="2566" w:type="pct"/>
          </w:tcPr>
          <w:p w14:paraId="3996F927" w14:textId="61C455A8" w:rsidR="00B830A0" w:rsidRPr="00AB34C7" w:rsidRDefault="00B830A0" w:rsidP="008A3A37">
            <w:pPr>
              <w:pStyle w:val="COMTabletext"/>
              <w:keepNext w:val="0"/>
              <w:rPr>
                <w:rFonts w:eastAsia="Times New Roman" w:cs="Arial"/>
                <w:bCs w:val="0"/>
                <w:snapToGrid w:val="0"/>
                <w:szCs w:val="20"/>
              </w:rPr>
            </w:pPr>
            <w:r w:rsidRPr="00AB34C7">
              <w:rPr>
                <w:rFonts w:eastAsia="Times New Roman" w:cs="Arial"/>
                <w:bCs w:val="0"/>
                <w:snapToGrid w:val="0"/>
                <w:szCs w:val="20"/>
              </w:rPr>
              <w:t xml:space="preserve">The price of ibrutinib was derived based on the results of a cost-minimisation </w:t>
            </w:r>
            <w:r w:rsidR="005C5649" w:rsidRPr="00AB34C7">
              <w:rPr>
                <w:rFonts w:eastAsia="Times New Roman" w:cs="Arial"/>
                <w:bCs w:val="0"/>
                <w:snapToGrid w:val="0"/>
                <w:szCs w:val="20"/>
              </w:rPr>
              <w:t xml:space="preserve">approach </w:t>
            </w:r>
            <w:r w:rsidRPr="00AB34C7">
              <w:rPr>
                <w:rFonts w:eastAsia="Times New Roman" w:cs="Arial"/>
                <w:bCs w:val="0"/>
                <w:snapToGrid w:val="0"/>
                <w:szCs w:val="20"/>
              </w:rPr>
              <w:t>of ibrutinib + venetoclax versus venetoclax + obinutuzumab. The financial impacts were estimated using a market share approach, assuming that ibrutinib + venetoclax will substitute for venetoclax + obinutuzumab.</w:t>
            </w:r>
          </w:p>
        </w:tc>
      </w:tr>
    </w:tbl>
    <w:p w14:paraId="3E0A78AB" w14:textId="306DB9AF" w:rsidR="00731BCB" w:rsidRPr="00AB34C7" w:rsidRDefault="005C25FF" w:rsidP="004E18E9">
      <w:pPr>
        <w:pStyle w:val="COMTablefooter"/>
      </w:pPr>
      <w:r w:rsidRPr="00AB34C7">
        <w:t xml:space="preserve">Source: </w:t>
      </w:r>
      <w:r w:rsidR="00F67D8B" w:rsidRPr="00AB34C7">
        <w:t>Ibrutinib Public Summary Document</w:t>
      </w:r>
      <w:r w:rsidR="00F958A8" w:rsidRPr="00AB34C7">
        <w:t xml:space="preserve"> (PSD)</w:t>
      </w:r>
      <w:r w:rsidR="00F67D8B" w:rsidRPr="00AB34C7">
        <w:t>, December 2022 intracycle PBAC meeting</w:t>
      </w:r>
      <w:r w:rsidR="00F958A8" w:rsidRPr="00AB34C7">
        <w:t xml:space="preserve"> – paragraph (para) numbers refer to the relevant paragraph from the Ibrutinib PSD.</w:t>
      </w:r>
    </w:p>
    <w:p w14:paraId="79F04654" w14:textId="30509E34" w:rsidR="00043938" w:rsidRPr="00AB34C7" w:rsidRDefault="00731BCB" w:rsidP="00043938">
      <w:pPr>
        <w:pStyle w:val="COMTablefooter"/>
      </w:pPr>
      <w:r w:rsidRPr="00AB34C7">
        <w:t xml:space="preserve">Abbreviations: </w:t>
      </w:r>
      <w:r w:rsidR="00263E60" w:rsidRPr="00AB34C7">
        <w:t xml:space="preserve">BTK inhibitor; </w:t>
      </w:r>
      <w:r w:rsidRPr="00AB34C7">
        <w:t xml:space="preserve">CIRS, Cumulative Illness Rating Scale; CLL, chronic lymphocytic leukaemia; </w:t>
      </w:r>
      <w:r w:rsidR="00BF436A" w:rsidRPr="00AB34C7">
        <w:t xml:space="preserve">FCR, fludarabine + cyclophosphamide + rituximab; </w:t>
      </w:r>
      <w:r w:rsidRPr="00AB34C7">
        <w:t>MAIC, matching adjusted indirect comparison; SLL, small lymphocytic lymphoma</w:t>
      </w:r>
      <w:r w:rsidR="00BF436A" w:rsidRPr="00AB34C7">
        <w:t>; TGA, Therapeutic Goods Administration.</w:t>
      </w:r>
      <w:r w:rsidR="00043938" w:rsidRPr="00AB34C7">
        <w:t xml:space="preserve"> </w:t>
      </w:r>
    </w:p>
    <w:p w14:paraId="72D63712" w14:textId="06B7BFFD" w:rsidR="00990031" w:rsidRPr="00AB34C7" w:rsidRDefault="00990031" w:rsidP="003746D7">
      <w:pPr>
        <w:ind w:firstLine="720"/>
      </w:pPr>
      <w:r w:rsidRPr="00AB34C7">
        <w:rPr>
          <w:rFonts w:asciiTheme="minorHAnsi" w:hAnsiTheme="minorHAnsi"/>
          <w:i/>
        </w:rPr>
        <w:t>For more detail on PBAC’s view, see section 7 PBAC outcome.</w:t>
      </w:r>
    </w:p>
    <w:p w14:paraId="76E4EF3C" w14:textId="13040F70" w:rsidR="00B60939" w:rsidRPr="00AB34C7" w:rsidRDefault="00B50DB8" w:rsidP="004E18E9">
      <w:pPr>
        <w:pStyle w:val="COMH1numbered"/>
      </w:pPr>
      <w:bookmarkStart w:id="8" w:name="_Toc107902078"/>
      <w:bookmarkStart w:id="9" w:name="_Toc156912596"/>
      <w:bookmarkEnd w:id="8"/>
      <w:r w:rsidRPr="00AB34C7">
        <w:t>Requested listing</w:t>
      </w:r>
      <w:bookmarkEnd w:id="9"/>
    </w:p>
    <w:p w14:paraId="3F36DBEF" w14:textId="7BFB6532" w:rsidR="009556D8" w:rsidRPr="000646D2" w:rsidRDefault="00871645" w:rsidP="001C30EF">
      <w:pPr>
        <w:pStyle w:val="COMexecsumnumberedpara"/>
        <w:ind w:hanging="720"/>
      </w:pPr>
      <w:r w:rsidRPr="00AB34C7">
        <w:t xml:space="preserve">An abbreviated version of the requested listing is presented below. </w:t>
      </w:r>
      <w:r w:rsidR="00AE6526" w:rsidRPr="00AB34C7">
        <w:t>Suggestions and additions proposed by the Secretariat are added in italics and suggested deletions are crossed out with strikethrough</w:t>
      </w:r>
      <w:r w:rsidR="009556D8" w:rsidRPr="00AB34C7">
        <w:t>.</w:t>
      </w: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2406"/>
        <w:gridCol w:w="1133"/>
        <w:gridCol w:w="1136"/>
        <w:gridCol w:w="1136"/>
        <w:gridCol w:w="1988"/>
        <w:gridCol w:w="1228"/>
      </w:tblGrid>
      <w:tr w:rsidR="002A3D73" w:rsidRPr="00AB34C7" w14:paraId="2E88AC84" w14:textId="77777777" w:rsidTr="00612665">
        <w:trPr>
          <w:cantSplit/>
          <w:trHeight w:val="20"/>
        </w:trPr>
        <w:tc>
          <w:tcPr>
            <w:tcW w:w="1333" w:type="pct"/>
            <w:vAlign w:val="center"/>
          </w:tcPr>
          <w:p w14:paraId="196D07B6" w14:textId="77777777" w:rsidR="002A3D73" w:rsidRPr="00AB34C7" w:rsidRDefault="002A3D73" w:rsidP="00286797">
            <w:pPr>
              <w:keepNext/>
              <w:keepLines/>
              <w:rPr>
                <w:rFonts w:ascii="Arial Narrow" w:hAnsi="Arial Narrow"/>
                <w:b/>
                <w:bCs/>
                <w:sz w:val="20"/>
                <w:szCs w:val="20"/>
              </w:rPr>
            </w:pPr>
            <w:r w:rsidRPr="00AB34C7">
              <w:rPr>
                <w:rFonts w:ascii="Arial Narrow" w:hAnsi="Arial Narrow"/>
                <w:b/>
                <w:sz w:val="20"/>
                <w:szCs w:val="20"/>
              </w:rPr>
              <w:t>Name, Restriction, Manner of administration and form</w:t>
            </w:r>
          </w:p>
        </w:tc>
        <w:tc>
          <w:tcPr>
            <w:tcW w:w="628" w:type="pct"/>
            <w:vAlign w:val="center"/>
          </w:tcPr>
          <w:p w14:paraId="06CD9C93" w14:textId="77777777" w:rsidR="002A3D73" w:rsidRPr="00AB34C7" w:rsidRDefault="002A3D73" w:rsidP="00286797">
            <w:pPr>
              <w:keepNext/>
              <w:keepLines/>
              <w:jc w:val="center"/>
              <w:rPr>
                <w:rFonts w:ascii="Arial Narrow" w:hAnsi="Arial Narrow"/>
                <w:b/>
                <w:sz w:val="20"/>
                <w:szCs w:val="20"/>
              </w:rPr>
            </w:pPr>
            <w:r w:rsidRPr="00AB34C7">
              <w:rPr>
                <w:rFonts w:ascii="Arial Narrow" w:hAnsi="Arial Narrow"/>
                <w:b/>
                <w:sz w:val="20"/>
                <w:szCs w:val="20"/>
              </w:rPr>
              <w:t>Max. qty packs</w:t>
            </w:r>
          </w:p>
        </w:tc>
        <w:tc>
          <w:tcPr>
            <w:tcW w:w="629" w:type="pct"/>
            <w:vAlign w:val="center"/>
          </w:tcPr>
          <w:p w14:paraId="18FC6382" w14:textId="77777777" w:rsidR="002A3D73" w:rsidRPr="00AB34C7" w:rsidRDefault="002A3D73" w:rsidP="00286797">
            <w:pPr>
              <w:keepNext/>
              <w:keepLines/>
              <w:jc w:val="center"/>
              <w:rPr>
                <w:rFonts w:ascii="Arial Narrow" w:hAnsi="Arial Narrow"/>
                <w:b/>
                <w:sz w:val="20"/>
                <w:szCs w:val="20"/>
              </w:rPr>
            </w:pPr>
            <w:r w:rsidRPr="00AB34C7">
              <w:rPr>
                <w:rFonts w:ascii="Arial Narrow" w:hAnsi="Arial Narrow"/>
                <w:b/>
                <w:sz w:val="20"/>
                <w:szCs w:val="20"/>
              </w:rPr>
              <w:t>Max. qty units</w:t>
            </w:r>
          </w:p>
        </w:tc>
        <w:tc>
          <w:tcPr>
            <w:tcW w:w="629" w:type="pct"/>
            <w:vAlign w:val="center"/>
          </w:tcPr>
          <w:p w14:paraId="25823D3B" w14:textId="77777777" w:rsidR="002A3D73" w:rsidRPr="00AB34C7" w:rsidRDefault="002A3D73" w:rsidP="00286797">
            <w:pPr>
              <w:keepNext/>
              <w:keepLines/>
              <w:jc w:val="center"/>
              <w:rPr>
                <w:rFonts w:ascii="Arial Narrow" w:hAnsi="Arial Narrow"/>
                <w:b/>
                <w:sz w:val="20"/>
                <w:szCs w:val="20"/>
              </w:rPr>
            </w:pPr>
            <w:r w:rsidRPr="00AB34C7">
              <w:rPr>
                <w:rFonts w:ascii="Arial Narrow" w:hAnsi="Arial Narrow"/>
                <w:b/>
                <w:sz w:val="20"/>
                <w:szCs w:val="20"/>
              </w:rPr>
              <w:t>№.of</w:t>
            </w:r>
          </w:p>
          <w:p w14:paraId="1073D375" w14:textId="77777777" w:rsidR="002A3D73" w:rsidRPr="00AB34C7" w:rsidRDefault="002A3D73" w:rsidP="00286797">
            <w:pPr>
              <w:keepNext/>
              <w:keepLines/>
              <w:jc w:val="center"/>
              <w:rPr>
                <w:rFonts w:ascii="Arial Narrow" w:hAnsi="Arial Narrow"/>
                <w:b/>
                <w:sz w:val="20"/>
                <w:szCs w:val="20"/>
              </w:rPr>
            </w:pPr>
            <w:r w:rsidRPr="00AB34C7">
              <w:rPr>
                <w:rFonts w:ascii="Arial Narrow" w:hAnsi="Arial Narrow"/>
                <w:b/>
                <w:sz w:val="20"/>
                <w:szCs w:val="20"/>
              </w:rPr>
              <w:t>Rpts</w:t>
            </w:r>
          </w:p>
        </w:tc>
        <w:tc>
          <w:tcPr>
            <w:tcW w:w="1101" w:type="pct"/>
          </w:tcPr>
          <w:p w14:paraId="4683ECDF" w14:textId="77777777" w:rsidR="002A3D73" w:rsidRPr="00AB34C7" w:rsidRDefault="002A3D73" w:rsidP="00612665">
            <w:pPr>
              <w:pStyle w:val="COMTabletext"/>
              <w:jc w:val="center"/>
            </w:pPr>
            <w:r w:rsidRPr="00AB34C7">
              <w:rPr>
                <w:b/>
                <w:bCs w:val="0"/>
                <w:snapToGrid w:val="0"/>
              </w:rPr>
              <w:t>Dispensed Price for Max. Qty</w:t>
            </w:r>
          </w:p>
        </w:tc>
        <w:tc>
          <w:tcPr>
            <w:tcW w:w="680" w:type="pct"/>
            <w:vAlign w:val="center"/>
          </w:tcPr>
          <w:p w14:paraId="4E22F7C9" w14:textId="77777777" w:rsidR="002A3D73" w:rsidRPr="00AB34C7" w:rsidRDefault="002A3D73" w:rsidP="00286797">
            <w:pPr>
              <w:keepNext/>
              <w:keepLines/>
              <w:jc w:val="center"/>
              <w:rPr>
                <w:rFonts w:ascii="Arial Narrow" w:hAnsi="Arial Narrow"/>
                <w:b/>
                <w:sz w:val="20"/>
                <w:szCs w:val="20"/>
              </w:rPr>
            </w:pPr>
            <w:r w:rsidRPr="00AB34C7">
              <w:rPr>
                <w:rFonts w:ascii="Arial Narrow" w:hAnsi="Arial Narrow"/>
                <w:b/>
                <w:sz w:val="20"/>
                <w:szCs w:val="20"/>
              </w:rPr>
              <w:t>Available brands</w:t>
            </w:r>
          </w:p>
        </w:tc>
      </w:tr>
      <w:tr w:rsidR="002A3D73" w:rsidRPr="00AB34C7" w14:paraId="1222A754" w14:textId="77777777" w:rsidTr="00612665">
        <w:trPr>
          <w:cantSplit/>
          <w:trHeight w:val="20"/>
        </w:trPr>
        <w:tc>
          <w:tcPr>
            <w:tcW w:w="5000" w:type="pct"/>
            <w:gridSpan w:val="6"/>
            <w:vAlign w:val="center"/>
          </w:tcPr>
          <w:p w14:paraId="4C4F1D44" w14:textId="5BE33FA2" w:rsidR="002A3D73" w:rsidRPr="00AB34C7" w:rsidRDefault="002A3D73" w:rsidP="00286797">
            <w:pPr>
              <w:keepNext/>
              <w:keepLines/>
              <w:jc w:val="left"/>
              <w:rPr>
                <w:rFonts w:ascii="Arial Narrow" w:hAnsi="Arial Narrow"/>
                <w:b/>
                <w:sz w:val="20"/>
                <w:szCs w:val="20"/>
              </w:rPr>
            </w:pPr>
            <w:r w:rsidRPr="00AB34C7">
              <w:rPr>
                <w:rFonts w:ascii="Arial Narrow" w:hAnsi="Arial Narrow"/>
                <w:b/>
                <w:sz w:val="20"/>
                <w:szCs w:val="20"/>
              </w:rPr>
              <w:t xml:space="preserve">Initial treatment </w:t>
            </w:r>
            <w:r w:rsidR="0042472D" w:rsidRPr="00AB34C7">
              <w:rPr>
                <w:rFonts w:ascii="Arial Narrow" w:hAnsi="Arial Narrow"/>
                <w:b/>
                <w:sz w:val="20"/>
                <w:szCs w:val="20"/>
              </w:rPr>
              <w:t xml:space="preserve">in first-line therapy </w:t>
            </w:r>
            <w:r w:rsidRPr="00AB34C7">
              <w:rPr>
                <w:rFonts w:ascii="Arial Narrow" w:hAnsi="Arial Narrow"/>
                <w:b/>
                <w:sz w:val="20"/>
                <w:szCs w:val="20"/>
              </w:rPr>
              <w:t>(3-cycle lead-in)</w:t>
            </w:r>
          </w:p>
        </w:tc>
      </w:tr>
      <w:tr w:rsidR="002A3D73" w:rsidRPr="00AB34C7" w14:paraId="1EF3A541" w14:textId="77777777" w:rsidTr="00612665">
        <w:trPr>
          <w:cantSplit/>
          <w:trHeight w:val="20"/>
        </w:trPr>
        <w:tc>
          <w:tcPr>
            <w:tcW w:w="1333" w:type="pct"/>
          </w:tcPr>
          <w:p w14:paraId="5679EB06" w14:textId="77777777" w:rsidR="002A3D73" w:rsidRPr="00AB34C7" w:rsidRDefault="002A3D73" w:rsidP="00286797">
            <w:pPr>
              <w:pStyle w:val="COMTabletext"/>
              <w:keepNext w:val="0"/>
              <w:rPr>
                <w:szCs w:val="20"/>
              </w:rPr>
            </w:pPr>
            <w:r w:rsidRPr="00AB34C7">
              <w:t xml:space="preserve">ibrutinib 140 mg capsule, 90 </w:t>
            </w:r>
          </w:p>
        </w:tc>
        <w:tc>
          <w:tcPr>
            <w:tcW w:w="628" w:type="pct"/>
            <w:vAlign w:val="center"/>
          </w:tcPr>
          <w:p w14:paraId="1E3A3726" w14:textId="77777777" w:rsidR="002A3D73" w:rsidRPr="00AB34C7" w:rsidRDefault="002A3D73" w:rsidP="00286797">
            <w:pPr>
              <w:jc w:val="center"/>
              <w:rPr>
                <w:rFonts w:ascii="Arial Narrow" w:hAnsi="Arial Narrow"/>
                <w:sz w:val="20"/>
                <w:szCs w:val="20"/>
              </w:rPr>
            </w:pPr>
            <w:r w:rsidRPr="00AB34C7">
              <w:rPr>
                <w:rFonts w:ascii="Arial Narrow" w:hAnsi="Arial Narrow"/>
                <w:sz w:val="20"/>
              </w:rPr>
              <w:t>1</w:t>
            </w:r>
          </w:p>
        </w:tc>
        <w:tc>
          <w:tcPr>
            <w:tcW w:w="629" w:type="pct"/>
            <w:vAlign w:val="center"/>
          </w:tcPr>
          <w:p w14:paraId="3A626AD9" w14:textId="77777777" w:rsidR="002A3D73" w:rsidRPr="00AB34C7" w:rsidRDefault="002A3D73" w:rsidP="00286797">
            <w:pPr>
              <w:jc w:val="center"/>
              <w:rPr>
                <w:rFonts w:ascii="Arial Narrow" w:hAnsi="Arial Narrow"/>
                <w:sz w:val="20"/>
                <w:szCs w:val="20"/>
              </w:rPr>
            </w:pPr>
            <w:r w:rsidRPr="00AB34C7">
              <w:rPr>
                <w:rFonts w:ascii="Arial Narrow" w:hAnsi="Arial Narrow"/>
                <w:sz w:val="20"/>
              </w:rPr>
              <w:t>90</w:t>
            </w:r>
          </w:p>
        </w:tc>
        <w:tc>
          <w:tcPr>
            <w:tcW w:w="629" w:type="pct"/>
            <w:vAlign w:val="center"/>
          </w:tcPr>
          <w:p w14:paraId="6CA9C997" w14:textId="77777777" w:rsidR="002A3D73" w:rsidRPr="00AB34C7" w:rsidRDefault="002A3D73" w:rsidP="00286797">
            <w:pPr>
              <w:jc w:val="center"/>
              <w:rPr>
                <w:rFonts w:ascii="Arial Narrow" w:hAnsi="Arial Narrow"/>
                <w:sz w:val="20"/>
                <w:szCs w:val="20"/>
              </w:rPr>
            </w:pPr>
            <w:r w:rsidRPr="00AB34C7">
              <w:rPr>
                <w:rFonts w:ascii="Arial Narrow" w:hAnsi="Arial Narrow"/>
                <w:sz w:val="20"/>
              </w:rPr>
              <w:t>2</w:t>
            </w:r>
          </w:p>
        </w:tc>
        <w:tc>
          <w:tcPr>
            <w:tcW w:w="1101" w:type="pct"/>
          </w:tcPr>
          <w:p w14:paraId="48A79FFD" w14:textId="77777777" w:rsidR="002A3D73" w:rsidRPr="00AB34C7" w:rsidRDefault="002A3D73" w:rsidP="00286797">
            <w:pPr>
              <w:pStyle w:val="COMTabletext"/>
              <w:keepLines/>
              <w:jc w:val="center"/>
            </w:pPr>
            <w:r w:rsidRPr="00AB34C7">
              <w:t>$7,953.68 (published)</w:t>
            </w:r>
          </w:p>
          <w:p w14:paraId="61B189BF" w14:textId="0D185A1E" w:rsidR="002A3D73" w:rsidRPr="00AB34C7" w:rsidRDefault="002A3D73" w:rsidP="00612665">
            <w:pPr>
              <w:pStyle w:val="COMTabletext"/>
              <w:jc w:val="center"/>
            </w:pPr>
            <w:r w:rsidRPr="00AB34C7">
              <w:t>$</w:t>
            </w:r>
            <w:r w:rsidR="003666AE" w:rsidRPr="000E0FB5">
              <w:rPr>
                <w:rFonts w:hint="eastAsia"/>
                <w:color w:val="000000"/>
                <w:w w:val="33"/>
                <w:shd w:val="solid" w:color="000000" w:fill="000000"/>
                <w:fitText w:val="150" w:id="-962325248"/>
                <w14:textFill>
                  <w14:solidFill>
                    <w14:srgbClr w14:val="000000">
                      <w14:alpha w14:val="100000"/>
                    </w14:srgbClr>
                  </w14:solidFill>
                </w14:textFill>
              </w:rPr>
              <w:t xml:space="preserve">　</w:t>
            </w:r>
            <w:r w:rsidR="003666AE" w:rsidRPr="000E0FB5">
              <w:rPr>
                <w:color w:val="000000"/>
                <w:w w:val="33"/>
                <w:shd w:val="solid" w:color="000000" w:fill="000000"/>
                <w:fitText w:val="150" w:id="-962325248"/>
                <w14:textFill>
                  <w14:solidFill>
                    <w14:srgbClr w14:val="000000">
                      <w14:alpha w14:val="100000"/>
                    </w14:srgbClr>
                  </w14:solidFill>
                </w14:textFill>
              </w:rPr>
              <w:t>|</w:t>
            </w:r>
            <w:r w:rsidR="003666AE" w:rsidRPr="000E0FB5">
              <w:rPr>
                <w:rFonts w:hint="eastAsia"/>
                <w:color w:val="000000"/>
                <w:spacing w:val="4"/>
                <w:w w:val="33"/>
                <w:shd w:val="solid" w:color="000000" w:fill="000000"/>
                <w:fitText w:val="150" w:id="-962325248"/>
                <w14:textFill>
                  <w14:solidFill>
                    <w14:srgbClr w14:val="000000">
                      <w14:alpha w14:val="100000"/>
                    </w14:srgbClr>
                  </w14:solidFill>
                </w14:textFill>
              </w:rPr>
              <w:t xml:space="preserve">　</w:t>
            </w:r>
            <w:r w:rsidRPr="00AB34C7">
              <w:t xml:space="preserve"> (effective) </w:t>
            </w:r>
            <w:r w:rsidRPr="00AB34C7">
              <w:rPr>
                <w:vertAlign w:val="superscript"/>
              </w:rPr>
              <w:t>a</w:t>
            </w:r>
          </w:p>
        </w:tc>
        <w:tc>
          <w:tcPr>
            <w:tcW w:w="680" w:type="pct"/>
            <w:vAlign w:val="center"/>
          </w:tcPr>
          <w:p w14:paraId="72FE403F" w14:textId="77777777" w:rsidR="002A3D73" w:rsidRPr="00AB34C7" w:rsidRDefault="002A3D73" w:rsidP="00286797">
            <w:pPr>
              <w:jc w:val="center"/>
              <w:rPr>
                <w:rFonts w:ascii="Arial Narrow" w:hAnsi="Arial Narrow"/>
                <w:sz w:val="20"/>
                <w:szCs w:val="20"/>
              </w:rPr>
            </w:pPr>
            <w:r w:rsidRPr="00AB34C7">
              <w:rPr>
                <w:rFonts w:ascii="Arial Narrow" w:hAnsi="Arial Narrow"/>
                <w:sz w:val="20"/>
                <w:szCs w:val="20"/>
              </w:rPr>
              <w:t>Imbruvica</w:t>
            </w:r>
          </w:p>
        </w:tc>
      </w:tr>
      <w:tr w:rsidR="002A3D73" w:rsidRPr="00AB34C7" w14:paraId="1E7164C2" w14:textId="77777777" w:rsidTr="00612665">
        <w:trPr>
          <w:cantSplit/>
          <w:trHeight w:val="20"/>
        </w:trPr>
        <w:tc>
          <w:tcPr>
            <w:tcW w:w="1333" w:type="pct"/>
          </w:tcPr>
          <w:p w14:paraId="0417658A" w14:textId="77777777" w:rsidR="002A3D73" w:rsidRPr="00AB34C7" w:rsidRDefault="002A3D73" w:rsidP="00286797">
            <w:pPr>
              <w:pStyle w:val="COMTabletext"/>
              <w:keepNext w:val="0"/>
              <w:rPr>
                <w:szCs w:val="20"/>
              </w:rPr>
            </w:pPr>
            <w:r w:rsidRPr="00AB34C7">
              <w:t xml:space="preserve">ibrutinib 280 mg tablet, 30 </w:t>
            </w:r>
          </w:p>
        </w:tc>
        <w:tc>
          <w:tcPr>
            <w:tcW w:w="628" w:type="pct"/>
            <w:vAlign w:val="center"/>
          </w:tcPr>
          <w:p w14:paraId="109F1815" w14:textId="77777777" w:rsidR="002A3D73" w:rsidRPr="00AB34C7" w:rsidRDefault="002A3D73" w:rsidP="00286797">
            <w:pPr>
              <w:jc w:val="center"/>
              <w:rPr>
                <w:rFonts w:ascii="Arial Narrow" w:hAnsi="Arial Narrow"/>
                <w:sz w:val="20"/>
                <w:szCs w:val="20"/>
              </w:rPr>
            </w:pPr>
            <w:r w:rsidRPr="00AB34C7">
              <w:rPr>
                <w:rFonts w:ascii="Arial Narrow" w:hAnsi="Arial Narrow"/>
                <w:sz w:val="20"/>
              </w:rPr>
              <w:t>1</w:t>
            </w:r>
          </w:p>
        </w:tc>
        <w:tc>
          <w:tcPr>
            <w:tcW w:w="629" w:type="pct"/>
            <w:vAlign w:val="center"/>
          </w:tcPr>
          <w:p w14:paraId="426B92E7" w14:textId="77777777" w:rsidR="002A3D73" w:rsidRPr="00AB34C7" w:rsidRDefault="002A3D73" w:rsidP="00286797">
            <w:pPr>
              <w:jc w:val="center"/>
              <w:rPr>
                <w:rFonts w:ascii="Arial Narrow" w:hAnsi="Arial Narrow"/>
                <w:sz w:val="20"/>
                <w:szCs w:val="20"/>
              </w:rPr>
            </w:pPr>
            <w:r w:rsidRPr="00AB34C7">
              <w:rPr>
                <w:rFonts w:ascii="Arial Narrow" w:hAnsi="Arial Narrow"/>
                <w:sz w:val="20"/>
              </w:rPr>
              <w:t>30</w:t>
            </w:r>
          </w:p>
        </w:tc>
        <w:tc>
          <w:tcPr>
            <w:tcW w:w="629" w:type="pct"/>
            <w:vAlign w:val="center"/>
          </w:tcPr>
          <w:p w14:paraId="33EF8761" w14:textId="77777777" w:rsidR="002A3D73" w:rsidRPr="00AB34C7" w:rsidRDefault="002A3D73" w:rsidP="00286797">
            <w:pPr>
              <w:jc w:val="center"/>
              <w:rPr>
                <w:rFonts w:ascii="Arial Narrow" w:hAnsi="Arial Narrow"/>
                <w:sz w:val="20"/>
                <w:szCs w:val="20"/>
              </w:rPr>
            </w:pPr>
            <w:r w:rsidRPr="00AB34C7">
              <w:rPr>
                <w:rFonts w:ascii="Arial Narrow" w:hAnsi="Arial Narrow"/>
                <w:sz w:val="20"/>
              </w:rPr>
              <w:t>2</w:t>
            </w:r>
          </w:p>
        </w:tc>
        <w:tc>
          <w:tcPr>
            <w:tcW w:w="1101" w:type="pct"/>
          </w:tcPr>
          <w:p w14:paraId="07295774" w14:textId="77777777" w:rsidR="002A3D73" w:rsidRPr="00AB34C7" w:rsidRDefault="002A3D73" w:rsidP="00286797">
            <w:pPr>
              <w:pStyle w:val="COMTabletext"/>
              <w:keepLines/>
              <w:jc w:val="center"/>
            </w:pPr>
            <w:r w:rsidRPr="00AB34C7">
              <w:t>$5,356.49 (published)</w:t>
            </w:r>
          </w:p>
          <w:p w14:paraId="580CADFE" w14:textId="372620AD" w:rsidR="002A3D73" w:rsidRPr="00AB34C7" w:rsidRDefault="002A3D73" w:rsidP="00612665">
            <w:pPr>
              <w:pStyle w:val="COMTabletext"/>
              <w:jc w:val="center"/>
            </w:pPr>
            <w:r w:rsidRPr="00AB34C7">
              <w:t>$</w:t>
            </w:r>
            <w:r w:rsidR="003666AE" w:rsidRPr="000E0FB5">
              <w:rPr>
                <w:rFonts w:hint="eastAsia"/>
                <w:color w:val="000000"/>
                <w:w w:val="33"/>
                <w:shd w:val="solid" w:color="000000" w:fill="000000"/>
                <w:fitText w:val="150" w:id="-962325247"/>
                <w14:textFill>
                  <w14:solidFill>
                    <w14:srgbClr w14:val="000000">
                      <w14:alpha w14:val="100000"/>
                    </w14:srgbClr>
                  </w14:solidFill>
                </w14:textFill>
              </w:rPr>
              <w:t xml:space="preserve">　</w:t>
            </w:r>
            <w:r w:rsidR="003666AE" w:rsidRPr="000E0FB5">
              <w:rPr>
                <w:color w:val="000000"/>
                <w:w w:val="33"/>
                <w:shd w:val="solid" w:color="000000" w:fill="000000"/>
                <w:fitText w:val="150" w:id="-962325247"/>
                <w14:textFill>
                  <w14:solidFill>
                    <w14:srgbClr w14:val="000000">
                      <w14:alpha w14:val="100000"/>
                    </w14:srgbClr>
                  </w14:solidFill>
                </w14:textFill>
              </w:rPr>
              <w:t>|</w:t>
            </w:r>
            <w:r w:rsidR="003666AE" w:rsidRPr="000E0FB5">
              <w:rPr>
                <w:rFonts w:hint="eastAsia"/>
                <w:color w:val="000000"/>
                <w:spacing w:val="4"/>
                <w:w w:val="33"/>
                <w:shd w:val="solid" w:color="000000" w:fill="000000"/>
                <w:fitText w:val="150" w:id="-962325247"/>
                <w14:textFill>
                  <w14:solidFill>
                    <w14:srgbClr w14:val="000000">
                      <w14:alpha w14:val="100000"/>
                    </w14:srgbClr>
                  </w14:solidFill>
                </w14:textFill>
              </w:rPr>
              <w:t xml:space="preserve">　</w:t>
            </w:r>
            <w:r w:rsidRPr="00AB34C7">
              <w:t xml:space="preserve"> (effective) </w:t>
            </w:r>
            <w:r w:rsidRPr="00AB34C7">
              <w:rPr>
                <w:vertAlign w:val="superscript"/>
              </w:rPr>
              <w:t>a</w:t>
            </w:r>
          </w:p>
        </w:tc>
        <w:tc>
          <w:tcPr>
            <w:tcW w:w="680" w:type="pct"/>
            <w:vAlign w:val="center"/>
          </w:tcPr>
          <w:p w14:paraId="797BD398" w14:textId="77777777" w:rsidR="002A3D73" w:rsidRPr="00AB34C7" w:rsidRDefault="002A3D73" w:rsidP="00286797">
            <w:pPr>
              <w:jc w:val="center"/>
              <w:rPr>
                <w:rFonts w:ascii="Arial Narrow" w:hAnsi="Arial Narrow"/>
                <w:sz w:val="20"/>
                <w:szCs w:val="20"/>
              </w:rPr>
            </w:pPr>
            <w:r w:rsidRPr="00AB34C7">
              <w:rPr>
                <w:rFonts w:ascii="Arial Narrow" w:hAnsi="Arial Narrow"/>
                <w:sz w:val="20"/>
                <w:szCs w:val="20"/>
              </w:rPr>
              <w:t>Imbruvica</w:t>
            </w:r>
          </w:p>
        </w:tc>
      </w:tr>
      <w:tr w:rsidR="002A3D73" w:rsidRPr="00AB34C7" w14:paraId="0E7AD3FB" w14:textId="77777777" w:rsidTr="00612665">
        <w:trPr>
          <w:cantSplit/>
          <w:trHeight w:val="20"/>
        </w:trPr>
        <w:tc>
          <w:tcPr>
            <w:tcW w:w="1333" w:type="pct"/>
          </w:tcPr>
          <w:p w14:paraId="7F3327BC" w14:textId="77777777" w:rsidR="002A3D73" w:rsidRPr="00AB34C7" w:rsidRDefault="002A3D73" w:rsidP="00286797">
            <w:pPr>
              <w:pStyle w:val="COMTabletext"/>
              <w:keepNext w:val="0"/>
              <w:rPr>
                <w:szCs w:val="20"/>
              </w:rPr>
            </w:pPr>
            <w:r w:rsidRPr="00AB34C7">
              <w:t xml:space="preserve">ibrutinib 420 mg tablet, 30 </w:t>
            </w:r>
          </w:p>
        </w:tc>
        <w:tc>
          <w:tcPr>
            <w:tcW w:w="628" w:type="pct"/>
            <w:vAlign w:val="center"/>
          </w:tcPr>
          <w:p w14:paraId="68885F84" w14:textId="77777777" w:rsidR="002A3D73" w:rsidRPr="00AB34C7" w:rsidRDefault="002A3D73" w:rsidP="00286797">
            <w:pPr>
              <w:jc w:val="center"/>
              <w:rPr>
                <w:rFonts w:ascii="Arial Narrow" w:hAnsi="Arial Narrow"/>
                <w:sz w:val="20"/>
                <w:szCs w:val="20"/>
              </w:rPr>
            </w:pPr>
            <w:r w:rsidRPr="00AB34C7">
              <w:rPr>
                <w:rFonts w:ascii="Arial Narrow" w:hAnsi="Arial Narrow"/>
                <w:sz w:val="20"/>
              </w:rPr>
              <w:t>1</w:t>
            </w:r>
          </w:p>
        </w:tc>
        <w:tc>
          <w:tcPr>
            <w:tcW w:w="629" w:type="pct"/>
            <w:vAlign w:val="center"/>
          </w:tcPr>
          <w:p w14:paraId="52C52D7C" w14:textId="77777777" w:rsidR="002A3D73" w:rsidRPr="00AB34C7" w:rsidRDefault="002A3D73" w:rsidP="00286797">
            <w:pPr>
              <w:jc w:val="center"/>
              <w:rPr>
                <w:rFonts w:ascii="Arial Narrow" w:hAnsi="Arial Narrow"/>
                <w:sz w:val="20"/>
                <w:szCs w:val="20"/>
              </w:rPr>
            </w:pPr>
            <w:r w:rsidRPr="00AB34C7">
              <w:rPr>
                <w:rFonts w:ascii="Arial Narrow" w:hAnsi="Arial Narrow"/>
                <w:sz w:val="20"/>
              </w:rPr>
              <w:t>30</w:t>
            </w:r>
          </w:p>
        </w:tc>
        <w:tc>
          <w:tcPr>
            <w:tcW w:w="629" w:type="pct"/>
            <w:vAlign w:val="center"/>
          </w:tcPr>
          <w:p w14:paraId="716EC26A" w14:textId="77777777" w:rsidR="002A3D73" w:rsidRPr="00AB34C7" w:rsidRDefault="002A3D73" w:rsidP="00286797">
            <w:pPr>
              <w:jc w:val="center"/>
              <w:rPr>
                <w:rFonts w:ascii="Arial Narrow" w:hAnsi="Arial Narrow"/>
                <w:sz w:val="20"/>
                <w:szCs w:val="20"/>
              </w:rPr>
            </w:pPr>
            <w:r w:rsidRPr="00AB34C7">
              <w:rPr>
                <w:rFonts w:ascii="Arial Narrow" w:hAnsi="Arial Narrow"/>
                <w:sz w:val="20"/>
              </w:rPr>
              <w:t>2</w:t>
            </w:r>
          </w:p>
        </w:tc>
        <w:tc>
          <w:tcPr>
            <w:tcW w:w="1101" w:type="pct"/>
          </w:tcPr>
          <w:p w14:paraId="41254A94" w14:textId="77777777" w:rsidR="002A3D73" w:rsidRPr="00AB34C7" w:rsidRDefault="002A3D73" w:rsidP="00286797">
            <w:pPr>
              <w:pStyle w:val="COMTabletext"/>
              <w:keepLines/>
              <w:jc w:val="center"/>
            </w:pPr>
            <w:r w:rsidRPr="00AB34C7">
              <w:t>$7,953.68 (published)</w:t>
            </w:r>
          </w:p>
          <w:p w14:paraId="4EAAE329" w14:textId="62387172" w:rsidR="002A3D73" w:rsidRPr="00AB34C7" w:rsidRDefault="002A3D73" w:rsidP="00612665">
            <w:pPr>
              <w:pStyle w:val="COMTabletext"/>
              <w:jc w:val="center"/>
            </w:pPr>
            <w:r w:rsidRPr="00AB34C7">
              <w:t>$</w:t>
            </w:r>
            <w:r w:rsidR="003666AE" w:rsidRPr="000E0FB5">
              <w:rPr>
                <w:rFonts w:hint="eastAsia"/>
                <w:color w:val="000000"/>
                <w:w w:val="33"/>
                <w:shd w:val="solid" w:color="000000" w:fill="000000"/>
                <w:fitText w:val="150" w:id="-962325246"/>
                <w14:textFill>
                  <w14:solidFill>
                    <w14:srgbClr w14:val="000000">
                      <w14:alpha w14:val="100000"/>
                    </w14:srgbClr>
                  </w14:solidFill>
                </w14:textFill>
              </w:rPr>
              <w:t xml:space="preserve">　</w:t>
            </w:r>
            <w:r w:rsidR="003666AE" w:rsidRPr="000E0FB5">
              <w:rPr>
                <w:color w:val="000000"/>
                <w:w w:val="33"/>
                <w:shd w:val="solid" w:color="000000" w:fill="000000"/>
                <w:fitText w:val="150" w:id="-962325246"/>
                <w14:textFill>
                  <w14:solidFill>
                    <w14:srgbClr w14:val="000000">
                      <w14:alpha w14:val="100000"/>
                    </w14:srgbClr>
                  </w14:solidFill>
                </w14:textFill>
              </w:rPr>
              <w:t>|</w:t>
            </w:r>
            <w:r w:rsidR="003666AE" w:rsidRPr="000E0FB5">
              <w:rPr>
                <w:rFonts w:hint="eastAsia"/>
                <w:color w:val="000000"/>
                <w:spacing w:val="4"/>
                <w:w w:val="33"/>
                <w:shd w:val="solid" w:color="000000" w:fill="000000"/>
                <w:fitText w:val="150" w:id="-962325246"/>
                <w14:textFill>
                  <w14:solidFill>
                    <w14:srgbClr w14:val="000000">
                      <w14:alpha w14:val="100000"/>
                    </w14:srgbClr>
                  </w14:solidFill>
                </w14:textFill>
              </w:rPr>
              <w:t xml:space="preserve">　</w:t>
            </w:r>
            <w:r w:rsidRPr="00AB34C7">
              <w:t xml:space="preserve"> (effective) </w:t>
            </w:r>
            <w:r w:rsidRPr="00AB34C7">
              <w:rPr>
                <w:vertAlign w:val="superscript"/>
              </w:rPr>
              <w:t>a</w:t>
            </w:r>
          </w:p>
        </w:tc>
        <w:tc>
          <w:tcPr>
            <w:tcW w:w="680" w:type="pct"/>
            <w:vAlign w:val="center"/>
          </w:tcPr>
          <w:p w14:paraId="0CD97C1B" w14:textId="77777777" w:rsidR="002A3D73" w:rsidRPr="00AB34C7" w:rsidRDefault="002A3D73" w:rsidP="00286797">
            <w:pPr>
              <w:jc w:val="center"/>
              <w:rPr>
                <w:rFonts w:ascii="Arial Narrow" w:hAnsi="Arial Narrow"/>
                <w:sz w:val="20"/>
                <w:szCs w:val="20"/>
              </w:rPr>
            </w:pPr>
            <w:r w:rsidRPr="00AB34C7">
              <w:rPr>
                <w:rFonts w:ascii="Arial Narrow" w:hAnsi="Arial Narrow"/>
                <w:sz w:val="20"/>
                <w:szCs w:val="20"/>
              </w:rPr>
              <w:t>Imbruvica</w:t>
            </w:r>
          </w:p>
        </w:tc>
      </w:tr>
      <w:tr w:rsidR="002A3D73" w:rsidRPr="00AB34C7" w14:paraId="6CB20981" w14:textId="77777777" w:rsidTr="00612665">
        <w:trPr>
          <w:cantSplit/>
          <w:trHeight w:val="20"/>
        </w:trPr>
        <w:tc>
          <w:tcPr>
            <w:tcW w:w="5000" w:type="pct"/>
            <w:gridSpan w:val="6"/>
            <w:vAlign w:val="center"/>
          </w:tcPr>
          <w:p w14:paraId="1922F231" w14:textId="3D78D2E7" w:rsidR="002A3D73" w:rsidRPr="00AB34C7" w:rsidRDefault="002A3D73" w:rsidP="00286797">
            <w:pPr>
              <w:jc w:val="left"/>
              <w:rPr>
                <w:rFonts w:ascii="Arial Narrow" w:hAnsi="Arial Narrow"/>
                <w:b/>
                <w:bCs/>
                <w:sz w:val="20"/>
                <w:szCs w:val="20"/>
              </w:rPr>
            </w:pPr>
            <w:r w:rsidRPr="00AB34C7">
              <w:rPr>
                <w:rFonts w:ascii="Arial Narrow" w:hAnsi="Arial Narrow"/>
                <w:b/>
                <w:bCs/>
                <w:sz w:val="20"/>
                <w:szCs w:val="20"/>
              </w:rPr>
              <w:t>First continuing treatment (treatment cycles 4-9)</w:t>
            </w:r>
            <w:r w:rsidR="0042472D" w:rsidRPr="00AB34C7">
              <w:rPr>
                <w:rFonts w:ascii="Arial Narrow" w:hAnsi="Arial Narrow"/>
                <w:b/>
                <w:bCs/>
                <w:sz w:val="20"/>
                <w:szCs w:val="20"/>
              </w:rPr>
              <w:t xml:space="preserve"> in first-line therapy</w:t>
            </w:r>
          </w:p>
        </w:tc>
      </w:tr>
      <w:tr w:rsidR="002A3D73" w:rsidRPr="00AB34C7" w14:paraId="04DF9BB2" w14:textId="77777777" w:rsidTr="00612665">
        <w:trPr>
          <w:cantSplit/>
          <w:trHeight w:val="20"/>
        </w:trPr>
        <w:tc>
          <w:tcPr>
            <w:tcW w:w="1333" w:type="pct"/>
          </w:tcPr>
          <w:p w14:paraId="0523938D" w14:textId="77777777" w:rsidR="002A3D73" w:rsidRPr="00AB34C7" w:rsidRDefault="002A3D73" w:rsidP="00286797">
            <w:pPr>
              <w:pStyle w:val="COMTabletext"/>
              <w:keepNext w:val="0"/>
              <w:rPr>
                <w:szCs w:val="20"/>
              </w:rPr>
            </w:pPr>
            <w:r w:rsidRPr="00AB34C7">
              <w:t xml:space="preserve">ibrutinib 140 mg capsule, 90 </w:t>
            </w:r>
          </w:p>
        </w:tc>
        <w:tc>
          <w:tcPr>
            <w:tcW w:w="628" w:type="pct"/>
            <w:vAlign w:val="center"/>
          </w:tcPr>
          <w:p w14:paraId="40E03B19" w14:textId="77777777" w:rsidR="002A3D73" w:rsidRPr="00AB34C7" w:rsidRDefault="002A3D73" w:rsidP="00286797">
            <w:pPr>
              <w:pStyle w:val="COMTabletext"/>
              <w:jc w:val="center"/>
              <w:rPr>
                <w:szCs w:val="20"/>
              </w:rPr>
            </w:pPr>
            <w:r w:rsidRPr="00AB34C7">
              <w:t>1</w:t>
            </w:r>
          </w:p>
        </w:tc>
        <w:tc>
          <w:tcPr>
            <w:tcW w:w="629" w:type="pct"/>
            <w:vAlign w:val="center"/>
          </w:tcPr>
          <w:p w14:paraId="754814BB" w14:textId="77777777" w:rsidR="002A3D73" w:rsidRPr="00AB34C7" w:rsidRDefault="002A3D73" w:rsidP="00286797">
            <w:pPr>
              <w:pStyle w:val="COMTabletext"/>
              <w:jc w:val="center"/>
              <w:rPr>
                <w:szCs w:val="20"/>
              </w:rPr>
            </w:pPr>
            <w:r w:rsidRPr="00AB34C7">
              <w:t>90</w:t>
            </w:r>
          </w:p>
        </w:tc>
        <w:tc>
          <w:tcPr>
            <w:tcW w:w="629" w:type="pct"/>
            <w:vAlign w:val="center"/>
          </w:tcPr>
          <w:p w14:paraId="6950444A" w14:textId="77777777" w:rsidR="002A3D73" w:rsidRPr="00AB34C7" w:rsidRDefault="002A3D73" w:rsidP="00286797">
            <w:pPr>
              <w:pStyle w:val="COMTabletext"/>
              <w:jc w:val="center"/>
              <w:rPr>
                <w:szCs w:val="20"/>
              </w:rPr>
            </w:pPr>
            <w:r w:rsidRPr="00AB34C7">
              <w:t>5</w:t>
            </w:r>
          </w:p>
        </w:tc>
        <w:tc>
          <w:tcPr>
            <w:tcW w:w="1101" w:type="pct"/>
          </w:tcPr>
          <w:p w14:paraId="4758BC8D" w14:textId="77777777" w:rsidR="002A3D73" w:rsidRPr="00AB34C7" w:rsidRDefault="002A3D73" w:rsidP="00286797">
            <w:pPr>
              <w:pStyle w:val="COMTabletext"/>
              <w:keepLines/>
              <w:jc w:val="center"/>
            </w:pPr>
            <w:r w:rsidRPr="00AB34C7">
              <w:t>$7,953.68 (published)</w:t>
            </w:r>
          </w:p>
          <w:p w14:paraId="324635C1" w14:textId="37418B43" w:rsidR="002A3D73" w:rsidRPr="00AB34C7" w:rsidRDefault="002A3D73" w:rsidP="00612665">
            <w:pPr>
              <w:pStyle w:val="COMTabletext"/>
              <w:jc w:val="center"/>
            </w:pPr>
            <w:r w:rsidRPr="00AB34C7">
              <w:t>$</w:t>
            </w:r>
            <w:r w:rsidR="003666AE" w:rsidRPr="000E0FB5">
              <w:rPr>
                <w:rFonts w:hint="eastAsia"/>
                <w:color w:val="000000"/>
                <w:w w:val="33"/>
                <w:shd w:val="solid" w:color="000000" w:fill="000000"/>
                <w:fitText w:val="150" w:id="-962325245"/>
                <w14:textFill>
                  <w14:solidFill>
                    <w14:srgbClr w14:val="000000">
                      <w14:alpha w14:val="100000"/>
                    </w14:srgbClr>
                  </w14:solidFill>
                </w14:textFill>
              </w:rPr>
              <w:t xml:space="preserve">　</w:t>
            </w:r>
            <w:r w:rsidR="003666AE" w:rsidRPr="000E0FB5">
              <w:rPr>
                <w:color w:val="000000"/>
                <w:w w:val="33"/>
                <w:shd w:val="solid" w:color="000000" w:fill="000000"/>
                <w:fitText w:val="150" w:id="-962325245"/>
                <w14:textFill>
                  <w14:solidFill>
                    <w14:srgbClr w14:val="000000">
                      <w14:alpha w14:val="100000"/>
                    </w14:srgbClr>
                  </w14:solidFill>
                </w14:textFill>
              </w:rPr>
              <w:t>|</w:t>
            </w:r>
            <w:r w:rsidR="003666AE" w:rsidRPr="000E0FB5">
              <w:rPr>
                <w:rFonts w:hint="eastAsia"/>
                <w:color w:val="000000"/>
                <w:spacing w:val="4"/>
                <w:w w:val="33"/>
                <w:shd w:val="solid" w:color="000000" w:fill="000000"/>
                <w:fitText w:val="150" w:id="-962325245"/>
                <w14:textFill>
                  <w14:solidFill>
                    <w14:srgbClr w14:val="000000">
                      <w14:alpha w14:val="100000"/>
                    </w14:srgbClr>
                  </w14:solidFill>
                </w14:textFill>
              </w:rPr>
              <w:t xml:space="preserve">　</w:t>
            </w:r>
            <w:r w:rsidRPr="00AB34C7">
              <w:t xml:space="preserve"> (effective) </w:t>
            </w:r>
            <w:r w:rsidRPr="00AB34C7">
              <w:rPr>
                <w:vertAlign w:val="superscript"/>
              </w:rPr>
              <w:t>a</w:t>
            </w:r>
          </w:p>
        </w:tc>
        <w:tc>
          <w:tcPr>
            <w:tcW w:w="680" w:type="pct"/>
            <w:vAlign w:val="center"/>
          </w:tcPr>
          <w:p w14:paraId="4A89005C" w14:textId="77777777" w:rsidR="002A3D73" w:rsidRPr="00AB34C7" w:rsidRDefault="002A3D73" w:rsidP="00286797">
            <w:pPr>
              <w:jc w:val="center"/>
              <w:rPr>
                <w:rFonts w:ascii="Arial Narrow" w:hAnsi="Arial Narrow"/>
                <w:sz w:val="20"/>
                <w:szCs w:val="20"/>
              </w:rPr>
            </w:pPr>
            <w:r w:rsidRPr="00AB34C7">
              <w:rPr>
                <w:rFonts w:ascii="Arial Narrow" w:hAnsi="Arial Narrow"/>
                <w:sz w:val="20"/>
                <w:szCs w:val="20"/>
              </w:rPr>
              <w:t>Imbruvica</w:t>
            </w:r>
          </w:p>
        </w:tc>
      </w:tr>
      <w:tr w:rsidR="002A3D73" w:rsidRPr="00AB34C7" w14:paraId="73154FFB" w14:textId="77777777" w:rsidTr="00612665">
        <w:trPr>
          <w:cantSplit/>
          <w:trHeight w:val="20"/>
        </w:trPr>
        <w:tc>
          <w:tcPr>
            <w:tcW w:w="1333" w:type="pct"/>
          </w:tcPr>
          <w:p w14:paraId="1164C014" w14:textId="77777777" w:rsidR="002A3D73" w:rsidRPr="00AB34C7" w:rsidRDefault="002A3D73" w:rsidP="00286797">
            <w:pPr>
              <w:pStyle w:val="COMTabletext"/>
              <w:keepNext w:val="0"/>
              <w:rPr>
                <w:szCs w:val="20"/>
              </w:rPr>
            </w:pPr>
            <w:r w:rsidRPr="00AB34C7">
              <w:t xml:space="preserve">ibrutinib 280 mg tablet, 30 </w:t>
            </w:r>
          </w:p>
        </w:tc>
        <w:tc>
          <w:tcPr>
            <w:tcW w:w="628" w:type="pct"/>
            <w:vAlign w:val="center"/>
          </w:tcPr>
          <w:p w14:paraId="61296C85" w14:textId="77777777" w:rsidR="002A3D73" w:rsidRPr="00AB34C7" w:rsidRDefault="002A3D73" w:rsidP="00286797">
            <w:pPr>
              <w:pStyle w:val="COMTabletext"/>
              <w:jc w:val="center"/>
              <w:rPr>
                <w:szCs w:val="20"/>
              </w:rPr>
            </w:pPr>
            <w:r w:rsidRPr="00AB34C7">
              <w:t>1</w:t>
            </w:r>
          </w:p>
        </w:tc>
        <w:tc>
          <w:tcPr>
            <w:tcW w:w="629" w:type="pct"/>
            <w:vAlign w:val="center"/>
          </w:tcPr>
          <w:p w14:paraId="0D351F6F" w14:textId="77777777" w:rsidR="002A3D73" w:rsidRPr="00AB34C7" w:rsidRDefault="002A3D73" w:rsidP="00286797">
            <w:pPr>
              <w:pStyle w:val="COMTabletext"/>
              <w:jc w:val="center"/>
              <w:rPr>
                <w:szCs w:val="20"/>
              </w:rPr>
            </w:pPr>
            <w:r w:rsidRPr="00AB34C7">
              <w:t>30</w:t>
            </w:r>
          </w:p>
        </w:tc>
        <w:tc>
          <w:tcPr>
            <w:tcW w:w="629" w:type="pct"/>
            <w:vAlign w:val="center"/>
          </w:tcPr>
          <w:p w14:paraId="4A039521" w14:textId="77777777" w:rsidR="002A3D73" w:rsidRPr="00AB34C7" w:rsidRDefault="002A3D73" w:rsidP="00286797">
            <w:pPr>
              <w:pStyle w:val="COMTabletext"/>
              <w:jc w:val="center"/>
              <w:rPr>
                <w:szCs w:val="20"/>
              </w:rPr>
            </w:pPr>
            <w:r w:rsidRPr="00AB34C7">
              <w:t>5</w:t>
            </w:r>
          </w:p>
        </w:tc>
        <w:tc>
          <w:tcPr>
            <w:tcW w:w="1101" w:type="pct"/>
          </w:tcPr>
          <w:p w14:paraId="067CE87C" w14:textId="77777777" w:rsidR="002A3D73" w:rsidRPr="00AB34C7" w:rsidRDefault="002A3D73" w:rsidP="00286797">
            <w:pPr>
              <w:pStyle w:val="COMTabletext"/>
              <w:keepLines/>
              <w:jc w:val="center"/>
            </w:pPr>
            <w:r w:rsidRPr="00AB34C7">
              <w:t>$5,356.49 (published)</w:t>
            </w:r>
          </w:p>
          <w:p w14:paraId="00EF9A31" w14:textId="681EDA2E" w:rsidR="002A3D73" w:rsidRPr="00AB34C7" w:rsidRDefault="002A3D73" w:rsidP="00612665">
            <w:pPr>
              <w:pStyle w:val="COMTabletext"/>
              <w:jc w:val="center"/>
            </w:pPr>
            <w:r w:rsidRPr="00AB34C7">
              <w:t>$</w:t>
            </w:r>
            <w:r w:rsidR="003666AE" w:rsidRPr="000E0FB5">
              <w:rPr>
                <w:rFonts w:hint="eastAsia"/>
                <w:color w:val="000000"/>
                <w:w w:val="33"/>
                <w:shd w:val="solid" w:color="000000" w:fill="000000"/>
                <w:fitText w:val="150" w:id="-962325244"/>
                <w14:textFill>
                  <w14:solidFill>
                    <w14:srgbClr w14:val="000000">
                      <w14:alpha w14:val="100000"/>
                    </w14:srgbClr>
                  </w14:solidFill>
                </w14:textFill>
              </w:rPr>
              <w:t xml:space="preserve">　</w:t>
            </w:r>
            <w:r w:rsidR="003666AE" w:rsidRPr="000E0FB5">
              <w:rPr>
                <w:color w:val="000000"/>
                <w:w w:val="33"/>
                <w:shd w:val="solid" w:color="000000" w:fill="000000"/>
                <w:fitText w:val="150" w:id="-962325244"/>
                <w14:textFill>
                  <w14:solidFill>
                    <w14:srgbClr w14:val="000000">
                      <w14:alpha w14:val="100000"/>
                    </w14:srgbClr>
                  </w14:solidFill>
                </w14:textFill>
              </w:rPr>
              <w:t>|</w:t>
            </w:r>
            <w:r w:rsidR="003666AE" w:rsidRPr="000E0FB5">
              <w:rPr>
                <w:rFonts w:hint="eastAsia"/>
                <w:color w:val="000000"/>
                <w:spacing w:val="4"/>
                <w:w w:val="33"/>
                <w:shd w:val="solid" w:color="000000" w:fill="000000"/>
                <w:fitText w:val="150" w:id="-962325244"/>
                <w14:textFill>
                  <w14:solidFill>
                    <w14:srgbClr w14:val="000000">
                      <w14:alpha w14:val="100000"/>
                    </w14:srgbClr>
                  </w14:solidFill>
                </w14:textFill>
              </w:rPr>
              <w:t xml:space="preserve">　</w:t>
            </w:r>
            <w:r w:rsidRPr="00AB34C7">
              <w:t xml:space="preserve"> (effective) </w:t>
            </w:r>
            <w:r w:rsidRPr="00AB34C7">
              <w:rPr>
                <w:vertAlign w:val="superscript"/>
              </w:rPr>
              <w:t>a</w:t>
            </w:r>
          </w:p>
        </w:tc>
        <w:tc>
          <w:tcPr>
            <w:tcW w:w="680" w:type="pct"/>
            <w:vAlign w:val="center"/>
          </w:tcPr>
          <w:p w14:paraId="02FB05AC" w14:textId="77777777" w:rsidR="002A3D73" w:rsidRPr="00AB34C7" w:rsidRDefault="002A3D73" w:rsidP="00286797">
            <w:pPr>
              <w:jc w:val="center"/>
              <w:rPr>
                <w:rFonts w:ascii="Arial Narrow" w:hAnsi="Arial Narrow"/>
                <w:sz w:val="20"/>
                <w:szCs w:val="20"/>
              </w:rPr>
            </w:pPr>
            <w:r w:rsidRPr="00AB34C7">
              <w:rPr>
                <w:rFonts w:ascii="Arial Narrow" w:hAnsi="Arial Narrow"/>
                <w:sz w:val="20"/>
                <w:szCs w:val="20"/>
              </w:rPr>
              <w:t>Imbruvica</w:t>
            </w:r>
          </w:p>
        </w:tc>
      </w:tr>
      <w:tr w:rsidR="002A3D73" w:rsidRPr="00AB34C7" w14:paraId="3B6E711C" w14:textId="77777777" w:rsidTr="00612665">
        <w:trPr>
          <w:cantSplit/>
          <w:trHeight w:val="20"/>
        </w:trPr>
        <w:tc>
          <w:tcPr>
            <w:tcW w:w="1333" w:type="pct"/>
          </w:tcPr>
          <w:p w14:paraId="13AA33E0" w14:textId="77777777" w:rsidR="002A3D73" w:rsidRPr="00AB34C7" w:rsidRDefault="002A3D73" w:rsidP="00286797">
            <w:pPr>
              <w:pStyle w:val="COMTabletext"/>
              <w:keepNext w:val="0"/>
              <w:rPr>
                <w:szCs w:val="20"/>
              </w:rPr>
            </w:pPr>
            <w:r w:rsidRPr="00AB34C7">
              <w:t xml:space="preserve">ibrutinib 420 mg tablet, 30 </w:t>
            </w:r>
          </w:p>
        </w:tc>
        <w:tc>
          <w:tcPr>
            <w:tcW w:w="628" w:type="pct"/>
            <w:vAlign w:val="center"/>
          </w:tcPr>
          <w:p w14:paraId="0394E1E2" w14:textId="77777777" w:rsidR="002A3D73" w:rsidRPr="00AB34C7" w:rsidRDefault="002A3D73" w:rsidP="00286797">
            <w:pPr>
              <w:pStyle w:val="COMTabletext"/>
              <w:jc w:val="center"/>
              <w:rPr>
                <w:szCs w:val="20"/>
              </w:rPr>
            </w:pPr>
            <w:r w:rsidRPr="00AB34C7">
              <w:t>1</w:t>
            </w:r>
          </w:p>
        </w:tc>
        <w:tc>
          <w:tcPr>
            <w:tcW w:w="629" w:type="pct"/>
            <w:vAlign w:val="center"/>
          </w:tcPr>
          <w:p w14:paraId="01AA55D9" w14:textId="77777777" w:rsidR="002A3D73" w:rsidRPr="00AB34C7" w:rsidRDefault="002A3D73" w:rsidP="00286797">
            <w:pPr>
              <w:pStyle w:val="COMTabletext"/>
              <w:jc w:val="center"/>
              <w:rPr>
                <w:szCs w:val="20"/>
              </w:rPr>
            </w:pPr>
            <w:r w:rsidRPr="00AB34C7">
              <w:t>30</w:t>
            </w:r>
          </w:p>
        </w:tc>
        <w:tc>
          <w:tcPr>
            <w:tcW w:w="629" w:type="pct"/>
            <w:vAlign w:val="center"/>
          </w:tcPr>
          <w:p w14:paraId="7EAC28E4" w14:textId="77777777" w:rsidR="002A3D73" w:rsidRPr="00AB34C7" w:rsidRDefault="002A3D73" w:rsidP="00286797">
            <w:pPr>
              <w:pStyle w:val="COMTabletext"/>
              <w:jc w:val="center"/>
              <w:rPr>
                <w:szCs w:val="20"/>
              </w:rPr>
            </w:pPr>
            <w:r w:rsidRPr="00AB34C7">
              <w:t>5</w:t>
            </w:r>
          </w:p>
        </w:tc>
        <w:tc>
          <w:tcPr>
            <w:tcW w:w="1101" w:type="pct"/>
          </w:tcPr>
          <w:p w14:paraId="2DA9A279" w14:textId="77777777" w:rsidR="002A3D73" w:rsidRPr="00AB34C7" w:rsidRDefault="002A3D73" w:rsidP="00286797">
            <w:pPr>
              <w:pStyle w:val="COMTabletext"/>
              <w:keepLines/>
              <w:jc w:val="center"/>
            </w:pPr>
            <w:r w:rsidRPr="00AB34C7">
              <w:t>$7,953.68 (published)</w:t>
            </w:r>
          </w:p>
          <w:p w14:paraId="5FCAD3B2" w14:textId="7684AF95" w:rsidR="002A3D73" w:rsidRPr="00AB34C7" w:rsidRDefault="002A3D73" w:rsidP="00612665">
            <w:pPr>
              <w:pStyle w:val="COMTabletext"/>
              <w:jc w:val="center"/>
            </w:pPr>
            <w:r w:rsidRPr="00AB34C7">
              <w:t>$</w:t>
            </w:r>
            <w:r w:rsidR="003666AE" w:rsidRPr="000E0FB5">
              <w:rPr>
                <w:rFonts w:hint="eastAsia"/>
                <w:color w:val="000000"/>
                <w:w w:val="33"/>
                <w:shd w:val="solid" w:color="000000" w:fill="000000"/>
                <w:fitText w:val="150" w:id="-962325243"/>
                <w14:textFill>
                  <w14:solidFill>
                    <w14:srgbClr w14:val="000000">
                      <w14:alpha w14:val="100000"/>
                    </w14:srgbClr>
                  </w14:solidFill>
                </w14:textFill>
              </w:rPr>
              <w:t xml:space="preserve">　</w:t>
            </w:r>
            <w:r w:rsidR="003666AE" w:rsidRPr="000E0FB5">
              <w:rPr>
                <w:color w:val="000000"/>
                <w:w w:val="33"/>
                <w:shd w:val="solid" w:color="000000" w:fill="000000"/>
                <w:fitText w:val="150" w:id="-962325243"/>
                <w14:textFill>
                  <w14:solidFill>
                    <w14:srgbClr w14:val="000000">
                      <w14:alpha w14:val="100000"/>
                    </w14:srgbClr>
                  </w14:solidFill>
                </w14:textFill>
              </w:rPr>
              <w:t>|</w:t>
            </w:r>
            <w:r w:rsidR="003666AE" w:rsidRPr="000E0FB5">
              <w:rPr>
                <w:rFonts w:hint="eastAsia"/>
                <w:color w:val="000000"/>
                <w:spacing w:val="4"/>
                <w:w w:val="33"/>
                <w:shd w:val="solid" w:color="000000" w:fill="000000"/>
                <w:fitText w:val="150" w:id="-962325243"/>
                <w14:textFill>
                  <w14:solidFill>
                    <w14:srgbClr w14:val="000000">
                      <w14:alpha w14:val="100000"/>
                    </w14:srgbClr>
                  </w14:solidFill>
                </w14:textFill>
              </w:rPr>
              <w:t xml:space="preserve">　</w:t>
            </w:r>
            <w:r w:rsidRPr="00AB34C7">
              <w:t xml:space="preserve"> (effective) </w:t>
            </w:r>
            <w:r w:rsidRPr="00AB34C7">
              <w:rPr>
                <w:vertAlign w:val="superscript"/>
              </w:rPr>
              <w:t>a</w:t>
            </w:r>
          </w:p>
        </w:tc>
        <w:tc>
          <w:tcPr>
            <w:tcW w:w="680" w:type="pct"/>
            <w:vAlign w:val="center"/>
          </w:tcPr>
          <w:p w14:paraId="03284868" w14:textId="77777777" w:rsidR="002A3D73" w:rsidRPr="00AB34C7" w:rsidRDefault="002A3D73" w:rsidP="00286797">
            <w:pPr>
              <w:jc w:val="center"/>
              <w:rPr>
                <w:rFonts w:ascii="Arial Narrow" w:hAnsi="Arial Narrow"/>
                <w:sz w:val="20"/>
                <w:szCs w:val="20"/>
              </w:rPr>
            </w:pPr>
            <w:r w:rsidRPr="00AB34C7">
              <w:rPr>
                <w:rFonts w:ascii="Arial Narrow" w:hAnsi="Arial Narrow"/>
                <w:sz w:val="20"/>
                <w:szCs w:val="20"/>
              </w:rPr>
              <w:t>Imbruvica</w:t>
            </w:r>
          </w:p>
        </w:tc>
      </w:tr>
      <w:tr w:rsidR="00B820CB" w:rsidRPr="00AB34C7" w14:paraId="22D3A334" w14:textId="77777777" w:rsidTr="00DB278B">
        <w:trPr>
          <w:cantSplit/>
          <w:trHeight w:val="20"/>
        </w:trPr>
        <w:tc>
          <w:tcPr>
            <w:tcW w:w="5000" w:type="pct"/>
            <w:gridSpan w:val="6"/>
            <w:vAlign w:val="center"/>
          </w:tcPr>
          <w:p w14:paraId="0FE6C300" w14:textId="77777777" w:rsidR="00B820CB" w:rsidRPr="00AB34C7" w:rsidRDefault="00B820CB" w:rsidP="00DB278B">
            <w:pPr>
              <w:jc w:val="left"/>
              <w:rPr>
                <w:rFonts w:ascii="Arial Narrow" w:hAnsi="Arial Narrow"/>
                <w:b/>
                <w:bCs/>
                <w:sz w:val="20"/>
                <w:szCs w:val="20"/>
              </w:rPr>
            </w:pPr>
            <w:r w:rsidRPr="00AB34C7">
              <w:rPr>
                <w:rFonts w:ascii="Arial Narrow" w:hAnsi="Arial Narrow"/>
                <w:b/>
                <w:bCs/>
                <w:sz w:val="20"/>
                <w:szCs w:val="20"/>
              </w:rPr>
              <w:t>Grandfather treatment - Transitioning from non-PBS to PBS-subsidised supply of first-line therapy</w:t>
            </w:r>
          </w:p>
        </w:tc>
      </w:tr>
      <w:tr w:rsidR="00B820CB" w:rsidRPr="00AB34C7" w14:paraId="24160470" w14:textId="77777777" w:rsidTr="00DB278B">
        <w:trPr>
          <w:cantSplit/>
          <w:trHeight w:val="20"/>
        </w:trPr>
        <w:tc>
          <w:tcPr>
            <w:tcW w:w="1333" w:type="pct"/>
          </w:tcPr>
          <w:p w14:paraId="2C28D151" w14:textId="77777777" w:rsidR="00B820CB" w:rsidRPr="00AB34C7" w:rsidRDefault="00B820CB" w:rsidP="00DB278B">
            <w:pPr>
              <w:pStyle w:val="COMTabletext"/>
              <w:keepNext w:val="0"/>
              <w:rPr>
                <w:szCs w:val="20"/>
              </w:rPr>
            </w:pPr>
            <w:r w:rsidRPr="00AB34C7">
              <w:t xml:space="preserve">ibrutinib 140 mg capsule, 90 </w:t>
            </w:r>
          </w:p>
        </w:tc>
        <w:tc>
          <w:tcPr>
            <w:tcW w:w="628" w:type="pct"/>
            <w:vAlign w:val="center"/>
          </w:tcPr>
          <w:p w14:paraId="34F2D895" w14:textId="77777777" w:rsidR="00B820CB" w:rsidRPr="00AB34C7" w:rsidRDefault="00B820CB" w:rsidP="00DB278B">
            <w:pPr>
              <w:pStyle w:val="COMTabletext"/>
              <w:jc w:val="center"/>
              <w:rPr>
                <w:szCs w:val="20"/>
              </w:rPr>
            </w:pPr>
            <w:r w:rsidRPr="00AB34C7">
              <w:t>1</w:t>
            </w:r>
          </w:p>
        </w:tc>
        <w:tc>
          <w:tcPr>
            <w:tcW w:w="629" w:type="pct"/>
            <w:vAlign w:val="center"/>
          </w:tcPr>
          <w:p w14:paraId="636BA2E5" w14:textId="77777777" w:rsidR="00B820CB" w:rsidRPr="00AB34C7" w:rsidRDefault="00B820CB" w:rsidP="00DB278B">
            <w:pPr>
              <w:pStyle w:val="COMTabletext"/>
              <w:jc w:val="center"/>
              <w:rPr>
                <w:szCs w:val="20"/>
              </w:rPr>
            </w:pPr>
            <w:r w:rsidRPr="00AB34C7">
              <w:t>90</w:t>
            </w:r>
          </w:p>
        </w:tc>
        <w:tc>
          <w:tcPr>
            <w:tcW w:w="629" w:type="pct"/>
            <w:vAlign w:val="center"/>
          </w:tcPr>
          <w:p w14:paraId="33551212" w14:textId="77777777" w:rsidR="00B820CB" w:rsidRPr="00AB34C7" w:rsidRDefault="00B820CB" w:rsidP="00DB278B">
            <w:pPr>
              <w:pStyle w:val="COMTabletext"/>
              <w:jc w:val="center"/>
              <w:rPr>
                <w:szCs w:val="20"/>
              </w:rPr>
            </w:pPr>
            <w:r w:rsidRPr="00AB34C7">
              <w:t>5</w:t>
            </w:r>
          </w:p>
        </w:tc>
        <w:tc>
          <w:tcPr>
            <w:tcW w:w="1101" w:type="pct"/>
          </w:tcPr>
          <w:p w14:paraId="61A2FF13" w14:textId="77777777" w:rsidR="00B820CB" w:rsidRPr="00AB34C7" w:rsidRDefault="00B820CB" w:rsidP="00DB278B">
            <w:pPr>
              <w:pStyle w:val="COMTabletext"/>
              <w:keepLines/>
              <w:jc w:val="center"/>
            </w:pPr>
            <w:r w:rsidRPr="00AB34C7">
              <w:t>$7,953.68 (published)</w:t>
            </w:r>
          </w:p>
          <w:p w14:paraId="45206121" w14:textId="76C44010" w:rsidR="00B820CB" w:rsidRPr="00AB34C7" w:rsidRDefault="00B820CB" w:rsidP="00DB278B">
            <w:pPr>
              <w:pStyle w:val="COMTabletext"/>
              <w:jc w:val="center"/>
            </w:pPr>
            <w:r w:rsidRPr="00AB34C7">
              <w:t>$</w:t>
            </w:r>
            <w:r w:rsidR="003666AE" w:rsidRPr="003666AE">
              <w:rPr>
                <w:rFonts w:hint="eastAsia"/>
                <w:color w:val="000000"/>
                <w:w w:val="33"/>
                <w:shd w:val="solid" w:color="000000" w:fill="000000"/>
                <w:fitText w:val="150" w:id="-962325242"/>
                <w14:textFill>
                  <w14:solidFill>
                    <w14:srgbClr w14:val="000000">
                      <w14:alpha w14:val="100000"/>
                    </w14:srgbClr>
                  </w14:solidFill>
                </w14:textFill>
              </w:rPr>
              <w:t xml:space="preserve">　</w:t>
            </w:r>
            <w:r w:rsidR="003666AE" w:rsidRPr="003666AE">
              <w:rPr>
                <w:color w:val="000000"/>
                <w:w w:val="33"/>
                <w:shd w:val="solid" w:color="000000" w:fill="000000"/>
                <w:fitText w:val="150" w:id="-962325242"/>
                <w14:textFill>
                  <w14:solidFill>
                    <w14:srgbClr w14:val="000000">
                      <w14:alpha w14:val="100000"/>
                    </w14:srgbClr>
                  </w14:solidFill>
                </w14:textFill>
              </w:rPr>
              <w:t>|</w:t>
            </w:r>
            <w:r w:rsidR="003666AE" w:rsidRPr="003666AE">
              <w:rPr>
                <w:rFonts w:hint="eastAsia"/>
                <w:color w:val="000000"/>
                <w:w w:val="33"/>
                <w:shd w:val="solid" w:color="000000" w:fill="000000"/>
                <w:fitText w:val="150" w:id="-962325242"/>
                <w14:textFill>
                  <w14:solidFill>
                    <w14:srgbClr w14:val="000000">
                      <w14:alpha w14:val="100000"/>
                    </w14:srgbClr>
                  </w14:solidFill>
                </w14:textFill>
              </w:rPr>
              <w:t xml:space="preserve">　</w:t>
            </w:r>
            <w:r w:rsidRPr="00AB34C7">
              <w:t xml:space="preserve"> (effective) </w:t>
            </w:r>
            <w:r w:rsidRPr="00AB34C7">
              <w:rPr>
                <w:vertAlign w:val="superscript"/>
              </w:rPr>
              <w:t>a</w:t>
            </w:r>
          </w:p>
        </w:tc>
        <w:tc>
          <w:tcPr>
            <w:tcW w:w="680" w:type="pct"/>
            <w:vAlign w:val="center"/>
          </w:tcPr>
          <w:p w14:paraId="063B180B" w14:textId="77777777" w:rsidR="00B820CB" w:rsidRPr="00AB34C7" w:rsidRDefault="00B820CB" w:rsidP="00DB278B">
            <w:pPr>
              <w:jc w:val="center"/>
              <w:rPr>
                <w:rFonts w:ascii="Arial Narrow" w:hAnsi="Arial Narrow"/>
                <w:sz w:val="20"/>
                <w:szCs w:val="20"/>
              </w:rPr>
            </w:pPr>
            <w:r w:rsidRPr="00AB34C7">
              <w:rPr>
                <w:rFonts w:ascii="Arial Narrow" w:hAnsi="Arial Narrow"/>
                <w:sz w:val="20"/>
                <w:szCs w:val="20"/>
              </w:rPr>
              <w:t>Imbruvica</w:t>
            </w:r>
          </w:p>
        </w:tc>
      </w:tr>
      <w:tr w:rsidR="00B820CB" w:rsidRPr="00AB34C7" w14:paraId="31FCEBAF" w14:textId="77777777" w:rsidTr="00DB278B">
        <w:trPr>
          <w:cantSplit/>
          <w:trHeight w:val="20"/>
        </w:trPr>
        <w:tc>
          <w:tcPr>
            <w:tcW w:w="1333" w:type="pct"/>
          </w:tcPr>
          <w:p w14:paraId="7BB4F721" w14:textId="77777777" w:rsidR="00B820CB" w:rsidRPr="00AB34C7" w:rsidRDefault="00B820CB" w:rsidP="00DB278B">
            <w:pPr>
              <w:pStyle w:val="COMTabletext"/>
              <w:keepNext w:val="0"/>
              <w:rPr>
                <w:szCs w:val="20"/>
              </w:rPr>
            </w:pPr>
            <w:r w:rsidRPr="00AB34C7">
              <w:t xml:space="preserve">ibrutinib 280 mg tablet, 30 </w:t>
            </w:r>
          </w:p>
        </w:tc>
        <w:tc>
          <w:tcPr>
            <w:tcW w:w="628" w:type="pct"/>
            <w:vAlign w:val="center"/>
          </w:tcPr>
          <w:p w14:paraId="6879A0E6" w14:textId="77777777" w:rsidR="00B820CB" w:rsidRPr="00AB34C7" w:rsidRDefault="00B820CB" w:rsidP="00DB278B">
            <w:pPr>
              <w:pStyle w:val="COMTabletext"/>
              <w:jc w:val="center"/>
              <w:rPr>
                <w:szCs w:val="20"/>
              </w:rPr>
            </w:pPr>
            <w:r w:rsidRPr="00AB34C7">
              <w:t>1</w:t>
            </w:r>
          </w:p>
        </w:tc>
        <w:tc>
          <w:tcPr>
            <w:tcW w:w="629" w:type="pct"/>
            <w:vAlign w:val="center"/>
          </w:tcPr>
          <w:p w14:paraId="1D1E97C2" w14:textId="77777777" w:rsidR="00B820CB" w:rsidRPr="00AB34C7" w:rsidRDefault="00B820CB" w:rsidP="00DB278B">
            <w:pPr>
              <w:pStyle w:val="COMTabletext"/>
              <w:jc w:val="center"/>
              <w:rPr>
                <w:szCs w:val="20"/>
              </w:rPr>
            </w:pPr>
            <w:r w:rsidRPr="00AB34C7">
              <w:t>30</w:t>
            </w:r>
          </w:p>
        </w:tc>
        <w:tc>
          <w:tcPr>
            <w:tcW w:w="629" w:type="pct"/>
            <w:vAlign w:val="center"/>
          </w:tcPr>
          <w:p w14:paraId="39B0BF26" w14:textId="77777777" w:rsidR="00B820CB" w:rsidRPr="00AB34C7" w:rsidRDefault="00B820CB" w:rsidP="00DB278B">
            <w:pPr>
              <w:pStyle w:val="COMTabletext"/>
              <w:jc w:val="center"/>
              <w:rPr>
                <w:szCs w:val="20"/>
              </w:rPr>
            </w:pPr>
            <w:r w:rsidRPr="00AB34C7">
              <w:t>5</w:t>
            </w:r>
          </w:p>
        </w:tc>
        <w:tc>
          <w:tcPr>
            <w:tcW w:w="1101" w:type="pct"/>
          </w:tcPr>
          <w:p w14:paraId="4CA1EE32" w14:textId="77777777" w:rsidR="00B820CB" w:rsidRPr="00AB34C7" w:rsidRDefault="00B820CB" w:rsidP="00DB278B">
            <w:pPr>
              <w:pStyle w:val="COMTabletext"/>
              <w:keepLines/>
              <w:jc w:val="center"/>
            </w:pPr>
            <w:r w:rsidRPr="00AB34C7">
              <w:t>$5,356.49 (published)</w:t>
            </w:r>
          </w:p>
          <w:p w14:paraId="7B3BC263" w14:textId="31DC6D46" w:rsidR="00B820CB" w:rsidRPr="00AB34C7" w:rsidRDefault="00B820CB" w:rsidP="00DB278B">
            <w:pPr>
              <w:pStyle w:val="COMTabletext"/>
              <w:jc w:val="center"/>
            </w:pPr>
            <w:r w:rsidRPr="00AB34C7">
              <w:t>$</w:t>
            </w:r>
            <w:r w:rsidR="003666AE" w:rsidRPr="003666AE">
              <w:rPr>
                <w:rFonts w:hint="eastAsia"/>
                <w:color w:val="000000"/>
                <w:w w:val="33"/>
                <w:shd w:val="solid" w:color="000000" w:fill="000000"/>
                <w:fitText w:val="150" w:id="-962325241"/>
                <w14:textFill>
                  <w14:solidFill>
                    <w14:srgbClr w14:val="000000">
                      <w14:alpha w14:val="100000"/>
                    </w14:srgbClr>
                  </w14:solidFill>
                </w14:textFill>
              </w:rPr>
              <w:t xml:space="preserve">　</w:t>
            </w:r>
            <w:r w:rsidR="003666AE" w:rsidRPr="003666AE">
              <w:rPr>
                <w:color w:val="000000"/>
                <w:w w:val="33"/>
                <w:shd w:val="solid" w:color="000000" w:fill="000000"/>
                <w:fitText w:val="150" w:id="-962325241"/>
                <w14:textFill>
                  <w14:solidFill>
                    <w14:srgbClr w14:val="000000">
                      <w14:alpha w14:val="100000"/>
                    </w14:srgbClr>
                  </w14:solidFill>
                </w14:textFill>
              </w:rPr>
              <w:t>|</w:t>
            </w:r>
            <w:r w:rsidR="003666AE" w:rsidRPr="003666AE">
              <w:rPr>
                <w:rFonts w:hint="eastAsia"/>
                <w:color w:val="000000"/>
                <w:w w:val="33"/>
                <w:shd w:val="solid" w:color="000000" w:fill="000000"/>
                <w:fitText w:val="150" w:id="-962325241"/>
                <w14:textFill>
                  <w14:solidFill>
                    <w14:srgbClr w14:val="000000">
                      <w14:alpha w14:val="100000"/>
                    </w14:srgbClr>
                  </w14:solidFill>
                </w14:textFill>
              </w:rPr>
              <w:t xml:space="preserve">　</w:t>
            </w:r>
            <w:r w:rsidRPr="00AB34C7">
              <w:t xml:space="preserve"> (effective) </w:t>
            </w:r>
            <w:r w:rsidRPr="00AB34C7">
              <w:rPr>
                <w:vertAlign w:val="superscript"/>
              </w:rPr>
              <w:t>a</w:t>
            </w:r>
          </w:p>
        </w:tc>
        <w:tc>
          <w:tcPr>
            <w:tcW w:w="680" w:type="pct"/>
            <w:vAlign w:val="center"/>
          </w:tcPr>
          <w:p w14:paraId="3E9D4215" w14:textId="77777777" w:rsidR="00B820CB" w:rsidRPr="00AB34C7" w:rsidRDefault="00B820CB" w:rsidP="00DB278B">
            <w:pPr>
              <w:jc w:val="center"/>
              <w:rPr>
                <w:rFonts w:ascii="Arial Narrow" w:hAnsi="Arial Narrow"/>
                <w:sz w:val="20"/>
                <w:szCs w:val="20"/>
              </w:rPr>
            </w:pPr>
            <w:r w:rsidRPr="00AB34C7">
              <w:rPr>
                <w:rFonts w:ascii="Arial Narrow" w:hAnsi="Arial Narrow"/>
                <w:sz w:val="20"/>
                <w:szCs w:val="20"/>
              </w:rPr>
              <w:t>Imbruvica</w:t>
            </w:r>
          </w:p>
        </w:tc>
      </w:tr>
      <w:tr w:rsidR="00B820CB" w:rsidRPr="00AB34C7" w14:paraId="1093BE19" w14:textId="77777777" w:rsidTr="00DB278B">
        <w:trPr>
          <w:cantSplit/>
          <w:trHeight w:val="20"/>
        </w:trPr>
        <w:tc>
          <w:tcPr>
            <w:tcW w:w="1333" w:type="pct"/>
          </w:tcPr>
          <w:p w14:paraId="4EEA5A10" w14:textId="77777777" w:rsidR="00B820CB" w:rsidRPr="00AB34C7" w:rsidRDefault="00B820CB" w:rsidP="00DB278B">
            <w:pPr>
              <w:pStyle w:val="COMTabletext"/>
              <w:keepNext w:val="0"/>
              <w:rPr>
                <w:szCs w:val="20"/>
              </w:rPr>
            </w:pPr>
            <w:r w:rsidRPr="00AB34C7">
              <w:t xml:space="preserve">ibrutinib 420 mg tablet, 30 </w:t>
            </w:r>
          </w:p>
        </w:tc>
        <w:tc>
          <w:tcPr>
            <w:tcW w:w="628" w:type="pct"/>
            <w:vAlign w:val="center"/>
          </w:tcPr>
          <w:p w14:paraId="0F8DE837" w14:textId="77777777" w:rsidR="00B820CB" w:rsidRPr="00AB34C7" w:rsidRDefault="00B820CB" w:rsidP="00DB278B">
            <w:pPr>
              <w:pStyle w:val="COMTabletext"/>
              <w:jc w:val="center"/>
              <w:rPr>
                <w:szCs w:val="20"/>
              </w:rPr>
            </w:pPr>
            <w:r w:rsidRPr="00AB34C7">
              <w:t>1</w:t>
            </w:r>
          </w:p>
        </w:tc>
        <w:tc>
          <w:tcPr>
            <w:tcW w:w="629" w:type="pct"/>
            <w:vAlign w:val="center"/>
          </w:tcPr>
          <w:p w14:paraId="521235A2" w14:textId="77777777" w:rsidR="00B820CB" w:rsidRPr="00AB34C7" w:rsidRDefault="00B820CB" w:rsidP="00DB278B">
            <w:pPr>
              <w:pStyle w:val="COMTabletext"/>
              <w:jc w:val="center"/>
              <w:rPr>
                <w:szCs w:val="20"/>
              </w:rPr>
            </w:pPr>
            <w:r w:rsidRPr="00AB34C7">
              <w:t>30</w:t>
            </w:r>
          </w:p>
        </w:tc>
        <w:tc>
          <w:tcPr>
            <w:tcW w:w="629" w:type="pct"/>
            <w:vAlign w:val="center"/>
          </w:tcPr>
          <w:p w14:paraId="1FA075C6" w14:textId="77777777" w:rsidR="00B820CB" w:rsidRPr="00AB34C7" w:rsidRDefault="00B820CB" w:rsidP="00DB278B">
            <w:pPr>
              <w:pStyle w:val="COMTabletext"/>
              <w:jc w:val="center"/>
              <w:rPr>
                <w:szCs w:val="20"/>
              </w:rPr>
            </w:pPr>
            <w:r w:rsidRPr="00AB34C7">
              <w:t>5</w:t>
            </w:r>
          </w:p>
        </w:tc>
        <w:tc>
          <w:tcPr>
            <w:tcW w:w="1101" w:type="pct"/>
          </w:tcPr>
          <w:p w14:paraId="69D2F250" w14:textId="77777777" w:rsidR="00B820CB" w:rsidRPr="00AB34C7" w:rsidRDefault="00B820CB" w:rsidP="00DB278B">
            <w:pPr>
              <w:pStyle w:val="COMTabletext"/>
              <w:keepLines/>
              <w:jc w:val="center"/>
            </w:pPr>
            <w:r w:rsidRPr="00AB34C7">
              <w:t>$7,953.68 (published)</w:t>
            </w:r>
          </w:p>
          <w:p w14:paraId="5CA6C88B" w14:textId="263A0A60" w:rsidR="00B820CB" w:rsidRPr="00AB34C7" w:rsidRDefault="00B820CB" w:rsidP="00DB278B">
            <w:pPr>
              <w:pStyle w:val="COMTabletext"/>
              <w:jc w:val="center"/>
            </w:pPr>
            <w:r w:rsidRPr="00AB34C7">
              <w:t>$</w:t>
            </w:r>
            <w:r w:rsidR="003666AE" w:rsidRPr="003666AE">
              <w:rPr>
                <w:rFonts w:hint="eastAsia"/>
                <w:color w:val="000000"/>
                <w:w w:val="33"/>
                <w:shd w:val="solid" w:color="000000" w:fill="000000"/>
                <w:fitText w:val="150" w:id="-962325240"/>
                <w14:textFill>
                  <w14:solidFill>
                    <w14:srgbClr w14:val="000000">
                      <w14:alpha w14:val="100000"/>
                    </w14:srgbClr>
                  </w14:solidFill>
                </w14:textFill>
              </w:rPr>
              <w:t xml:space="preserve">　</w:t>
            </w:r>
            <w:r w:rsidR="003666AE" w:rsidRPr="003666AE">
              <w:rPr>
                <w:color w:val="000000"/>
                <w:w w:val="33"/>
                <w:shd w:val="solid" w:color="000000" w:fill="000000"/>
                <w:fitText w:val="150" w:id="-962325240"/>
                <w14:textFill>
                  <w14:solidFill>
                    <w14:srgbClr w14:val="000000">
                      <w14:alpha w14:val="100000"/>
                    </w14:srgbClr>
                  </w14:solidFill>
                </w14:textFill>
              </w:rPr>
              <w:t>|</w:t>
            </w:r>
            <w:r w:rsidR="003666AE" w:rsidRPr="003666AE">
              <w:rPr>
                <w:rFonts w:hint="eastAsia"/>
                <w:color w:val="000000"/>
                <w:w w:val="33"/>
                <w:shd w:val="solid" w:color="000000" w:fill="000000"/>
                <w:fitText w:val="150" w:id="-962325240"/>
                <w14:textFill>
                  <w14:solidFill>
                    <w14:srgbClr w14:val="000000">
                      <w14:alpha w14:val="100000"/>
                    </w14:srgbClr>
                  </w14:solidFill>
                </w14:textFill>
              </w:rPr>
              <w:t xml:space="preserve">　</w:t>
            </w:r>
            <w:r w:rsidRPr="00AB34C7">
              <w:t xml:space="preserve"> (effective) </w:t>
            </w:r>
            <w:r w:rsidRPr="00AB34C7">
              <w:rPr>
                <w:vertAlign w:val="superscript"/>
              </w:rPr>
              <w:t>a</w:t>
            </w:r>
          </w:p>
        </w:tc>
        <w:tc>
          <w:tcPr>
            <w:tcW w:w="680" w:type="pct"/>
            <w:vAlign w:val="center"/>
          </w:tcPr>
          <w:p w14:paraId="05686267" w14:textId="77777777" w:rsidR="00B820CB" w:rsidRPr="00AB34C7" w:rsidRDefault="00B820CB" w:rsidP="00DB278B">
            <w:pPr>
              <w:jc w:val="center"/>
              <w:rPr>
                <w:rFonts w:ascii="Arial Narrow" w:hAnsi="Arial Narrow"/>
                <w:sz w:val="20"/>
                <w:szCs w:val="20"/>
              </w:rPr>
            </w:pPr>
            <w:r w:rsidRPr="00AB34C7">
              <w:rPr>
                <w:rFonts w:ascii="Arial Narrow" w:hAnsi="Arial Narrow"/>
                <w:sz w:val="20"/>
                <w:szCs w:val="20"/>
              </w:rPr>
              <w:t>Imbruvica</w:t>
            </w:r>
          </w:p>
        </w:tc>
      </w:tr>
      <w:tr w:rsidR="002A3D73" w:rsidRPr="00AB34C7" w14:paraId="76DA76EA" w14:textId="77777777" w:rsidTr="00612665">
        <w:trPr>
          <w:cantSplit/>
          <w:trHeight w:val="20"/>
        </w:trPr>
        <w:tc>
          <w:tcPr>
            <w:tcW w:w="5000" w:type="pct"/>
            <w:gridSpan w:val="6"/>
            <w:vAlign w:val="center"/>
          </w:tcPr>
          <w:p w14:paraId="16F602EA" w14:textId="2ABB3478" w:rsidR="002A3D73" w:rsidRPr="00AB34C7" w:rsidRDefault="002A3D73" w:rsidP="001C30EF">
            <w:pPr>
              <w:keepNext/>
              <w:jc w:val="left"/>
              <w:rPr>
                <w:rFonts w:ascii="Arial Narrow" w:hAnsi="Arial Narrow"/>
                <w:b/>
                <w:bCs/>
                <w:sz w:val="20"/>
                <w:szCs w:val="20"/>
              </w:rPr>
            </w:pPr>
            <w:r w:rsidRPr="00AB34C7">
              <w:rPr>
                <w:rFonts w:ascii="Arial Narrow" w:hAnsi="Arial Narrow"/>
                <w:b/>
                <w:bCs/>
                <w:sz w:val="20"/>
                <w:szCs w:val="20"/>
              </w:rPr>
              <w:t>Second continuing treatment (treatment cycles 10-15)</w:t>
            </w:r>
            <w:r w:rsidR="0042472D" w:rsidRPr="00AB34C7">
              <w:rPr>
                <w:rFonts w:ascii="Arial Narrow" w:hAnsi="Arial Narrow"/>
                <w:b/>
                <w:bCs/>
                <w:sz w:val="20"/>
                <w:szCs w:val="20"/>
              </w:rPr>
              <w:t xml:space="preserve"> in first-line therapy</w:t>
            </w:r>
          </w:p>
        </w:tc>
      </w:tr>
      <w:tr w:rsidR="002A3D73" w:rsidRPr="00AB34C7" w14:paraId="63B706FB" w14:textId="77777777" w:rsidTr="00612665">
        <w:trPr>
          <w:cantSplit/>
          <w:trHeight w:val="20"/>
        </w:trPr>
        <w:tc>
          <w:tcPr>
            <w:tcW w:w="1333" w:type="pct"/>
          </w:tcPr>
          <w:p w14:paraId="3610D9C8" w14:textId="77777777" w:rsidR="002A3D73" w:rsidRPr="00AB34C7" w:rsidRDefault="002A3D73" w:rsidP="00286797">
            <w:pPr>
              <w:pStyle w:val="COMTabletext"/>
              <w:keepNext w:val="0"/>
              <w:rPr>
                <w:szCs w:val="20"/>
              </w:rPr>
            </w:pPr>
            <w:r w:rsidRPr="00AB34C7">
              <w:t xml:space="preserve">ibrutinib 140 mg capsule, 90 </w:t>
            </w:r>
          </w:p>
        </w:tc>
        <w:tc>
          <w:tcPr>
            <w:tcW w:w="628" w:type="pct"/>
            <w:vAlign w:val="center"/>
          </w:tcPr>
          <w:p w14:paraId="3F7FA15A" w14:textId="77777777" w:rsidR="002A3D73" w:rsidRPr="00AB34C7" w:rsidRDefault="002A3D73" w:rsidP="00286797">
            <w:pPr>
              <w:pStyle w:val="COMTabletext"/>
              <w:jc w:val="center"/>
              <w:rPr>
                <w:szCs w:val="20"/>
              </w:rPr>
            </w:pPr>
            <w:r w:rsidRPr="00AB34C7">
              <w:t>1</w:t>
            </w:r>
          </w:p>
        </w:tc>
        <w:tc>
          <w:tcPr>
            <w:tcW w:w="629" w:type="pct"/>
            <w:vAlign w:val="center"/>
          </w:tcPr>
          <w:p w14:paraId="1E5DCF6A" w14:textId="77777777" w:rsidR="002A3D73" w:rsidRPr="00AB34C7" w:rsidRDefault="002A3D73" w:rsidP="00286797">
            <w:pPr>
              <w:pStyle w:val="COMTabletext"/>
              <w:jc w:val="center"/>
              <w:rPr>
                <w:szCs w:val="20"/>
              </w:rPr>
            </w:pPr>
            <w:r w:rsidRPr="00AB34C7">
              <w:t>90</w:t>
            </w:r>
          </w:p>
        </w:tc>
        <w:tc>
          <w:tcPr>
            <w:tcW w:w="629" w:type="pct"/>
            <w:vAlign w:val="center"/>
          </w:tcPr>
          <w:p w14:paraId="0FEAE78F" w14:textId="77777777" w:rsidR="002A3D73" w:rsidRPr="00AB34C7" w:rsidRDefault="002A3D73" w:rsidP="00286797">
            <w:pPr>
              <w:pStyle w:val="COMTabletext"/>
              <w:jc w:val="center"/>
              <w:rPr>
                <w:szCs w:val="20"/>
              </w:rPr>
            </w:pPr>
            <w:r w:rsidRPr="00AB34C7">
              <w:t>4</w:t>
            </w:r>
          </w:p>
        </w:tc>
        <w:tc>
          <w:tcPr>
            <w:tcW w:w="1101" w:type="pct"/>
          </w:tcPr>
          <w:p w14:paraId="41C20874" w14:textId="77777777" w:rsidR="002A3D73" w:rsidRPr="00AB34C7" w:rsidRDefault="002A3D73" w:rsidP="00286797">
            <w:pPr>
              <w:pStyle w:val="COMTabletext"/>
              <w:keepLines/>
              <w:jc w:val="center"/>
            </w:pPr>
            <w:r w:rsidRPr="00AB34C7">
              <w:t>$7,953.68 (published)</w:t>
            </w:r>
          </w:p>
          <w:p w14:paraId="4BCB2A20" w14:textId="6658B8F4" w:rsidR="002A3D73" w:rsidRPr="00AB34C7" w:rsidRDefault="002A3D73" w:rsidP="00612665">
            <w:pPr>
              <w:pStyle w:val="COMTabletext"/>
              <w:jc w:val="center"/>
            </w:pPr>
            <w:r w:rsidRPr="00AB34C7">
              <w:t>$</w:t>
            </w:r>
            <w:r w:rsidR="003666AE" w:rsidRPr="003666AE">
              <w:rPr>
                <w:rFonts w:hint="eastAsia"/>
                <w:color w:val="000000"/>
                <w:w w:val="33"/>
                <w:shd w:val="solid" w:color="000000" w:fill="000000"/>
                <w:fitText w:val="150" w:id="-962325239"/>
                <w14:textFill>
                  <w14:solidFill>
                    <w14:srgbClr w14:val="000000">
                      <w14:alpha w14:val="100000"/>
                    </w14:srgbClr>
                  </w14:solidFill>
                </w14:textFill>
              </w:rPr>
              <w:t xml:space="preserve">　</w:t>
            </w:r>
            <w:r w:rsidR="003666AE" w:rsidRPr="003666AE">
              <w:rPr>
                <w:color w:val="000000"/>
                <w:w w:val="33"/>
                <w:shd w:val="solid" w:color="000000" w:fill="000000"/>
                <w:fitText w:val="150" w:id="-962325239"/>
                <w14:textFill>
                  <w14:solidFill>
                    <w14:srgbClr w14:val="000000">
                      <w14:alpha w14:val="100000"/>
                    </w14:srgbClr>
                  </w14:solidFill>
                </w14:textFill>
              </w:rPr>
              <w:t>|</w:t>
            </w:r>
            <w:r w:rsidR="003666AE" w:rsidRPr="003666AE">
              <w:rPr>
                <w:rFonts w:hint="eastAsia"/>
                <w:color w:val="000000"/>
                <w:w w:val="33"/>
                <w:shd w:val="solid" w:color="000000" w:fill="000000"/>
                <w:fitText w:val="150" w:id="-962325239"/>
                <w14:textFill>
                  <w14:solidFill>
                    <w14:srgbClr w14:val="000000">
                      <w14:alpha w14:val="100000"/>
                    </w14:srgbClr>
                  </w14:solidFill>
                </w14:textFill>
              </w:rPr>
              <w:t xml:space="preserve">　</w:t>
            </w:r>
            <w:r w:rsidRPr="00AB34C7">
              <w:t xml:space="preserve"> (effective) </w:t>
            </w:r>
            <w:r w:rsidRPr="00AB34C7">
              <w:rPr>
                <w:vertAlign w:val="superscript"/>
              </w:rPr>
              <w:t>a</w:t>
            </w:r>
          </w:p>
        </w:tc>
        <w:tc>
          <w:tcPr>
            <w:tcW w:w="680" w:type="pct"/>
            <w:vAlign w:val="center"/>
          </w:tcPr>
          <w:p w14:paraId="4C1BDB40" w14:textId="77777777" w:rsidR="002A3D73" w:rsidRPr="00AB34C7" w:rsidRDefault="002A3D73" w:rsidP="00286797">
            <w:pPr>
              <w:jc w:val="center"/>
              <w:rPr>
                <w:rFonts w:ascii="Arial Narrow" w:hAnsi="Arial Narrow"/>
                <w:sz w:val="20"/>
                <w:szCs w:val="20"/>
              </w:rPr>
            </w:pPr>
            <w:r w:rsidRPr="00AB34C7">
              <w:rPr>
                <w:rFonts w:ascii="Arial Narrow" w:hAnsi="Arial Narrow"/>
                <w:sz w:val="20"/>
                <w:szCs w:val="20"/>
              </w:rPr>
              <w:t>Imbruvica</w:t>
            </w:r>
          </w:p>
        </w:tc>
      </w:tr>
      <w:tr w:rsidR="002A3D73" w:rsidRPr="00AB34C7" w14:paraId="6702D2EF" w14:textId="77777777" w:rsidTr="00612665">
        <w:trPr>
          <w:cantSplit/>
          <w:trHeight w:val="20"/>
        </w:trPr>
        <w:tc>
          <w:tcPr>
            <w:tcW w:w="1333" w:type="pct"/>
          </w:tcPr>
          <w:p w14:paraId="7F93B820" w14:textId="77777777" w:rsidR="002A3D73" w:rsidRPr="00AB34C7" w:rsidRDefault="002A3D73" w:rsidP="00286797">
            <w:pPr>
              <w:pStyle w:val="COMTabletext"/>
              <w:keepNext w:val="0"/>
              <w:rPr>
                <w:szCs w:val="20"/>
              </w:rPr>
            </w:pPr>
            <w:r w:rsidRPr="00AB34C7">
              <w:t xml:space="preserve">ibrutinib 280 mg tablet, 30 </w:t>
            </w:r>
          </w:p>
        </w:tc>
        <w:tc>
          <w:tcPr>
            <w:tcW w:w="628" w:type="pct"/>
            <w:vAlign w:val="center"/>
          </w:tcPr>
          <w:p w14:paraId="610BA7DF" w14:textId="77777777" w:rsidR="002A3D73" w:rsidRPr="00AB34C7" w:rsidRDefault="002A3D73" w:rsidP="00286797">
            <w:pPr>
              <w:pStyle w:val="COMTabletext"/>
              <w:jc w:val="center"/>
              <w:rPr>
                <w:szCs w:val="20"/>
              </w:rPr>
            </w:pPr>
            <w:r w:rsidRPr="00AB34C7">
              <w:t>1</w:t>
            </w:r>
          </w:p>
        </w:tc>
        <w:tc>
          <w:tcPr>
            <w:tcW w:w="629" w:type="pct"/>
            <w:vAlign w:val="center"/>
          </w:tcPr>
          <w:p w14:paraId="173406C8" w14:textId="77777777" w:rsidR="002A3D73" w:rsidRPr="00AB34C7" w:rsidRDefault="002A3D73" w:rsidP="00286797">
            <w:pPr>
              <w:pStyle w:val="COMTabletext"/>
              <w:jc w:val="center"/>
              <w:rPr>
                <w:szCs w:val="20"/>
              </w:rPr>
            </w:pPr>
            <w:r w:rsidRPr="00AB34C7">
              <w:t>30</w:t>
            </w:r>
          </w:p>
        </w:tc>
        <w:tc>
          <w:tcPr>
            <w:tcW w:w="629" w:type="pct"/>
            <w:vAlign w:val="center"/>
          </w:tcPr>
          <w:p w14:paraId="41F4E84B" w14:textId="77777777" w:rsidR="002A3D73" w:rsidRPr="00AB34C7" w:rsidRDefault="002A3D73" w:rsidP="00286797">
            <w:pPr>
              <w:pStyle w:val="COMTabletext"/>
              <w:jc w:val="center"/>
              <w:rPr>
                <w:szCs w:val="20"/>
              </w:rPr>
            </w:pPr>
            <w:r w:rsidRPr="00AB34C7">
              <w:t>4</w:t>
            </w:r>
          </w:p>
        </w:tc>
        <w:tc>
          <w:tcPr>
            <w:tcW w:w="1101" w:type="pct"/>
          </w:tcPr>
          <w:p w14:paraId="6B806394" w14:textId="77777777" w:rsidR="002A3D73" w:rsidRPr="00AB34C7" w:rsidRDefault="002A3D73" w:rsidP="00286797">
            <w:pPr>
              <w:pStyle w:val="COMTabletext"/>
              <w:keepLines/>
              <w:jc w:val="center"/>
            </w:pPr>
            <w:r w:rsidRPr="00AB34C7">
              <w:t>$5,356.49 (published)</w:t>
            </w:r>
          </w:p>
          <w:p w14:paraId="377918E8" w14:textId="215A18F2" w:rsidR="002A3D73" w:rsidRPr="00AB34C7" w:rsidRDefault="002A3D73" w:rsidP="00612665">
            <w:pPr>
              <w:pStyle w:val="COMTabletext"/>
              <w:jc w:val="center"/>
            </w:pPr>
            <w:r w:rsidRPr="00AB34C7">
              <w:t>$</w:t>
            </w:r>
            <w:r w:rsidR="003666AE" w:rsidRPr="003666AE">
              <w:rPr>
                <w:rFonts w:hint="eastAsia"/>
                <w:color w:val="000000"/>
                <w:w w:val="33"/>
                <w:shd w:val="solid" w:color="000000" w:fill="000000"/>
                <w:fitText w:val="150" w:id="-962325238"/>
                <w14:textFill>
                  <w14:solidFill>
                    <w14:srgbClr w14:val="000000">
                      <w14:alpha w14:val="100000"/>
                    </w14:srgbClr>
                  </w14:solidFill>
                </w14:textFill>
              </w:rPr>
              <w:t xml:space="preserve">　</w:t>
            </w:r>
            <w:r w:rsidR="003666AE" w:rsidRPr="003666AE">
              <w:rPr>
                <w:color w:val="000000"/>
                <w:w w:val="33"/>
                <w:shd w:val="solid" w:color="000000" w:fill="000000"/>
                <w:fitText w:val="150" w:id="-962325238"/>
                <w14:textFill>
                  <w14:solidFill>
                    <w14:srgbClr w14:val="000000">
                      <w14:alpha w14:val="100000"/>
                    </w14:srgbClr>
                  </w14:solidFill>
                </w14:textFill>
              </w:rPr>
              <w:t>|</w:t>
            </w:r>
            <w:r w:rsidR="003666AE" w:rsidRPr="003666AE">
              <w:rPr>
                <w:rFonts w:hint="eastAsia"/>
                <w:color w:val="000000"/>
                <w:w w:val="33"/>
                <w:shd w:val="solid" w:color="000000" w:fill="000000"/>
                <w:fitText w:val="150" w:id="-962325238"/>
                <w14:textFill>
                  <w14:solidFill>
                    <w14:srgbClr w14:val="000000">
                      <w14:alpha w14:val="100000"/>
                    </w14:srgbClr>
                  </w14:solidFill>
                </w14:textFill>
              </w:rPr>
              <w:t xml:space="preserve">　</w:t>
            </w:r>
            <w:r w:rsidRPr="00AB34C7">
              <w:t xml:space="preserve"> (effective) </w:t>
            </w:r>
            <w:r w:rsidRPr="00AB34C7">
              <w:rPr>
                <w:vertAlign w:val="superscript"/>
              </w:rPr>
              <w:t>a</w:t>
            </w:r>
          </w:p>
        </w:tc>
        <w:tc>
          <w:tcPr>
            <w:tcW w:w="680" w:type="pct"/>
            <w:vAlign w:val="center"/>
          </w:tcPr>
          <w:p w14:paraId="3BBD44BD" w14:textId="77777777" w:rsidR="002A3D73" w:rsidRPr="00AB34C7" w:rsidRDefault="002A3D73" w:rsidP="00286797">
            <w:pPr>
              <w:jc w:val="center"/>
              <w:rPr>
                <w:rFonts w:ascii="Arial Narrow" w:hAnsi="Arial Narrow"/>
                <w:sz w:val="20"/>
                <w:szCs w:val="20"/>
              </w:rPr>
            </w:pPr>
            <w:r w:rsidRPr="00AB34C7">
              <w:rPr>
                <w:rFonts w:ascii="Arial Narrow" w:hAnsi="Arial Narrow"/>
                <w:sz w:val="20"/>
                <w:szCs w:val="20"/>
              </w:rPr>
              <w:t>Imbruvica</w:t>
            </w:r>
          </w:p>
        </w:tc>
      </w:tr>
      <w:tr w:rsidR="002A3D73" w:rsidRPr="00AB34C7" w14:paraId="7A89F3D0" w14:textId="77777777" w:rsidTr="00612665">
        <w:trPr>
          <w:cantSplit/>
          <w:trHeight w:val="20"/>
        </w:trPr>
        <w:tc>
          <w:tcPr>
            <w:tcW w:w="1333" w:type="pct"/>
          </w:tcPr>
          <w:p w14:paraId="72631794" w14:textId="77777777" w:rsidR="002A3D73" w:rsidRPr="00AB34C7" w:rsidRDefault="002A3D73" w:rsidP="00286797">
            <w:pPr>
              <w:pStyle w:val="COMTabletext"/>
              <w:keepNext w:val="0"/>
              <w:rPr>
                <w:szCs w:val="20"/>
              </w:rPr>
            </w:pPr>
            <w:r w:rsidRPr="00AB34C7">
              <w:t xml:space="preserve">ibrutinib 420 mg tablet, 30 </w:t>
            </w:r>
          </w:p>
        </w:tc>
        <w:tc>
          <w:tcPr>
            <w:tcW w:w="628" w:type="pct"/>
            <w:vAlign w:val="center"/>
          </w:tcPr>
          <w:p w14:paraId="5E8C732A" w14:textId="77777777" w:rsidR="002A3D73" w:rsidRPr="00AB34C7" w:rsidRDefault="002A3D73" w:rsidP="00286797">
            <w:pPr>
              <w:pStyle w:val="COMTabletext"/>
              <w:jc w:val="center"/>
              <w:rPr>
                <w:szCs w:val="20"/>
              </w:rPr>
            </w:pPr>
            <w:r w:rsidRPr="00AB34C7">
              <w:t>1</w:t>
            </w:r>
          </w:p>
        </w:tc>
        <w:tc>
          <w:tcPr>
            <w:tcW w:w="629" w:type="pct"/>
            <w:vAlign w:val="center"/>
          </w:tcPr>
          <w:p w14:paraId="4D2AE966" w14:textId="77777777" w:rsidR="002A3D73" w:rsidRPr="00AB34C7" w:rsidRDefault="002A3D73" w:rsidP="00286797">
            <w:pPr>
              <w:pStyle w:val="COMTabletext"/>
              <w:jc w:val="center"/>
              <w:rPr>
                <w:szCs w:val="20"/>
              </w:rPr>
            </w:pPr>
            <w:r w:rsidRPr="00AB34C7">
              <w:t>30</w:t>
            </w:r>
          </w:p>
        </w:tc>
        <w:tc>
          <w:tcPr>
            <w:tcW w:w="629" w:type="pct"/>
            <w:vAlign w:val="center"/>
          </w:tcPr>
          <w:p w14:paraId="0248D16A" w14:textId="77777777" w:rsidR="002A3D73" w:rsidRPr="00AB34C7" w:rsidRDefault="002A3D73" w:rsidP="00286797">
            <w:pPr>
              <w:pStyle w:val="COMTabletext"/>
              <w:jc w:val="center"/>
              <w:rPr>
                <w:szCs w:val="20"/>
              </w:rPr>
            </w:pPr>
            <w:r w:rsidRPr="00AB34C7">
              <w:t>4</w:t>
            </w:r>
          </w:p>
        </w:tc>
        <w:tc>
          <w:tcPr>
            <w:tcW w:w="1101" w:type="pct"/>
          </w:tcPr>
          <w:p w14:paraId="3E967D70" w14:textId="77777777" w:rsidR="002A3D73" w:rsidRPr="00AB34C7" w:rsidRDefault="002A3D73" w:rsidP="00286797">
            <w:pPr>
              <w:pStyle w:val="COMTabletext"/>
              <w:keepLines/>
              <w:jc w:val="center"/>
            </w:pPr>
            <w:r w:rsidRPr="00AB34C7">
              <w:t>$7,953.68 (published)</w:t>
            </w:r>
          </w:p>
          <w:p w14:paraId="2E5718CB" w14:textId="32FF6FE5" w:rsidR="002A3D73" w:rsidRPr="00AB34C7" w:rsidRDefault="002A3D73" w:rsidP="00612665">
            <w:pPr>
              <w:pStyle w:val="COMTabletext"/>
              <w:jc w:val="center"/>
            </w:pPr>
            <w:r w:rsidRPr="00AB34C7">
              <w:t>$</w:t>
            </w:r>
            <w:r w:rsidR="003666AE" w:rsidRPr="003666AE">
              <w:rPr>
                <w:rFonts w:hint="eastAsia"/>
                <w:color w:val="000000"/>
                <w:w w:val="33"/>
                <w:shd w:val="solid" w:color="000000" w:fill="000000"/>
                <w:fitText w:val="150" w:id="-962325237"/>
                <w14:textFill>
                  <w14:solidFill>
                    <w14:srgbClr w14:val="000000">
                      <w14:alpha w14:val="100000"/>
                    </w14:srgbClr>
                  </w14:solidFill>
                </w14:textFill>
              </w:rPr>
              <w:t xml:space="preserve">　</w:t>
            </w:r>
            <w:r w:rsidR="003666AE" w:rsidRPr="003666AE">
              <w:rPr>
                <w:color w:val="000000"/>
                <w:w w:val="33"/>
                <w:shd w:val="solid" w:color="000000" w:fill="000000"/>
                <w:fitText w:val="150" w:id="-962325237"/>
                <w14:textFill>
                  <w14:solidFill>
                    <w14:srgbClr w14:val="000000">
                      <w14:alpha w14:val="100000"/>
                    </w14:srgbClr>
                  </w14:solidFill>
                </w14:textFill>
              </w:rPr>
              <w:t>|</w:t>
            </w:r>
            <w:r w:rsidR="003666AE" w:rsidRPr="003666AE">
              <w:rPr>
                <w:rFonts w:hint="eastAsia"/>
                <w:color w:val="000000"/>
                <w:w w:val="33"/>
                <w:shd w:val="solid" w:color="000000" w:fill="000000"/>
                <w:fitText w:val="150" w:id="-962325237"/>
                <w14:textFill>
                  <w14:solidFill>
                    <w14:srgbClr w14:val="000000">
                      <w14:alpha w14:val="100000"/>
                    </w14:srgbClr>
                  </w14:solidFill>
                </w14:textFill>
              </w:rPr>
              <w:t xml:space="preserve">　</w:t>
            </w:r>
            <w:r w:rsidRPr="00AB34C7">
              <w:t xml:space="preserve"> (effective) </w:t>
            </w:r>
            <w:r w:rsidRPr="00AB34C7">
              <w:rPr>
                <w:vertAlign w:val="superscript"/>
              </w:rPr>
              <w:t>a</w:t>
            </w:r>
          </w:p>
        </w:tc>
        <w:tc>
          <w:tcPr>
            <w:tcW w:w="680" w:type="pct"/>
            <w:vAlign w:val="center"/>
          </w:tcPr>
          <w:p w14:paraId="5E5EEBD3" w14:textId="77777777" w:rsidR="002A3D73" w:rsidRPr="00AB34C7" w:rsidRDefault="002A3D73" w:rsidP="00286797">
            <w:pPr>
              <w:jc w:val="center"/>
              <w:rPr>
                <w:rFonts w:ascii="Arial Narrow" w:hAnsi="Arial Narrow"/>
                <w:sz w:val="20"/>
                <w:szCs w:val="20"/>
              </w:rPr>
            </w:pPr>
            <w:r w:rsidRPr="00AB34C7">
              <w:rPr>
                <w:rFonts w:ascii="Arial Narrow" w:hAnsi="Arial Narrow"/>
                <w:sz w:val="20"/>
                <w:szCs w:val="20"/>
              </w:rPr>
              <w:t>Imbruvica</w:t>
            </w:r>
          </w:p>
        </w:tc>
      </w:tr>
    </w:tbl>
    <w:p w14:paraId="22FF6BE9" w14:textId="77777777" w:rsidR="001309BB" w:rsidRPr="00AB34C7" w:rsidRDefault="001309BB" w:rsidP="00AE6526">
      <w:pPr>
        <w:rPr>
          <w:highlight w:val="yellow"/>
        </w:rPr>
      </w:pPr>
    </w:p>
    <w:tbl>
      <w:tblPr>
        <w:tblW w:w="510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214"/>
      </w:tblGrid>
      <w:tr w:rsidR="00BF436A" w:rsidRPr="00AB34C7" w14:paraId="4C3C6DD3" w14:textId="77777777" w:rsidTr="009556D8">
        <w:trPr>
          <w:cantSplit/>
          <w:trHeight w:val="20"/>
        </w:trPr>
        <w:tc>
          <w:tcPr>
            <w:tcW w:w="9214" w:type="dxa"/>
          </w:tcPr>
          <w:p w14:paraId="0CD7C20F" w14:textId="77777777" w:rsidR="00BF436A" w:rsidRPr="00AB34C7" w:rsidRDefault="00BF436A" w:rsidP="00507D72">
            <w:pPr>
              <w:pStyle w:val="COMTabletext"/>
              <w:keepNext w:val="0"/>
              <w:rPr>
                <w:color w:val="000000" w:themeColor="text1"/>
              </w:rPr>
            </w:pPr>
            <w:r w:rsidRPr="00AB34C7">
              <w:rPr>
                <w:b/>
                <w:color w:val="000000" w:themeColor="text1"/>
              </w:rPr>
              <w:t xml:space="preserve">Category / Program: </w:t>
            </w:r>
            <w:r w:rsidRPr="00AB34C7">
              <w:rPr>
                <w:color w:val="000000" w:themeColor="text1"/>
              </w:rPr>
              <w:t>General Schedule</w:t>
            </w:r>
          </w:p>
        </w:tc>
      </w:tr>
      <w:tr w:rsidR="00BF436A" w:rsidRPr="00AB34C7" w14:paraId="5ED102A4" w14:textId="77777777" w:rsidTr="009556D8">
        <w:trPr>
          <w:cantSplit/>
          <w:trHeight w:val="20"/>
        </w:trPr>
        <w:tc>
          <w:tcPr>
            <w:tcW w:w="9214" w:type="dxa"/>
          </w:tcPr>
          <w:p w14:paraId="454E1038" w14:textId="0621A057" w:rsidR="00BF436A" w:rsidRPr="00AB34C7" w:rsidRDefault="00BF436A" w:rsidP="00507D72">
            <w:pPr>
              <w:pStyle w:val="COMTabletext"/>
              <w:keepNext w:val="0"/>
              <w:rPr>
                <w:b/>
                <w:color w:val="000000" w:themeColor="text1"/>
              </w:rPr>
            </w:pPr>
            <w:r w:rsidRPr="00AB34C7">
              <w:rPr>
                <w:b/>
                <w:color w:val="000000" w:themeColor="text1"/>
              </w:rPr>
              <w:t xml:space="preserve">Prescriber type: </w:t>
            </w:r>
            <w:r w:rsidRPr="00AB34C7">
              <w:rPr>
                <w:color w:val="000000" w:themeColor="text1"/>
              </w:rPr>
              <w:fldChar w:fldCharType="begin" w:fldLock="1">
                <w:ffData>
                  <w:name w:val=""/>
                  <w:enabled/>
                  <w:calcOnExit w:val="0"/>
                  <w:checkBox>
                    <w:sizeAuto/>
                    <w:default w:val="1"/>
                  </w:checkBox>
                </w:ffData>
              </w:fldChar>
            </w:r>
            <w:r w:rsidRPr="00AB34C7">
              <w:rPr>
                <w:color w:val="000000" w:themeColor="text1"/>
              </w:rPr>
              <w:instrText xml:space="preserve"> FORMCHECKBOX </w:instrText>
            </w:r>
            <w:r w:rsidR="00000000">
              <w:rPr>
                <w:color w:val="000000" w:themeColor="text1"/>
              </w:rPr>
            </w:r>
            <w:r w:rsidR="00000000">
              <w:rPr>
                <w:color w:val="000000" w:themeColor="text1"/>
              </w:rPr>
              <w:fldChar w:fldCharType="separate"/>
            </w:r>
            <w:r w:rsidRPr="00AB34C7">
              <w:rPr>
                <w:color w:val="000000" w:themeColor="text1"/>
              </w:rPr>
              <w:fldChar w:fldCharType="end"/>
            </w:r>
            <w:r w:rsidRPr="00AB34C7">
              <w:rPr>
                <w:color w:val="000000" w:themeColor="text1"/>
              </w:rPr>
              <w:t xml:space="preserve">Medical Practitioners </w:t>
            </w:r>
          </w:p>
        </w:tc>
      </w:tr>
      <w:tr w:rsidR="00BF436A" w:rsidRPr="00AB34C7" w14:paraId="4926AF9D" w14:textId="77777777" w:rsidTr="009556D8">
        <w:trPr>
          <w:cantSplit/>
          <w:trHeight w:val="20"/>
        </w:trPr>
        <w:tc>
          <w:tcPr>
            <w:tcW w:w="9214" w:type="dxa"/>
          </w:tcPr>
          <w:p w14:paraId="135F46AA" w14:textId="2A183552" w:rsidR="00BF436A" w:rsidRPr="00AB34C7" w:rsidRDefault="00BF436A" w:rsidP="00507D72">
            <w:pPr>
              <w:pStyle w:val="COMTabletext"/>
              <w:keepNext w:val="0"/>
              <w:rPr>
                <w:rFonts w:eastAsia="Times New Roman"/>
                <w:color w:val="000000" w:themeColor="text1"/>
              </w:rPr>
            </w:pPr>
            <w:r w:rsidRPr="00AB34C7">
              <w:rPr>
                <w:b/>
                <w:color w:val="000000" w:themeColor="text1"/>
              </w:rPr>
              <w:lastRenderedPageBreak/>
              <w:t xml:space="preserve">Restriction type: </w:t>
            </w:r>
            <w:r w:rsidRPr="00AB34C7">
              <w:rPr>
                <w:rFonts w:eastAsia="Times New Roman"/>
                <w:color w:val="000000" w:themeColor="text1"/>
              </w:rPr>
              <w:fldChar w:fldCharType="begin" w:fldLock="1">
                <w:ffData>
                  <w:name w:val=""/>
                  <w:enabled/>
                  <w:calcOnExit w:val="0"/>
                  <w:checkBox>
                    <w:sizeAuto/>
                    <w:default w:val="1"/>
                  </w:checkBox>
                </w:ffData>
              </w:fldChar>
            </w:r>
            <w:r w:rsidRPr="00AB34C7">
              <w:rPr>
                <w:rFonts w:eastAsia="Times New Roman"/>
                <w:color w:val="000000" w:themeColor="text1"/>
              </w:rPr>
              <w:instrText xml:space="preserve"> FORMCHECKBOX </w:instrText>
            </w:r>
            <w:r w:rsidR="00000000">
              <w:rPr>
                <w:rFonts w:eastAsia="Times New Roman"/>
                <w:color w:val="000000" w:themeColor="text1"/>
              </w:rPr>
            </w:r>
            <w:r w:rsidR="00000000">
              <w:rPr>
                <w:rFonts w:eastAsia="Times New Roman"/>
                <w:color w:val="000000" w:themeColor="text1"/>
              </w:rPr>
              <w:fldChar w:fldCharType="separate"/>
            </w:r>
            <w:r w:rsidRPr="00AB34C7">
              <w:rPr>
                <w:rFonts w:eastAsia="Times New Roman"/>
                <w:color w:val="000000" w:themeColor="text1"/>
              </w:rPr>
              <w:fldChar w:fldCharType="end"/>
            </w:r>
            <w:r w:rsidR="004F688B" w:rsidRPr="00AB34C7">
              <w:rPr>
                <w:rFonts w:eastAsia="Times New Roman"/>
              </w:rPr>
              <w:t xml:space="preserve"> Authority Required (telephone/online </w:t>
            </w:r>
            <w:r w:rsidR="00E55C43" w:rsidRPr="00AB34C7">
              <w:rPr>
                <w:rFonts w:eastAsia="Times New Roman"/>
              </w:rPr>
              <w:t xml:space="preserve">via </w:t>
            </w:r>
            <w:r w:rsidR="004F688B" w:rsidRPr="00AB34C7">
              <w:rPr>
                <w:rFonts w:eastAsia="Times New Roman"/>
              </w:rPr>
              <w:t>PBS Authorities system)</w:t>
            </w:r>
          </w:p>
        </w:tc>
      </w:tr>
      <w:tr w:rsidR="00BF436A" w:rsidRPr="00AB34C7" w14:paraId="6E543D3E" w14:textId="77777777" w:rsidTr="009556D8">
        <w:trPr>
          <w:cantSplit/>
          <w:trHeight w:val="20"/>
        </w:trPr>
        <w:tc>
          <w:tcPr>
            <w:tcW w:w="9214" w:type="dxa"/>
            <w:vAlign w:val="center"/>
          </w:tcPr>
          <w:p w14:paraId="6C2BFB4A" w14:textId="7101D105" w:rsidR="00BF436A" w:rsidRPr="00AB34C7" w:rsidRDefault="00BF436A" w:rsidP="00507D72">
            <w:pPr>
              <w:pStyle w:val="COMTabletext"/>
              <w:keepNext w:val="0"/>
              <w:rPr>
                <w:b/>
                <w:strike/>
                <w:color w:val="000000" w:themeColor="text1"/>
              </w:rPr>
            </w:pPr>
            <w:r w:rsidRPr="00AB34C7">
              <w:rPr>
                <w:b/>
                <w:strike/>
                <w:color w:val="000000" w:themeColor="text1"/>
              </w:rPr>
              <w:t xml:space="preserve">Condition: </w:t>
            </w:r>
            <w:r w:rsidR="004F688B" w:rsidRPr="00AB34C7">
              <w:rPr>
                <w:strike/>
              </w:rPr>
              <w:t>Chronic lymphocytic leukaemia (CLL) or small lymphocytic lymphoma (SLL)</w:t>
            </w:r>
          </w:p>
        </w:tc>
      </w:tr>
      <w:tr w:rsidR="00722016" w:rsidRPr="00AB34C7" w14:paraId="146FEE9E" w14:textId="77777777" w:rsidTr="009556D8">
        <w:trPr>
          <w:cantSplit/>
          <w:trHeight w:val="20"/>
        </w:trPr>
        <w:tc>
          <w:tcPr>
            <w:tcW w:w="9214" w:type="dxa"/>
            <w:tcBorders>
              <w:bottom w:val="single" w:sz="4" w:space="0" w:color="auto"/>
            </w:tcBorders>
            <w:vAlign w:val="center"/>
          </w:tcPr>
          <w:p w14:paraId="45F99FB0" w14:textId="5754BBB4" w:rsidR="00722016" w:rsidRPr="00AB34C7" w:rsidRDefault="00722016" w:rsidP="00507D72">
            <w:pPr>
              <w:pStyle w:val="COMTabletext"/>
              <w:keepNext w:val="0"/>
              <w:rPr>
                <w:bCs w:val="0"/>
                <w:color w:val="000000" w:themeColor="text1"/>
              </w:rPr>
            </w:pPr>
            <w:r w:rsidRPr="00AB34C7">
              <w:rPr>
                <w:b/>
                <w:color w:val="000000" w:themeColor="text1"/>
              </w:rPr>
              <w:t xml:space="preserve">Indication: </w:t>
            </w:r>
            <w:r w:rsidRPr="00AB34C7">
              <w:t>Chronic lymphocytic leukaemia (CLL) or small lymphocytic lymphoma (SLL)</w:t>
            </w:r>
          </w:p>
        </w:tc>
      </w:tr>
      <w:tr w:rsidR="00BF436A" w:rsidRPr="00AB34C7" w14:paraId="11B5E2FF" w14:textId="77777777" w:rsidTr="009556D8">
        <w:trPr>
          <w:cantSplit/>
          <w:trHeight w:val="20"/>
        </w:trPr>
        <w:tc>
          <w:tcPr>
            <w:tcW w:w="9214" w:type="dxa"/>
            <w:tcBorders>
              <w:bottom w:val="single" w:sz="4" w:space="0" w:color="auto"/>
            </w:tcBorders>
            <w:vAlign w:val="center"/>
            <w:hideMark/>
          </w:tcPr>
          <w:p w14:paraId="30BE5B00" w14:textId="062A97DE" w:rsidR="00BF436A" w:rsidRPr="00AB34C7" w:rsidRDefault="00BF436A" w:rsidP="00507D72">
            <w:pPr>
              <w:pStyle w:val="COMTabletext"/>
              <w:keepNext w:val="0"/>
              <w:rPr>
                <w:color w:val="000000" w:themeColor="text1"/>
              </w:rPr>
            </w:pPr>
            <w:r w:rsidRPr="00AB34C7">
              <w:rPr>
                <w:b/>
                <w:color w:val="000000" w:themeColor="text1"/>
              </w:rPr>
              <w:t>Treatment Phase:</w:t>
            </w:r>
            <w:r w:rsidRPr="00AB34C7">
              <w:rPr>
                <w:color w:val="000000" w:themeColor="text1"/>
              </w:rPr>
              <w:t xml:space="preserve"> </w:t>
            </w:r>
            <w:r w:rsidR="00761495" w:rsidRPr="00AB34C7">
              <w:rPr>
                <w:rFonts w:eastAsia="Arial Narrow" w:cs="Arial Narrow"/>
                <w:color w:val="000000" w:themeColor="text1"/>
                <w:szCs w:val="20"/>
              </w:rPr>
              <w:t>Initial treatment in first-line therapy (treatment cycles 1 to 3 inclusive)</w:t>
            </w:r>
          </w:p>
        </w:tc>
      </w:tr>
      <w:tr w:rsidR="00BF436A" w:rsidRPr="00AB34C7" w14:paraId="6FE44871" w14:textId="77777777" w:rsidTr="009556D8">
        <w:trPr>
          <w:cantSplit/>
          <w:trHeight w:val="20"/>
        </w:trPr>
        <w:tc>
          <w:tcPr>
            <w:tcW w:w="9214" w:type="dxa"/>
            <w:tcBorders>
              <w:bottom w:val="single" w:sz="4" w:space="0" w:color="auto"/>
            </w:tcBorders>
            <w:vAlign w:val="center"/>
            <w:hideMark/>
          </w:tcPr>
          <w:p w14:paraId="48974FFC" w14:textId="77777777" w:rsidR="00BF436A" w:rsidRPr="00AB34C7" w:rsidRDefault="00BF436A" w:rsidP="00507D72">
            <w:pPr>
              <w:pStyle w:val="COMTabletext"/>
              <w:keepNext w:val="0"/>
              <w:rPr>
                <w:color w:val="000000" w:themeColor="text1"/>
                <w:szCs w:val="20"/>
              </w:rPr>
            </w:pPr>
            <w:r w:rsidRPr="00AB34C7">
              <w:rPr>
                <w:b/>
                <w:color w:val="000000" w:themeColor="text1"/>
                <w:szCs w:val="20"/>
              </w:rPr>
              <w:t>Clinical criteria:</w:t>
            </w:r>
          </w:p>
        </w:tc>
      </w:tr>
      <w:tr w:rsidR="00BF436A" w:rsidRPr="00AB34C7" w14:paraId="7F25E931" w14:textId="77777777" w:rsidTr="009556D8">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23BC0559" w14:textId="76C629D6" w:rsidR="00BF436A" w:rsidRPr="00AB34C7" w:rsidRDefault="009C3C3D" w:rsidP="00507D72">
            <w:pPr>
              <w:pStyle w:val="COMTabletext"/>
              <w:keepNext w:val="0"/>
              <w:rPr>
                <w:color w:val="000000" w:themeColor="text1"/>
                <w:szCs w:val="20"/>
              </w:rPr>
            </w:pPr>
            <w:r w:rsidRPr="00AB34C7">
              <w:rPr>
                <w:rFonts w:eastAsia="Arial Narrow" w:cs="Arial Narrow"/>
                <w:color w:val="000000" w:themeColor="text1"/>
                <w:szCs w:val="20"/>
              </w:rPr>
              <w:t>The condition must be untreated with drug treatment at the time of the first dose of this drug; OR</w:t>
            </w:r>
          </w:p>
        </w:tc>
      </w:tr>
      <w:tr w:rsidR="009C3C3D" w:rsidRPr="00AB34C7" w14:paraId="53AAE51B" w14:textId="77777777" w:rsidTr="009556D8">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4F7B990A" w14:textId="0ECFA648" w:rsidR="009C3C3D" w:rsidRPr="00AB34C7" w:rsidRDefault="009C3C3D" w:rsidP="00507D72">
            <w:pPr>
              <w:pStyle w:val="COMTabletext"/>
              <w:keepNext w:val="0"/>
              <w:rPr>
                <w:rFonts w:eastAsia="Arial Narrow" w:cs="Arial Narrow"/>
                <w:color w:val="000000" w:themeColor="text1"/>
                <w:szCs w:val="20"/>
              </w:rPr>
            </w:pPr>
            <w:r w:rsidRPr="00AB34C7">
              <w:rPr>
                <w:rFonts w:eastAsia="Arial Narrow" w:cs="Arial Narrow"/>
                <w:color w:val="000000" w:themeColor="text1"/>
                <w:szCs w:val="20"/>
              </w:rPr>
              <w:t>Patient must have developed an intolerance of a severity necessitating permanent treatment withdrawal following use of another drug PBS indicated as first-line drug treatment of CLL/SLL,</w:t>
            </w:r>
          </w:p>
        </w:tc>
      </w:tr>
      <w:tr w:rsidR="00BF436A" w:rsidRPr="00AB34C7" w14:paraId="1D589790" w14:textId="77777777" w:rsidTr="009556D8">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6C6FF00A" w14:textId="77777777" w:rsidR="00BF436A" w:rsidRPr="00AB34C7" w:rsidRDefault="00BF436A" w:rsidP="00507D72">
            <w:pPr>
              <w:pStyle w:val="COMTabletext"/>
              <w:keepNext w:val="0"/>
              <w:rPr>
                <w:color w:val="000000" w:themeColor="text1"/>
                <w:szCs w:val="20"/>
              </w:rPr>
            </w:pPr>
            <w:r w:rsidRPr="00AB34C7">
              <w:rPr>
                <w:rFonts w:eastAsia="Arial Narrow" w:cs="Arial Narrow"/>
                <w:b/>
                <w:color w:val="000000" w:themeColor="text1"/>
                <w:szCs w:val="20"/>
              </w:rPr>
              <w:t>AND</w:t>
            </w:r>
          </w:p>
        </w:tc>
      </w:tr>
      <w:tr w:rsidR="00BF436A" w:rsidRPr="00AB34C7" w14:paraId="27D67532" w14:textId="77777777" w:rsidTr="009556D8">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6ABB2063" w14:textId="77777777" w:rsidR="00BF436A" w:rsidRPr="00AB34C7" w:rsidRDefault="00BF436A" w:rsidP="00507D72">
            <w:pPr>
              <w:pStyle w:val="COMTabletext"/>
              <w:keepNext w:val="0"/>
              <w:rPr>
                <w:rFonts w:eastAsia="Arial Narrow" w:cs="Arial Narrow"/>
                <w:b/>
                <w:color w:val="000000" w:themeColor="text1"/>
                <w:szCs w:val="20"/>
              </w:rPr>
            </w:pPr>
            <w:r w:rsidRPr="00AB34C7">
              <w:rPr>
                <w:rFonts w:eastAsia="Arial Narrow" w:cs="Arial Narrow"/>
                <w:b/>
                <w:color w:val="000000" w:themeColor="text1"/>
                <w:szCs w:val="20"/>
              </w:rPr>
              <w:t>Clinical criteria:</w:t>
            </w:r>
          </w:p>
        </w:tc>
      </w:tr>
      <w:tr w:rsidR="00BF436A" w:rsidRPr="00AB34C7" w14:paraId="59F6B30E" w14:textId="77777777" w:rsidTr="009556D8">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695AC2F9" w14:textId="610DDA1C" w:rsidR="00BF436A" w:rsidRPr="00AB34C7" w:rsidRDefault="009C3C3D" w:rsidP="00507D72">
            <w:pPr>
              <w:pStyle w:val="COMTabletext"/>
              <w:keepNext w:val="0"/>
              <w:rPr>
                <w:color w:val="000000" w:themeColor="text1"/>
                <w:szCs w:val="20"/>
              </w:rPr>
            </w:pPr>
            <w:r w:rsidRPr="00AB34C7">
              <w:rPr>
                <w:rFonts w:eastAsia="Arial Narrow" w:cs="Arial Narrow"/>
                <w:color w:val="000000" w:themeColor="text1"/>
                <w:szCs w:val="20"/>
              </w:rPr>
              <w:t>The treatment must only be prescribed for a patient with active disease in accordance with the International Workshop on CLL (iwCLL) guidance (latest version) in relation to when to prescribe drug treatment for this condition,</w:t>
            </w:r>
          </w:p>
        </w:tc>
      </w:tr>
      <w:tr w:rsidR="00BF436A" w:rsidRPr="00AB34C7" w14:paraId="7CAB2501" w14:textId="77777777" w:rsidTr="009556D8">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68400FCD" w14:textId="77777777" w:rsidR="00BF436A" w:rsidRPr="00AB34C7" w:rsidRDefault="00BF436A" w:rsidP="00507D72">
            <w:pPr>
              <w:pStyle w:val="COMTabletext"/>
              <w:keepNext w:val="0"/>
              <w:rPr>
                <w:color w:val="000000" w:themeColor="text1"/>
                <w:szCs w:val="20"/>
              </w:rPr>
            </w:pPr>
            <w:r w:rsidRPr="00AB34C7">
              <w:rPr>
                <w:rFonts w:eastAsia="Arial Narrow" w:cs="Arial Narrow"/>
                <w:b/>
                <w:color w:val="000000" w:themeColor="text1"/>
                <w:szCs w:val="20"/>
              </w:rPr>
              <w:t>AND</w:t>
            </w:r>
          </w:p>
        </w:tc>
      </w:tr>
      <w:tr w:rsidR="00BF436A" w:rsidRPr="00AB34C7" w14:paraId="3810C083" w14:textId="77777777" w:rsidTr="009556D8">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4CB78907" w14:textId="77777777" w:rsidR="00BF436A" w:rsidRPr="00AB34C7" w:rsidRDefault="00BF436A" w:rsidP="00507D72">
            <w:pPr>
              <w:pStyle w:val="COMTabletext"/>
              <w:keepNext w:val="0"/>
              <w:rPr>
                <w:rFonts w:eastAsia="Arial Narrow" w:cs="Arial Narrow"/>
                <w:b/>
                <w:color w:val="000000" w:themeColor="text1"/>
                <w:szCs w:val="20"/>
              </w:rPr>
            </w:pPr>
            <w:r w:rsidRPr="00AB34C7">
              <w:rPr>
                <w:rFonts w:eastAsia="Arial Narrow" w:cs="Arial Narrow"/>
                <w:b/>
                <w:color w:val="000000" w:themeColor="text1"/>
                <w:szCs w:val="20"/>
              </w:rPr>
              <w:t>Clinical criteria:</w:t>
            </w:r>
          </w:p>
        </w:tc>
      </w:tr>
      <w:tr w:rsidR="00BF436A" w:rsidRPr="00AB34C7" w14:paraId="6B211BFC" w14:textId="77777777" w:rsidTr="009556D8">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75B63BCD" w14:textId="7105E558" w:rsidR="00BF436A" w:rsidRPr="00AB34C7" w:rsidRDefault="009C3C3D" w:rsidP="00507D72">
            <w:pPr>
              <w:pStyle w:val="COMTabletext"/>
              <w:keepNext w:val="0"/>
              <w:rPr>
                <w:color w:val="000000" w:themeColor="text1"/>
                <w:szCs w:val="20"/>
              </w:rPr>
            </w:pPr>
            <w:r w:rsidRPr="00AB34C7">
              <w:rPr>
                <w:rFonts w:eastAsia="Arial Narrow" w:cs="Arial Narrow"/>
                <w:color w:val="000000" w:themeColor="text1"/>
                <w:szCs w:val="20"/>
              </w:rPr>
              <w:t>The treatment must be in combination with venetoclax (refer to Product Information for timing of ibrutinib and venetoclax doses).</w:t>
            </w:r>
          </w:p>
        </w:tc>
      </w:tr>
      <w:tr w:rsidR="0036129D" w:rsidRPr="00AB34C7" w14:paraId="07B6A33E" w14:textId="77777777" w:rsidTr="009556D8">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017BDC14" w14:textId="04C82C8D" w:rsidR="0036129D" w:rsidRPr="00AB34C7" w:rsidRDefault="0036129D" w:rsidP="00507D72">
            <w:pPr>
              <w:pStyle w:val="COMTabletext"/>
              <w:keepNext w:val="0"/>
              <w:rPr>
                <w:rFonts w:eastAsia="Arial Narrow" w:cs="Arial Narrow"/>
                <w:b/>
                <w:bCs w:val="0"/>
                <w:color w:val="000000" w:themeColor="text1"/>
                <w:szCs w:val="20"/>
              </w:rPr>
            </w:pPr>
            <w:r w:rsidRPr="00AB34C7">
              <w:rPr>
                <w:rFonts w:eastAsia="Arial Narrow" w:cs="Arial Narrow"/>
                <w:b/>
                <w:bCs w:val="0"/>
                <w:color w:val="000000" w:themeColor="text1"/>
                <w:szCs w:val="20"/>
              </w:rPr>
              <w:t>Prescriber Instruction:</w:t>
            </w:r>
          </w:p>
        </w:tc>
      </w:tr>
      <w:tr w:rsidR="0036129D" w:rsidRPr="00AB34C7" w14:paraId="61E00BAA" w14:textId="77777777" w:rsidTr="009556D8">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0B3A97D9" w14:textId="41FC823F" w:rsidR="0036129D" w:rsidRPr="00AB34C7" w:rsidRDefault="0036129D" w:rsidP="00507D72">
            <w:pPr>
              <w:pStyle w:val="COMTabletext"/>
              <w:keepNext w:val="0"/>
              <w:rPr>
                <w:rFonts w:eastAsia="Arial Narrow" w:cs="Arial Narrow"/>
                <w:color w:val="000000" w:themeColor="text1"/>
                <w:szCs w:val="20"/>
              </w:rPr>
            </w:pPr>
            <w:r w:rsidRPr="00AB34C7">
              <w:rPr>
                <w:rFonts w:eastAsia="Arial Narrow" w:cs="Arial Narrow"/>
                <w:color w:val="000000" w:themeColor="text1"/>
                <w:szCs w:val="20"/>
              </w:rPr>
              <w:t>There are more ibrutinib capsules (or tablets) in a pack than is required for the completion of a treatment cycle. The patient must not discard any remaining capsules (or tablets) after the completion of any treatment cycle as these capsules (or tablets) will be required for the doses in the final treatment cycle (i.e. treatment cycle 15).</w:t>
            </w:r>
          </w:p>
        </w:tc>
      </w:tr>
      <w:tr w:rsidR="00761495" w:rsidRPr="00AB34C7" w14:paraId="587A2A95" w14:textId="77777777" w:rsidTr="009556D8">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5D607520" w14:textId="77777777" w:rsidR="00761495" w:rsidRPr="00AB34C7" w:rsidRDefault="00761495" w:rsidP="00507D72">
            <w:pPr>
              <w:pStyle w:val="COMTabletext"/>
              <w:keepNext w:val="0"/>
              <w:rPr>
                <w:rFonts w:eastAsia="Arial Narrow" w:cs="Arial Narrow"/>
                <w:b/>
                <w:bCs w:val="0"/>
                <w:color w:val="000000" w:themeColor="text1"/>
                <w:szCs w:val="20"/>
              </w:rPr>
            </w:pPr>
          </w:p>
        </w:tc>
      </w:tr>
      <w:tr w:rsidR="00761495" w:rsidRPr="00AB34C7" w14:paraId="44F3D613" w14:textId="77777777" w:rsidTr="00DB278B">
        <w:trPr>
          <w:cantSplit/>
          <w:trHeight w:val="20"/>
        </w:trPr>
        <w:tc>
          <w:tcPr>
            <w:tcW w:w="9214" w:type="dxa"/>
          </w:tcPr>
          <w:p w14:paraId="43D45CAB" w14:textId="77777777" w:rsidR="00761495" w:rsidRPr="00AB34C7" w:rsidRDefault="00761495" w:rsidP="00DB278B">
            <w:pPr>
              <w:pStyle w:val="COMTabletext"/>
              <w:keepNext w:val="0"/>
              <w:rPr>
                <w:color w:val="000000" w:themeColor="text1"/>
              </w:rPr>
            </w:pPr>
            <w:r w:rsidRPr="00AB34C7">
              <w:rPr>
                <w:b/>
                <w:color w:val="000000" w:themeColor="text1"/>
              </w:rPr>
              <w:t xml:space="preserve">Category / Program: </w:t>
            </w:r>
            <w:r w:rsidRPr="00AB34C7">
              <w:rPr>
                <w:color w:val="000000" w:themeColor="text1"/>
              </w:rPr>
              <w:t>General Schedule</w:t>
            </w:r>
          </w:p>
        </w:tc>
      </w:tr>
      <w:tr w:rsidR="00761495" w:rsidRPr="00AB34C7" w14:paraId="18550834" w14:textId="77777777" w:rsidTr="00DB278B">
        <w:trPr>
          <w:cantSplit/>
          <w:trHeight w:val="20"/>
        </w:trPr>
        <w:tc>
          <w:tcPr>
            <w:tcW w:w="9214" w:type="dxa"/>
          </w:tcPr>
          <w:p w14:paraId="59687B74" w14:textId="77777777" w:rsidR="00761495" w:rsidRPr="00AB34C7" w:rsidRDefault="00761495" w:rsidP="00DB278B">
            <w:pPr>
              <w:pStyle w:val="COMTabletext"/>
              <w:keepNext w:val="0"/>
              <w:rPr>
                <w:b/>
                <w:color w:val="000000" w:themeColor="text1"/>
              </w:rPr>
            </w:pPr>
            <w:r w:rsidRPr="00AB34C7">
              <w:rPr>
                <w:b/>
                <w:color w:val="000000" w:themeColor="text1"/>
              </w:rPr>
              <w:t xml:space="preserve">Prescriber type: </w:t>
            </w:r>
            <w:r w:rsidRPr="00AB34C7">
              <w:rPr>
                <w:color w:val="000000" w:themeColor="text1"/>
              </w:rPr>
              <w:fldChar w:fldCharType="begin" w:fldLock="1">
                <w:ffData>
                  <w:name w:val=""/>
                  <w:enabled/>
                  <w:calcOnExit w:val="0"/>
                  <w:checkBox>
                    <w:sizeAuto/>
                    <w:default w:val="1"/>
                  </w:checkBox>
                </w:ffData>
              </w:fldChar>
            </w:r>
            <w:r w:rsidRPr="00AB34C7">
              <w:rPr>
                <w:color w:val="000000" w:themeColor="text1"/>
              </w:rPr>
              <w:instrText xml:space="preserve"> FORMCHECKBOX </w:instrText>
            </w:r>
            <w:r w:rsidR="00000000">
              <w:rPr>
                <w:color w:val="000000" w:themeColor="text1"/>
              </w:rPr>
            </w:r>
            <w:r w:rsidR="00000000">
              <w:rPr>
                <w:color w:val="000000" w:themeColor="text1"/>
              </w:rPr>
              <w:fldChar w:fldCharType="separate"/>
            </w:r>
            <w:r w:rsidRPr="00AB34C7">
              <w:rPr>
                <w:color w:val="000000" w:themeColor="text1"/>
              </w:rPr>
              <w:fldChar w:fldCharType="end"/>
            </w:r>
            <w:r w:rsidRPr="00AB34C7">
              <w:rPr>
                <w:color w:val="000000" w:themeColor="text1"/>
              </w:rPr>
              <w:t xml:space="preserve">Medical Practitioners </w:t>
            </w:r>
          </w:p>
        </w:tc>
      </w:tr>
      <w:tr w:rsidR="00761495" w:rsidRPr="00AB34C7" w14:paraId="5986AC4E" w14:textId="77777777" w:rsidTr="00DB278B">
        <w:trPr>
          <w:cantSplit/>
          <w:trHeight w:val="20"/>
        </w:trPr>
        <w:tc>
          <w:tcPr>
            <w:tcW w:w="9214" w:type="dxa"/>
          </w:tcPr>
          <w:p w14:paraId="11287E6C" w14:textId="35CDD93F" w:rsidR="00761495" w:rsidRPr="00AB34C7" w:rsidRDefault="00761495" w:rsidP="00DB278B">
            <w:pPr>
              <w:pStyle w:val="COMTabletext"/>
              <w:keepNext w:val="0"/>
              <w:rPr>
                <w:rFonts w:eastAsia="Times New Roman"/>
                <w:color w:val="000000" w:themeColor="text1"/>
              </w:rPr>
            </w:pPr>
            <w:r w:rsidRPr="00AB34C7">
              <w:rPr>
                <w:b/>
                <w:color w:val="000000" w:themeColor="text1"/>
              </w:rPr>
              <w:t xml:space="preserve">Restriction type: </w:t>
            </w:r>
            <w:r w:rsidRPr="00AB34C7">
              <w:rPr>
                <w:rFonts w:eastAsia="Times New Roman"/>
                <w:color w:val="000000" w:themeColor="text1"/>
              </w:rPr>
              <w:fldChar w:fldCharType="begin" w:fldLock="1">
                <w:ffData>
                  <w:name w:val=""/>
                  <w:enabled/>
                  <w:calcOnExit w:val="0"/>
                  <w:checkBox>
                    <w:sizeAuto/>
                    <w:default w:val="1"/>
                  </w:checkBox>
                </w:ffData>
              </w:fldChar>
            </w:r>
            <w:r w:rsidRPr="00AB34C7">
              <w:rPr>
                <w:rFonts w:eastAsia="Times New Roman"/>
                <w:color w:val="000000" w:themeColor="text1"/>
              </w:rPr>
              <w:instrText xml:space="preserve"> FORMCHECKBOX </w:instrText>
            </w:r>
            <w:r w:rsidR="00000000">
              <w:rPr>
                <w:rFonts w:eastAsia="Times New Roman"/>
                <w:color w:val="000000" w:themeColor="text1"/>
              </w:rPr>
            </w:r>
            <w:r w:rsidR="00000000">
              <w:rPr>
                <w:rFonts w:eastAsia="Times New Roman"/>
                <w:color w:val="000000" w:themeColor="text1"/>
              </w:rPr>
              <w:fldChar w:fldCharType="separate"/>
            </w:r>
            <w:r w:rsidRPr="00AB34C7">
              <w:rPr>
                <w:rFonts w:eastAsia="Times New Roman"/>
                <w:color w:val="000000" w:themeColor="text1"/>
              </w:rPr>
              <w:fldChar w:fldCharType="end"/>
            </w:r>
            <w:r w:rsidRPr="00AB34C7">
              <w:rPr>
                <w:rFonts w:eastAsia="Times New Roman"/>
              </w:rPr>
              <w:t xml:space="preserve"> Authority Required (telephone/online </w:t>
            </w:r>
            <w:r w:rsidR="00E55C43" w:rsidRPr="00AB34C7">
              <w:rPr>
                <w:rFonts w:eastAsia="Times New Roman"/>
              </w:rPr>
              <w:t xml:space="preserve">via </w:t>
            </w:r>
            <w:r w:rsidRPr="00AB34C7">
              <w:rPr>
                <w:rFonts w:eastAsia="Times New Roman"/>
              </w:rPr>
              <w:t>PBS Authorities system)</w:t>
            </w:r>
          </w:p>
        </w:tc>
      </w:tr>
      <w:tr w:rsidR="00761495" w:rsidRPr="00AB34C7" w14:paraId="261B3C87" w14:textId="77777777" w:rsidTr="00DB278B">
        <w:trPr>
          <w:cantSplit/>
          <w:trHeight w:val="20"/>
        </w:trPr>
        <w:tc>
          <w:tcPr>
            <w:tcW w:w="9214" w:type="dxa"/>
            <w:vAlign w:val="center"/>
          </w:tcPr>
          <w:p w14:paraId="1E8D1995" w14:textId="77777777" w:rsidR="00761495" w:rsidRPr="00AB34C7" w:rsidRDefault="00761495" w:rsidP="00DB278B">
            <w:pPr>
              <w:pStyle w:val="COMTabletext"/>
              <w:keepNext w:val="0"/>
              <w:rPr>
                <w:b/>
                <w:strike/>
                <w:color w:val="000000" w:themeColor="text1"/>
              </w:rPr>
            </w:pPr>
            <w:r w:rsidRPr="00AB34C7">
              <w:rPr>
                <w:b/>
                <w:strike/>
                <w:color w:val="000000" w:themeColor="text1"/>
              </w:rPr>
              <w:t xml:space="preserve">Condition: </w:t>
            </w:r>
            <w:r w:rsidRPr="00AB34C7">
              <w:rPr>
                <w:strike/>
              </w:rPr>
              <w:t>Chronic lymphocytic leukaemia (CLL) or small lymphocytic lymphoma (SLL)</w:t>
            </w:r>
          </w:p>
        </w:tc>
      </w:tr>
      <w:tr w:rsidR="00761495" w:rsidRPr="00AB34C7" w14:paraId="250DA6FF" w14:textId="77777777" w:rsidTr="00DB278B">
        <w:trPr>
          <w:cantSplit/>
          <w:trHeight w:val="20"/>
        </w:trPr>
        <w:tc>
          <w:tcPr>
            <w:tcW w:w="9214" w:type="dxa"/>
            <w:tcBorders>
              <w:bottom w:val="single" w:sz="4" w:space="0" w:color="auto"/>
            </w:tcBorders>
            <w:vAlign w:val="center"/>
          </w:tcPr>
          <w:p w14:paraId="7DEDC0E2" w14:textId="77777777" w:rsidR="00761495" w:rsidRPr="00AB34C7" w:rsidRDefault="00761495" w:rsidP="00DB278B">
            <w:pPr>
              <w:pStyle w:val="COMTabletext"/>
              <w:keepNext w:val="0"/>
              <w:rPr>
                <w:bCs w:val="0"/>
                <w:color w:val="000000" w:themeColor="text1"/>
              </w:rPr>
            </w:pPr>
            <w:r w:rsidRPr="00AB34C7">
              <w:rPr>
                <w:b/>
                <w:color w:val="000000" w:themeColor="text1"/>
              </w:rPr>
              <w:t xml:space="preserve">Indication: </w:t>
            </w:r>
            <w:r w:rsidRPr="00AB34C7">
              <w:t>Chronic lymphocytic leukaemia (CLL) or small lymphocytic lymphoma (SLL)</w:t>
            </w:r>
          </w:p>
        </w:tc>
      </w:tr>
      <w:tr w:rsidR="00BF436A" w:rsidRPr="00AB34C7" w14:paraId="5888D1BE" w14:textId="77777777" w:rsidTr="009556D8">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20B19AB5" w14:textId="4F0A5832" w:rsidR="00BF436A" w:rsidRPr="00AB34C7" w:rsidRDefault="00761495" w:rsidP="00507D72">
            <w:pPr>
              <w:pStyle w:val="COMTabletext"/>
              <w:keepNext w:val="0"/>
              <w:rPr>
                <w:rFonts w:eastAsia="Arial Narrow" w:cs="Arial Narrow"/>
                <w:color w:val="000000" w:themeColor="text1"/>
                <w:szCs w:val="20"/>
              </w:rPr>
            </w:pPr>
            <w:r w:rsidRPr="00AB34C7">
              <w:rPr>
                <w:rFonts w:eastAsia="Arial Narrow" w:cs="Arial Narrow"/>
                <w:b/>
                <w:bCs w:val="0"/>
                <w:color w:val="000000" w:themeColor="text1"/>
                <w:szCs w:val="20"/>
              </w:rPr>
              <w:t xml:space="preserve">Treatment phase: </w:t>
            </w:r>
            <w:r w:rsidRPr="00AB34C7">
              <w:rPr>
                <w:rFonts w:eastAsia="Arial Narrow" w:cs="Arial Narrow"/>
                <w:color w:val="000000" w:themeColor="text1"/>
                <w:szCs w:val="20"/>
              </w:rPr>
              <w:t>First continuing treatment (treatment cycles 4-9)</w:t>
            </w:r>
            <w:r w:rsidR="00E55C43" w:rsidRPr="00AB34C7">
              <w:rPr>
                <w:rFonts w:eastAsia="Arial Narrow" w:cs="Arial Narrow"/>
                <w:color w:val="000000" w:themeColor="text1"/>
                <w:szCs w:val="20"/>
              </w:rPr>
              <w:t xml:space="preserve"> of first-line therapy</w:t>
            </w:r>
          </w:p>
        </w:tc>
      </w:tr>
      <w:tr w:rsidR="00BF436A" w:rsidRPr="00AB34C7" w14:paraId="10C80AF1" w14:textId="77777777" w:rsidTr="009556D8">
        <w:trPr>
          <w:cantSplit/>
          <w:trHeight w:val="20"/>
        </w:trPr>
        <w:tc>
          <w:tcPr>
            <w:tcW w:w="9214" w:type="dxa"/>
            <w:tcBorders>
              <w:bottom w:val="single" w:sz="4" w:space="0" w:color="auto"/>
            </w:tcBorders>
            <w:vAlign w:val="center"/>
          </w:tcPr>
          <w:p w14:paraId="13E34483" w14:textId="77777777" w:rsidR="00BF436A" w:rsidRPr="00AB34C7" w:rsidRDefault="00BF436A" w:rsidP="00507D72">
            <w:pPr>
              <w:pStyle w:val="COMTabletext"/>
              <w:keepNext w:val="0"/>
              <w:rPr>
                <w:rFonts w:eastAsia="Arial Narrow" w:cs="Arial Narrow"/>
                <w:color w:val="000000" w:themeColor="text1"/>
                <w:szCs w:val="20"/>
              </w:rPr>
            </w:pPr>
            <w:r w:rsidRPr="00AB34C7">
              <w:rPr>
                <w:b/>
                <w:color w:val="000000" w:themeColor="text1"/>
                <w:szCs w:val="20"/>
              </w:rPr>
              <w:t>Clinical criteria:</w:t>
            </w:r>
          </w:p>
        </w:tc>
      </w:tr>
      <w:tr w:rsidR="00BF436A" w:rsidRPr="00AB34C7" w14:paraId="0F248F7E" w14:textId="77777777" w:rsidTr="009556D8">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65587F9D" w14:textId="5357EF3E" w:rsidR="00BF436A" w:rsidRPr="00AB34C7" w:rsidRDefault="003443E9" w:rsidP="00507D72">
            <w:pPr>
              <w:pStyle w:val="COMTabletext"/>
              <w:keepNext w:val="0"/>
              <w:rPr>
                <w:rFonts w:eastAsia="Arial Narrow" w:cs="Arial Narrow"/>
                <w:color w:val="000000" w:themeColor="text1"/>
                <w:szCs w:val="20"/>
              </w:rPr>
            </w:pPr>
            <w:r w:rsidRPr="00AB34C7">
              <w:rPr>
                <w:rFonts w:eastAsia="Arial Narrow" w:cs="Arial Narrow"/>
                <w:color w:val="000000" w:themeColor="text1"/>
                <w:szCs w:val="20"/>
              </w:rPr>
              <w:t>Patient must have previously received PBS-subsidised treatment with this drug for this condition</w:t>
            </w:r>
          </w:p>
        </w:tc>
      </w:tr>
      <w:tr w:rsidR="00BF436A" w:rsidRPr="00AB34C7" w14:paraId="379E94CD" w14:textId="77777777" w:rsidTr="009556D8">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08A18601" w14:textId="77777777" w:rsidR="00BF436A" w:rsidRPr="00AB34C7" w:rsidRDefault="00BF436A" w:rsidP="00507D72">
            <w:pPr>
              <w:pStyle w:val="COMTabletext"/>
              <w:keepNext w:val="0"/>
              <w:rPr>
                <w:rFonts w:eastAsia="Arial Narrow" w:cs="Arial Narrow"/>
                <w:color w:val="000000" w:themeColor="text1"/>
                <w:szCs w:val="20"/>
              </w:rPr>
            </w:pPr>
            <w:r w:rsidRPr="00AB34C7">
              <w:rPr>
                <w:rFonts w:eastAsia="Arial Narrow" w:cs="Arial Narrow"/>
                <w:b/>
                <w:color w:val="000000" w:themeColor="text1"/>
                <w:szCs w:val="20"/>
              </w:rPr>
              <w:t>AND</w:t>
            </w:r>
          </w:p>
        </w:tc>
      </w:tr>
      <w:tr w:rsidR="00BF436A" w:rsidRPr="00AB34C7" w14:paraId="1D957EC5" w14:textId="77777777" w:rsidTr="009556D8">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59BF5E67" w14:textId="77777777" w:rsidR="00BF436A" w:rsidRPr="00AB34C7" w:rsidRDefault="00BF436A" w:rsidP="00507D72">
            <w:pPr>
              <w:pStyle w:val="COMTabletext"/>
              <w:keepNext w:val="0"/>
              <w:rPr>
                <w:rFonts w:eastAsia="Arial Narrow" w:cs="Arial Narrow"/>
                <w:b/>
                <w:color w:val="000000" w:themeColor="text1"/>
                <w:szCs w:val="20"/>
              </w:rPr>
            </w:pPr>
            <w:r w:rsidRPr="00AB34C7">
              <w:rPr>
                <w:rFonts w:eastAsia="Arial Narrow" w:cs="Arial Narrow"/>
                <w:b/>
                <w:color w:val="000000" w:themeColor="text1"/>
                <w:szCs w:val="20"/>
              </w:rPr>
              <w:t>Clinical criteria:</w:t>
            </w:r>
          </w:p>
        </w:tc>
      </w:tr>
      <w:tr w:rsidR="00BF436A" w:rsidRPr="00AB34C7" w14:paraId="5A7A410F" w14:textId="77777777" w:rsidTr="009556D8">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0B2D0DE2" w14:textId="4CB5857F" w:rsidR="00BF436A" w:rsidRPr="00AB34C7" w:rsidRDefault="003443E9" w:rsidP="00507D72">
            <w:pPr>
              <w:pStyle w:val="COMTabletext"/>
              <w:keepNext w:val="0"/>
              <w:rPr>
                <w:rFonts w:eastAsia="Arial Narrow" w:cs="Arial Narrow"/>
                <w:color w:val="000000" w:themeColor="text1"/>
                <w:szCs w:val="20"/>
              </w:rPr>
            </w:pPr>
            <w:r w:rsidRPr="00AB34C7">
              <w:rPr>
                <w:rFonts w:eastAsia="Arial Narrow" w:cs="Arial Narrow"/>
                <w:color w:val="000000" w:themeColor="text1"/>
                <w:szCs w:val="20"/>
              </w:rPr>
              <w:t>The treatment must be in combination with venetoclax (refer to Product Information for timing of ibrutinib and venetoclax doses)</w:t>
            </w:r>
          </w:p>
        </w:tc>
      </w:tr>
      <w:tr w:rsidR="00BF436A" w:rsidRPr="00AB34C7" w14:paraId="7C65D6F6" w14:textId="77777777" w:rsidTr="009556D8">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1F1ED1DD" w14:textId="77777777" w:rsidR="00BF436A" w:rsidRPr="00AB34C7" w:rsidRDefault="00BF436A" w:rsidP="00507D72">
            <w:pPr>
              <w:pStyle w:val="COMTabletext"/>
              <w:keepNext w:val="0"/>
              <w:rPr>
                <w:rFonts w:eastAsia="Arial Narrow" w:cs="Arial Narrow"/>
                <w:color w:val="000000" w:themeColor="text1"/>
                <w:szCs w:val="20"/>
              </w:rPr>
            </w:pPr>
            <w:r w:rsidRPr="00AB34C7">
              <w:rPr>
                <w:rFonts w:eastAsia="Arial Narrow" w:cs="Arial Narrow"/>
                <w:b/>
                <w:color w:val="000000" w:themeColor="text1"/>
                <w:szCs w:val="20"/>
              </w:rPr>
              <w:t>AND</w:t>
            </w:r>
          </w:p>
        </w:tc>
      </w:tr>
      <w:tr w:rsidR="00BF436A" w:rsidRPr="00AB34C7" w14:paraId="64E1E5BD" w14:textId="77777777" w:rsidTr="009556D8">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69F486BD" w14:textId="77777777" w:rsidR="00BF436A" w:rsidRPr="00AB34C7" w:rsidRDefault="00BF436A" w:rsidP="00507D72">
            <w:pPr>
              <w:pStyle w:val="COMTabletext"/>
              <w:keepNext w:val="0"/>
              <w:rPr>
                <w:rFonts w:eastAsia="Arial Narrow" w:cs="Arial Narrow"/>
                <w:b/>
                <w:color w:val="000000" w:themeColor="text1"/>
                <w:szCs w:val="20"/>
              </w:rPr>
            </w:pPr>
            <w:r w:rsidRPr="00AB34C7">
              <w:rPr>
                <w:rFonts w:eastAsia="Arial Narrow" w:cs="Arial Narrow"/>
                <w:b/>
                <w:color w:val="000000" w:themeColor="text1"/>
                <w:szCs w:val="20"/>
              </w:rPr>
              <w:t>Clinical criteria:</w:t>
            </w:r>
          </w:p>
        </w:tc>
      </w:tr>
      <w:tr w:rsidR="00BF436A" w:rsidRPr="00AB34C7" w14:paraId="6C3BA6F9" w14:textId="77777777" w:rsidTr="00B820CB">
        <w:trPr>
          <w:cantSplit/>
          <w:trHeight w:val="20"/>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9375EC6" w14:textId="16BE863D" w:rsidR="00BF436A" w:rsidRPr="00AB34C7" w:rsidRDefault="003443E9" w:rsidP="00507D72">
            <w:pPr>
              <w:pStyle w:val="COMTabletext"/>
              <w:keepNext w:val="0"/>
              <w:rPr>
                <w:rFonts w:eastAsia="Arial Narrow" w:cs="Arial Narrow"/>
                <w:color w:val="000000" w:themeColor="text1"/>
                <w:szCs w:val="20"/>
              </w:rPr>
            </w:pPr>
            <w:r w:rsidRPr="00AB34C7">
              <w:rPr>
                <w:rFonts w:eastAsia="Arial Narrow" w:cs="Arial Narrow"/>
                <w:color w:val="000000" w:themeColor="text1"/>
                <w:szCs w:val="20"/>
              </w:rPr>
              <w:t>The treatment must cease upon disease progression.</w:t>
            </w:r>
          </w:p>
        </w:tc>
      </w:tr>
      <w:tr w:rsidR="00B730B1" w:rsidRPr="00AB34C7" w14:paraId="57F92929" w14:textId="77777777" w:rsidTr="00B820CB">
        <w:trPr>
          <w:cantSplit/>
          <w:trHeight w:val="20"/>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AB4DFC4" w14:textId="77777777" w:rsidR="00B730B1" w:rsidRPr="00AB34C7" w:rsidRDefault="00B730B1" w:rsidP="009D0069">
            <w:pPr>
              <w:pStyle w:val="COMTabletext"/>
              <w:keepNext w:val="0"/>
              <w:rPr>
                <w:rFonts w:eastAsia="Arial Narrow" w:cs="Arial Narrow"/>
                <w:b/>
                <w:bCs w:val="0"/>
                <w:color w:val="000000" w:themeColor="text1"/>
                <w:szCs w:val="20"/>
              </w:rPr>
            </w:pPr>
            <w:r w:rsidRPr="00AB34C7">
              <w:rPr>
                <w:rFonts w:eastAsia="Arial Narrow" w:cs="Arial Narrow"/>
                <w:b/>
                <w:bCs w:val="0"/>
                <w:color w:val="000000" w:themeColor="text1"/>
                <w:szCs w:val="20"/>
              </w:rPr>
              <w:t>Prescriber Instruction:</w:t>
            </w:r>
          </w:p>
        </w:tc>
      </w:tr>
      <w:tr w:rsidR="00B730B1" w:rsidRPr="00AB34C7" w14:paraId="5FBD9410" w14:textId="77777777" w:rsidTr="00B820CB">
        <w:trPr>
          <w:cantSplit/>
          <w:trHeight w:val="20"/>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CACE443" w14:textId="77777777" w:rsidR="00B730B1" w:rsidRPr="00AB34C7" w:rsidRDefault="00B730B1" w:rsidP="009D0069">
            <w:pPr>
              <w:pStyle w:val="COMTabletext"/>
              <w:keepNext w:val="0"/>
              <w:rPr>
                <w:rFonts w:eastAsia="Arial Narrow" w:cs="Arial Narrow"/>
                <w:color w:val="000000" w:themeColor="text1"/>
                <w:szCs w:val="20"/>
              </w:rPr>
            </w:pPr>
            <w:r w:rsidRPr="00AB34C7">
              <w:rPr>
                <w:rFonts w:eastAsia="Arial Narrow" w:cs="Arial Narrow"/>
                <w:color w:val="000000" w:themeColor="text1"/>
                <w:szCs w:val="20"/>
              </w:rPr>
              <w:t>There are more ibrutinib capsules (or tablets) in a pack than is required for the completion of a treatment cycle. The patient must not discard any remaining capsules (or tablets) after the completion of any treatment cycle as these capsules (or tablets) will be required for the doses in the final treatment cycle (i.e. treatment cycle 15).</w:t>
            </w:r>
          </w:p>
        </w:tc>
      </w:tr>
      <w:tr w:rsidR="00761495" w:rsidRPr="00AB34C7" w14:paraId="2B78F9E0" w14:textId="77777777" w:rsidTr="009556D8">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3CB5F4B1" w14:textId="77777777" w:rsidR="00761495" w:rsidRPr="00AB34C7" w:rsidRDefault="00761495" w:rsidP="00507D72">
            <w:pPr>
              <w:pStyle w:val="COMTabletext"/>
              <w:keepNext w:val="0"/>
              <w:rPr>
                <w:b/>
                <w:color w:val="000000" w:themeColor="text1"/>
                <w:szCs w:val="20"/>
              </w:rPr>
            </w:pPr>
          </w:p>
        </w:tc>
      </w:tr>
      <w:tr w:rsidR="00761495" w:rsidRPr="00AB34C7" w14:paraId="10902DA9" w14:textId="77777777" w:rsidTr="00DB278B">
        <w:trPr>
          <w:cantSplit/>
          <w:trHeight w:val="20"/>
        </w:trPr>
        <w:tc>
          <w:tcPr>
            <w:tcW w:w="9214" w:type="dxa"/>
          </w:tcPr>
          <w:p w14:paraId="4C23B2D3" w14:textId="77777777" w:rsidR="00761495" w:rsidRPr="00AB34C7" w:rsidRDefault="00761495" w:rsidP="00DB278B">
            <w:pPr>
              <w:pStyle w:val="COMTabletext"/>
              <w:keepNext w:val="0"/>
              <w:rPr>
                <w:color w:val="000000" w:themeColor="text1"/>
              </w:rPr>
            </w:pPr>
            <w:r w:rsidRPr="00AB34C7">
              <w:rPr>
                <w:b/>
                <w:color w:val="000000" w:themeColor="text1"/>
              </w:rPr>
              <w:t xml:space="preserve">Category / Program: </w:t>
            </w:r>
            <w:r w:rsidRPr="00AB34C7">
              <w:rPr>
                <w:color w:val="000000" w:themeColor="text1"/>
              </w:rPr>
              <w:t>General Schedule</w:t>
            </w:r>
          </w:p>
        </w:tc>
      </w:tr>
      <w:tr w:rsidR="00761495" w:rsidRPr="00AB34C7" w14:paraId="21744984" w14:textId="77777777" w:rsidTr="00DB278B">
        <w:trPr>
          <w:cantSplit/>
          <w:trHeight w:val="20"/>
        </w:trPr>
        <w:tc>
          <w:tcPr>
            <w:tcW w:w="9214" w:type="dxa"/>
          </w:tcPr>
          <w:p w14:paraId="06345A2E" w14:textId="77777777" w:rsidR="00761495" w:rsidRPr="00AB34C7" w:rsidRDefault="00761495" w:rsidP="00DB278B">
            <w:pPr>
              <w:pStyle w:val="COMTabletext"/>
              <w:keepNext w:val="0"/>
              <w:rPr>
                <w:b/>
                <w:color w:val="000000" w:themeColor="text1"/>
              </w:rPr>
            </w:pPr>
            <w:r w:rsidRPr="00AB34C7">
              <w:rPr>
                <w:b/>
                <w:color w:val="000000" w:themeColor="text1"/>
              </w:rPr>
              <w:t xml:space="preserve">Prescriber type: </w:t>
            </w:r>
            <w:r w:rsidRPr="00AB34C7">
              <w:rPr>
                <w:color w:val="000000" w:themeColor="text1"/>
              </w:rPr>
              <w:fldChar w:fldCharType="begin" w:fldLock="1">
                <w:ffData>
                  <w:name w:val=""/>
                  <w:enabled/>
                  <w:calcOnExit w:val="0"/>
                  <w:checkBox>
                    <w:sizeAuto/>
                    <w:default w:val="1"/>
                  </w:checkBox>
                </w:ffData>
              </w:fldChar>
            </w:r>
            <w:r w:rsidRPr="00AB34C7">
              <w:rPr>
                <w:color w:val="000000" w:themeColor="text1"/>
              </w:rPr>
              <w:instrText xml:space="preserve"> FORMCHECKBOX </w:instrText>
            </w:r>
            <w:r w:rsidR="00000000">
              <w:rPr>
                <w:color w:val="000000" w:themeColor="text1"/>
              </w:rPr>
            </w:r>
            <w:r w:rsidR="00000000">
              <w:rPr>
                <w:color w:val="000000" w:themeColor="text1"/>
              </w:rPr>
              <w:fldChar w:fldCharType="separate"/>
            </w:r>
            <w:r w:rsidRPr="00AB34C7">
              <w:rPr>
                <w:color w:val="000000" w:themeColor="text1"/>
              </w:rPr>
              <w:fldChar w:fldCharType="end"/>
            </w:r>
            <w:r w:rsidRPr="00AB34C7">
              <w:rPr>
                <w:color w:val="000000" w:themeColor="text1"/>
              </w:rPr>
              <w:t xml:space="preserve">Medical Practitioners </w:t>
            </w:r>
          </w:p>
        </w:tc>
      </w:tr>
      <w:tr w:rsidR="00761495" w:rsidRPr="00AB34C7" w14:paraId="5E3E838B" w14:textId="77777777" w:rsidTr="00DB278B">
        <w:trPr>
          <w:cantSplit/>
          <w:trHeight w:val="20"/>
        </w:trPr>
        <w:tc>
          <w:tcPr>
            <w:tcW w:w="9214" w:type="dxa"/>
          </w:tcPr>
          <w:p w14:paraId="05350647" w14:textId="77777777" w:rsidR="00761495" w:rsidRPr="00AB34C7" w:rsidRDefault="00761495" w:rsidP="00DB278B">
            <w:pPr>
              <w:pStyle w:val="COMTabletext"/>
              <w:keepNext w:val="0"/>
              <w:rPr>
                <w:rFonts w:eastAsia="Times New Roman"/>
                <w:color w:val="000000" w:themeColor="text1"/>
              </w:rPr>
            </w:pPr>
            <w:r w:rsidRPr="00AB34C7">
              <w:rPr>
                <w:b/>
                <w:color w:val="000000" w:themeColor="text1"/>
              </w:rPr>
              <w:t xml:space="preserve">Restriction type: </w:t>
            </w:r>
            <w:r w:rsidRPr="00AB34C7">
              <w:rPr>
                <w:rFonts w:eastAsia="Times New Roman"/>
                <w:color w:val="000000" w:themeColor="text1"/>
              </w:rPr>
              <w:fldChar w:fldCharType="begin" w:fldLock="1">
                <w:ffData>
                  <w:name w:val=""/>
                  <w:enabled/>
                  <w:calcOnExit w:val="0"/>
                  <w:checkBox>
                    <w:sizeAuto/>
                    <w:default w:val="1"/>
                  </w:checkBox>
                </w:ffData>
              </w:fldChar>
            </w:r>
            <w:r w:rsidRPr="00AB34C7">
              <w:rPr>
                <w:rFonts w:eastAsia="Times New Roman"/>
                <w:color w:val="000000" w:themeColor="text1"/>
              </w:rPr>
              <w:instrText xml:space="preserve"> FORMCHECKBOX </w:instrText>
            </w:r>
            <w:r w:rsidR="00000000">
              <w:rPr>
                <w:rFonts w:eastAsia="Times New Roman"/>
                <w:color w:val="000000" w:themeColor="text1"/>
              </w:rPr>
            </w:r>
            <w:r w:rsidR="00000000">
              <w:rPr>
                <w:rFonts w:eastAsia="Times New Roman"/>
                <w:color w:val="000000" w:themeColor="text1"/>
              </w:rPr>
              <w:fldChar w:fldCharType="separate"/>
            </w:r>
            <w:r w:rsidRPr="00AB34C7">
              <w:rPr>
                <w:rFonts w:eastAsia="Times New Roman"/>
                <w:color w:val="000000" w:themeColor="text1"/>
              </w:rPr>
              <w:fldChar w:fldCharType="end"/>
            </w:r>
            <w:r w:rsidRPr="00AB34C7">
              <w:rPr>
                <w:rFonts w:eastAsia="Times New Roman"/>
              </w:rPr>
              <w:t xml:space="preserve"> Authority Required (telephone/online PBS Authorities system)</w:t>
            </w:r>
          </w:p>
        </w:tc>
      </w:tr>
      <w:tr w:rsidR="00761495" w:rsidRPr="00AB34C7" w14:paraId="5C769D90" w14:textId="77777777" w:rsidTr="00DB278B">
        <w:trPr>
          <w:cantSplit/>
          <w:trHeight w:val="20"/>
        </w:trPr>
        <w:tc>
          <w:tcPr>
            <w:tcW w:w="9214" w:type="dxa"/>
            <w:vAlign w:val="center"/>
          </w:tcPr>
          <w:p w14:paraId="1F495CB7" w14:textId="77777777" w:rsidR="00761495" w:rsidRPr="00AB34C7" w:rsidRDefault="00761495" w:rsidP="00DB278B">
            <w:pPr>
              <w:pStyle w:val="COMTabletext"/>
              <w:keepNext w:val="0"/>
              <w:rPr>
                <w:b/>
                <w:strike/>
                <w:color w:val="000000" w:themeColor="text1"/>
              </w:rPr>
            </w:pPr>
            <w:r w:rsidRPr="00AB34C7">
              <w:rPr>
                <w:b/>
                <w:strike/>
                <w:color w:val="000000" w:themeColor="text1"/>
              </w:rPr>
              <w:t xml:space="preserve">Condition: </w:t>
            </w:r>
            <w:r w:rsidRPr="00AB34C7">
              <w:rPr>
                <w:strike/>
              </w:rPr>
              <w:t>Chronic lymphocytic leukaemia (CLL) or small lymphocytic lymphoma (SLL)</w:t>
            </w:r>
          </w:p>
        </w:tc>
      </w:tr>
      <w:tr w:rsidR="00761495" w:rsidRPr="00AB34C7" w14:paraId="63AA858B" w14:textId="77777777" w:rsidTr="00DB278B">
        <w:trPr>
          <w:cantSplit/>
          <w:trHeight w:val="20"/>
        </w:trPr>
        <w:tc>
          <w:tcPr>
            <w:tcW w:w="9214" w:type="dxa"/>
            <w:tcBorders>
              <w:bottom w:val="single" w:sz="4" w:space="0" w:color="auto"/>
            </w:tcBorders>
            <w:vAlign w:val="center"/>
          </w:tcPr>
          <w:p w14:paraId="4D878949" w14:textId="77777777" w:rsidR="00761495" w:rsidRPr="00AB34C7" w:rsidRDefault="00761495" w:rsidP="00DB278B">
            <w:pPr>
              <w:pStyle w:val="COMTabletext"/>
              <w:keepNext w:val="0"/>
              <w:rPr>
                <w:bCs w:val="0"/>
                <w:color w:val="000000" w:themeColor="text1"/>
              </w:rPr>
            </w:pPr>
            <w:r w:rsidRPr="00AB34C7">
              <w:rPr>
                <w:b/>
                <w:color w:val="000000" w:themeColor="text1"/>
              </w:rPr>
              <w:t xml:space="preserve">Indication: </w:t>
            </w:r>
            <w:r w:rsidRPr="00AB34C7">
              <w:t>Chronic lymphocytic leukaemia (CLL) or small lymphocytic lymphoma (SLL)</w:t>
            </w:r>
          </w:p>
        </w:tc>
      </w:tr>
      <w:tr w:rsidR="00761495" w:rsidRPr="00AB34C7" w14:paraId="5631D86E" w14:textId="77777777" w:rsidTr="00DB278B">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1FD1FF0A" w14:textId="5AC8C17E" w:rsidR="00761495" w:rsidRPr="00AB34C7" w:rsidRDefault="00761495" w:rsidP="00DB278B">
            <w:pPr>
              <w:pStyle w:val="COMTabletext"/>
              <w:keepNext w:val="0"/>
              <w:rPr>
                <w:rFonts w:eastAsia="Arial Narrow" w:cs="Arial Narrow"/>
                <w:color w:val="000000" w:themeColor="text1"/>
                <w:szCs w:val="20"/>
              </w:rPr>
            </w:pPr>
            <w:r w:rsidRPr="00AB34C7">
              <w:rPr>
                <w:rFonts w:eastAsia="Arial Narrow" w:cs="Arial Narrow"/>
                <w:b/>
                <w:bCs w:val="0"/>
                <w:color w:val="000000" w:themeColor="text1"/>
                <w:szCs w:val="20"/>
              </w:rPr>
              <w:t xml:space="preserve">Treatment phase: </w:t>
            </w:r>
            <w:r w:rsidRPr="00AB34C7">
              <w:rPr>
                <w:rFonts w:eastAsia="Arial Narrow" w:cs="Arial Narrow"/>
                <w:color w:val="000000" w:themeColor="text1"/>
                <w:szCs w:val="20"/>
              </w:rPr>
              <w:t>Grandfather treatment - Transitioning from non-PBS to PBS-subsidised supply</w:t>
            </w:r>
            <w:r w:rsidR="00E55C43" w:rsidRPr="00AB34C7">
              <w:rPr>
                <w:rFonts w:eastAsia="Arial Narrow" w:cs="Arial Narrow"/>
                <w:color w:val="000000" w:themeColor="text1"/>
                <w:szCs w:val="20"/>
              </w:rPr>
              <w:t xml:space="preserve"> </w:t>
            </w:r>
            <w:r w:rsidR="00E55C43" w:rsidRPr="00AB34C7">
              <w:rPr>
                <w:rFonts w:eastAsia="Arial Narrow" w:cs="Arial Narrow"/>
                <w:i/>
                <w:iCs/>
                <w:color w:val="000000" w:themeColor="text1"/>
                <w:szCs w:val="20"/>
              </w:rPr>
              <w:t>of first-line therapy</w:t>
            </w:r>
          </w:p>
        </w:tc>
      </w:tr>
      <w:tr w:rsidR="00761495" w:rsidRPr="00AB34C7" w14:paraId="73732777" w14:textId="77777777" w:rsidTr="00DB278B">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5148DDD5" w14:textId="77777777" w:rsidR="00761495" w:rsidRPr="00AB34C7" w:rsidRDefault="00761495" w:rsidP="00DB278B">
            <w:pPr>
              <w:pStyle w:val="COMTabletext"/>
              <w:keepNext w:val="0"/>
              <w:rPr>
                <w:rFonts w:eastAsia="Arial Narrow" w:cs="Arial Narrow"/>
                <w:b/>
                <w:bCs w:val="0"/>
                <w:i/>
                <w:iCs/>
                <w:color w:val="000000" w:themeColor="text1"/>
                <w:szCs w:val="20"/>
              </w:rPr>
            </w:pPr>
            <w:r w:rsidRPr="00AB34C7">
              <w:rPr>
                <w:rFonts w:eastAsia="Arial Narrow" w:cs="Arial Narrow"/>
                <w:b/>
                <w:bCs w:val="0"/>
                <w:i/>
                <w:iCs/>
                <w:color w:val="000000" w:themeColor="text1"/>
                <w:szCs w:val="20"/>
              </w:rPr>
              <w:t>Clinical criteria:</w:t>
            </w:r>
          </w:p>
        </w:tc>
      </w:tr>
      <w:tr w:rsidR="00761495" w:rsidRPr="00AB34C7" w14:paraId="4B237412" w14:textId="77777777" w:rsidTr="00DB278B">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23BE006F" w14:textId="77777777" w:rsidR="00761495" w:rsidRPr="00AB34C7" w:rsidRDefault="00761495" w:rsidP="00DB278B">
            <w:pPr>
              <w:pStyle w:val="COMTabletext"/>
              <w:keepNext w:val="0"/>
              <w:rPr>
                <w:rFonts w:eastAsia="Arial Narrow" w:cs="Arial Narrow"/>
                <w:i/>
                <w:iCs/>
                <w:color w:val="000000" w:themeColor="text1"/>
                <w:szCs w:val="20"/>
              </w:rPr>
            </w:pPr>
            <w:r w:rsidRPr="00AB34C7">
              <w:rPr>
                <w:rFonts w:eastAsia="Arial Narrow" w:cs="Arial Narrow"/>
                <w:i/>
                <w:iCs/>
                <w:color w:val="000000" w:themeColor="text1"/>
                <w:szCs w:val="20"/>
              </w:rPr>
              <w:lastRenderedPageBreak/>
              <w:t>Patient must have received non-PBS-subsidised treatment with this drug for this condition prior to [PBS listing date XXX].</w:t>
            </w:r>
          </w:p>
        </w:tc>
      </w:tr>
      <w:tr w:rsidR="00761495" w:rsidRPr="00AB34C7" w14:paraId="76FD5FA8" w14:textId="77777777" w:rsidTr="00DB278B">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2A28B6E6" w14:textId="77777777" w:rsidR="00761495" w:rsidRPr="00AB34C7" w:rsidRDefault="00761495" w:rsidP="00DB278B">
            <w:pPr>
              <w:pStyle w:val="COMTabletext"/>
              <w:keepNext w:val="0"/>
              <w:rPr>
                <w:rFonts w:eastAsia="Arial Narrow" w:cs="Arial Narrow"/>
                <w:b/>
                <w:bCs w:val="0"/>
                <w:i/>
                <w:iCs/>
                <w:color w:val="000000" w:themeColor="text1"/>
                <w:szCs w:val="20"/>
              </w:rPr>
            </w:pPr>
            <w:r w:rsidRPr="00AB34C7">
              <w:rPr>
                <w:rFonts w:eastAsia="Arial Narrow" w:cs="Arial Narrow"/>
                <w:b/>
                <w:bCs w:val="0"/>
                <w:i/>
                <w:iCs/>
                <w:color w:val="000000" w:themeColor="text1"/>
                <w:szCs w:val="20"/>
              </w:rPr>
              <w:t>AND</w:t>
            </w:r>
          </w:p>
        </w:tc>
      </w:tr>
      <w:tr w:rsidR="00761495" w:rsidRPr="00AB34C7" w14:paraId="7DA6B722" w14:textId="77777777" w:rsidTr="00DB278B">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714BA285" w14:textId="77777777" w:rsidR="00761495" w:rsidRPr="00AB34C7" w:rsidRDefault="00761495" w:rsidP="00DB278B">
            <w:pPr>
              <w:pStyle w:val="COMTabletext"/>
              <w:keepNext w:val="0"/>
              <w:rPr>
                <w:rFonts w:eastAsia="Arial Narrow" w:cs="Arial Narrow"/>
                <w:b/>
                <w:bCs w:val="0"/>
                <w:i/>
                <w:iCs/>
                <w:color w:val="000000" w:themeColor="text1"/>
                <w:szCs w:val="20"/>
              </w:rPr>
            </w:pPr>
            <w:r w:rsidRPr="00AB34C7">
              <w:rPr>
                <w:rFonts w:eastAsia="Arial Narrow" w:cs="Arial Narrow"/>
                <w:b/>
                <w:bCs w:val="0"/>
                <w:i/>
                <w:iCs/>
                <w:color w:val="000000" w:themeColor="text1"/>
                <w:szCs w:val="20"/>
              </w:rPr>
              <w:t>Clinical criteria:</w:t>
            </w:r>
          </w:p>
        </w:tc>
      </w:tr>
      <w:tr w:rsidR="00761495" w:rsidRPr="00AB34C7" w14:paraId="6440179C" w14:textId="77777777" w:rsidTr="00DB278B">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7FCC8610" w14:textId="77777777" w:rsidR="00761495" w:rsidRPr="00AB34C7" w:rsidRDefault="00761495" w:rsidP="00DB278B">
            <w:pPr>
              <w:pStyle w:val="COMTabletext"/>
              <w:keepNext w:val="0"/>
              <w:rPr>
                <w:rFonts w:eastAsia="Arial Narrow" w:cs="Arial Narrow"/>
                <w:i/>
                <w:iCs/>
                <w:color w:val="000000" w:themeColor="text1"/>
                <w:szCs w:val="20"/>
              </w:rPr>
            </w:pPr>
            <w:r w:rsidRPr="00AB34C7">
              <w:rPr>
                <w:rFonts w:eastAsia="Arial Narrow" w:cs="Arial Narrow"/>
                <w:i/>
                <w:iCs/>
                <w:color w:val="000000" w:themeColor="text1"/>
                <w:szCs w:val="20"/>
              </w:rPr>
              <w:t>Patient must not have developed disease progression while receiving treatment with this drug for this condition.</w:t>
            </w:r>
          </w:p>
        </w:tc>
      </w:tr>
      <w:tr w:rsidR="00761495" w:rsidRPr="00AB34C7" w14:paraId="0B1DF2A4" w14:textId="77777777" w:rsidTr="00DB278B">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09D6A8FF" w14:textId="77777777" w:rsidR="00761495" w:rsidRPr="00AB34C7" w:rsidRDefault="00761495" w:rsidP="00DB278B">
            <w:pPr>
              <w:pStyle w:val="COMTabletext"/>
              <w:keepNext w:val="0"/>
              <w:rPr>
                <w:rFonts w:eastAsia="Arial Narrow" w:cs="Arial Narrow"/>
                <w:b/>
                <w:bCs w:val="0"/>
                <w:i/>
                <w:iCs/>
                <w:color w:val="000000" w:themeColor="text1"/>
                <w:szCs w:val="20"/>
              </w:rPr>
            </w:pPr>
            <w:r w:rsidRPr="00AB34C7">
              <w:rPr>
                <w:rFonts w:eastAsia="Arial Narrow" w:cs="Arial Narrow"/>
                <w:b/>
                <w:bCs w:val="0"/>
                <w:i/>
                <w:iCs/>
                <w:color w:val="000000" w:themeColor="text1"/>
                <w:szCs w:val="20"/>
              </w:rPr>
              <w:t>AND</w:t>
            </w:r>
          </w:p>
        </w:tc>
      </w:tr>
      <w:tr w:rsidR="00761495" w:rsidRPr="00AB34C7" w14:paraId="64A6F3E0" w14:textId="77777777" w:rsidTr="00DB278B">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16F2334E" w14:textId="77777777" w:rsidR="00761495" w:rsidRPr="00AB34C7" w:rsidRDefault="00761495" w:rsidP="00DB278B">
            <w:pPr>
              <w:pStyle w:val="COMTabletext"/>
              <w:keepNext w:val="0"/>
              <w:rPr>
                <w:rFonts w:eastAsia="Arial Narrow" w:cs="Arial Narrow"/>
                <w:color w:val="000000" w:themeColor="text1"/>
                <w:szCs w:val="20"/>
              </w:rPr>
            </w:pPr>
            <w:r w:rsidRPr="00AB34C7">
              <w:rPr>
                <w:b/>
                <w:color w:val="000000" w:themeColor="text1"/>
                <w:szCs w:val="20"/>
              </w:rPr>
              <w:t>Clinical criteria:</w:t>
            </w:r>
          </w:p>
        </w:tc>
      </w:tr>
      <w:tr w:rsidR="00761495" w:rsidRPr="00AB34C7" w14:paraId="78B686F4" w14:textId="77777777" w:rsidTr="00DB278B">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73E6CF95" w14:textId="77777777" w:rsidR="00761495" w:rsidRPr="00AB34C7" w:rsidRDefault="00761495" w:rsidP="00DB278B">
            <w:pPr>
              <w:pStyle w:val="COMTabletext"/>
              <w:keepNext w:val="0"/>
              <w:rPr>
                <w:rFonts w:eastAsia="Arial Narrow" w:cs="Arial Narrow"/>
                <w:color w:val="000000" w:themeColor="text1"/>
                <w:szCs w:val="20"/>
              </w:rPr>
            </w:pPr>
            <w:r w:rsidRPr="00AB34C7">
              <w:rPr>
                <w:rFonts w:eastAsia="Arial Narrow" w:cs="Arial Narrow"/>
                <w:color w:val="000000" w:themeColor="text1"/>
                <w:szCs w:val="20"/>
              </w:rPr>
              <w:t xml:space="preserve">The condition must </w:t>
            </w:r>
            <w:r w:rsidRPr="00AB34C7">
              <w:rPr>
                <w:rFonts w:eastAsia="Arial Narrow" w:cs="Arial Narrow"/>
                <w:i/>
                <w:iCs/>
                <w:color w:val="000000" w:themeColor="text1"/>
                <w:szCs w:val="20"/>
              </w:rPr>
              <w:t>have been</w:t>
            </w:r>
            <w:r w:rsidRPr="00AB34C7">
              <w:rPr>
                <w:rFonts w:eastAsia="Arial Narrow" w:cs="Arial Narrow"/>
                <w:color w:val="000000" w:themeColor="text1"/>
                <w:szCs w:val="20"/>
              </w:rPr>
              <w:t xml:space="preserve"> </w:t>
            </w:r>
            <w:r w:rsidRPr="00AB34C7">
              <w:rPr>
                <w:rFonts w:eastAsia="Arial Narrow" w:cs="Arial Narrow"/>
                <w:strike/>
                <w:color w:val="000000" w:themeColor="text1"/>
                <w:szCs w:val="20"/>
              </w:rPr>
              <w:t>be</w:t>
            </w:r>
            <w:r w:rsidRPr="00AB34C7">
              <w:rPr>
                <w:rFonts w:eastAsia="Arial Narrow" w:cs="Arial Narrow"/>
                <w:color w:val="000000" w:themeColor="text1"/>
                <w:szCs w:val="20"/>
              </w:rPr>
              <w:t xml:space="preserve"> untreated with drug treatment at the time of the first dose of this drug; OR</w:t>
            </w:r>
          </w:p>
        </w:tc>
      </w:tr>
      <w:tr w:rsidR="00761495" w:rsidRPr="00AB34C7" w14:paraId="591F3DF9" w14:textId="77777777" w:rsidTr="00DB278B">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0D643A5A" w14:textId="77777777" w:rsidR="00761495" w:rsidRPr="00AB34C7" w:rsidRDefault="00761495" w:rsidP="00DB278B">
            <w:pPr>
              <w:pStyle w:val="COMTabletext"/>
              <w:keepNext w:val="0"/>
              <w:rPr>
                <w:rFonts w:eastAsia="Arial Narrow" w:cs="Arial Narrow"/>
                <w:color w:val="000000" w:themeColor="text1"/>
                <w:szCs w:val="20"/>
              </w:rPr>
            </w:pPr>
            <w:r w:rsidRPr="00AB34C7">
              <w:rPr>
                <w:rFonts w:eastAsia="Arial Narrow" w:cs="Arial Narrow"/>
                <w:color w:val="000000" w:themeColor="text1"/>
                <w:szCs w:val="20"/>
              </w:rPr>
              <w:t xml:space="preserve">Patient must have developed an intolerance of a severity necessitating permanent treatment withdrawal following use of another drug PBS indicated as first-line drug treatment of CLL/SLL </w:t>
            </w:r>
            <w:r w:rsidRPr="00AB34C7">
              <w:rPr>
                <w:rFonts w:eastAsia="Arial Narrow" w:cs="Arial Narrow"/>
                <w:i/>
                <w:iCs/>
                <w:color w:val="000000" w:themeColor="text1"/>
                <w:szCs w:val="20"/>
              </w:rPr>
              <w:t>at the time of receiving non-PBS-subsidised treatment with this drug for this condition</w:t>
            </w:r>
            <w:r w:rsidRPr="00AB34C7">
              <w:rPr>
                <w:rFonts w:eastAsia="Arial Narrow" w:cs="Arial Narrow"/>
                <w:color w:val="000000" w:themeColor="text1"/>
                <w:szCs w:val="20"/>
              </w:rPr>
              <w:t xml:space="preserve">, </w:t>
            </w:r>
          </w:p>
        </w:tc>
      </w:tr>
      <w:tr w:rsidR="00761495" w:rsidRPr="00AB34C7" w14:paraId="7EA6D38A" w14:textId="77777777" w:rsidTr="00DB278B">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1E996AE7" w14:textId="77777777" w:rsidR="00761495" w:rsidRPr="00AB34C7" w:rsidRDefault="00761495" w:rsidP="00DB278B">
            <w:pPr>
              <w:pStyle w:val="COMTabletext"/>
              <w:keepNext w:val="0"/>
              <w:rPr>
                <w:rFonts w:eastAsia="Arial Narrow" w:cs="Arial Narrow"/>
                <w:color w:val="000000" w:themeColor="text1"/>
                <w:szCs w:val="20"/>
              </w:rPr>
            </w:pPr>
            <w:r w:rsidRPr="00AB34C7">
              <w:rPr>
                <w:rFonts w:eastAsia="Arial Narrow" w:cs="Arial Narrow"/>
                <w:b/>
                <w:color w:val="000000" w:themeColor="text1"/>
                <w:szCs w:val="20"/>
              </w:rPr>
              <w:t>AND</w:t>
            </w:r>
          </w:p>
        </w:tc>
      </w:tr>
      <w:tr w:rsidR="00761495" w:rsidRPr="00AB34C7" w14:paraId="7EC9EBF4" w14:textId="77777777" w:rsidTr="00DB278B">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610E5B1A" w14:textId="77777777" w:rsidR="00761495" w:rsidRPr="00AB34C7" w:rsidRDefault="00761495" w:rsidP="00DB278B">
            <w:pPr>
              <w:pStyle w:val="COMTabletext"/>
              <w:keepNext w:val="0"/>
              <w:rPr>
                <w:rFonts w:eastAsia="Arial Narrow" w:cs="Arial Narrow"/>
                <w:color w:val="000000" w:themeColor="text1"/>
                <w:szCs w:val="20"/>
              </w:rPr>
            </w:pPr>
            <w:r w:rsidRPr="00AB34C7">
              <w:rPr>
                <w:rFonts w:eastAsia="Arial Narrow" w:cs="Arial Narrow"/>
                <w:b/>
                <w:color w:val="000000" w:themeColor="text1"/>
                <w:szCs w:val="20"/>
              </w:rPr>
              <w:t>Clinical criteria:</w:t>
            </w:r>
          </w:p>
        </w:tc>
      </w:tr>
      <w:tr w:rsidR="00761495" w:rsidRPr="00AB34C7" w14:paraId="49F6360B" w14:textId="77777777" w:rsidTr="00DB278B">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236DE4FB" w14:textId="77777777" w:rsidR="00761495" w:rsidRPr="00AB34C7" w:rsidRDefault="00761495" w:rsidP="00DB278B">
            <w:pPr>
              <w:pStyle w:val="COMTabletext"/>
              <w:keepNext w:val="0"/>
              <w:rPr>
                <w:rFonts w:eastAsia="Arial Narrow" w:cs="Arial Narrow"/>
                <w:color w:val="000000" w:themeColor="text1"/>
                <w:szCs w:val="20"/>
              </w:rPr>
            </w:pPr>
            <w:r w:rsidRPr="00AB34C7">
              <w:rPr>
                <w:rFonts w:eastAsia="Arial Narrow" w:cs="Arial Narrow"/>
                <w:color w:val="000000" w:themeColor="text1"/>
                <w:szCs w:val="20"/>
              </w:rPr>
              <w:t>The treatment must only be prescribed for a patient with active disease in accordance with the International Workshop on CLL (iwCLL) guidance (latest version) in relation to when to prescribe drug treatment for this condition,</w:t>
            </w:r>
          </w:p>
        </w:tc>
      </w:tr>
      <w:tr w:rsidR="00761495" w:rsidRPr="00AB34C7" w14:paraId="380F1133" w14:textId="77777777" w:rsidTr="00DB278B">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05841B11" w14:textId="77777777" w:rsidR="00761495" w:rsidRPr="00AB34C7" w:rsidRDefault="00761495" w:rsidP="00DB278B">
            <w:pPr>
              <w:pStyle w:val="COMTabletext"/>
              <w:keepNext w:val="0"/>
              <w:rPr>
                <w:rFonts w:eastAsia="Arial Narrow" w:cs="Arial Narrow"/>
                <w:color w:val="000000" w:themeColor="text1"/>
                <w:szCs w:val="20"/>
              </w:rPr>
            </w:pPr>
            <w:r w:rsidRPr="00AB34C7">
              <w:rPr>
                <w:rFonts w:eastAsia="Arial Narrow" w:cs="Arial Narrow"/>
                <w:b/>
                <w:color w:val="000000" w:themeColor="text1"/>
                <w:szCs w:val="20"/>
              </w:rPr>
              <w:t>AND</w:t>
            </w:r>
          </w:p>
        </w:tc>
      </w:tr>
      <w:tr w:rsidR="00761495" w:rsidRPr="00AB34C7" w14:paraId="4E6B6947" w14:textId="77777777" w:rsidTr="00DB278B">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3513A9F2" w14:textId="77777777" w:rsidR="00761495" w:rsidRPr="00AB34C7" w:rsidRDefault="00761495" w:rsidP="00DB278B">
            <w:pPr>
              <w:pStyle w:val="COMTabletext"/>
              <w:keepNext w:val="0"/>
              <w:rPr>
                <w:rFonts w:eastAsia="Arial Narrow" w:cs="Arial Narrow"/>
                <w:color w:val="000000" w:themeColor="text1"/>
                <w:szCs w:val="20"/>
              </w:rPr>
            </w:pPr>
            <w:r w:rsidRPr="00AB34C7">
              <w:rPr>
                <w:rFonts w:eastAsia="Arial Narrow" w:cs="Arial Narrow"/>
                <w:b/>
                <w:color w:val="000000" w:themeColor="text1"/>
                <w:szCs w:val="20"/>
              </w:rPr>
              <w:t>Clinical criteria:</w:t>
            </w:r>
          </w:p>
        </w:tc>
      </w:tr>
      <w:tr w:rsidR="00761495" w:rsidRPr="00AB34C7" w14:paraId="25411096" w14:textId="77777777" w:rsidTr="00DB278B">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09B2A3C2" w14:textId="77777777" w:rsidR="00761495" w:rsidRPr="00AB34C7" w:rsidRDefault="00761495" w:rsidP="00DB278B">
            <w:pPr>
              <w:pStyle w:val="COMTabletext"/>
              <w:keepNext w:val="0"/>
              <w:rPr>
                <w:rFonts w:eastAsia="Arial Narrow" w:cs="Arial Narrow"/>
                <w:color w:val="000000" w:themeColor="text1"/>
                <w:szCs w:val="20"/>
              </w:rPr>
            </w:pPr>
            <w:r w:rsidRPr="00AB34C7">
              <w:rPr>
                <w:rFonts w:eastAsia="Arial Narrow" w:cs="Arial Narrow"/>
                <w:color w:val="000000" w:themeColor="text1"/>
                <w:szCs w:val="20"/>
              </w:rPr>
              <w:t>The treatment must be in combination with venetoclax (refer to Product Information for timing of ibrutinib and venetoclax doses).</w:t>
            </w:r>
          </w:p>
        </w:tc>
      </w:tr>
      <w:tr w:rsidR="00761495" w:rsidRPr="00AB34C7" w14:paraId="2346E17E" w14:textId="77777777" w:rsidTr="00DB278B">
        <w:trPr>
          <w:cantSplit/>
          <w:trHeight w:val="20"/>
        </w:trPr>
        <w:tc>
          <w:tcPr>
            <w:tcW w:w="9214" w:type="dxa"/>
            <w:vAlign w:val="center"/>
          </w:tcPr>
          <w:p w14:paraId="4C260C6E" w14:textId="73CCB75F" w:rsidR="00761495" w:rsidRPr="00AB34C7" w:rsidRDefault="00761495" w:rsidP="00DB278B">
            <w:pPr>
              <w:pStyle w:val="COMTabletext"/>
              <w:keepLines/>
              <w:rPr>
                <w:b/>
              </w:rPr>
            </w:pPr>
            <w:r w:rsidRPr="00AB34C7">
              <w:rPr>
                <w:b/>
              </w:rPr>
              <w:t>Prescrib</w:t>
            </w:r>
            <w:r w:rsidR="0042472D" w:rsidRPr="00AB34C7">
              <w:rPr>
                <w:b/>
              </w:rPr>
              <w:t>er</w:t>
            </w:r>
            <w:r w:rsidRPr="00AB34C7">
              <w:rPr>
                <w:b/>
              </w:rPr>
              <w:t xml:space="preserve"> instruction:</w:t>
            </w:r>
          </w:p>
          <w:p w14:paraId="6AB7ABCE" w14:textId="77777777" w:rsidR="00761495" w:rsidRPr="00AB34C7" w:rsidRDefault="00761495" w:rsidP="00DB278B">
            <w:pPr>
              <w:pStyle w:val="COMTabletext"/>
              <w:keepLines/>
              <w:rPr>
                <w:bCs w:val="0"/>
                <w:i/>
                <w:iCs/>
              </w:rPr>
            </w:pPr>
            <w:r w:rsidRPr="00AB34C7">
              <w:rPr>
                <w:bCs w:val="0"/>
                <w:i/>
                <w:iCs/>
              </w:rPr>
              <w:t xml:space="preserve">A patient may qualify for PBS-subsidised treatment under this restriction once only. </w:t>
            </w:r>
          </w:p>
        </w:tc>
      </w:tr>
      <w:tr w:rsidR="00761495" w:rsidRPr="00AB34C7" w14:paraId="6EB2A48A" w14:textId="77777777" w:rsidTr="00DB278B">
        <w:trPr>
          <w:cantSplit/>
          <w:trHeight w:val="20"/>
        </w:trPr>
        <w:tc>
          <w:tcPr>
            <w:tcW w:w="9214" w:type="dxa"/>
            <w:vAlign w:val="center"/>
          </w:tcPr>
          <w:p w14:paraId="71456893" w14:textId="5575A5DB" w:rsidR="00761495" w:rsidRPr="00AB34C7" w:rsidRDefault="00761495" w:rsidP="00DB278B">
            <w:pPr>
              <w:pStyle w:val="COMTabletext"/>
              <w:keepLines/>
              <w:rPr>
                <w:b/>
              </w:rPr>
            </w:pPr>
            <w:r w:rsidRPr="00AB34C7">
              <w:rPr>
                <w:b/>
              </w:rPr>
              <w:t>Prescrib</w:t>
            </w:r>
            <w:r w:rsidR="0042472D" w:rsidRPr="00AB34C7">
              <w:rPr>
                <w:b/>
              </w:rPr>
              <w:t>er</w:t>
            </w:r>
            <w:r w:rsidRPr="00AB34C7">
              <w:rPr>
                <w:b/>
              </w:rPr>
              <w:t xml:space="preserve"> instruction:</w:t>
            </w:r>
          </w:p>
          <w:p w14:paraId="0EC9CC63" w14:textId="0D037579" w:rsidR="00761495" w:rsidRPr="00AB34C7" w:rsidRDefault="00761495" w:rsidP="00DB278B">
            <w:pPr>
              <w:pStyle w:val="COMTabletext"/>
              <w:keepLines/>
              <w:rPr>
                <w:bCs w:val="0"/>
                <w:i/>
                <w:iCs/>
              </w:rPr>
            </w:pPr>
            <w:r w:rsidRPr="00AB34C7">
              <w:rPr>
                <w:bCs w:val="0"/>
                <w:i/>
                <w:iCs/>
              </w:rPr>
              <w:t>For continuing PBS-subsidised treatment, a 'Grandfathered' patient must qualify under the 'Continuing treatment' First continuing treatment (treatment cycles 4 to 9 inclusive) of first-line therapy criteria</w:t>
            </w:r>
            <w:r w:rsidR="00AB34C7">
              <w:rPr>
                <w:bCs w:val="0"/>
                <w:i/>
                <w:iCs/>
              </w:rPr>
              <w:t xml:space="preserve">. </w:t>
            </w:r>
            <w:r w:rsidRPr="00AB34C7">
              <w:rPr>
                <w:bCs w:val="0"/>
                <w:i/>
                <w:iCs/>
              </w:rPr>
              <w:t xml:space="preserve">   </w:t>
            </w:r>
          </w:p>
        </w:tc>
      </w:tr>
      <w:tr w:rsidR="00761495" w:rsidRPr="00AB34C7" w14:paraId="117FBC1E" w14:textId="77777777" w:rsidTr="00DB278B">
        <w:trPr>
          <w:cantSplit/>
          <w:trHeight w:val="20"/>
        </w:trPr>
        <w:tc>
          <w:tcPr>
            <w:tcW w:w="9214" w:type="dxa"/>
            <w:vAlign w:val="center"/>
          </w:tcPr>
          <w:p w14:paraId="565F3346" w14:textId="703B6324" w:rsidR="00761495" w:rsidRPr="00AB34C7" w:rsidRDefault="00761495" w:rsidP="00DB278B">
            <w:pPr>
              <w:pStyle w:val="COMTabletext"/>
              <w:keepLines/>
              <w:rPr>
                <w:b/>
              </w:rPr>
            </w:pPr>
            <w:r w:rsidRPr="00AB34C7">
              <w:rPr>
                <w:b/>
              </w:rPr>
              <w:t>Prescri</w:t>
            </w:r>
            <w:r w:rsidR="0042472D" w:rsidRPr="00AB34C7">
              <w:rPr>
                <w:b/>
              </w:rPr>
              <w:t>ber</w:t>
            </w:r>
            <w:r w:rsidRPr="00AB34C7">
              <w:rPr>
                <w:b/>
              </w:rPr>
              <w:t xml:space="preserve"> Instruction: </w:t>
            </w:r>
          </w:p>
          <w:p w14:paraId="1D3EE910" w14:textId="77777777" w:rsidR="00761495" w:rsidRPr="00AB34C7" w:rsidRDefault="00761495" w:rsidP="00DB278B">
            <w:pPr>
              <w:pStyle w:val="COMTabletext"/>
              <w:keepNext w:val="0"/>
              <w:rPr>
                <w:b/>
                <w:color w:val="000000" w:themeColor="text1"/>
              </w:rPr>
            </w:pPr>
            <w:r w:rsidRPr="00AB34C7">
              <w:rPr>
                <w:bCs w:val="0"/>
              </w:rPr>
              <w:t>There are more ibrutinib capsules (or tablets) in a pack than is required for the completion of a treatment cycle. The patient must not discard any remaining capsules (or tablets) after the completion of any treatment cycle as these capsules (or tablets) will be required for the doses in the final treatment cycle (i.e. treatment cycle 15).</w:t>
            </w:r>
          </w:p>
        </w:tc>
      </w:tr>
      <w:tr w:rsidR="00761495" w:rsidRPr="00AB34C7" w14:paraId="21B03273" w14:textId="77777777" w:rsidTr="00DB278B">
        <w:trPr>
          <w:cantSplit/>
          <w:trHeight w:val="20"/>
        </w:trPr>
        <w:tc>
          <w:tcPr>
            <w:tcW w:w="9214" w:type="dxa"/>
            <w:vAlign w:val="center"/>
          </w:tcPr>
          <w:p w14:paraId="451A6C0E" w14:textId="77777777" w:rsidR="00761495" w:rsidRPr="00AB34C7" w:rsidRDefault="00761495" w:rsidP="00DB278B">
            <w:pPr>
              <w:pStyle w:val="COMTabletext"/>
              <w:keepLines/>
              <w:rPr>
                <w:b/>
              </w:rPr>
            </w:pPr>
          </w:p>
        </w:tc>
      </w:tr>
      <w:tr w:rsidR="00761495" w:rsidRPr="00AB34C7" w14:paraId="71A819D1" w14:textId="77777777" w:rsidTr="00DB278B">
        <w:trPr>
          <w:cantSplit/>
          <w:trHeight w:val="20"/>
        </w:trPr>
        <w:tc>
          <w:tcPr>
            <w:tcW w:w="9214" w:type="dxa"/>
          </w:tcPr>
          <w:p w14:paraId="449A61D6" w14:textId="77777777" w:rsidR="00761495" w:rsidRPr="00AB34C7" w:rsidRDefault="00761495" w:rsidP="00DB278B">
            <w:pPr>
              <w:pStyle w:val="COMTabletext"/>
              <w:keepNext w:val="0"/>
              <w:rPr>
                <w:color w:val="000000" w:themeColor="text1"/>
              </w:rPr>
            </w:pPr>
            <w:r w:rsidRPr="00AB34C7">
              <w:rPr>
                <w:b/>
                <w:color w:val="000000" w:themeColor="text1"/>
              </w:rPr>
              <w:t xml:space="preserve">Category / Program: </w:t>
            </w:r>
            <w:r w:rsidRPr="00AB34C7">
              <w:rPr>
                <w:color w:val="000000" w:themeColor="text1"/>
              </w:rPr>
              <w:t>General Schedule</w:t>
            </w:r>
          </w:p>
        </w:tc>
      </w:tr>
      <w:tr w:rsidR="00761495" w:rsidRPr="00AB34C7" w14:paraId="0CCDEE7B" w14:textId="77777777" w:rsidTr="00DB278B">
        <w:trPr>
          <w:cantSplit/>
          <w:trHeight w:val="20"/>
        </w:trPr>
        <w:tc>
          <w:tcPr>
            <w:tcW w:w="9214" w:type="dxa"/>
          </w:tcPr>
          <w:p w14:paraId="58F36747" w14:textId="77777777" w:rsidR="00761495" w:rsidRPr="00AB34C7" w:rsidRDefault="00761495" w:rsidP="00DB278B">
            <w:pPr>
              <w:pStyle w:val="COMTabletext"/>
              <w:keepNext w:val="0"/>
              <w:rPr>
                <w:b/>
                <w:color w:val="000000" w:themeColor="text1"/>
              </w:rPr>
            </w:pPr>
            <w:r w:rsidRPr="00AB34C7">
              <w:rPr>
                <w:b/>
                <w:color w:val="000000" w:themeColor="text1"/>
              </w:rPr>
              <w:t xml:space="preserve">Prescriber type: </w:t>
            </w:r>
            <w:r w:rsidRPr="00AB34C7">
              <w:rPr>
                <w:color w:val="000000" w:themeColor="text1"/>
              </w:rPr>
              <w:fldChar w:fldCharType="begin" w:fldLock="1">
                <w:ffData>
                  <w:name w:val=""/>
                  <w:enabled/>
                  <w:calcOnExit w:val="0"/>
                  <w:checkBox>
                    <w:sizeAuto/>
                    <w:default w:val="1"/>
                  </w:checkBox>
                </w:ffData>
              </w:fldChar>
            </w:r>
            <w:r w:rsidRPr="00AB34C7">
              <w:rPr>
                <w:color w:val="000000" w:themeColor="text1"/>
              </w:rPr>
              <w:instrText xml:space="preserve"> FORMCHECKBOX </w:instrText>
            </w:r>
            <w:r w:rsidR="00000000">
              <w:rPr>
                <w:color w:val="000000" w:themeColor="text1"/>
              </w:rPr>
            </w:r>
            <w:r w:rsidR="00000000">
              <w:rPr>
                <w:color w:val="000000" w:themeColor="text1"/>
              </w:rPr>
              <w:fldChar w:fldCharType="separate"/>
            </w:r>
            <w:r w:rsidRPr="00AB34C7">
              <w:rPr>
                <w:color w:val="000000" w:themeColor="text1"/>
              </w:rPr>
              <w:fldChar w:fldCharType="end"/>
            </w:r>
            <w:r w:rsidRPr="00AB34C7">
              <w:rPr>
                <w:color w:val="000000" w:themeColor="text1"/>
              </w:rPr>
              <w:t xml:space="preserve">Medical Practitioners </w:t>
            </w:r>
          </w:p>
        </w:tc>
      </w:tr>
      <w:tr w:rsidR="00761495" w:rsidRPr="00AB34C7" w14:paraId="3C92118B" w14:textId="77777777" w:rsidTr="00DB278B">
        <w:trPr>
          <w:cantSplit/>
          <w:trHeight w:val="20"/>
        </w:trPr>
        <w:tc>
          <w:tcPr>
            <w:tcW w:w="9214" w:type="dxa"/>
          </w:tcPr>
          <w:p w14:paraId="5342966F" w14:textId="4088BE0D" w:rsidR="00761495" w:rsidRPr="00AB34C7" w:rsidRDefault="00761495" w:rsidP="00DB278B">
            <w:pPr>
              <w:pStyle w:val="COMTabletext"/>
              <w:keepNext w:val="0"/>
              <w:rPr>
                <w:rFonts w:eastAsia="Times New Roman"/>
                <w:color w:val="000000" w:themeColor="text1"/>
              </w:rPr>
            </w:pPr>
            <w:r w:rsidRPr="00AB34C7">
              <w:rPr>
                <w:b/>
                <w:color w:val="000000" w:themeColor="text1"/>
              </w:rPr>
              <w:t xml:space="preserve">Restriction type: </w:t>
            </w:r>
            <w:r w:rsidRPr="00AB34C7">
              <w:rPr>
                <w:rFonts w:eastAsia="Times New Roman"/>
                <w:color w:val="000000" w:themeColor="text1"/>
              </w:rPr>
              <w:fldChar w:fldCharType="begin" w:fldLock="1">
                <w:ffData>
                  <w:name w:val=""/>
                  <w:enabled/>
                  <w:calcOnExit w:val="0"/>
                  <w:checkBox>
                    <w:sizeAuto/>
                    <w:default w:val="1"/>
                  </w:checkBox>
                </w:ffData>
              </w:fldChar>
            </w:r>
            <w:r w:rsidRPr="00AB34C7">
              <w:rPr>
                <w:rFonts w:eastAsia="Times New Roman"/>
                <w:color w:val="000000" w:themeColor="text1"/>
              </w:rPr>
              <w:instrText xml:space="preserve"> FORMCHECKBOX </w:instrText>
            </w:r>
            <w:r w:rsidR="00000000">
              <w:rPr>
                <w:rFonts w:eastAsia="Times New Roman"/>
                <w:color w:val="000000" w:themeColor="text1"/>
              </w:rPr>
            </w:r>
            <w:r w:rsidR="00000000">
              <w:rPr>
                <w:rFonts w:eastAsia="Times New Roman"/>
                <w:color w:val="000000" w:themeColor="text1"/>
              </w:rPr>
              <w:fldChar w:fldCharType="separate"/>
            </w:r>
            <w:r w:rsidRPr="00AB34C7">
              <w:rPr>
                <w:rFonts w:eastAsia="Times New Roman"/>
                <w:color w:val="000000" w:themeColor="text1"/>
              </w:rPr>
              <w:fldChar w:fldCharType="end"/>
            </w:r>
            <w:r w:rsidRPr="00AB34C7">
              <w:rPr>
                <w:rFonts w:eastAsia="Times New Roman"/>
              </w:rPr>
              <w:t xml:space="preserve"> Authority Required (telephone/online </w:t>
            </w:r>
            <w:r w:rsidR="00E55C43" w:rsidRPr="00AB34C7">
              <w:rPr>
                <w:rFonts w:eastAsia="Times New Roman"/>
              </w:rPr>
              <w:t xml:space="preserve">via </w:t>
            </w:r>
            <w:r w:rsidRPr="00AB34C7">
              <w:rPr>
                <w:rFonts w:eastAsia="Times New Roman"/>
              </w:rPr>
              <w:t>PBS Authorities system)</w:t>
            </w:r>
          </w:p>
        </w:tc>
      </w:tr>
      <w:tr w:rsidR="00761495" w:rsidRPr="00AB34C7" w14:paraId="074A07BE" w14:textId="77777777" w:rsidTr="00DB278B">
        <w:trPr>
          <w:cantSplit/>
          <w:trHeight w:val="20"/>
        </w:trPr>
        <w:tc>
          <w:tcPr>
            <w:tcW w:w="9214" w:type="dxa"/>
            <w:vAlign w:val="center"/>
          </w:tcPr>
          <w:p w14:paraId="4AB7C694" w14:textId="77777777" w:rsidR="00761495" w:rsidRPr="00AB34C7" w:rsidRDefault="00761495" w:rsidP="00DB278B">
            <w:pPr>
              <w:pStyle w:val="COMTabletext"/>
              <w:keepNext w:val="0"/>
              <w:rPr>
                <w:b/>
                <w:strike/>
                <w:color w:val="000000" w:themeColor="text1"/>
              </w:rPr>
            </w:pPr>
            <w:r w:rsidRPr="00AB34C7">
              <w:rPr>
                <w:b/>
                <w:strike/>
                <w:color w:val="000000" w:themeColor="text1"/>
              </w:rPr>
              <w:t xml:space="preserve">Condition: </w:t>
            </w:r>
            <w:r w:rsidRPr="00AB34C7">
              <w:rPr>
                <w:strike/>
              </w:rPr>
              <w:t>Chronic lymphocytic leukaemia (CLL) or small lymphocytic lymphoma (SLL)</w:t>
            </w:r>
          </w:p>
        </w:tc>
      </w:tr>
      <w:tr w:rsidR="00761495" w:rsidRPr="00AB34C7" w14:paraId="2D6EEC1D" w14:textId="77777777" w:rsidTr="00DB278B">
        <w:trPr>
          <w:cantSplit/>
          <w:trHeight w:val="20"/>
        </w:trPr>
        <w:tc>
          <w:tcPr>
            <w:tcW w:w="9214" w:type="dxa"/>
            <w:tcBorders>
              <w:bottom w:val="single" w:sz="4" w:space="0" w:color="auto"/>
            </w:tcBorders>
            <w:vAlign w:val="center"/>
          </w:tcPr>
          <w:p w14:paraId="3E17ADAF" w14:textId="77777777" w:rsidR="00761495" w:rsidRPr="00AB34C7" w:rsidRDefault="00761495" w:rsidP="00DB278B">
            <w:pPr>
              <w:pStyle w:val="COMTabletext"/>
              <w:keepNext w:val="0"/>
              <w:rPr>
                <w:bCs w:val="0"/>
                <w:color w:val="000000" w:themeColor="text1"/>
              </w:rPr>
            </w:pPr>
            <w:r w:rsidRPr="00AB34C7">
              <w:rPr>
                <w:b/>
                <w:color w:val="000000" w:themeColor="text1"/>
              </w:rPr>
              <w:t xml:space="preserve">Indication: </w:t>
            </w:r>
            <w:r w:rsidRPr="00AB34C7">
              <w:t>Chronic lymphocytic leukaemia (CLL) or small lymphocytic lymphoma (SLL)</w:t>
            </w:r>
          </w:p>
        </w:tc>
      </w:tr>
      <w:tr w:rsidR="00761495" w:rsidRPr="00AB34C7" w14:paraId="2272C68A" w14:textId="77777777" w:rsidTr="00DB278B">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1364F0B3" w14:textId="4B81274A" w:rsidR="00761495" w:rsidRPr="00AB34C7" w:rsidRDefault="00761495" w:rsidP="00DB278B">
            <w:pPr>
              <w:pStyle w:val="COMTabletext"/>
              <w:keepNext w:val="0"/>
              <w:rPr>
                <w:rFonts w:eastAsia="Arial Narrow" w:cs="Arial Narrow"/>
                <w:color w:val="000000" w:themeColor="text1"/>
                <w:szCs w:val="20"/>
              </w:rPr>
            </w:pPr>
            <w:r w:rsidRPr="00AB34C7">
              <w:rPr>
                <w:rFonts w:eastAsia="Arial Narrow" w:cs="Arial Narrow"/>
                <w:b/>
                <w:bCs w:val="0"/>
                <w:color w:val="000000" w:themeColor="text1"/>
                <w:szCs w:val="20"/>
              </w:rPr>
              <w:t xml:space="preserve">Treatment phase: </w:t>
            </w:r>
            <w:r w:rsidRPr="00AB34C7">
              <w:rPr>
                <w:rFonts w:eastAsia="Arial Narrow" w:cs="Arial Narrow"/>
                <w:color w:val="000000" w:themeColor="text1"/>
                <w:szCs w:val="20"/>
              </w:rPr>
              <w:t>Second and final continuing treatment (treatment cycles 10 to 15 inclusive)</w:t>
            </w:r>
            <w:r w:rsidR="00E55C43" w:rsidRPr="00AB34C7">
              <w:rPr>
                <w:rFonts w:eastAsia="Arial Narrow" w:cs="Arial Narrow"/>
                <w:color w:val="000000" w:themeColor="text1"/>
                <w:szCs w:val="20"/>
              </w:rPr>
              <w:t xml:space="preserve"> of first-line therapy</w:t>
            </w:r>
          </w:p>
        </w:tc>
      </w:tr>
      <w:tr w:rsidR="00BF436A" w:rsidRPr="00AB34C7" w14:paraId="069EC9B3" w14:textId="77777777" w:rsidTr="009556D8">
        <w:trPr>
          <w:cantSplit/>
          <w:trHeight w:val="20"/>
        </w:trPr>
        <w:tc>
          <w:tcPr>
            <w:tcW w:w="9214" w:type="dxa"/>
            <w:tcBorders>
              <w:bottom w:val="single" w:sz="4" w:space="0" w:color="auto"/>
            </w:tcBorders>
            <w:vAlign w:val="center"/>
          </w:tcPr>
          <w:p w14:paraId="0DDA3137" w14:textId="77777777" w:rsidR="00BF436A" w:rsidRPr="00AB34C7" w:rsidRDefault="00BF436A" w:rsidP="00507D72">
            <w:pPr>
              <w:pStyle w:val="COMTabletext"/>
              <w:keepNext w:val="0"/>
              <w:rPr>
                <w:rFonts w:eastAsia="Arial Narrow" w:cs="Arial Narrow"/>
                <w:color w:val="000000" w:themeColor="text1"/>
                <w:szCs w:val="20"/>
              </w:rPr>
            </w:pPr>
            <w:r w:rsidRPr="00AB34C7">
              <w:rPr>
                <w:b/>
                <w:color w:val="000000" w:themeColor="text1"/>
                <w:szCs w:val="20"/>
              </w:rPr>
              <w:t>Clinical criteria:</w:t>
            </w:r>
          </w:p>
        </w:tc>
      </w:tr>
      <w:tr w:rsidR="00BF436A" w:rsidRPr="00AB34C7" w14:paraId="3AA18356" w14:textId="77777777" w:rsidTr="009556D8">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14AC8CC8" w14:textId="2B3EC699" w:rsidR="00BF436A" w:rsidRPr="00AB34C7" w:rsidRDefault="009673D3" w:rsidP="00507D72">
            <w:pPr>
              <w:pStyle w:val="COMTabletext"/>
              <w:keepNext w:val="0"/>
              <w:rPr>
                <w:rFonts w:eastAsia="Arial Narrow" w:cs="Arial Narrow"/>
                <w:color w:val="000000" w:themeColor="text1"/>
                <w:szCs w:val="20"/>
              </w:rPr>
            </w:pPr>
            <w:r w:rsidRPr="00AB34C7">
              <w:rPr>
                <w:rFonts w:eastAsia="Arial Narrow" w:cs="Arial Narrow"/>
                <w:color w:val="000000" w:themeColor="text1"/>
                <w:szCs w:val="20"/>
              </w:rPr>
              <w:t>Patient must have previously received PBS-subsidised treatment with this drug for this condition</w:t>
            </w:r>
          </w:p>
        </w:tc>
      </w:tr>
      <w:tr w:rsidR="00BF436A" w:rsidRPr="00AB34C7" w14:paraId="49ED1091" w14:textId="77777777" w:rsidTr="009556D8">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61385A4C" w14:textId="77777777" w:rsidR="00BF436A" w:rsidRPr="00AB34C7" w:rsidRDefault="00BF436A" w:rsidP="00507D72">
            <w:pPr>
              <w:pStyle w:val="COMTabletext"/>
              <w:keepNext w:val="0"/>
              <w:rPr>
                <w:rFonts w:eastAsia="Arial Narrow" w:cs="Arial Narrow"/>
                <w:color w:val="000000" w:themeColor="text1"/>
                <w:szCs w:val="20"/>
              </w:rPr>
            </w:pPr>
            <w:r w:rsidRPr="00AB34C7">
              <w:rPr>
                <w:rFonts w:eastAsia="Arial Narrow" w:cs="Arial Narrow"/>
                <w:b/>
                <w:color w:val="000000" w:themeColor="text1"/>
                <w:szCs w:val="20"/>
              </w:rPr>
              <w:t>AND</w:t>
            </w:r>
          </w:p>
        </w:tc>
      </w:tr>
      <w:tr w:rsidR="00BF436A" w:rsidRPr="00AB34C7" w14:paraId="190448D8" w14:textId="77777777" w:rsidTr="009556D8">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26A1674A" w14:textId="77777777" w:rsidR="00BF436A" w:rsidRPr="00AB34C7" w:rsidRDefault="00BF436A" w:rsidP="00507D72">
            <w:pPr>
              <w:pStyle w:val="COMTabletext"/>
              <w:keepNext w:val="0"/>
              <w:rPr>
                <w:rFonts w:eastAsia="Arial Narrow" w:cs="Arial Narrow"/>
                <w:b/>
                <w:color w:val="000000" w:themeColor="text1"/>
                <w:szCs w:val="20"/>
              </w:rPr>
            </w:pPr>
            <w:r w:rsidRPr="00AB34C7">
              <w:rPr>
                <w:rFonts w:eastAsia="Arial Narrow" w:cs="Arial Narrow"/>
                <w:b/>
                <w:color w:val="000000" w:themeColor="text1"/>
                <w:szCs w:val="20"/>
              </w:rPr>
              <w:t>Clinical criteria:</w:t>
            </w:r>
          </w:p>
        </w:tc>
      </w:tr>
      <w:tr w:rsidR="00BF436A" w:rsidRPr="00AB34C7" w14:paraId="30AEE9AF" w14:textId="77777777" w:rsidTr="009556D8">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546B3A78" w14:textId="5A689EFA" w:rsidR="00BF436A" w:rsidRPr="00AB34C7" w:rsidRDefault="009673D3" w:rsidP="00507D72">
            <w:pPr>
              <w:pStyle w:val="COMTabletext"/>
              <w:keepNext w:val="0"/>
              <w:rPr>
                <w:rFonts w:eastAsia="Arial Narrow" w:cs="Arial Narrow"/>
                <w:color w:val="000000" w:themeColor="text1"/>
                <w:szCs w:val="20"/>
              </w:rPr>
            </w:pPr>
            <w:r w:rsidRPr="00AB34C7">
              <w:rPr>
                <w:rFonts w:eastAsia="Arial Narrow" w:cs="Arial Narrow"/>
                <w:color w:val="000000" w:themeColor="text1"/>
                <w:szCs w:val="20"/>
              </w:rPr>
              <w:t>The treatment must be in combination with venetoclax (refer to Product Information for timing of ibrutinib and venetoclax doses)</w:t>
            </w:r>
          </w:p>
        </w:tc>
      </w:tr>
      <w:tr w:rsidR="00BF436A" w:rsidRPr="00AB34C7" w14:paraId="73169EBE" w14:textId="77777777" w:rsidTr="009556D8">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41479B1E" w14:textId="77777777" w:rsidR="00BF436A" w:rsidRPr="00AB34C7" w:rsidRDefault="00BF436A" w:rsidP="00507D72">
            <w:pPr>
              <w:pStyle w:val="COMTabletext"/>
              <w:keepNext w:val="0"/>
              <w:rPr>
                <w:rFonts w:eastAsia="Arial Narrow" w:cs="Arial Narrow"/>
                <w:color w:val="000000" w:themeColor="text1"/>
                <w:szCs w:val="20"/>
              </w:rPr>
            </w:pPr>
            <w:r w:rsidRPr="00AB34C7">
              <w:rPr>
                <w:rFonts w:eastAsia="Arial Narrow" w:cs="Arial Narrow"/>
                <w:b/>
                <w:color w:val="000000" w:themeColor="text1"/>
                <w:szCs w:val="20"/>
              </w:rPr>
              <w:t>AND</w:t>
            </w:r>
          </w:p>
        </w:tc>
      </w:tr>
      <w:tr w:rsidR="00BF436A" w:rsidRPr="00AB34C7" w14:paraId="1276268B" w14:textId="77777777" w:rsidTr="009556D8">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45D4DEDA" w14:textId="77777777" w:rsidR="00BF436A" w:rsidRPr="00AB34C7" w:rsidRDefault="00BF436A" w:rsidP="00507D72">
            <w:pPr>
              <w:pStyle w:val="COMTabletext"/>
              <w:keepNext w:val="0"/>
              <w:rPr>
                <w:rFonts w:eastAsia="Arial Narrow" w:cs="Arial Narrow"/>
                <w:b/>
                <w:color w:val="000000" w:themeColor="text1"/>
                <w:szCs w:val="20"/>
              </w:rPr>
            </w:pPr>
            <w:r w:rsidRPr="00AB34C7">
              <w:rPr>
                <w:rFonts w:eastAsia="Arial Narrow" w:cs="Arial Narrow"/>
                <w:b/>
                <w:color w:val="000000" w:themeColor="text1"/>
                <w:szCs w:val="20"/>
              </w:rPr>
              <w:t>Clinical criteria:</w:t>
            </w:r>
          </w:p>
        </w:tc>
      </w:tr>
      <w:tr w:rsidR="00BF436A" w:rsidRPr="00AB34C7" w14:paraId="02982A81" w14:textId="77777777" w:rsidTr="00AA10EC">
        <w:trPr>
          <w:cantSplit/>
          <w:trHeight w:val="20"/>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9B151B3" w14:textId="55F9735C" w:rsidR="00BF436A" w:rsidRPr="00AB34C7" w:rsidRDefault="009673D3" w:rsidP="00507D72">
            <w:pPr>
              <w:pStyle w:val="COMTabletext"/>
              <w:keepNext w:val="0"/>
              <w:rPr>
                <w:rFonts w:eastAsia="Arial Narrow" w:cs="Arial Narrow"/>
                <w:szCs w:val="20"/>
              </w:rPr>
            </w:pPr>
            <w:r w:rsidRPr="00AB34C7">
              <w:rPr>
                <w:rFonts w:eastAsia="Arial Narrow" w:cs="Arial Narrow"/>
                <w:color w:val="000000" w:themeColor="text1"/>
                <w:szCs w:val="20"/>
              </w:rPr>
              <w:t>The treatment must cease upon disease progression, OR</w:t>
            </w:r>
          </w:p>
        </w:tc>
      </w:tr>
      <w:tr w:rsidR="00BF436A" w:rsidRPr="00AB34C7" w14:paraId="6E0B95E8" w14:textId="77777777" w:rsidTr="009556D8">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22A34E9D" w14:textId="4A61FD02" w:rsidR="00BF436A" w:rsidRPr="00AB34C7" w:rsidRDefault="009673D3" w:rsidP="00507D72">
            <w:pPr>
              <w:pStyle w:val="COMTabletext"/>
              <w:keepNext w:val="0"/>
              <w:rPr>
                <w:rFonts w:eastAsia="Arial Narrow" w:cs="Arial Narrow"/>
                <w:color w:val="000000" w:themeColor="text1"/>
                <w:szCs w:val="20"/>
              </w:rPr>
            </w:pPr>
            <w:r w:rsidRPr="00AB34C7">
              <w:rPr>
                <w:rFonts w:eastAsia="Arial Narrow" w:cs="Arial Narrow"/>
                <w:color w:val="000000" w:themeColor="text1"/>
                <w:szCs w:val="20"/>
              </w:rPr>
              <w:t xml:space="preserve">The treatment must cease upon completion of 15 cycles of </w:t>
            </w:r>
            <w:r w:rsidR="00B730B1" w:rsidRPr="00AB34C7">
              <w:rPr>
                <w:rFonts w:eastAsia="Arial Narrow" w:cs="Arial Narrow"/>
                <w:i/>
                <w:iCs/>
                <w:color w:val="000000" w:themeColor="text1"/>
                <w:szCs w:val="20"/>
              </w:rPr>
              <w:t>PBS-subsidised</w:t>
            </w:r>
            <w:r w:rsidR="00B730B1" w:rsidRPr="00AB34C7">
              <w:rPr>
                <w:rFonts w:eastAsia="Arial Narrow" w:cs="Arial Narrow"/>
                <w:color w:val="000000" w:themeColor="text1"/>
                <w:szCs w:val="20"/>
              </w:rPr>
              <w:t xml:space="preserve"> treatment </w:t>
            </w:r>
            <w:r w:rsidRPr="00AB34C7">
              <w:rPr>
                <w:rFonts w:eastAsia="Arial Narrow" w:cs="Arial Narrow"/>
                <w:color w:val="000000" w:themeColor="text1"/>
                <w:szCs w:val="20"/>
              </w:rPr>
              <w:t>with this drug for this condition, whichever comes first.</w:t>
            </w:r>
          </w:p>
        </w:tc>
      </w:tr>
      <w:tr w:rsidR="00B730B1" w:rsidRPr="00AB34C7" w14:paraId="56B59134" w14:textId="77777777" w:rsidTr="009556D8">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2BF7A65A" w14:textId="77777777" w:rsidR="00B730B1" w:rsidRPr="00AB34C7" w:rsidRDefault="00B730B1" w:rsidP="009D0069">
            <w:pPr>
              <w:pStyle w:val="COMTabletext"/>
              <w:keepNext w:val="0"/>
              <w:rPr>
                <w:rFonts w:eastAsia="Arial Narrow" w:cs="Arial Narrow"/>
                <w:b/>
                <w:bCs w:val="0"/>
                <w:color w:val="000000" w:themeColor="text1"/>
                <w:szCs w:val="20"/>
              </w:rPr>
            </w:pPr>
            <w:r w:rsidRPr="00AB34C7">
              <w:rPr>
                <w:rFonts w:eastAsia="Arial Narrow" w:cs="Arial Narrow"/>
                <w:b/>
                <w:bCs w:val="0"/>
                <w:color w:val="000000" w:themeColor="text1"/>
                <w:szCs w:val="20"/>
              </w:rPr>
              <w:t>Prescriber Instruction:</w:t>
            </w:r>
          </w:p>
        </w:tc>
      </w:tr>
      <w:tr w:rsidR="00B730B1" w:rsidRPr="00AB34C7" w14:paraId="512C29A6" w14:textId="77777777" w:rsidTr="009556D8">
        <w:trPr>
          <w:cantSplit/>
          <w:trHeight w:val="20"/>
        </w:trPr>
        <w:tc>
          <w:tcPr>
            <w:tcW w:w="9214" w:type="dxa"/>
            <w:tcBorders>
              <w:top w:val="single" w:sz="4" w:space="0" w:color="auto"/>
              <w:left w:val="single" w:sz="4" w:space="0" w:color="auto"/>
              <w:bottom w:val="single" w:sz="4" w:space="0" w:color="auto"/>
              <w:right w:val="single" w:sz="4" w:space="0" w:color="auto"/>
            </w:tcBorders>
            <w:vAlign w:val="center"/>
          </w:tcPr>
          <w:p w14:paraId="0E904ED0" w14:textId="77777777" w:rsidR="00B730B1" w:rsidRPr="00AB34C7" w:rsidRDefault="00B730B1" w:rsidP="009D0069">
            <w:pPr>
              <w:pStyle w:val="COMTabletext"/>
              <w:keepNext w:val="0"/>
              <w:rPr>
                <w:rFonts w:eastAsia="Arial Narrow" w:cs="Arial Narrow"/>
                <w:color w:val="000000" w:themeColor="text1"/>
                <w:szCs w:val="20"/>
              </w:rPr>
            </w:pPr>
            <w:r w:rsidRPr="00AB34C7">
              <w:rPr>
                <w:rFonts w:eastAsia="Arial Narrow" w:cs="Arial Narrow"/>
                <w:color w:val="000000" w:themeColor="text1"/>
                <w:szCs w:val="20"/>
              </w:rPr>
              <w:t>There are more ibrutinib capsules (or tablets) in a pack than is required for the completion of a treatment cycle. The patient must not discard any remaining capsules (or tablets) after the completion of any treatment cycle as these capsules (or tablets) will be required for the doses in the final treatment cycle (i.e. treatment cycle 15).</w:t>
            </w:r>
          </w:p>
        </w:tc>
      </w:tr>
    </w:tbl>
    <w:p w14:paraId="797B4BA4" w14:textId="06857079" w:rsidR="00BF436A" w:rsidRPr="00AB34C7" w:rsidRDefault="003E4ACE" w:rsidP="003E4ACE">
      <w:pPr>
        <w:pStyle w:val="COMTablefooter"/>
      </w:pPr>
      <w:r w:rsidRPr="00AB34C7">
        <w:rPr>
          <w:vertAlign w:val="superscript"/>
        </w:rPr>
        <w:lastRenderedPageBreak/>
        <w:t>a</w:t>
      </w:r>
      <w:r w:rsidRPr="00AB34C7">
        <w:t xml:space="preserve"> Estimated effective price only. The effective price for ibrutinib is to be calculated based on the cost-minimisation of ibrutinib + venetoclax to venetoclax + obinutuzumab using the effective price of venetoclax in previously untreated CLL/SLL.</w:t>
      </w:r>
    </w:p>
    <w:p w14:paraId="018DA0FA" w14:textId="02933FD7" w:rsidR="001B7ABB" w:rsidRPr="00AB34C7" w:rsidRDefault="00DB07DB" w:rsidP="003746D7">
      <w:pPr>
        <w:pStyle w:val="COMexecsumnumberedpara"/>
        <w:ind w:hanging="720"/>
      </w:pPr>
      <w:r w:rsidRPr="00AB34C7">
        <w:t xml:space="preserve">The resubmission proposed a special pricing arrangement, with an effective price for ibrutinib </w:t>
      </w:r>
      <w:r w:rsidR="0061537C" w:rsidRPr="00AB34C7">
        <w:t>to</w:t>
      </w:r>
      <w:r w:rsidRPr="00AB34C7">
        <w:t xml:space="preserve"> be determined </w:t>
      </w:r>
      <w:r w:rsidR="0061537C" w:rsidRPr="00AB34C7">
        <w:t>based on</w:t>
      </w:r>
      <w:r w:rsidRPr="00AB34C7">
        <w:t xml:space="preserve"> the </w:t>
      </w:r>
      <w:r w:rsidR="00FB01EE" w:rsidRPr="00AB34C7">
        <w:t>CMA</w:t>
      </w:r>
      <w:r w:rsidR="005C5649" w:rsidRPr="00AB34C7">
        <w:t xml:space="preserve"> </w:t>
      </w:r>
      <w:r w:rsidRPr="00AB34C7">
        <w:t xml:space="preserve">of ibrutinib + venetoclax </w:t>
      </w:r>
      <w:r w:rsidR="0061537C" w:rsidRPr="00AB34C7">
        <w:t>versus</w:t>
      </w:r>
      <w:r w:rsidRPr="00AB34C7">
        <w:t xml:space="preserve"> venetoclax + obinutuzumab using the effective price of venetoclax in previously untreated CLL/SLL. </w:t>
      </w:r>
    </w:p>
    <w:p w14:paraId="35C111AA" w14:textId="3F8EB3D4" w:rsidR="001B7ABB" w:rsidRPr="00AB34C7" w:rsidRDefault="001B7ABB" w:rsidP="003746D7">
      <w:pPr>
        <w:pStyle w:val="COMexecsumnumberedpara"/>
        <w:ind w:hanging="720"/>
      </w:pPr>
      <w:r w:rsidRPr="00AB34C7">
        <w:t>In addition to the 140 mg ibrutinib capsules, which are currently PBS listed for use in relapsed/refractory CLL/SLL, the resubmission also proposed listing of ibrutinib 420</w:t>
      </w:r>
      <w:r w:rsidR="003F50F9" w:rsidRPr="00AB34C7">
        <w:t> </w:t>
      </w:r>
      <w:r w:rsidRPr="00AB34C7">
        <w:t xml:space="preserve">mg and 280 mg tablets. </w:t>
      </w:r>
      <w:r w:rsidR="00CB7A3A" w:rsidRPr="00AB34C7">
        <w:t>A</w:t>
      </w:r>
      <w:r w:rsidRPr="00AB34C7">
        <w:t xml:space="preserve"> minor submission requesting listing of ibrutinib 140</w:t>
      </w:r>
      <w:r w:rsidR="00727E47">
        <w:t> </w:t>
      </w:r>
      <w:r w:rsidRPr="00AB34C7">
        <w:t>mg, 280</w:t>
      </w:r>
      <w:r w:rsidR="00263E60" w:rsidRPr="00AB34C7">
        <w:t> </w:t>
      </w:r>
      <w:r w:rsidRPr="00AB34C7">
        <w:t>mg, 420</w:t>
      </w:r>
      <w:r w:rsidR="006A45AF" w:rsidRPr="00AB34C7">
        <w:t xml:space="preserve"> mg</w:t>
      </w:r>
      <w:r w:rsidRPr="00AB34C7">
        <w:t xml:space="preserve"> and 560</w:t>
      </w:r>
      <w:r w:rsidR="00DC6EBB" w:rsidRPr="00AB34C7">
        <w:t> mg</w:t>
      </w:r>
      <w:r w:rsidRPr="00AB34C7">
        <w:t xml:space="preserve"> tablets under the same conditions as PBS-listed ibrutinib 140</w:t>
      </w:r>
      <w:r w:rsidR="00DC6EBB" w:rsidRPr="00AB34C7">
        <w:t> mg</w:t>
      </w:r>
      <w:r w:rsidRPr="00AB34C7">
        <w:t xml:space="preserve"> capsules received a positive recommendation at the November 2020 PBAC meeting</w:t>
      </w:r>
      <w:r w:rsidR="00CB7A3A" w:rsidRPr="00AB34C7">
        <w:t xml:space="preserve">. However, </w:t>
      </w:r>
      <w:r w:rsidR="00296E56" w:rsidRPr="00AB34C7">
        <w:t xml:space="preserve">ibrutinib tablets </w:t>
      </w:r>
      <w:r w:rsidR="00397920" w:rsidRPr="00AB34C7">
        <w:t>were not</w:t>
      </w:r>
      <w:r w:rsidR="00296E56" w:rsidRPr="00AB34C7">
        <w:t xml:space="preserve"> available on the PBS</w:t>
      </w:r>
      <w:r w:rsidR="00397920" w:rsidRPr="00AB34C7">
        <w:t xml:space="preserve"> at the time of th</w:t>
      </w:r>
      <w:r w:rsidR="00FB01EE" w:rsidRPr="00AB34C7">
        <w:t>e</w:t>
      </w:r>
      <w:r w:rsidR="00397920" w:rsidRPr="00AB34C7">
        <w:t xml:space="preserve"> evaluation</w:t>
      </w:r>
      <w:r w:rsidRPr="00AB34C7">
        <w:t>. While the 420</w:t>
      </w:r>
      <w:r w:rsidR="00DC6EBB" w:rsidRPr="00AB34C7">
        <w:t> mg</w:t>
      </w:r>
      <w:r w:rsidRPr="00AB34C7">
        <w:t xml:space="preserve"> tablets will reduce pill burden</w:t>
      </w:r>
      <w:r w:rsidR="0061537C" w:rsidRPr="00AB34C7">
        <w:t xml:space="preserve"> for patients on a 420</w:t>
      </w:r>
      <w:r w:rsidR="00DC6EBB" w:rsidRPr="00AB34C7">
        <w:t> mg</w:t>
      </w:r>
      <w:r w:rsidR="0061537C" w:rsidRPr="00AB34C7">
        <w:t xml:space="preserve"> dose,</w:t>
      </w:r>
      <w:r w:rsidRPr="00AB34C7">
        <w:t xml:space="preserve"> </w:t>
      </w:r>
      <w:r w:rsidR="008F238A" w:rsidRPr="00AB34C7">
        <w:t xml:space="preserve">patients who require a dose reduction </w:t>
      </w:r>
      <w:r w:rsidR="0061537C" w:rsidRPr="00AB34C7">
        <w:t>will need to obtain a supply of the 140</w:t>
      </w:r>
      <w:r w:rsidR="00DC6EBB" w:rsidRPr="00AB34C7">
        <w:t> mg</w:t>
      </w:r>
      <w:r w:rsidR="0061537C" w:rsidRPr="00AB34C7">
        <w:t xml:space="preserve"> capsules or 280</w:t>
      </w:r>
      <w:r w:rsidR="00DC6EBB" w:rsidRPr="00AB34C7">
        <w:t> mg</w:t>
      </w:r>
      <w:r w:rsidR="0061537C" w:rsidRPr="00AB34C7">
        <w:t xml:space="preserve"> tablets.</w:t>
      </w:r>
    </w:p>
    <w:p w14:paraId="6E4816FB" w14:textId="6A490903" w:rsidR="001B7ABB" w:rsidRPr="00AB34C7" w:rsidRDefault="001B7ABB" w:rsidP="003746D7">
      <w:pPr>
        <w:pStyle w:val="COMexecsumnumberedpara"/>
        <w:ind w:hanging="720"/>
      </w:pPr>
      <w:r w:rsidRPr="00AB34C7">
        <w:t>The proposed listing is narrower than the TGA indication, which includes treatment of adult patients with previously untreated CLL/SLL as a single agent, or in combination with rituximab, obinutuzumab, or venetoclax.</w:t>
      </w:r>
    </w:p>
    <w:p w14:paraId="4217CE8C" w14:textId="2018A241" w:rsidR="002E7C6A" w:rsidRPr="00AB34C7" w:rsidRDefault="001B7ABB" w:rsidP="003746D7">
      <w:pPr>
        <w:pStyle w:val="COMexecsumnumberedpara"/>
        <w:ind w:hanging="720"/>
      </w:pPr>
      <w:r w:rsidRPr="00AB34C7">
        <w:t xml:space="preserve">The proposed clinical criteria are consistent with the updated clinical criteria included in the venetoclax and zanubrutinib PBS listings. The creatinine clearance, </w:t>
      </w:r>
      <w:r w:rsidR="005C71A2" w:rsidRPr="00AB34C7">
        <w:t>Cumulative Illness Rating Scale (CIRS)</w:t>
      </w:r>
      <w:r w:rsidRPr="00AB34C7">
        <w:t xml:space="preserve"> score and WHO performance status criteria included in the November 2022 submission have been removed in the resubmission. The resubmission presented data from the CAPTIVATE study (patients aged 18-70 years with an ECOG performance status of 0-2) and the GLOW trial (patients aged </w:t>
      </w:r>
      <w:r w:rsidRPr="00AB34C7">
        <w:rPr>
          <w:rFonts w:cs="Calibri"/>
        </w:rPr>
        <w:t>≥</w:t>
      </w:r>
      <w:r w:rsidRPr="00AB34C7">
        <w:t>65 years; or 18-65 years with a CIRS score &gt;6 or creatinine clearance &lt;70</w:t>
      </w:r>
      <w:r w:rsidR="002C7D0D" w:rsidRPr="00AB34C7">
        <w:t> mL</w:t>
      </w:r>
      <w:r w:rsidRPr="00AB34C7">
        <w:t xml:space="preserve">/min) </w:t>
      </w:r>
      <w:r w:rsidR="00885DFD" w:rsidRPr="00AB34C7">
        <w:t xml:space="preserve">to </w:t>
      </w:r>
      <w:r w:rsidRPr="00AB34C7">
        <w:t xml:space="preserve">support </w:t>
      </w:r>
      <w:r w:rsidR="00885DFD" w:rsidRPr="00AB34C7">
        <w:t>the</w:t>
      </w:r>
      <w:r w:rsidRPr="00AB34C7">
        <w:t xml:space="preserve"> broader</w:t>
      </w:r>
      <w:r w:rsidR="00885DFD" w:rsidRPr="00AB34C7">
        <w:t xml:space="preserve"> requested</w:t>
      </w:r>
      <w:r w:rsidRPr="00AB34C7">
        <w:t xml:space="preserve"> listing.</w:t>
      </w:r>
    </w:p>
    <w:p w14:paraId="6FF4D89F" w14:textId="30754ADD" w:rsidR="00D30E18" w:rsidRPr="00AB34C7" w:rsidRDefault="00D30E18" w:rsidP="00FB2436">
      <w:pPr>
        <w:pStyle w:val="COMexecsumnumberedpara"/>
        <w:ind w:hanging="720"/>
      </w:pPr>
      <w:r w:rsidRPr="00AB34C7">
        <w:t xml:space="preserve">The resubmission stated that across the three treatment phases, the total number of ibrutinib bottles/packs dispensed (initial + repeats) will provide the precise number of ibrutinib capsules (or tablets) required to cover exactly 15 cycles of </w:t>
      </w:r>
      <w:r w:rsidR="00FB2436" w:rsidRPr="00AB34C7">
        <w:t>fixed dose</w:t>
      </w:r>
      <w:r w:rsidRPr="00AB34C7">
        <w:t xml:space="preserve"> I</w:t>
      </w:r>
      <w:r w:rsidR="00FB2436" w:rsidRPr="00AB34C7">
        <w:t>BR</w:t>
      </w:r>
      <w:r w:rsidRPr="00AB34C7">
        <w:t>+V</w:t>
      </w:r>
      <w:r w:rsidR="00FB2436" w:rsidRPr="00AB34C7">
        <w:t>EN</w:t>
      </w:r>
      <w:r w:rsidRPr="00AB34C7">
        <w:t xml:space="preserve">. The </w:t>
      </w:r>
      <w:r w:rsidR="00FB2436" w:rsidRPr="00AB34C7">
        <w:t>sponsor</w:t>
      </w:r>
      <w:r w:rsidRPr="00AB34C7">
        <w:t xml:space="preserve"> requested the following Prescriber Instruction be included in the Initial treatment and First continuing treatment restrictions: There are more ibrutinib capsules (or tablets) in a pack than is required for the completion of a treatment cycle. The patient must not discard any remaining capsules (or tablets) after the completion of any treatment cycle as these capsules (or tablets) will be required for the doses in the final treatment cycle (i.e. treatment cycle 15).</w:t>
      </w:r>
    </w:p>
    <w:p w14:paraId="2CCB405D" w14:textId="3480B87F" w:rsidR="00953E6F" w:rsidRPr="00AB34C7" w:rsidRDefault="00953E6F" w:rsidP="003746D7">
      <w:pPr>
        <w:pStyle w:val="COMexecsumnumberedpara"/>
        <w:ind w:hanging="720"/>
      </w:pPr>
      <w:r w:rsidRPr="00AB34C7">
        <w:t xml:space="preserve">The resubmission requested </w:t>
      </w:r>
      <w:r w:rsidR="00AD7576" w:rsidRPr="00AB34C7">
        <w:t xml:space="preserve">a </w:t>
      </w:r>
      <w:r w:rsidR="00B27945" w:rsidRPr="00AB34C7">
        <w:t>grandfather</w:t>
      </w:r>
      <w:r w:rsidRPr="00AB34C7">
        <w:t xml:space="preserve"> </w:t>
      </w:r>
      <w:r w:rsidR="00AD7576" w:rsidRPr="00AB34C7">
        <w:t xml:space="preserve">restriction </w:t>
      </w:r>
      <w:r w:rsidRPr="00AB34C7">
        <w:t>for patients who initiate treatment with ibrutinib + venetoclax via an early access program</w:t>
      </w:r>
      <w:r w:rsidR="00EB0BFF" w:rsidRPr="00AB34C7">
        <w:t>,</w:t>
      </w:r>
      <w:r w:rsidRPr="00AB34C7">
        <w:t xml:space="preserve"> which </w:t>
      </w:r>
      <w:r w:rsidR="00EB0BFF" w:rsidRPr="00AB34C7">
        <w:t xml:space="preserve">is anticipated to </w:t>
      </w:r>
      <w:r w:rsidRPr="00AB34C7">
        <w:t xml:space="preserve">start approximately 3 months </w:t>
      </w:r>
      <w:r w:rsidR="00EB0BFF" w:rsidRPr="00AB34C7">
        <w:t>prior to</w:t>
      </w:r>
      <w:r w:rsidRPr="00AB34C7">
        <w:t xml:space="preserve"> PBS listing. The sponsor stated that approximately 24 patients are expected to be grandfathered onto the PBS.</w:t>
      </w:r>
      <w:r w:rsidR="00AD7576" w:rsidRPr="00AB34C7">
        <w:t xml:space="preserve"> </w:t>
      </w:r>
    </w:p>
    <w:p w14:paraId="2D0BB846" w14:textId="77777777" w:rsidR="00AD7576" w:rsidRPr="00AB34C7" w:rsidRDefault="007906A9" w:rsidP="009F6CE5">
      <w:pPr>
        <w:pStyle w:val="COMexecsumnumberedpara"/>
        <w:ind w:hanging="720"/>
      </w:pPr>
      <w:r w:rsidRPr="00AB34C7">
        <w:lastRenderedPageBreak/>
        <w:t xml:space="preserve">New initial and continuing restrictions for venetoclax, to allow treatment in combination with ibrutinib, were also proposed in the </w:t>
      </w:r>
      <w:r w:rsidR="00EB0BFF" w:rsidRPr="00AB34C7">
        <w:t>re</w:t>
      </w:r>
      <w:r w:rsidRPr="00AB34C7">
        <w:t>submission</w:t>
      </w:r>
      <w:r w:rsidR="00EE6D69" w:rsidRPr="00AB34C7">
        <w:t xml:space="preserve">. </w:t>
      </w:r>
      <w:r w:rsidR="00AD7576" w:rsidRPr="00AB34C7">
        <w:t xml:space="preserve">The ESC noted that the sponsor of venetoclax would need to agree to the proposed restrictions. </w:t>
      </w:r>
    </w:p>
    <w:p w14:paraId="0D7B949C" w14:textId="46BD2207" w:rsidR="007906A9" w:rsidRPr="00AB34C7" w:rsidRDefault="007906A9" w:rsidP="003746D7">
      <w:pPr>
        <w:pStyle w:val="COMexecsumnumberedpara"/>
        <w:ind w:hanging="720"/>
      </w:pPr>
      <w:r w:rsidRPr="00AB34C7">
        <w:t xml:space="preserve">The resubmission noted that a </w:t>
      </w:r>
      <w:r w:rsidR="00B27945" w:rsidRPr="00AB34C7">
        <w:t>g</w:t>
      </w:r>
      <w:r w:rsidR="00AD7576" w:rsidRPr="00AB34C7">
        <w:t xml:space="preserve">randfather </w:t>
      </w:r>
      <w:r w:rsidRPr="00AB34C7">
        <w:t>restriction may be required for venetoclax, should the early access program be open longer than 3 months (beyond the 3-cycle lead</w:t>
      </w:r>
      <w:r w:rsidR="006E33A8" w:rsidRPr="00AB34C7">
        <w:t>-</w:t>
      </w:r>
      <w:r w:rsidRPr="00AB34C7">
        <w:t xml:space="preserve">in of ibrutinib </w:t>
      </w:r>
      <w:r w:rsidR="006E33A8" w:rsidRPr="00AB34C7">
        <w:t>as part of</w:t>
      </w:r>
      <w:r w:rsidRPr="00AB34C7">
        <w:t xml:space="preserve"> the ibrutinib + venetoclax </w:t>
      </w:r>
      <w:r w:rsidR="006E33A8" w:rsidRPr="00AB34C7">
        <w:t xml:space="preserve">treatment </w:t>
      </w:r>
      <w:r w:rsidRPr="00AB34C7">
        <w:t>regimen). A grandfather restriction for venetoclax was not presented in the resubmission.</w:t>
      </w:r>
    </w:p>
    <w:p w14:paraId="69FBCD9B" w14:textId="74ACB485" w:rsidR="002E7C6A" w:rsidRPr="00AB34C7" w:rsidRDefault="007906A9" w:rsidP="003746D7">
      <w:pPr>
        <w:pStyle w:val="COMexecsumnumberedpara"/>
        <w:ind w:hanging="720"/>
      </w:pPr>
      <w:bookmarkStart w:id="10" w:name="_Ref160001426"/>
      <w:r w:rsidRPr="00AB34C7">
        <w:t xml:space="preserve">The sponsor requested that the ibrutinib relapsed/refractory PBS restriction be updated to allow subsequent retreatment with ibrutinib for patients </w:t>
      </w:r>
      <w:r w:rsidR="0008188E" w:rsidRPr="00AB34C7">
        <w:t>treated with</w:t>
      </w:r>
      <w:r w:rsidRPr="00AB34C7">
        <w:t xml:space="preserve"> fixed duration ibrutinib + venetoclax. The </w:t>
      </w:r>
      <w:r w:rsidR="00F958A8" w:rsidRPr="00AB34C7">
        <w:t xml:space="preserve">resubmission proposed the </w:t>
      </w:r>
      <w:r w:rsidRPr="00AB34C7">
        <w:t xml:space="preserve">following change to the treatment criterion included in the ibrutinib relapsed/refractory PBS restriction (‘Patient must not be undergoing retreatment with this drug where prior, active treatment of CLL/SLL with this same drug was unable to prevent disease progression’): ‘Patient must not be undergoing retreatment with any drug where prior, active treatment of CLL/SLL with this same drug was unable to prevent disease progression while on treatment (i.e., without a treatment-free interval)’. </w:t>
      </w:r>
      <w:r w:rsidR="00B82965" w:rsidRPr="00AB34C7">
        <w:t>A specific progression-free interval after completion of ibrutinib + venetoclax treatment was not proposed in the resubmission.</w:t>
      </w:r>
      <w:r w:rsidR="00D96010" w:rsidRPr="00AB34C7">
        <w:t xml:space="preserve"> The Pre-Sub-Committee Response (PSCR) stated that “the ESC has previously highlighted that “it may be reasonable to allow re-treatment, particularly if it is preceded by a gap of 12 or 24 months post first-line treatment” and thus </w:t>
      </w:r>
      <w:r w:rsidR="007845BD" w:rsidRPr="00AB34C7">
        <w:t>[the sponsor]</w:t>
      </w:r>
      <w:r w:rsidR="00D96010" w:rsidRPr="00AB34C7">
        <w:t xml:space="preserve"> is requesting retreatment is allowed with ibrutinib monotherapy (or venetoclax) after I+V if a patient’s CLL progressed while off treatment." The PSCR also highlighted that “in May 2023, NICE recommended I+V for previously untreated CLL, and allowed retreatment with these treatments on the NHS, as UK clinical experts informed NICE that patients would still respond to these therapies in the relapsed disease (“FD I+V reduces the chances of CLL becoming resistant to them, unlike what might happen for 'treat to progression' monotherapies like ibrutinib and acalabrutinib”).” The ESC considered the evidence for retreatment with ibrutinib is immature, and noted that patients </w:t>
      </w:r>
      <w:r w:rsidR="00337A40" w:rsidRPr="00AB34C7">
        <w:t xml:space="preserve">would </w:t>
      </w:r>
      <w:r w:rsidR="00D96010" w:rsidRPr="00AB34C7">
        <w:t>have the option of treatment with other BTK inhibitor therapies that are available in the relapsed/refractory setting.</w:t>
      </w:r>
      <w:bookmarkEnd w:id="10"/>
      <w:r w:rsidR="0068221D" w:rsidRPr="00AB34C7">
        <w:t xml:space="preserve"> The </w:t>
      </w:r>
      <w:r w:rsidR="00F958A8" w:rsidRPr="00AB34C7">
        <w:t>p</w:t>
      </w:r>
      <w:r w:rsidR="0068221D" w:rsidRPr="00AB34C7">
        <w:t xml:space="preserve">re-PBAC Response maintained that the </w:t>
      </w:r>
      <w:r w:rsidR="00982A90" w:rsidRPr="00AB34C7">
        <w:t>s</w:t>
      </w:r>
      <w:r w:rsidR="0068221D" w:rsidRPr="00AB34C7">
        <w:t xml:space="preserve">ponsor considers it appropriate to allow retreatment with ibrutinib to “provide additional prescribing flexibility and clinical autonomy.” </w:t>
      </w:r>
    </w:p>
    <w:p w14:paraId="2675F614" w14:textId="19BECAE9" w:rsidR="00362963" w:rsidRPr="00AB34C7" w:rsidRDefault="00362963" w:rsidP="002653D4">
      <w:pPr>
        <w:pStyle w:val="COMexecsumnumberedpara"/>
        <w:numPr>
          <w:ilvl w:val="0"/>
          <w:numId w:val="0"/>
        </w:numPr>
        <w:ind w:left="720"/>
        <w:rPr>
          <w:i/>
          <w:iCs/>
        </w:rPr>
      </w:pPr>
      <w:r w:rsidRPr="00AB34C7">
        <w:rPr>
          <w:i/>
          <w:iCs/>
        </w:rPr>
        <w:t>For more detail on PBAC’s view, see section 7 PBAC outcome.</w:t>
      </w:r>
    </w:p>
    <w:p w14:paraId="7075B85C" w14:textId="6EE56E12" w:rsidR="00B50DB8" w:rsidRPr="00AB34C7" w:rsidDel="00195452" w:rsidRDefault="00203181" w:rsidP="003746D7">
      <w:pPr>
        <w:pStyle w:val="COMH1numbered"/>
      </w:pPr>
      <w:bookmarkStart w:id="11" w:name="_Toc156912597"/>
      <w:r w:rsidRPr="00AB34C7" w:rsidDel="00195452">
        <w:t xml:space="preserve">Population and </w:t>
      </w:r>
      <w:r w:rsidR="008E0D3C" w:rsidRPr="00AB34C7" w:rsidDel="00195452">
        <w:t>d</w:t>
      </w:r>
      <w:r w:rsidRPr="00AB34C7" w:rsidDel="00195452">
        <w:t>isease</w:t>
      </w:r>
      <w:bookmarkEnd w:id="11"/>
    </w:p>
    <w:p w14:paraId="07AD3EAA" w14:textId="20964077" w:rsidR="00EA0B1C" w:rsidRPr="00AB34C7" w:rsidRDefault="00EA0B1C" w:rsidP="003746D7">
      <w:pPr>
        <w:pStyle w:val="COMexecsumnumberedpara"/>
        <w:ind w:hanging="720"/>
      </w:pPr>
      <w:r w:rsidRPr="00AB34C7">
        <w:t xml:space="preserve">CLL is characterised by the progressive accumulation of functionally incompetent B-lymphocytes in the blood, bone marrow, lymph nodes, spleen and liver. Typical symptoms associated with CLL include swollen lymph nodes, pain, anaemia, infections, increased or unexplained bleeding/bruising, excessive nocturnal sweating and unintentional weight loss. In Australia, CLL is more common in men than women (62% versus 38%), with a mean age at diagnosis in 2019 of 71.1 years (males </w:t>
      </w:r>
      <w:r w:rsidRPr="00AB34C7">
        <w:lastRenderedPageBreak/>
        <w:t>70.7</w:t>
      </w:r>
      <w:r w:rsidR="00727E47">
        <w:t> </w:t>
      </w:r>
      <w:r w:rsidRPr="00AB34C7">
        <w:t xml:space="preserve">years, females 71.7 years). The five-year relative survival rate in Australia in 2015-2019 was 86.0% (AIHW, 2023). </w:t>
      </w:r>
    </w:p>
    <w:p w14:paraId="21FDD135" w14:textId="3712D4EC" w:rsidR="00894489" w:rsidRPr="00AB34C7" w:rsidDel="00195452" w:rsidRDefault="00EA0B1C" w:rsidP="003746D7">
      <w:pPr>
        <w:pStyle w:val="COMexecsumnumberedpara"/>
        <w:ind w:hanging="720"/>
      </w:pPr>
      <w:r w:rsidRPr="00AB34C7">
        <w:t>SLL, another type of B-cell malignancy, is recognised as the same pathological entity as CLL, with a different clinical presentation. In CLL, abnormal lymphocytes are predominantly found in blood, bone marrow and lymphoid tissue (peripheral</w:t>
      </w:r>
      <w:r w:rsidR="00A32751" w:rsidRPr="00AB34C7">
        <w:t xml:space="preserve"> </w:t>
      </w:r>
      <w:r w:rsidRPr="00AB34C7">
        <w:t>blood involvement), whereas in SLL, abnormal lymphocytes are predominantly located in lymph nodes, bone marrow and other lymphoid tissue (lymph tissue involvement).</w:t>
      </w:r>
    </w:p>
    <w:p w14:paraId="34F9A011" w14:textId="427FB943" w:rsidR="002C2775" w:rsidRPr="00AB34C7" w:rsidRDefault="00EA0B1C" w:rsidP="003746D7">
      <w:pPr>
        <w:pStyle w:val="COMexecsumnumberedpara"/>
        <w:ind w:hanging="720"/>
      </w:pPr>
      <w:r w:rsidRPr="00AB34C7">
        <w:t>Ibrutinib is an orally administered small molecule inhibitor of Bruton’s tyrosine kinase. In B cells, BTK signalling results in activation of pathways involved in B-cell proliferation, trafficking, chemotaxis, and adhesion.</w:t>
      </w:r>
    </w:p>
    <w:p w14:paraId="45E471A4" w14:textId="77777777" w:rsidR="004248EE" w:rsidRPr="00AB34C7" w:rsidRDefault="004248EE" w:rsidP="003746D7">
      <w:pPr>
        <w:pStyle w:val="COMexecsumnumberedpara"/>
        <w:ind w:hanging="720"/>
      </w:pPr>
      <w:r w:rsidRPr="00AB34C7">
        <w:t>Venetoclax is an orally bioavailable, selective inhibitor of B-cell lymphoma 2 (BCL2). In CLL, overexpression of BCL2 is associated with impairment of apoptosis, tumour cell survival, and resistance to chemotherapy.</w:t>
      </w:r>
    </w:p>
    <w:p w14:paraId="742CCFBD" w14:textId="269BE672" w:rsidR="004248EE" w:rsidRPr="00AB34C7" w:rsidRDefault="004248EE" w:rsidP="003746D7">
      <w:pPr>
        <w:pStyle w:val="COMexecsumnumberedpara"/>
        <w:ind w:hanging="720"/>
      </w:pPr>
      <w:r w:rsidRPr="00AB34C7">
        <w:t xml:space="preserve">The recommended treatment regimen for ibrutinib + venetoclax is as follows: </w:t>
      </w:r>
    </w:p>
    <w:p w14:paraId="762A899B" w14:textId="3F33C94E" w:rsidR="004248EE" w:rsidRPr="00491266" w:rsidRDefault="004248EE" w:rsidP="001C30EF">
      <w:pPr>
        <w:pStyle w:val="COMbodybulletlist"/>
      </w:pPr>
      <w:r w:rsidRPr="00491266">
        <w:t>Ibrutinib 420</w:t>
      </w:r>
      <w:r w:rsidR="00DC6EBB" w:rsidRPr="00491266">
        <w:t> mg</w:t>
      </w:r>
      <w:r w:rsidRPr="00491266">
        <w:t xml:space="preserve"> administered orally once daily as a single-agent lead-in for 3</w:t>
      </w:r>
      <w:r w:rsidR="00491266">
        <w:t> </w:t>
      </w:r>
      <w:r w:rsidRPr="00491266">
        <w:t>cycles (where each cycle is 28 days), then continued in combination with venetoclax for a further 12 cycles.</w:t>
      </w:r>
    </w:p>
    <w:p w14:paraId="58EDFA90" w14:textId="02E135F9" w:rsidR="004248EE" w:rsidRPr="00491266" w:rsidRDefault="004248EE" w:rsidP="001C30EF">
      <w:pPr>
        <w:pStyle w:val="COMbodybulletlist"/>
      </w:pPr>
      <w:r w:rsidRPr="00491266">
        <w:t>Venetoclax administered orally once daily starting with a 5-week dose ramp-up (20</w:t>
      </w:r>
      <w:r w:rsidR="00DC6EBB" w:rsidRPr="00491266">
        <w:t> mg</w:t>
      </w:r>
      <w:r w:rsidRPr="00491266">
        <w:t xml:space="preserve"> for 1 week followed by 1 week at each dose level of 50</w:t>
      </w:r>
      <w:r w:rsidR="00DC6EBB" w:rsidRPr="00491266">
        <w:t> mg</w:t>
      </w:r>
      <w:r w:rsidRPr="00491266">
        <w:t>, 100</w:t>
      </w:r>
      <w:r w:rsidR="00DC6EBB" w:rsidRPr="00491266">
        <w:t> mg</w:t>
      </w:r>
      <w:r w:rsidRPr="00491266">
        <w:t>, 200</w:t>
      </w:r>
      <w:r w:rsidR="00DC6EBB" w:rsidRPr="00491266">
        <w:t> mg</w:t>
      </w:r>
      <w:r w:rsidRPr="00491266">
        <w:t>), and then continued at the recommended daily dose of 400</w:t>
      </w:r>
      <w:r w:rsidR="00DC6EBB" w:rsidRPr="00491266">
        <w:t> mg</w:t>
      </w:r>
      <w:r w:rsidRPr="00491266">
        <w:t xml:space="preserve">; added to ongoing ibrutinib therapy commencing in Cycle 4 and continued for a total of 12 cycles. </w:t>
      </w:r>
    </w:p>
    <w:p w14:paraId="19A08A9D" w14:textId="092FD431" w:rsidR="004248EE" w:rsidRPr="00AB34C7" w:rsidRDefault="004248EE" w:rsidP="003746D7">
      <w:pPr>
        <w:pStyle w:val="COMexecsumnumberedpara"/>
        <w:ind w:hanging="720"/>
      </w:pPr>
      <w:r w:rsidRPr="00AB34C7">
        <w:t xml:space="preserve">The resubmission positioned fixed duration </w:t>
      </w:r>
      <w:r w:rsidR="00F958A8" w:rsidRPr="00AB34C7">
        <w:t xml:space="preserve">(FD) </w:t>
      </w:r>
      <w:r w:rsidRPr="00AB34C7">
        <w:t xml:space="preserve">ibrutinib + venetoclax as an </w:t>
      </w:r>
      <w:r w:rsidR="000878F6" w:rsidRPr="00AB34C7">
        <w:t>alternative treatment</w:t>
      </w:r>
      <w:r w:rsidRPr="00AB34C7">
        <w:t xml:space="preserve"> option to the available PBS-listed treatment options for previously untreated CLL/SLL, including fixed duration venetoclax + obinutuzumab, fixed duration chlorambucil + obinutuzumab, treat-to-progression zanubrutinib, and fixed duration fludarabine + cyclophosphamide + </w:t>
      </w:r>
      <w:r w:rsidR="00A30306">
        <w:t>rituxim</w:t>
      </w:r>
      <w:r w:rsidR="00A30306" w:rsidRPr="00AB34C7">
        <w:t>ab</w:t>
      </w:r>
      <w:r w:rsidRPr="00AB34C7">
        <w:t>.</w:t>
      </w:r>
      <w:r w:rsidR="00261597" w:rsidRPr="00AB34C7">
        <w:t xml:space="preserve"> </w:t>
      </w:r>
      <w:r w:rsidR="007C785D" w:rsidRPr="00AB34C7">
        <w:t xml:space="preserve">The resubmission stated that </w:t>
      </w:r>
      <w:r w:rsidR="003A6E2E" w:rsidRPr="00AB34C7">
        <w:t xml:space="preserve">ibrutinib + venetoclax </w:t>
      </w:r>
      <w:r w:rsidR="007C785D" w:rsidRPr="00AB34C7">
        <w:t xml:space="preserve">will </w:t>
      </w:r>
      <w:r w:rsidR="003A6E2E" w:rsidRPr="00AB34C7">
        <w:t xml:space="preserve">provide an all-oral </w:t>
      </w:r>
      <w:r w:rsidR="007C785D" w:rsidRPr="00AB34C7">
        <w:t xml:space="preserve">fixed duration treatment </w:t>
      </w:r>
      <w:r w:rsidR="003A6E2E" w:rsidRPr="00AB34C7">
        <w:t xml:space="preserve">alternative to </w:t>
      </w:r>
      <w:r w:rsidR="00E53AF4" w:rsidRPr="00AB34C7">
        <w:t xml:space="preserve">the </w:t>
      </w:r>
      <w:r w:rsidR="003A6E2E" w:rsidRPr="00AB34C7">
        <w:t>combinations that include IV obinutuzumab.</w:t>
      </w:r>
    </w:p>
    <w:p w14:paraId="4DC782A6" w14:textId="38F31FB3" w:rsidR="008B30C9" w:rsidRPr="00AB34C7" w:rsidRDefault="008B30C9" w:rsidP="003746D7">
      <w:pPr>
        <w:pStyle w:val="COMexecsumnumberedpara"/>
        <w:ind w:hanging="720"/>
      </w:pPr>
      <w:r w:rsidRPr="00AB34C7">
        <w:t xml:space="preserve">While ibrutinib + venetoclax is included as a </w:t>
      </w:r>
      <w:r w:rsidR="00C87E3C" w:rsidRPr="00AB34C7">
        <w:t xml:space="preserve">recommended </w:t>
      </w:r>
      <w:r w:rsidRPr="00AB34C7">
        <w:t xml:space="preserve">treatment option for patients with previously untreated CLL/SLL in the November 2023 </w:t>
      </w:r>
      <w:r w:rsidR="00CF2C6C" w:rsidRPr="00AB34C7">
        <w:t xml:space="preserve">National Comprehensive Cancer Network </w:t>
      </w:r>
      <w:r w:rsidRPr="00AB34C7">
        <w:t xml:space="preserve">guidelines, it is not listed as a </w:t>
      </w:r>
      <w:r w:rsidR="00CF2C6C" w:rsidRPr="00AB34C7">
        <w:t xml:space="preserve">‘preferred regimen’. Preferred regimens </w:t>
      </w:r>
      <w:r w:rsidR="00BE1BDF" w:rsidRPr="00AB34C7">
        <w:t xml:space="preserve">for </w:t>
      </w:r>
      <w:r w:rsidR="00CF2C6C" w:rsidRPr="00AB34C7">
        <w:t xml:space="preserve">first-line treatment </w:t>
      </w:r>
      <w:r w:rsidR="00BE1BDF" w:rsidRPr="00AB34C7">
        <w:t>of</w:t>
      </w:r>
      <w:r w:rsidR="00CF2C6C" w:rsidRPr="00AB34C7">
        <w:t xml:space="preserve"> patients with CLL/SLL</w:t>
      </w:r>
      <w:r w:rsidR="00BE1BDF" w:rsidRPr="00AB34C7">
        <w:t xml:space="preserve"> (regardless of del(17p)/TP53 mutation status)</w:t>
      </w:r>
      <w:r w:rsidR="00CF2C6C" w:rsidRPr="00AB34C7">
        <w:t xml:space="preserve"> include</w:t>
      </w:r>
      <w:r w:rsidRPr="00AB34C7">
        <w:t xml:space="preserve"> acalabrutinib +/- obinutuzumab, venetoclax + obinutuzumab and zanubrutinib</w:t>
      </w:r>
      <w:r w:rsidR="00BE1BDF" w:rsidRPr="00AB34C7">
        <w:t>.</w:t>
      </w:r>
    </w:p>
    <w:p w14:paraId="6F43D65B" w14:textId="6213E021" w:rsidR="00CF2C6C" w:rsidRPr="00AB34C7" w:rsidRDefault="00CF2C6C" w:rsidP="003746D7">
      <w:pPr>
        <w:pStyle w:val="COMexecsumnumberedpara"/>
        <w:ind w:hanging="720"/>
      </w:pPr>
      <w:r w:rsidRPr="00AB34C7">
        <w:t>The 2022 British Society for Haematology guidelines state that the relatively high incidence of early treatment-related mortality in ibrutinib + venetoclax</w:t>
      </w:r>
      <w:r w:rsidR="00CC1431" w:rsidRPr="00AB34C7">
        <w:t xml:space="preserve"> </w:t>
      </w:r>
      <w:r w:rsidRPr="00AB34C7">
        <w:t xml:space="preserve">treated patients compared with the control arm in the GLOW trial and ibrutinib + venetoclax patients in the CAPTIVATE study suggests this combination should be used with </w:t>
      </w:r>
      <w:r w:rsidRPr="00AB34C7">
        <w:lastRenderedPageBreak/>
        <w:t>caution in older/more comorbid patients, and should be limited to fit patients with high-risk CLL.</w:t>
      </w:r>
    </w:p>
    <w:p w14:paraId="6C627C67" w14:textId="37594CFD" w:rsidR="00362963" w:rsidRPr="00AB34C7" w:rsidDel="00195452" w:rsidRDefault="00362963" w:rsidP="000C135B">
      <w:pPr>
        <w:pStyle w:val="COMexecsumnumberedpara"/>
        <w:numPr>
          <w:ilvl w:val="0"/>
          <w:numId w:val="0"/>
        </w:numPr>
        <w:ind w:left="720"/>
      </w:pPr>
      <w:r w:rsidRPr="00AB34C7">
        <w:rPr>
          <w:i/>
          <w:iCs/>
        </w:rPr>
        <w:t>For more detail on PBAC’s view, see section 7 PBAC outcome.</w:t>
      </w:r>
    </w:p>
    <w:p w14:paraId="51E5AE96" w14:textId="136A63B1" w:rsidR="00B50DB8" w:rsidRPr="00AB34C7" w:rsidRDefault="00B50DB8" w:rsidP="003746D7">
      <w:pPr>
        <w:pStyle w:val="COMH1numbered"/>
      </w:pPr>
      <w:bookmarkStart w:id="12" w:name="_Toc156912598"/>
      <w:r w:rsidRPr="00AB34C7">
        <w:t>Comparator</w:t>
      </w:r>
      <w:bookmarkEnd w:id="12"/>
    </w:p>
    <w:p w14:paraId="3D75A6F3" w14:textId="7D2B9856" w:rsidR="00BE1BDF" w:rsidRPr="00AB34C7" w:rsidRDefault="00BE1BDF" w:rsidP="003746D7">
      <w:pPr>
        <w:pStyle w:val="COMexecsumnumberedpara"/>
        <w:ind w:hanging="720"/>
      </w:pPr>
      <w:r w:rsidRPr="00AB34C7">
        <w:t xml:space="preserve">The </w:t>
      </w:r>
      <w:r w:rsidR="006941F6" w:rsidRPr="00AB34C7">
        <w:t>re</w:t>
      </w:r>
      <w:r w:rsidRPr="00AB34C7">
        <w:t>submission nominated fixed duration treatment with venetoclax + obinutuzumab as the main comparator.</w:t>
      </w:r>
      <w:r w:rsidR="00B455A9" w:rsidRPr="00AB34C7">
        <w:t xml:space="preserve"> </w:t>
      </w:r>
      <w:r w:rsidRPr="00AB34C7">
        <w:t>The main arguments provided in support of this nomination were:</w:t>
      </w:r>
    </w:p>
    <w:p w14:paraId="65929F27" w14:textId="77777777" w:rsidR="00BE1BDF" w:rsidRPr="00AB34C7" w:rsidRDefault="00BE1BDF" w:rsidP="00F0309A">
      <w:pPr>
        <w:pStyle w:val="ListParagraph"/>
        <w:numPr>
          <w:ilvl w:val="0"/>
          <w:numId w:val="28"/>
        </w:numPr>
        <w:tabs>
          <w:tab w:val="left" w:pos="1080"/>
        </w:tabs>
        <w:autoSpaceDE w:val="0"/>
        <w:autoSpaceDN w:val="0"/>
        <w:adjustRightInd w:val="0"/>
      </w:pPr>
      <w:r w:rsidRPr="00AB34C7">
        <w:t>Venetoclax + obinutuzumab is the most widely used treatment option in patients with previously untreated CLL.</w:t>
      </w:r>
    </w:p>
    <w:p w14:paraId="44F08411" w14:textId="0AEC0936" w:rsidR="00BE1BDF" w:rsidRPr="00AB34C7" w:rsidRDefault="00BE1BDF" w:rsidP="00F0309A">
      <w:pPr>
        <w:pStyle w:val="ListParagraph"/>
        <w:numPr>
          <w:ilvl w:val="0"/>
          <w:numId w:val="28"/>
        </w:numPr>
        <w:tabs>
          <w:tab w:val="left" w:pos="1080"/>
        </w:tabs>
        <w:autoSpaceDE w:val="0"/>
        <w:autoSpaceDN w:val="0"/>
        <w:adjustRightInd w:val="0"/>
      </w:pPr>
      <w:r w:rsidRPr="00AB34C7">
        <w:t xml:space="preserve">Ibrutinib + venetoclax and venetoclax + obinutuzumab both include venetoclax as a main </w:t>
      </w:r>
      <w:r w:rsidR="00D5240A" w:rsidRPr="00AB34C7">
        <w:t>component and</w:t>
      </w:r>
      <w:r w:rsidRPr="00AB34C7">
        <w:t xml:space="preserve"> are both administered as a fixed duration regimen.</w:t>
      </w:r>
    </w:p>
    <w:p w14:paraId="5A076567" w14:textId="58892779" w:rsidR="00BE1BDF" w:rsidRPr="00AB34C7" w:rsidRDefault="00BE1BDF" w:rsidP="00F0309A">
      <w:pPr>
        <w:pStyle w:val="ListParagraph"/>
        <w:numPr>
          <w:ilvl w:val="0"/>
          <w:numId w:val="28"/>
        </w:numPr>
        <w:tabs>
          <w:tab w:val="left" w:pos="1080"/>
        </w:tabs>
        <w:autoSpaceDE w:val="0"/>
        <w:autoSpaceDN w:val="0"/>
        <w:adjustRightInd w:val="0"/>
      </w:pPr>
      <w:r w:rsidRPr="00AB34C7">
        <w:t>The PBAC previously considered that, should venetoclax + obinutuzumab be listed for all patients regardless of suitability for fludarabine based chemoimmunotherapy</w:t>
      </w:r>
      <w:r w:rsidR="00D84678" w:rsidRPr="00AB34C7">
        <w:t>,</w:t>
      </w:r>
      <w:r w:rsidRPr="00AB34C7">
        <w:t xml:space="preserve"> and regardless of CIRS score, there may be a degree of overlap with the likely patient population for ibrutinib + venetoclax (</w:t>
      </w:r>
      <w:r w:rsidR="008B07C1" w:rsidRPr="00AB34C7">
        <w:t xml:space="preserve">para </w:t>
      </w:r>
      <w:r w:rsidRPr="00AB34C7">
        <w:t xml:space="preserve">7.10, </w:t>
      </w:r>
      <w:r w:rsidR="008B07C1" w:rsidRPr="00AB34C7">
        <w:t xml:space="preserve">ibrutinib </w:t>
      </w:r>
      <w:r w:rsidR="00F16256" w:rsidRPr="00AB34C7">
        <w:t>Public Summary Document (</w:t>
      </w:r>
      <w:r w:rsidR="008B07C1" w:rsidRPr="00AB34C7">
        <w:t>PSD</w:t>
      </w:r>
      <w:r w:rsidR="00F16256" w:rsidRPr="00AB34C7">
        <w:t>)</w:t>
      </w:r>
      <w:r w:rsidR="008B07C1" w:rsidRPr="00AB34C7">
        <w:t>, December 2022 intracycle PBAC meeting</w:t>
      </w:r>
      <w:r w:rsidRPr="00AB34C7">
        <w:t>).</w:t>
      </w:r>
    </w:p>
    <w:p w14:paraId="1C8BF099" w14:textId="6AE9131C" w:rsidR="00BE1BDF" w:rsidRPr="00B95C74" w:rsidRDefault="00BE1BDF" w:rsidP="003746D7">
      <w:pPr>
        <w:pStyle w:val="COMexecsumnumberedpara"/>
        <w:ind w:hanging="720"/>
        <w:rPr>
          <w:snapToGrid/>
        </w:rPr>
      </w:pPr>
      <w:r w:rsidRPr="00B95C74">
        <w:rPr>
          <w:snapToGrid/>
        </w:rPr>
        <w:t>The resubmission nominated treat-to-progression zanubrutinib as a secondary</w:t>
      </w:r>
      <w:r w:rsidR="005A29C5" w:rsidRPr="00B95C74">
        <w:rPr>
          <w:snapToGrid/>
        </w:rPr>
        <w:t xml:space="preserve">/ supplementary </w:t>
      </w:r>
      <w:r w:rsidRPr="00B95C74">
        <w:rPr>
          <w:snapToGrid/>
        </w:rPr>
        <w:t>comparator, noting that it was listed on the PBS on 1</w:t>
      </w:r>
      <w:r w:rsidR="00727E47">
        <w:rPr>
          <w:snapToGrid/>
        </w:rPr>
        <w:t> </w:t>
      </w:r>
      <w:r w:rsidRPr="00B95C74">
        <w:rPr>
          <w:snapToGrid/>
        </w:rPr>
        <w:t>September</w:t>
      </w:r>
      <w:r w:rsidR="00727E47">
        <w:rPr>
          <w:snapToGrid/>
        </w:rPr>
        <w:t> </w:t>
      </w:r>
      <w:r w:rsidRPr="00B95C74">
        <w:rPr>
          <w:snapToGrid/>
        </w:rPr>
        <w:t xml:space="preserve">2023 for use in patients with previously untreated CLL/SLL. Zanubrutinib was listed on the basis of a cost-minimisation </w:t>
      </w:r>
      <w:r w:rsidR="005A29C5" w:rsidRPr="00B95C74">
        <w:rPr>
          <w:snapToGrid/>
        </w:rPr>
        <w:t xml:space="preserve">approach </w:t>
      </w:r>
      <w:r w:rsidRPr="00B95C74">
        <w:rPr>
          <w:snapToGrid/>
        </w:rPr>
        <w:t xml:space="preserve">to venetoclax + obinutuzumab. </w:t>
      </w:r>
    </w:p>
    <w:p w14:paraId="0159B4EB" w14:textId="77777777" w:rsidR="00E61F94" w:rsidRPr="00B95C74" w:rsidRDefault="00BE1BDF" w:rsidP="003746D7">
      <w:pPr>
        <w:pStyle w:val="COMexecsumnumberedpara"/>
        <w:ind w:hanging="720"/>
        <w:rPr>
          <w:snapToGrid/>
        </w:rPr>
      </w:pPr>
      <w:r w:rsidRPr="00B95C74">
        <w:rPr>
          <w:snapToGrid/>
        </w:rPr>
        <w:t xml:space="preserve">The resubmission identified acalabrutinib +/- obinutuzumab as a near market comparator, </w:t>
      </w:r>
      <w:r w:rsidR="005A29C5" w:rsidRPr="00B95C74">
        <w:rPr>
          <w:snapToGrid/>
        </w:rPr>
        <w:t xml:space="preserve">given that it </w:t>
      </w:r>
      <w:r w:rsidRPr="00B95C74">
        <w:rPr>
          <w:snapToGrid/>
        </w:rPr>
        <w:t xml:space="preserve">received a positive recommendation at the July 2023 PBAC meeting </w:t>
      </w:r>
      <w:r w:rsidR="00F22AFC" w:rsidRPr="00B95C74">
        <w:rPr>
          <w:snapToGrid/>
        </w:rPr>
        <w:t>based on</w:t>
      </w:r>
      <w:r w:rsidRPr="00B95C74">
        <w:rPr>
          <w:snapToGrid/>
        </w:rPr>
        <w:t xml:space="preserve"> a cost-minimisation </w:t>
      </w:r>
      <w:r w:rsidR="005A29C5" w:rsidRPr="00B95C74">
        <w:rPr>
          <w:snapToGrid/>
        </w:rPr>
        <w:t xml:space="preserve">approach </w:t>
      </w:r>
      <w:r w:rsidRPr="00B95C74">
        <w:rPr>
          <w:snapToGrid/>
        </w:rPr>
        <w:t>versus venetoclax + obinutuzumab. The resubmission stated that a comparison with acalabrutinib +/- obinutuzumab was not included in the current resubmission, as the results for zanubrutinib could be considered representative of treat-to-progression therapy with available BTK inhibitors.</w:t>
      </w:r>
      <w:r w:rsidR="00B940AD" w:rsidRPr="00B95C74">
        <w:rPr>
          <w:snapToGrid/>
        </w:rPr>
        <w:t xml:space="preserve"> </w:t>
      </w:r>
    </w:p>
    <w:p w14:paraId="142354D2" w14:textId="22644D0C" w:rsidR="00B455A9" w:rsidRPr="00B95C74" w:rsidRDefault="00E61F94" w:rsidP="003746D7">
      <w:pPr>
        <w:pStyle w:val="COMexecsumnumberedpara"/>
        <w:ind w:hanging="720"/>
        <w:rPr>
          <w:snapToGrid/>
        </w:rPr>
      </w:pPr>
      <w:r w:rsidRPr="00B95C74">
        <w:rPr>
          <w:snapToGrid/>
        </w:rPr>
        <w:t xml:space="preserve">The </w:t>
      </w:r>
      <w:r w:rsidR="00F958A8" w:rsidRPr="00B95C74">
        <w:rPr>
          <w:snapToGrid/>
        </w:rPr>
        <w:t xml:space="preserve">evaluation and the ESC considered the </w:t>
      </w:r>
      <w:r w:rsidRPr="00B95C74">
        <w:rPr>
          <w:snapToGrid/>
        </w:rPr>
        <w:t xml:space="preserve">nominated comparators </w:t>
      </w:r>
      <w:r w:rsidR="00871645" w:rsidRPr="00B95C74">
        <w:rPr>
          <w:snapToGrid/>
        </w:rPr>
        <w:t xml:space="preserve">to be </w:t>
      </w:r>
      <w:r w:rsidRPr="00B95C74">
        <w:rPr>
          <w:snapToGrid/>
        </w:rPr>
        <w:t xml:space="preserve">appropriate. </w:t>
      </w:r>
    </w:p>
    <w:p w14:paraId="1A552AFA" w14:textId="1F24DF00" w:rsidR="00362963" w:rsidRPr="00B95C74" w:rsidRDefault="00362963" w:rsidP="000C135B">
      <w:pPr>
        <w:pStyle w:val="COMexecsumnumberedpara"/>
        <w:numPr>
          <w:ilvl w:val="0"/>
          <w:numId w:val="0"/>
        </w:numPr>
        <w:ind w:left="720"/>
        <w:rPr>
          <w:snapToGrid/>
        </w:rPr>
      </w:pPr>
      <w:r w:rsidRPr="00AB34C7">
        <w:rPr>
          <w:i/>
          <w:iCs/>
        </w:rPr>
        <w:t>For more detail on PBAC’s view, see section 7 PBAC outcome.</w:t>
      </w:r>
    </w:p>
    <w:p w14:paraId="7F9C27C8" w14:textId="77777777" w:rsidR="00223D5A" w:rsidRPr="00AB34C7" w:rsidRDefault="00223D5A" w:rsidP="00223D5A">
      <w:pPr>
        <w:pStyle w:val="COMH1numbered"/>
      </w:pPr>
      <w:bookmarkStart w:id="13" w:name="_Toc156912599"/>
      <w:bookmarkStart w:id="14" w:name="_Toc22897640"/>
      <w:r w:rsidRPr="00AB34C7">
        <w:t>Consideration of the evidence</w:t>
      </w:r>
      <w:bookmarkEnd w:id="13"/>
    </w:p>
    <w:p w14:paraId="6DB45707" w14:textId="77777777" w:rsidR="004A1F23" w:rsidRPr="00AB34C7" w:rsidRDefault="004A1F23" w:rsidP="004A1F23">
      <w:pPr>
        <w:pStyle w:val="COMH2-non-numbered"/>
      </w:pPr>
      <w:bookmarkStart w:id="15" w:name="_Hlk76375935"/>
      <w:r w:rsidRPr="00AB34C7">
        <w:t>Sponsor hearing</w:t>
      </w:r>
    </w:p>
    <w:p w14:paraId="33C848C1" w14:textId="5549D955" w:rsidR="004A1F23" w:rsidRPr="00AB34C7" w:rsidRDefault="004A1F23" w:rsidP="004A1F23">
      <w:pPr>
        <w:widowControl w:val="0"/>
        <w:numPr>
          <w:ilvl w:val="1"/>
          <w:numId w:val="1"/>
        </w:numPr>
        <w:spacing w:after="120"/>
        <w:ind w:left="720" w:hanging="720"/>
        <w:rPr>
          <w:rFonts w:cs="Calibri"/>
          <w:bCs/>
          <w:snapToGrid w:val="0"/>
        </w:rPr>
      </w:pPr>
      <w:r w:rsidRPr="00AB34C7">
        <w:rPr>
          <w:rFonts w:cs="Calibri"/>
          <w:bCs/>
          <w:snapToGrid w:val="0"/>
        </w:rPr>
        <w:t>There was no hearing for this item</w:t>
      </w:r>
      <w:r w:rsidR="00F44D62" w:rsidRPr="00AB34C7">
        <w:rPr>
          <w:rFonts w:cs="Calibri"/>
          <w:bCs/>
          <w:snapToGrid w:val="0"/>
        </w:rPr>
        <w:t>.</w:t>
      </w:r>
    </w:p>
    <w:p w14:paraId="68B42A71" w14:textId="77777777" w:rsidR="004A1F23" w:rsidRPr="00AB34C7" w:rsidRDefault="004A1F23" w:rsidP="004A1F23">
      <w:pPr>
        <w:pStyle w:val="COMH2-non-numbered"/>
      </w:pPr>
      <w:r w:rsidRPr="00AB34C7">
        <w:t>Consumer comments</w:t>
      </w:r>
    </w:p>
    <w:p w14:paraId="62CD203E" w14:textId="2D82B86C" w:rsidR="004A1F23" w:rsidRPr="00AB34C7" w:rsidRDefault="004A1F23" w:rsidP="004A1F23">
      <w:pPr>
        <w:widowControl w:val="0"/>
        <w:numPr>
          <w:ilvl w:val="1"/>
          <w:numId w:val="1"/>
        </w:numPr>
        <w:spacing w:after="120"/>
        <w:ind w:left="720" w:hanging="720"/>
        <w:rPr>
          <w:rFonts w:asciiTheme="minorHAnsi" w:hAnsiTheme="minorHAnsi"/>
          <w:bCs/>
          <w:snapToGrid w:val="0"/>
        </w:rPr>
      </w:pPr>
      <w:bookmarkStart w:id="16" w:name="_Hlk76382618"/>
      <w:r w:rsidRPr="00AB34C7">
        <w:rPr>
          <w:rFonts w:asciiTheme="minorHAnsi" w:hAnsiTheme="minorHAnsi"/>
          <w:bCs/>
          <w:snapToGrid w:val="0"/>
        </w:rPr>
        <w:t>The PBAC noted and welcomed the input from individuals (</w:t>
      </w:r>
      <w:r w:rsidR="00952A90" w:rsidRPr="00AB34C7">
        <w:rPr>
          <w:rFonts w:asciiTheme="minorHAnsi" w:hAnsiTheme="minorHAnsi"/>
          <w:bCs/>
          <w:snapToGrid w:val="0"/>
        </w:rPr>
        <w:t>64</w:t>
      </w:r>
      <w:r w:rsidRPr="00AB34C7">
        <w:rPr>
          <w:rFonts w:asciiTheme="minorHAnsi" w:hAnsiTheme="minorHAnsi"/>
          <w:bCs/>
          <w:snapToGrid w:val="0"/>
        </w:rPr>
        <w:t xml:space="preserve">), health care </w:t>
      </w:r>
      <w:r w:rsidRPr="00AB34C7">
        <w:rPr>
          <w:rFonts w:asciiTheme="minorHAnsi" w:hAnsiTheme="minorHAnsi"/>
          <w:bCs/>
          <w:snapToGrid w:val="0"/>
        </w:rPr>
        <w:lastRenderedPageBreak/>
        <w:t>professionals (</w:t>
      </w:r>
      <w:r w:rsidR="00952A90" w:rsidRPr="00AB34C7">
        <w:rPr>
          <w:rFonts w:asciiTheme="minorHAnsi" w:hAnsiTheme="minorHAnsi"/>
          <w:bCs/>
          <w:snapToGrid w:val="0"/>
        </w:rPr>
        <w:t>6</w:t>
      </w:r>
      <w:r w:rsidRPr="00AB34C7">
        <w:rPr>
          <w:rFonts w:asciiTheme="minorHAnsi" w:hAnsiTheme="minorHAnsi"/>
          <w:bCs/>
          <w:snapToGrid w:val="0"/>
        </w:rPr>
        <w:t xml:space="preserve">) and </w:t>
      </w:r>
      <w:r w:rsidR="00CD288F" w:rsidRPr="00AB34C7">
        <w:rPr>
          <w:rFonts w:asciiTheme="minorHAnsi" w:hAnsiTheme="minorHAnsi"/>
          <w:bCs/>
          <w:snapToGrid w:val="0"/>
        </w:rPr>
        <w:t xml:space="preserve">from the three </w:t>
      </w:r>
      <w:r w:rsidRPr="00AB34C7">
        <w:rPr>
          <w:rFonts w:asciiTheme="minorHAnsi" w:hAnsiTheme="minorHAnsi"/>
          <w:bCs/>
          <w:snapToGrid w:val="0"/>
        </w:rPr>
        <w:t>organisations</w:t>
      </w:r>
      <w:r w:rsidR="00CD288F" w:rsidRPr="00AB34C7">
        <w:rPr>
          <w:rFonts w:asciiTheme="minorHAnsi" w:hAnsiTheme="minorHAnsi"/>
          <w:bCs/>
          <w:snapToGrid w:val="0"/>
        </w:rPr>
        <w:t>, the Leukaemia Foundation, Lymphoma Australia, and Rare Cancers Australia,</w:t>
      </w:r>
      <w:r w:rsidRPr="00AB34C7">
        <w:rPr>
          <w:rFonts w:asciiTheme="minorHAnsi" w:hAnsiTheme="minorHAnsi"/>
          <w:bCs/>
          <w:snapToGrid w:val="0"/>
        </w:rPr>
        <w:t xml:space="preserve"> via the Consumer Comments facility on the PBS website</w:t>
      </w:r>
      <w:r w:rsidR="00AB34C7">
        <w:rPr>
          <w:rFonts w:asciiTheme="minorHAnsi" w:hAnsiTheme="minorHAnsi"/>
          <w:bCs/>
          <w:snapToGrid w:val="0"/>
        </w:rPr>
        <w:t xml:space="preserve">. </w:t>
      </w:r>
      <w:r w:rsidRPr="00AB34C7">
        <w:rPr>
          <w:rFonts w:asciiTheme="minorHAnsi" w:hAnsiTheme="minorHAnsi"/>
          <w:bCs/>
          <w:snapToGrid w:val="0"/>
        </w:rPr>
        <w:t xml:space="preserve">The comments described a range of benefits of treatment with </w:t>
      </w:r>
      <w:r w:rsidR="00952A90" w:rsidRPr="00AB34C7">
        <w:rPr>
          <w:rFonts w:asciiTheme="minorHAnsi" w:hAnsiTheme="minorHAnsi"/>
          <w:bCs/>
          <w:snapToGrid w:val="0"/>
        </w:rPr>
        <w:t>ibrutinib</w:t>
      </w:r>
      <w:r w:rsidRPr="00AB34C7">
        <w:rPr>
          <w:rFonts w:asciiTheme="minorHAnsi" w:hAnsiTheme="minorHAnsi"/>
          <w:bCs/>
          <w:snapToGrid w:val="0"/>
        </w:rPr>
        <w:t xml:space="preserve"> </w:t>
      </w:r>
      <w:r w:rsidR="00B11776" w:rsidRPr="00AB34C7">
        <w:rPr>
          <w:rFonts w:asciiTheme="minorHAnsi" w:hAnsiTheme="minorHAnsi"/>
          <w:bCs/>
          <w:snapToGrid w:val="0"/>
        </w:rPr>
        <w:t xml:space="preserve">+ venetoclax </w:t>
      </w:r>
      <w:r w:rsidRPr="00AB34C7">
        <w:rPr>
          <w:rFonts w:asciiTheme="minorHAnsi" w:hAnsiTheme="minorHAnsi"/>
          <w:bCs/>
          <w:snapToGrid w:val="0"/>
        </w:rPr>
        <w:t xml:space="preserve">including </w:t>
      </w:r>
      <w:r w:rsidR="007768B1" w:rsidRPr="00AB34C7">
        <w:rPr>
          <w:rFonts w:asciiTheme="minorHAnsi" w:hAnsiTheme="minorHAnsi"/>
          <w:bCs/>
          <w:snapToGrid w:val="0"/>
        </w:rPr>
        <w:t xml:space="preserve">improved quality of life due to reduced fatigue, </w:t>
      </w:r>
      <w:r w:rsidR="00136726" w:rsidRPr="00AB34C7">
        <w:rPr>
          <w:rFonts w:asciiTheme="minorHAnsi" w:hAnsiTheme="minorHAnsi"/>
          <w:bCs/>
          <w:snapToGrid w:val="0"/>
        </w:rPr>
        <w:t>an ability to work and improved mental health, and the potential for complete disease remission. P</w:t>
      </w:r>
      <w:r w:rsidR="007768B1" w:rsidRPr="00AB34C7">
        <w:rPr>
          <w:rFonts w:asciiTheme="minorHAnsi" w:hAnsiTheme="minorHAnsi"/>
          <w:bCs/>
          <w:snapToGrid w:val="0"/>
        </w:rPr>
        <w:t>otential</w:t>
      </w:r>
      <w:r w:rsidR="00136726" w:rsidRPr="00AB34C7">
        <w:rPr>
          <w:rFonts w:asciiTheme="minorHAnsi" w:hAnsiTheme="minorHAnsi"/>
          <w:bCs/>
          <w:snapToGrid w:val="0"/>
        </w:rPr>
        <w:t xml:space="preserve"> safety concerns</w:t>
      </w:r>
      <w:r w:rsidR="007768B1" w:rsidRPr="00AB34C7">
        <w:rPr>
          <w:rFonts w:asciiTheme="minorHAnsi" w:hAnsiTheme="minorHAnsi"/>
          <w:bCs/>
          <w:snapToGrid w:val="0"/>
        </w:rPr>
        <w:t xml:space="preserve"> </w:t>
      </w:r>
      <w:r w:rsidR="00136726" w:rsidRPr="00AB34C7">
        <w:rPr>
          <w:rFonts w:asciiTheme="minorHAnsi" w:hAnsiTheme="minorHAnsi"/>
          <w:bCs/>
          <w:snapToGrid w:val="0"/>
        </w:rPr>
        <w:t xml:space="preserve">were noted by health professionals </w:t>
      </w:r>
      <w:r w:rsidR="007768B1" w:rsidRPr="00AB34C7">
        <w:rPr>
          <w:rFonts w:asciiTheme="minorHAnsi" w:hAnsiTheme="minorHAnsi"/>
          <w:bCs/>
          <w:snapToGrid w:val="0"/>
        </w:rPr>
        <w:t>including immunosuppression, AF and bleeding</w:t>
      </w:r>
      <w:r w:rsidR="00136726" w:rsidRPr="00AB34C7">
        <w:rPr>
          <w:rFonts w:asciiTheme="minorHAnsi" w:hAnsiTheme="minorHAnsi"/>
          <w:bCs/>
          <w:snapToGrid w:val="0"/>
        </w:rPr>
        <w:t>; however, some</w:t>
      </w:r>
      <w:r w:rsidR="007768B1" w:rsidRPr="00AB34C7">
        <w:rPr>
          <w:rFonts w:asciiTheme="minorHAnsi" w:hAnsiTheme="minorHAnsi"/>
          <w:bCs/>
          <w:snapToGrid w:val="0"/>
        </w:rPr>
        <w:t xml:space="preserve"> current patients </w:t>
      </w:r>
      <w:r w:rsidR="00136726" w:rsidRPr="00AB34C7">
        <w:rPr>
          <w:rFonts w:asciiTheme="minorHAnsi" w:hAnsiTheme="minorHAnsi"/>
          <w:bCs/>
          <w:snapToGrid w:val="0"/>
        </w:rPr>
        <w:t>noted minimal side effects</w:t>
      </w:r>
      <w:r w:rsidR="007768B1" w:rsidRPr="00AB34C7">
        <w:rPr>
          <w:rFonts w:asciiTheme="minorHAnsi" w:hAnsiTheme="minorHAnsi"/>
          <w:bCs/>
          <w:snapToGrid w:val="0"/>
        </w:rPr>
        <w:t>.</w:t>
      </w:r>
      <w:r w:rsidRPr="00AB34C7">
        <w:rPr>
          <w:rFonts w:asciiTheme="minorHAnsi" w:hAnsiTheme="minorHAnsi"/>
          <w:bCs/>
          <w:snapToGrid w:val="0"/>
        </w:rPr>
        <w:t xml:space="preserve"> </w:t>
      </w:r>
      <w:bookmarkStart w:id="17" w:name="_Hlk97141379"/>
      <w:r w:rsidR="00945EA0" w:rsidRPr="00AB34C7">
        <w:rPr>
          <w:rFonts w:asciiTheme="minorHAnsi" w:hAnsiTheme="minorHAnsi"/>
          <w:bCs/>
          <w:snapToGrid w:val="0"/>
        </w:rPr>
        <w:t xml:space="preserve">Most </w:t>
      </w:r>
      <w:r w:rsidR="00952A90" w:rsidRPr="00AB34C7">
        <w:rPr>
          <w:rFonts w:asciiTheme="minorHAnsi" w:hAnsiTheme="minorHAnsi"/>
          <w:bCs/>
          <w:snapToGrid w:val="0"/>
        </w:rPr>
        <w:t>respondents noted that</w:t>
      </w:r>
      <w:r w:rsidR="00945EA0" w:rsidRPr="00AB34C7">
        <w:rPr>
          <w:rFonts w:asciiTheme="minorHAnsi" w:hAnsiTheme="minorHAnsi"/>
          <w:bCs/>
          <w:snapToGrid w:val="0"/>
        </w:rPr>
        <w:t>,</w:t>
      </w:r>
      <w:r w:rsidR="00952A90" w:rsidRPr="00AB34C7">
        <w:rPr>
          <w:rFonts w:asciiTheme="minorHAnsi" w:hAnsiTheme="minorHAnsi"/>
          <w:bCs/>
          <w:snapToGrid w:val="0"/>
        </w:rPr>
        <w:t xml:space="preserve"> as a</w:t>
      </w:r>
      <w:r w:rsidR="00136726" w:rsidRPr="00AB34C7">
        <w:rPr>
          <w:rFonts w:asciiTheme="minorHAnsi" w:hAnsiTheme="minorHAnsi"/>
          <w:bCs/>
          <w:snapToGrid w:val="0"/>
        </w:rPr>
        <w:t xml:space="preserve"> time-limited,</w:t>
      </w:r>
      <w:r w:rsidR="00952A90" w:rsidRPr="00AB34C7">
        <w:rPr>
          <w:rFonts w:asciiTheme="minorHAnsi" w:hAnsiTheme="minorHAnsi"/>
          <w:bCs/>
          <w:snapToGrid w:val="0"/>
        </w:rPr>
        <w:t xml:space="preserve"> all-oral </w:t>
      </w:r>
      <w:r w:rsidR="007768B1" w:rsidRPr="00AB34C7">
        <w:rPr>
          <w:rFonts w:asciiTheme="minorHAnsi" w:hAnsiTheme="minorHAnsi"/>
          <w:bCs/>
          <w:snapToGrid w:val="0"/>
        </w:rPr>
        <w:t xml:space="preserve">combination </w:t>
      </w:r>
      <w:r w:rsidR="00952A90" w:rsidRPr="00AB34C7">
        <w:rPr>
          <w:rFonts w:asciiTheme="minorHAnsi" w:hAnsiTheme="minorHAnsi"/>
          <w:bCs/>
          <w:snapToGrid w:val="0"/>
        </w:rPr>
        <w:t xml:space="preserve">therapy, ibrutinib + venetoclax </w:t>
      </w:r>
      <w:r w:rsidR="00136726" w:rsidRPr="00AB34C7">
        <w:rPr>
          <w:rFonts w:asciiTheme="minorHAnsi" w:hAnsiTheme="minorHAnsi"/>
          <w:bCs/>
          <w:snapToGrid w:val="0"/>
        </w:rPr>
        <w:t>(compared with IV infusion obinutuzumab + oral venetoclax)</w:t>
      </w:r>
      <w:r w:rsidR="0036562A" w:rsidRPr="00AB34C7">
        <w:rPr>
          <w:rFonts w:asciiTheme="minorHAnsi" w:hAnsiTheme="minorHAnsi"/>
          <w:bCs/>
          <w:snapToGrid w:val="0"/>
        </w:rPr>
        <w:t>:</w:t>
      </w:r>
      <w:r w:rsidR="00136726" w:rsidRPr="00AB34C7">
        <w:rPr>
          <w:rFonts w:asciiTheme="minorHAnsi" w:hAnsiTheme="minorHAnsi"/>
          <w:bCs/>
          <w:snapToGrid w:val="0"/>
        </w:rPr>
        <w:t xml:space="preserve"> </w:t>
      </w:r>
      <w:r w:rsidR="007768B1" w:rsidRPr="00AB34C7">
        <w:rPr>
          <w:rFonts w:asciiTheme="minorHAnsi" w:hAnsiTheme="minorHAnsi"/>
          <w:bCs/>
          <w:snapToGrid w:val="0"/>
        </w:rPr>
        <w:t xml:space="preserve">(i) </w:t>
      </w:r>
      <w:r w:rsidR="00952A90" w:rsidRPr="00AB34C7">
        <w:rPr>
          <w:rFonts w:asciiTheme="minorHAnsi" w:hAnsiTheme="minorHAnsi"/>
          <w:bCs/>
          <w:snapToGrid w:val="0"/>
        </w:rPr>
        <w:t xml:space="preserve">improves patient access </w:t>
      </w:r>
      <w:r w:rsidR="00B11776" w:rsidRPr="00AB34C7">
        <w:rPr>
          <w:rFonts w:asciiTheme="minorHAnsi" w:hAnsiTheme="minorHAnsi"/>
          <w:bCs/>
          <w:snapToGrid w:val="0"/>
        </w:rPr>
        <w:t xml:space="preserve">and convenience </w:t>
      </w:r>
      <w:r w:rsidR="00952A90" w:rsidRPr="00AB34C7">
        <w:rPr>
          <w:rFonts w:asciiTheme="minorHAnsi" w:hAnsiTheme="minorHAnsi"/>
          <w:bCs/>
          <w:snapToGrid w:val="0"/>
        </w:rPr>
        <w:t>given there is no need for in-hospital/clinic treatment</w:t>
      </w:r>
      <w:r w:rsidR="00945EA0" w:rsidRPr="00AB34C7">
        <w:rPr>
          <w:rFonts w:asciiTheme="minorHAnsi" w:hAnsiTheme="minorHAnsi"/>
          <w:bCs/>
          <w:snapToGrid w:val="0"/>
        </w:rPr>
        <w:t xml:space="preserve"> or time away from work for infusions</w:t>
      </w:r>
      <w:r w:rsidR="00952A90" w:rsidRPr="00AB34C7">
        <w:rPr>
          <w:rFonts w:asciiTheme="minorHAnsi" w:hAnsiTheme="minorHAnsi"/>
          <w:bCs/>
          <w:snapToGrid w:val="0"/>
        </w:rPr>
        <w:t xml:space="preserve">, and </w:t>
      </w:r>
      <w:r w:rsidR="007768B1" w:rsidRPr="00AB34C7">
        <w:rPr>
          <w:rFonts w:asciiTheme="minorHAnsi" w:hAnsiTheme="minorHAnsi"/>
          <w:bCs/>
          <w:snapToGrid w:val="0"/>
        </w:rPr>
        <w:t>(ii)</w:t>
      </w:r>
      <w:r w:rsidR="00B11776" w:rsidRPr="00AB34C7">
        <w:rPr>
          <w:rFonts w:asciiTheme="minorHAnsi" w:hAnsiTheme="minorHAnsi"/>
          <w:bCs/>
          <w:snapToGrid w:val="0"/>
        </w:rPr>
        <w:t xml:space="preserve"> </w:t>
      </w:r>
      <w:r w:rsidR="00952A90" w:rsidRPr="00AB34C7">
        <w:rPr>
          <w:rFonts w:asciiTheme="minorHAnsi" w:hAnsiTheme="minorHAnsi"/>
          <w:bCs/>
          <w:snapToGrid w:val="0"/>
        </w:rPr>
        <w:t xml:space="preserve">provides more equitable access for rural and remote patients. </w:t>
      </w:r>
      <w:r w:rsidR="00E64024" w:rsidRPr="00AB34C7">
        <w:rPr>
          <w:rFonts w:asciiTheme="minorHAnsi" w:hAnsiTheme="minorHAnsi"/>
          <w:bCs/>
          <w:snapToGrid w:val="0"/>
        </w:rPr>
        <w:t xml:space="preserve">Comments from the </w:t>
      </w:r>
      <w:r w:rsidR="00F56ADA" w:rsidRPr="00AB34C7">
        <w:rPr>
          <w:rFonts w:asciiTheme="minorHAnsi" w:hAnsiTheme="minorHAnsi"/>
          <w:bCs/>
          <w:snapToGrid w:val="0"/>
        </w:rPr>
        <w:t>L</w:t>
      </w:r>
      <w:r w:rsidR="00E64024" w:rsidRPr="00AB34C7">
        <w:rPr>
          <w:rFonts w:asciiTheme="minorHAnsi" w:hAnsiTheme="minorHAnsi"/>
          <w:bCs/>
          <w:snapToGrid w:val="0"/>
        </w:rPr>
        <w:t>euk</w:t>
      </w:r>
      <w:r w:rsidR="00F56ADA" w:rsidRPr="00AB34C7">
        <w:rPr>
          <w:rFonts w:asciiTheme="minorHAnsi" w:hAnsiTheme="minorHAnsi"/>
          <w:bCs/>
          <w:snapToGrid w:val="0"/>
        </w:rPr>
        <w:t>a</w:t>
      </w:r>
      <w:r w:rsidR="00E64024" w:rsidRPr="00AB34C7">
        <w:rPr>
          <w:rFonts w:asciiTheme="minorHAnsi" w:hAnsiTheme="minorHAnsi"/>
          <w:bCs/>
          <w:snapToGrid w:val="0"/>
        </w:rPr>
        <w:t xml:space="preserve">emia </w:t>
      </w:r>
      <w:r w:rsidR="00F56ADA" w:rsidRPr="00AB34C7">
        <w:rPr>
          <w:rFonts w:asciiTheme="minorHAnsi" w:hAnsiTheme="minorHAnsi"/>
          <w:bCs/>
          <w:snapToGrid w:val="0"/>
        </w:rPr>
        <w:t>F</w:t>
      </w:r>
      <w:r w:rsidR="00E64024" w:rsidRPr="00AB34C7">
        <w:rPr>
          <w:rFonts w:asciiTheme="minorHAnsi" w:hAnsiTheme="minorHAnsi"/>
          <w:bCs/>
          <w:snapToGrid w:val="0"/>
        </w:rPr>
        <w:t xml:space="preserve">oundation and Lymphoma Australia </w:t>
      </w:r>
      <w:r w:rsidR="00F56ADA" w:rsidRPr="00AB34C7">
        <w:rPr>
          <w:rFonts w:asciiTheme="minorHAnsi" w:hAnsiTheme="minorHAnsi"/>
          <w:bCs/>
          <w:snapToGrid w:val="0"/>
        </w:rPr>
        <w:t xml:space="preserve">also </w:t>
      </w:r>
      <w:r w:rsidR="00E64024" w:rsidRPr="00AB34C7">
        <w:rPr>
          <w:rFonts w:asciiTheme="minorHAnsi" w:hAnsiTheme="minorHAnsi"/>
          <w:bCs/>
          <w:snapToGrid w:val="0"/>
        </w:rPr>
        <w:t xml:space="preserve">highlighted the benefits of </w:t>
      </w:r>
      <w:r w:rsidR="00F56ADA" w:rsidRPr="00AB34C7">
        <w:rPr>
          <w:rFonts w:asciiTheme="minorHAnsi" w:hAnsiTheme="minorHAnsi"/>
          <w:bCs/>
          <w:snapToGrid w:val="0"/>
        </w:rPr>
        <w:t>an all-oral regimen</w:t>
      </w:r>
      <w:r w:rsidR="00AB34C7">
        <w:rPr>
          <w:rFonts w:asciiTheme="minorHAnsi" w:hAnsiTheme="minorHAnsi"/>
          <w:bCs/>
          <w:snapToGrid w:val="0"/>
        </w:rPr>
        <w:t>.</w:t>
      </w:r>
      <w:bookmarkEnd w:id="17"/>
    </w:p>
    <w:p w14:paraId="609C0765" w14:textId="1BE53915" w:rsidR="00B60939" w:rsidRPr="00AB34C7" w:rsidRDefault="00B60939" w:rsidP="002E4F02">
      <w:pPr>
        <w:pStyle w:val="COMH2-non-numbered"/>
      </w:pPr>
      <w:bookmarkStart w:id="18" w:name="_Toc156912600"/>
      <w:bookmarkEnd w:id="15"/>
      <w:bookmarkEnd w:id="16"/>
      <w:r w:rsidRPr="00AB34C7">
        <w:t xml:space="preserve">Clinical </w:t>
      </w:r>
      <w:r w:rsidR="00D5243B" w:rsidRPr="00AB34C7">
        <w:t>studies</w:t>
      </w:r>
      <w:bookmarkEnd w:id="14"/>
      <w:bookmarkEnd w:id="18"/>
    </w:p>
    <w:p w14:paraId="5B2BE3E3" w14:textId="1191212E" w:rsidR="0093522E" w:rsidRPr="00AB34C7" w:rsidRDefault="00DD7639" w:rsidP="00AA787B">
      <w:pPr>
        <w:pStyle w:val="COMexecsumnumberedpara"/>
        <w:ind w:hanging="720"/>
      </w:pPr>
      <w:r w:rsidRPr="00AB34C7">
        <w:t xml:space="preserve">No head-to-head trials comparing ibrutinib + venetoclax to the nominated </w:t>
      </w:r>
      <w:r w:rsidR="003F50F9" w:rsidRPr="00AB34C7">
        <w:t>comparators</w:t>
      </w:r>
      <w:r w:rsidRPr="00AB34C7">
        <w:t xml:space="preserve"> were identified in the resubmission</w:t>
      </w:r>
      <w:r w:rsidR="0086572D" w:rsidRPr="00AB34C7">
        <w:t>’s</w:t>
      </w:r>
      <w:r w:rsidRPr="00AB34C7">
        <w:t xml:space="preserve"> literature search. </w:t>
      </w:r>
    </w:p>
    <w:p w14:paraId="3CCA6F3E" w14:textId="3C5D79DE" w:rsidR="00DD7639" w:rsidRPr="00AB34C7" w:rsidRDefault="00DD7639" w:rsidP="00AA787B">
      <w:pPr>
        <w:pStyle w:val="COMexecsumnumberedpara"/>
        <w:ind w:hanging="720"/>
      </w:pPr>
      <w:r w:rsidRPr="00AB34C7">
        <w:t xml:space="preserve">The </w:t>
      </w:r>
      <w:r w:rsidR="0086572D" w:rsidRPr="00AB34C7">
        <w:t>re</w:t>
      </w:r>
      <w:r w:rsidRPr="00AB34C7">
        <w:t xml:space="preserve">submission was based on the following comparisons of ibrutinib </w:t>
      </w:r>
      <w:r w:rsidR="00A32751" w:rsidRPr="00AB34C7">
        <w:t xml:space="preserve">+ venetoclax </w:t>
      </w:r>
      <w:r w:rsidRPr="00AB34C7">
        <w:t>to the nominated comparators:</w:t>
      </w:r>
    </w:p>
    <w:p w14:paraId="3D1A62AF" w14:textId="77777777" w:rsidR="00DD7639" w:rsidRPr="00AB34C7" w:rsidRDefault="00DD7639" w:rsidP="00F0309A">
      <w:pPr>
        <w:pStyle w:val="ListParagraph"/>
        <w:numPr>
          <w:ilvl w:val="0"/>
          <w:numId w:val="28"/>
        </w:numPr>
        <w:tabs>
          <w:tab w:val="left" w:pos="1080"/>
        </w:tabs>
        <w:autoSpaceDE w:val="0"/>
        <w:autoSpaceDN w:val="0"/>
        <w:adjustRightInd w:val="0"/>
      </w:pPr>
      <w:r w:rsidRPr="00AB34C7">
        <w:t>A Bucher method indirect comparison of efficacy outcomes for ibrutinib + venetoclax (GLOW) versus venetoclax + obinutuzumab (CLL-14) using chlorambucil + obinutuzumab as the common reference.</w:t>
      </w:r>
    </w:p>
    <w:p w14:paraId="3848A027" w14:textId="09D97CD6" w:rsidR="00DD7639" w:rsidRPr="00AB34C7" w:rsidRDefault="00DD7639" w:rsidP="00F0309A">
      <w:pPr>
        <w:pStyle w:val="ListParagraph"/>
        <w:numPr>
          <w:ilvl w:val="0"/>
          <w:numId w:val="28"/>
        </w:numPr>
        <w:tabs>
          <w:tab w:val="left" w:pos="1080"/>
        </w:tabs>
        <w:autoSpaceDE w:val="0"/>
        <w:autoSpaceDN w:val="0"/>
        <w:adjustRightInd w:val="0"/>
      </w:pPr>
      <w:r w:rsidRPr="00AB34C7">
        <w:t xml:space="preserve">An unanchored </w:t>
      </w:r>
      <w:r w:rsidR="00720833" w:rsidRPr="00AB34C7">
        <w:t>matching adjusted indirect comparison (MAIC)</w:t>
      </w:r>
      <w:r w:rsidRPr="00AB34C7">
        <w:t xml:space="preserve"> of efficacy outcomes for ibrutinib + venetoclax (GLOW) versus venetoclax + obinutuzumab (CLL-14).</w:t>
      </w:r>
    </w:p>
    <w:p w14:paraId="5534C412" w14:textId="77777777" w:rsidR="00DD7639" w:rsidRPr="00AB34C7" w:rsidRDefault="00DD7639" w:rsidP="00F0309A">
      <w:pPr>
        <w:pStyle w:val="ListParagraph"/>
        <w:numPr>
          <w:ilvl w:val="0"/>
          <w:numId w:val="28"/>
        </w:numPr>
        <w:tabs>
          <w:tab w:val="left" w:pos="1080"/>
        </w:tabs>
        <w:autoSpaceDE w:val="0"/>
        <w:autoSpaceDN w:val="0"/>
        <w:adjustRightInd w:val="0"/>
      </w:pPr>
      <w:r w:rsidRPr="00AB34C7">
        <w:t>An unanchored MAIC of efficacy outcomes for ibrutinib + venetoclax (GLOW) versus zanubrutinib (SEQUOIA).</w:t>
      </w:r>
    </w:p>
    <w:p w14:paraId="6452C073" w14:textId="77D77DCF" w:rsidR="00DD7639" w:rsidRPr="00AB34C7" w:rsidRDefault="00DD7639" w:rsidP="00F0309A">
      <w:pPr>
        <w:pStyle w:val="ListParagraph"/>
        <w:numPr>
          <w:ilvl w:val="0"/>
          <w:numId w:val="28"/>
        </w:numPr>
        <w:tabs>
          <w:tab w:val="left" w:pos="1080"/>
        </w:tabs>
        <w:autoSpaceDE w:val="0"/>
        <w:autoSpaceDN w:val="0"/>
        <w:adjustRightInd w:val="0"/>
      </w:pPr>
      <w:r w:rsidRPr="00AB34C7">
        <w:t>A</w:t>
      </w:r>
      <w:r w:rsidR="006770B9" w:rsidRPr="00AB34C7">
        <w:t>n</w:t>
      </w:r>
      <w:r w:rsidRPr="00AB34C7">
        <w:t xml:space="preserve"> </w:t>
      </w:r>
      <w:r w:rsidR="000E6C7A" w:rsidRPr="00AB34C7">
        <w:t xml:space="preserve">unanchored unadjusted </w:t>
      </w:r>
      <w:r w:rsidR="00511D95" w:rsidRPr="00AB34C7">
        <w:t xml:space="preserve">(naïve) </w:t>
      </w:r>
      <w:r w:rsidR="000E6C7A" w:rsidRPr="00AB34C7">
        <w:t xml:space="preserve">indirect treatment </w:t>
      </w:r>
      <w:r w:rsidRPr="00AB34C7">
        <w:t>comparison of safety outcomes for ibrutinib + venetoclax (GLOW) versus venetoclax + obinutuzumab (CLL-14).</w:t>
      </w:r>
    </w:p>
    <w:p w14:paraId="55ADFAC8" w14:textId="34F35311" w:rsidR="00DD7639" w:rsidRPr="00AB34C7" w:rsidRDefault="00DD7639" w:rsidP="00F0309A">
      <w:pPr>
        <w:pStyle w:val="ListParagraph"/>
        <w:numPr>
          <w:ilvl w:val="0"/>
          <w:numId w:val="28"/>
        </w:numPr>
        <w:tabs>
          <w:tab w:val="left" w:pos="1080"/>
        </w:tabs>
        <w:autoSpaceDE w:val="0"/>
        <w:autoSpaceDN w:val="0"/>
        <w:adjustRightInd w:val="0"/>
      </w:pPr>
      <w:r w:rsidRPr="00AB34C7">
        <w:t>A</w:t>
      </w:r>
      <w:r w:rsidR="006770B9" w:rsidRPr="00AB34C7">
        <w:t>n</w:t>
      </w:r>
      <w:r w:rsidRPr="00AB34C7">
        <w:t xml:space="preserve"> </w:t>
      </w:r>
      <w:r w:rsidR="000E6C7A" w:rsidRPr="00AB34C7">
        <w:t xml:space="preserve">unanchored unadjusted </w:t>
      </w:r>
      <w:r w:rsidR="00511D95" w:rsidRPr="00AB34C7">
        <w:t xml:space="preserve">(naïve) </w:t>
      </w:r>
      <w:r w:rsidR="000E6C7A" w:rsidRPr="00AB34C7">
        <w:t xml:space="preserve">indirect treatment </w:t>
      </w:r>
      <w:r w:rsidRPr="00AB34C7">
        <w:t>comparison of safety outcomes for ibrutinib + venetoclax (GLOW) versus zanubrutinib (SEQUOIA).</w:t>
      </w:r>
    </w:p>
    <w:p w14:paraId="1AB2EF93" w14:textId="38773420" w:rsidR="00F958A8" w:rsidRPr="001C30EF" w:rsidRDefault="00A73134" w:rsidP="001C30EF">
      <w:pPr>
        <w:pStyle w:val="COMexecsumnumberedpara"/>
        <w:ind w:hanging="720"/>
        <w:rPr>
          <w:rFonts w:ascii="Arial Narrow" w:eastAsiaTheme="majorEastAsia" w:hAnsi="Arial Narrow" w:cstheme="majorBidi"/>
          <w:b/>
          <w:bCs/>
          <w:sz w:val="20"/>
        </w:rPr>
      </w:pPr>
      <w:r w:rsidRPr="00B95C74">
        <w:rPr>
          <w:snapToGrid/>
        </w:rPr>
        <w:t xml:space="preserve">Details of the </w:t>
      </w:r>
      <w:r w:rsidR="0093522E" w:rsidRPr="00B95C74">
        <w:rPr>
          <w:snapToGrid/>
        </w:rPr>
        <w:t>trials</w:t>
      </w:r>
      <w:r w:rsidRPr="00B95C74">
        <w:rPr>
          <w:snapToGrid/>
        </w:rPr>
        <w:t xml:space="preserve"> presented in the </w:t>
      </w:r>
      <w:r w:rsidR="00FB01EE" w:rsidRPr="00B95C74">
        <w:rPr>
          <w:snapToGrid/>
        </w:rPr>
        <w:t>re</w:t>
      </w:r>
      <w:r w:rsidRPr="00B95C74">
        <w:rPr>
          <w:snapToGrid/>
        </w:rPr>
        <w:t xml:space="preserve">submission are provided in </w:t>
      </w:r>
      <w:r w:rsidR="00696EF9" w:rsidRPr="00B95C74">
        <w:fldChar w:fldCharType="begin" w:fldLock="1"/>
      </w:r>
      <w:r w:rsidR="00696EF9" w:rsidRPr="00B95C74">
        <w:rPr>
          <w:snapToGrid/>
        </w:rPr>
        <w:instrText xml:space="preserve"> REF _Ref104803956 \h </w:instrText>
      </w:r>
      <w:r w:rsidR="00696EF9" w:rsidRPr="00B95C74">
        <w:fldChar w:fldCharType="separate"/>
      </w:r>
      <w:r w:rsidR="008A42E6" w:rsidRPr="00AB34C7">
        <w:t xml:space="preserve">Table </w:t>
      </w:r>
      <w:r w:rsidR="008A42E6" w:rsidRPr="00B95C74">
        <w:t>3</w:t>
      </w:r>
      <w:r w:rsidR="00696EF9" w:rsidRPr="00B95C74">
        <w:fldChar w:fldCharType="end"/>
      </w:r>
      <w:r w:rsidRPr="00B95C74">
        <w:rPr>
          <w:snapToGrid/>
        </w:rPr>
        <w:t>.</w:t>
      </w:r>
      <w:bookmarkStart w:id="19" w:name="_Ref104803956"/>
    </w:p>
    <w:p w14:paraId="7DE3A286" w14:textId="7CEC923B" w:rsidR="008E0D3C" w:rsidRPr="00AB34C7" w:rsidRDefault="00696EF9" w:rsidP="002E4F02">
      <w:pPr>
        <w:pStyle w:val="COMtablefigcaption"/>
      </w:pPr>
      <w:r w:rsidRPr="00AB34C7">
        <w:t xml:space="preserve">Table </w:t>
      </w:r>
      <w:fldSimple w:instr=" SEQ Table \* ARABIC " w:fldLock="1">
        <w:r w:rsidR="008A42E6" w:rsidRPr="00B95C74">
          <w:t>3</w:t>
        </w:r>
      </w:fldSimple>
      <w:bookmarkEnd w:id="19"/>
      <w:r w:rsidRPr="00AB34C7">
        <w:t>:</w:t>
      </w:r>
      <w:r w:rsidR="00BC591F" w:rsidRPr="00AB34C7">
        <w:t xml:space="preserve"> </w:t>
      </w:r>
      <w:r w:rsidR="0093522E" w:rsidRPr="00AB34C7">
        <w:t>Trials</w:t>
      </w:r>
      <w:r w:rsidR="008E0D3C" w:rsidRPr="00AB34C7">
        <w:t xml:space="preserve"> and associated reports presented in the </w:t>
      </w:r>
      <w:r w:rsidR="00FB01EE" w:rsidRPr="00AB34C7">
        <w:t>re</w:t>
      </w:r>
      <w:r w:rsidR="008E0D3C" w:rsidRPr="00AB34C7">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resubmission"/>
      </w:tblPr>
      <w:tblGrid>
        <w:gridCol w:w="988"/>
        <w:gridCol w:w="5670"/>
        <w:gridCol w:w="2359"/>
      </w:tblGrid>
      <w:tr w:rsidR="004151D7" w:rsidRPr="00AB34C7" w14:paraId="4D321055" w14:textId="77777777" w:rsidTr="00507D72">
        <w:trPr>
          <w:tblHeader/>
        </w:trPr>
        <w:tc>
          <w:tcPr>
            <w:tcW w:w="548" w:type="pct"/>
            <w:vAlign w:val="center"/>
          </w:tcPr>
          <w:p w14:paraId="22398E69" w14:textId="77777777" w:rsidR="004151D7" w:rsidRPr="00434371" w:rsidRDefault="004151D7" w:rsidP="00507D72">
            <w:pPr>
              <w:pStyle w:val="COMTableheadingrow"/>
              <w:keepNext w:val="0"/>
              <w:rPr>
                <w:szCs w:val="20"/>
                <w:lang w:val="en-AU"/>
              </w:rPr>
            </w:pPr>
            <w:r w:rsidRPr="00434371">
              <w:rPr>
                <w:szCs w:val="20"/>
                <w:lang w:val="en-AU"/>
              </w:rPr>
              <w:t>Trial ID</w:t>
            </w:r>
          </w:p>
        </w:tc>
        <w:tc>
          <w:tcPr>
            <w:tcW w:w="3144" w:type="pct"/>
            <w:vAlign w:val="center"/>
          </w:tcPr>
          <w:p w14:paraId="15191B21" w14:textId="77777777" w:rsidR="004151D7" w:rsidRPr="00434371" w:rsidRDefault="004151D7" w:rsidP="00507D72">
            <w:pPr>
              <w:pStyle w:val="COMTableheadingrow"/>
              <w:keepNext w:val="0"/>
              <w:jc w:val="center"/>
              <w:rPr>
                <w:szCs w:val="20"/>
                <w:lang w:val="en-AU"/>
              </w:rPr>
            </w:pPr>
            <w:r w:rsidRPr="00434371">
              <w:rPr>
                <w:szCs w:val="20"/>
                <w:lang w:val="en-AU"/>
              </w:rPr>
              <w:t>Protocol title/ Publication title</w:t>
            </w:r>
          </w:p>
        </w:tc>
        <w:tc>
          <w:tcPr>
            <w:tcW w:w="1308" w:type="pct"/>
            <w:vAlign w:val="center"/>
          </w:tcPr>
          <w:p w14:paraId="7F327150" w14:textId="77777777" w:rsidR="004151D7" w:rsidRPr="00434371" w:rsidRDefault="004151D7" w:rsidP="00507D72">
            <w:pPr>
              <w:pStyle w:val="COMTableheadingrow"/>
              <w:keepNext w:val="0"/>
              <w:jc w:val="center"/>
              <w:rPr>
                <w:szCs w:val="20"/>
                <w:lang w:val="en-AU"/>
              </w:rPr>
            </w:pPr>
            <w:r w:rsidRPr="00434371">
              <w:rPr>
                <w:szCs w:val="20"/>
                <w:lang w:val="en-AU"/>
              </w:rPr>
              <w:t>Publication citation</w:t>
            </w:r>
          </w:p>
        </w:tc>
      </w:tr>
      <w:tr w:rsidR="002E16C8" w:rsidRPr="00AB34C7" w14:paraId="3341802C" w14:textId="77777777" w:rsidTr="00507D72">
        <w:tc>
          <w:tcPr>
            <w:tcW w:w="5000" w:type="pct"/>
            <w:gridSpan w:val="3"/>
            <w:tcBorders>
              <w:bottom w:val="nil"/>
            </w:tcBorders>
            <w:vAlign w:val="center"/>
          </w:tcPr>
          <w:p w14:paraId="5F50A11B" w14:textId="32506822" w:rsidR="002E16C8" w:rsidRPr="00434371" w:rsidRDefault="002E16C8" w:rsidP="00507D72">
            <w:pPr>
              <w:pStyle w:val="COMTabletext"/>
              <w:keepNext w:val="0"/>
              <w:jc w:val="both"/>
              <w:rPr>
                <w:b/>
                <w:bCs w:val="0"/>
                <w:szCs w:val="20"/>
              </w:rPr>
            </w:pPr>
            <w:r w:rsidRPr="00434371">
              <w:rPr>
                <w:b/>
                <w:bCs w:val="0"/>
                <w:szCs w:val="20"/>
              </w:rPr>
              <w:t>Indirect randomised trials</w:t>
            </w:r>
          </w:p>
        </w:tc>
      </w:tr>
      <w:tr w:rsidR="004151D7" w:rsidRPr="00AB34C7" w14:paraId="44B65169" w14:textId="77777777" w:rsidTr="00507D72">
        <w:tc>
          <w:tcPr>
            <w:tcW w:w="5000" w:type="pct"/>
            <w:gridSpan w:val="3"/>
            <w:tcBorders>
              <w:bottom w:val="nil"/>
            </w:tcBorders>
            <w:vAlign w:val="center"/>
          </w:tcPr>
          <w:p w14:paraId="14A979E7" w14:textId="77777777" w:rsidR="004151D7" w:rsidRPr="00434371" w:rsidRDefault="004151D7" w:rsidP="00507D72">
            <w:pPr>
              <w:pStyle w:val="COMTabletext"/>
              <w:keepNext w:val="0"/>
              <w:jc w:val="both"/>
              <w:rPr>
                <w:b/>
                <w:bCs w:val="0"/>
                <w:szCs w:val="20"/>
              </w:rPr>
            </w:pPr>
            <w:r w:rsidRPr="00434371">
              <w:rPr>
                <w:b/>
                <w:bCs w:val="0"/>
                <w:szCs w:val="20"/>
              </w:rPr>
              <w:t>Ibrutinib trials</w:t>
            </w:r>
          </w:p>
        </w:tc>
      </w:tr>
      <w:tr w:rsidR="004151D7" w:rsidRPr="00AB34C7" w14:paraId="54F21565" w14:textId="77777777" w:rsidTr="00507D72">
        <w:tc>
          <w:tcPr>
            <w:tcW w:w="548" w:type="pct"/>
            <w:vMerge w:val="restart"/>
            <w:vAlign w:val="center"/>
          </w:tcPr>
          <w:p w14:paraId="215DEF5B" w14:textId="77777777" w:rsidR="004151D7" w:rsidRPr="00434371" w:rsidRDefault="004151D7" w:rsidP="00507D72">
            <w:pPr>
              <w:pStyle w:val="COMTabletext"/>
              <w:keepNext w:val="0"/>
              <w:rPr>
                <w:szCs w:val="20"/>
              </w:rPr>
            </w:pPr>
            <w:r w:rsidRPr="00434371">
              <w:rPr>
                <w:szCs w:val="20"/>
              </w:rPr>
              <w:t>GLOW</w:t>
            </w:r>
          </w:p>
        </w:tc>
        <w:tc>
          <w:tcPr>
            <w:tcW w:w="3144" w:type="pct"/>
            <w:tcBorders>
              <w:bottom w:val="nil"/>
            </w:tcBorders>
          </w:tcPr>
          <w:p w14:paraId="2BB4311B" w14:textId="77777777" w:rsidR="004151D7" w:rsidRPr="00434371" w:rsidRDefault="004151D7" w:rsidP="00507D72">
            <w:pPr>
              <w:pStyle w:val="COMTabletext"/>
              <w:keepNext w:val="0"/>
              <w:rPr>
                <w:szCs w:val="20"/>
              </w:rPr>
            </w:pPr>
            <w:r w:rsidRPr="00434371">
              <w:rPr>
                <w:szCs w:val="20"/>
              </w:rPr>
              <w:t xml:space="preserve">A randomized, open-label, phase 3 study of the combination of ibrutinib plus venetoclax versus chlorambucil plus obinutuzumab for the first-line treatment </w:t>
            </w:r>
            <w:r w:rsidRPr="00434371">
              <w:rPr>
                <w:szCs w:val="20"/>
              </w:rPr>
              <w:lastRenderedPageBreak/>
              <w:t>of subjects with chronic lymphocytic leukemia (CLL)/small lymphocytic lymphoma (SLL).</w:t>
            </w:r>
          </w:p>
        </w:tc>
        <w:tc>
          <w:tcPr>
            <w:tcW w:w="1308" w:type="pct"/>
            <w:tcBorders>
              <w:bottom w:val="nil"/>
            </w:tcBorders>
          </w:tcPr>
          <w:p w14:paraId="3ACC9161" w14:textId="77777777" w:rsidR="004151D7" w:rsidRPr="00434371" w:rsidRDefault="004151D7" w:rsidP="00507D72">
            <w:pPr>
              <w:pStyle w:val="COMTabletext"/>
              <w:keepNext w:val="0"/>
              <w:rPr>
                <w:szCs w:val="20"/>
              </w:rPr>
            </w:pPr>
            <w:r w:rsidRPr="00434371">
              <w:rPr>
                <w:szCs w:val="20"/>
              </w:rPr>
              <w:lastRenderedPageBreak/>
              <w:t xml:space="preserve">Clinical study reports, 12 November 2021; 22 June 2023. Patient-Reported </w:t>
            </w:r>
            <w:r w:rsidRPr="00434371">
              <w:rPr>
                <w:szCs w:val="20"/>
              </w:rPr>
              <w:lastRenderedPageBreak/>
              <w:t>Outcomes Supplemental Analyses Report, 29 September 2021.</w:t>
            </w:r>
          </w:p>
        </w:tc>
      </w:tr>
      <w:tr w:rsidR="004151D7" w:rsidRPr="00AB34C7" w14:paraId="2187363A" w14:textId="77777777" w:rsidTr="00507D72">
        <w:tc>
          <w:tcPr>
            <w:tcW w:w="548" w:type="pct"/>
            <w:vMerge/>
            <w:vAlign w:val="center"/>
          </w:tcPr>
          <w:p w14:paraId="662BB7C1" w14:textId="77777777" w:rsidR="004151D7" w:rsidRPr="00434371" w:rsidRDefault="004151D7" w:rsidP="00507D72">
            <w:pPr>
              <w:pStyle w:val="COMTabletext"/>
              <w:keepNext w:val="0"/>
              <w:rPr>
                <w:szCs w:val="20"/>
              </w:rPr>
            </w:pPr>
          </w:p>
        </w:tc>
        <w:tc>
          <w:tcPr>
            <w:tcW w:w="3144" w:type="pct"/>
            <w:tcBorders>
              <w:top w:val="nil"/>
              <w:bottom w:val="nil"/>
            </w:tcBorders>
          </w:tcPr>
          <w:p w14:paraId="36354ED1" w14:textId="77777777" w:rsidR="004151D7" w:rsidRPr="00434371" w:rsidRDefault="004151D7" w:rsidP="00507D72">
            <w:pPr>
              <w:pStyle w:val="COMTabletext"/>
              <w:keepNext w:val="0"/>
              <w:rPr>
                <w:szCs w:val="20"/>
              </w:rPr>
            </w:pPr>
            <w:r w:rsidRPr="00434371">
              <w:rPr>
                <w:szCs w:val="20"/>
              </w:rPr>
              <w:t xml:space="preserve">Munir T, Moreno C, Owen C, Follows G, et al. Impact of minimal residual disease on progression-free survival outcomes after fixed-duration ibrutinib-venetoclax versus chlorambucil-obinutuzumab in the GLOW study. </w:t>
            </w:r>
          </w:p>
        </w:tc>
        <w:tc>
          <w:tcPr>
            <w:tcW w:w="1308" w:type="pct"/>
            <w:tcBorders>
              <w:top w:val="nil"/>
              <w:bottom w:val="nil"/>
            </w:tcBorders>
          </w:tcPr>
          <w:p w14:paraId="361D6A63" w14:textId="77777777" w:rsidR="004151D7" w:rsidRPr="00434371" w:rsidRDefault="004151D7" w:rsidP="00507D72">
            <w:pPr>
              <w:pStyle w:val="COMTabletext"/>
              <w:keepNext w:val="0"/>
              <w:rPr>
                <w:szCs w:val="20"/>
              </w:rPr>
            </w:pPr>
            <w:r w:rsidRPr="00434371">
              <w:rPr>
                <w:szCs w:val="20"/>
              </w:rPr>
              <w:t>Journal of Clinical Oncology 2023; 41(21): 3689.</w:t>
            </w:r>
          </w:p>
        </w:tc>
      </w:tr>
      <w:tr w:rsidR="004151D7" w:rsidRPr="00AB34C7" w14:paraId="5C8F7CA6" w14:textId="77777777" w:rsidTr="00507D72">
        <w:tc>
          <w:tcPr>
            <w:tcW w:w="548" w:type="pct"/>
            <w:vMerge/>
            <w:vAlign w:val="center"/>
          </w:tcPr>
          <w:p w14:paraId="5B3815E0" w14:textId="77777777" w:rsidR="004151D7" w:rsidRPr="00434371" w:rsidRDefault="004151D7" w:rsidP="00507D72">
            <w:pPr>
              <w:pStyle w:val="COMTabletext"/>
              <w:keepNext w:val="0"/>
              <w:rPr>
                <w:szCs w:val="20"/>
              </w:rPr>
            </w:pPr>
          </w:p>
        </w:tc>
        <w:tc>
          <w:tcPr>
            <w:tcW w:w="3144" w:type="pct"/>
            <w:tcBorders>
              <w:top w:val="nil"/>
              <w:bottom w:val="nil"/>
            </w:tcBorders>
          </w:tcPr>
          <w:p w14:paraId="11AC252B" w14:textId="77777777" w:rsidR="004151D7" w:rsidRPr="00434371" w:rsidRDefault="004151D7" w:rsidP="00507D72">
            <w:pPr>
              <w:pStyle w:val="COMTabletext"/>
              <w:keepNext w:val="0"/>
              <w:rPr>
                <w:szCs w:val="20"/>
              </w:rPr>
            </w:pPr>
            <w:r w:rsidRPr="00434371">
              <w:rPr>
                <w:szCs w:val="20"/>
              </w:rPr>
              <w:t xml:space="preserve">Munir T, Moreno C, Owen C, Follows G, et al. CLL-106 first prospective data on minimal residual disease outcomes after fixed-duration ibrutinib plus venetoclax versus chlorambucil plus obinutuzumab for first-line treatment of CLL in older adult or unfit patients: the GLOW study. </w:t>
            </w:r>
          </w:p>
        </w:tc>
        <w:tc>
          <w:tcPr>
            <w:tcW w:w="1308" w:type="pct"/>
            <w:tcBorders>
              <w:top w:val="nil"/>
              <w:bottom w:val="nil"/>
            </w:tcBorders>
          </w:tcPr>
          <w:p w14:paraId="141AA097" w14:textId="77777777" w:rsidR="004151D7" w:rsidRPr="00434371" w:rsidRDefault="004151D7" w:rsidP="00507D72">
            <w:pPr>
              <w:pStyle w:val="COMTabletext"/>
              <w:keepNext w:val="0"/>
              <w:rPr>
                <w:szCs w:val="20"/>
              </w:rPr>
            </w:pPr>
            <w:r w:rsidRPr="00434371">
              <w:rPr>
                <w:szCs w:val="20"/>
              </w:rPr>
              <w:t>Clinical Lymphoma Myeloma and Leukemia 2022; 22(Supplement 2): S264-S265.</w:t>
            </w:r>
          </w:p>
        </w:tc>
      </w:tr>
      <w:tr w:rsidR="004151D7" w:rsidRPr="00AB34C7" w14:paraId="761DDD0C" w14:textId="77777777" w:rsidTr="00507D72">
        <w:tc>
          <w:tcPr>
            <w:tcW w:w="548" w:type="pct"/>
            <w:vMerge/>
            <w:tcBorders>
              <w:bottom w:val="nil"/>
            </w:tcBorders>
            <w:vAlign w:val="center"/>
          </w:tcPr>
          <w:p w14:paraId="07ADC433" w14:textId="77777777" w:rsidR="004151D7" w:rsidRPr="00434371" w:rsidRDefault="004151D7" w:rsidP="00507D72">
            <w:pPr>
              <w:pStyle w:val="COMTabletext"/>
              <w:keepNext w:val="0"/>
              <w:rPr>
                <w:szCs w:val="20"/>
              </w:rPr>
            </w:pPr>
          </w:p>
        </w:tc>
        <w:tc>
          <w:tcPr>
            <w:tcW w:w="3144" w:type="pct"/>
            <w:tcBorders>
              <w:top w:val="nil"/>
              <w:bottom w:val="nil"/>
            </w:tcBorders>
          </w:tcPr>
          <w:p w14:paraId="304C8E7A" w14:textId="77777777" w:rsidR="004151D7" w:rsidRPr="00434371" w:rsidRDefault="004151D7" w:rsidP="00507D72">
            <w:pPr>
              <w:pStyle w:val="COMTabletext"/>
              <w:keepNext w:val="0"/>
              <w:rPr>
                <w:szCs w:val="20"/>
              </w:rPr>
            </w:pPr>
            <w:r w:rsidRPr="00434371">
              <w:rPr>
                <w:szCs w:val="20"/>
              </w:rPr>
              <w:t xml:space="preserve">Munir T, Moreno C, Owen C, Follows GA et al. First prospective data on minimal residual disease (MRD) outcomes after fixed-duration ibrutinib plus venetoclax (Ibr+ Ven) versus chlorambucil plus obinutuzumab (Clb+ O) for first-line treatment of CLL in elderly or unfit patients: the Glow study. </w:t>
            </w:r>
          </w:p>
        </w:tc>
        <w:tc>
          <w:tcPr>
            <w:tcW w:w="1308" w:type="pct"/>
            <w:tcBorders>
              <w:top w:val="nil"/>
              <w:bottom w:val="nil"/>
            </w:tcBorders>
          </w:tcPr>
          <w:p w14:paraId="0402AFC5" w14:textId="77777777" w:rsidR="004151D7" w:rsidRPr="00434371" w:rsidRDefault="004151D7" w:rsidP="00507D72">
            <w:pPr>
              <w:pStyle w:val="COMTabletext"/>
              <w:keepNext w:val="0"/>
              <w:rPr>
                <w:szCs w:val="20"/>
              </w:rPr>
            </w:pPr>
            <w:r w:rsidRPr="00434371">
              <w:rPr>
                <w:szCs w:val="20"/>
              </w:rPr>
              <w:t>Blood 2021; 138(Supplement 1): 70.</w:t>
            </w:r>
          </w:p>
        </w:tc>
      </w:tr>
      <w:tr w:rsidR="004151D7" w:rsidRPr="00AB34C7" w14:paraId="69889333" w14:textId="77777777" w:rsidTr="00507D72">
        <w:trPr>
          <w:trHeight w:val="50"/>
        </w:trPr>
        <w:tc>
          <w:tcPr>
            <w:tcW w:w="548" w:type="pct"/>
            <w:vMerge w:val="restart"/>
            <w:vAlign w:val="center"/>
          </w:tcPr>
          <w:p w14:paraId="72B6164F" w14:textId="77777777" w:rsidR="004151D7" w:rsidRPr="00434371" w:rsidRDefault="004151D7" w:rsidP="00507D72">
            <w:pPr>
              <w:pStyle w:val="COMTabletext"/>
              <w:keepNext w:val="0"/>
              <w:rPr>
                <w:szCs w:val="20"/>
              </w:rPr>
            </w:pPr>
            <w:r w:rsidRPr="00434371">
              <w:rPr>
                <w:szCs w:val="20"/>
              </w:rPr>
              <w:t>CAPTIVATE</w:t>
            </w:r>
          </w:p>
        </w:tc>
        <w:tc>
          <w:tcPr>
            <w:tcW w:w="3144" w:type="pct"/>
            <w:tcBorders>
              <w:bottom w:val="nil"/>
            </w:tcBorders>
          </w:tcPr>
          <w:p w14:paraId="4E82C5C4" w14:textId="77777777" w:rsidR="004151D7" w:rsidRPr="00434371" w:rsidRDefault="004151D7" w:rsidP="00507D72">
            <w:pPr>
              <w:pStyle w:val="COMTabletext"/>
              <w:keepNext w:val="0"/>
              <w:rPr>
                <w:szCs w:val="20"/>
              </w:rPr>
            </w:pPr>
            <w:r w:rsidRPr="00434371">
              <w:rPr>
                <w:szCs w:val="20"/>
              </w:rPr>
              <w:t>Phase 2 study of the combination of ibrutinib plus venetoclax in subjects with treatment-naive chronic lymphocytic leukemia/small lymphocytic lymphoma.</w:t>
            </w:r>
          </w:p>
        </w:tc>
        <w:tc>
          <w:tcPr>
            <w:tcW w:w="1308" w:type="pct"/>
            <w:tcBorders>
              <w:bottom w:val="nil"/>
            </w:tcBorders>
          </w:tcPr>
          <w:p w14:paraId="09E9CDCB" w14:textId="77777777" w:rsidR="004151D7" w:rsidRPr="00434371" w:rsidRDefault="004151D7" w:rsidP="00507D72">
            <w:pPr>
              <w:pStyle w:val="COMTabletext"/>
              <w:keepNext w:val="0"/>
              <w:rPr>
                <w:szCs w:val="20"/>
              </w:rPr>
            </w:pPr>
            <w:r w:rsidRPr="00434371">
              <w:rPr>
                <w:szCs w:val="20"/>
              </w:rPr>
              <w:t>Clinical study reports, 11 November 2021; 28 March 2023; 19 June 2023.</w:t>
            </w:r>
          </w:p>
        </w:tc>
      </w:tr>
      <w:tr w:rsidR="004151D7" w:rsidRPr="00AB34C7" w14:paraId="7D9F2682" w14:textId="77777777" w:rsidTr="00507D72">
        <w:tc>
          <w:tcPr>
            <w:tcW w:w="548" w:type="pct"/>
            <w:vMerge/>
            <w:vAlign w:val="center"/>
          </w:tcPr>
          <w:p w14:paraId="3783FD0B" w14:textId="77777777" w:rsidR="004151D7" w:rsidRPr="00434371" w:rsidRDefault="004151D7" w:rsidP="00507D72">
            <w:pPr>
              <w:pStyle w:val="COMTabletext"/>
              <w:keepNext w:val="0"/>
              <w:rPr>
                <w:szCs w:val="20"/>
              </w:rPr>
            </w:pPr>
          </w:p>
        </w:tc>
        <w:tc>
          <w:tcPr>
            <w:tcW w:w="3144" w:type="pct"/>
            <w:tcBorders>
              <w:top w:val="nil"/>
              <w:bottom w:val="nil"/>
            </w:tcBorders>
          </w:tcPr>
          <w:p w14:paraId="5D8F6FF4" w14:textId="77777777" w:rsidR="004151D7" w:rsidRPr="00434371" w:rsidRDefault="004151D7" w:rsidP="00507D72">
            <w:pPr>
              <w:pStyle w:val="COMTabletext"/>
              <w:keepNext w:val="0"/>
              <w:rPr>
                <w:szCs w:val="20"/>
              </w:rPr>
            </w:pPr>
            <w:r w:rsidRPr="00434371">
              <w:rPr>
                <w:szCs w:val="20"/>
              </w:rPr>
              <w:t>Tam, CS, Allan, JN, Siddiqi T, Kipps TJ, et al. Fixed-duration ibrutinib plus venetoclax for first-line treatment of CLL: primary analysis of the CAPTIVATE FD cohort.</w:t>
            </w:r>
          </w:p>
        </w:tc>
        <w:tc>
          <w:tcPr>
            <w:tcW w:w="1308" w:type="pct"/>
            <w:tcBorders>
              <w:top w:val="nil"/>
              <w:bottom w:val="nil"/>
            </w:tcBorders>
          </w:tcPr>
          <w:p w14:paraId="62C6BF20" w14:textId="77777777" w:rsidR="004151D7" w:rsidRPr="00434371" w:rsidRDefault="004151D7" w:rsidP="00507D72">
            <w:pPr>
              <w:pStyle w:val="COMTabletext"/>
              <w:keepNext w:val="0"/>
              <w:rPr>
                <w:szCs w:val="20"/>
              </w:rPr>
            </w:pPr>
            <w:r w:rsidRPr="00434371">
              <w:rPr>
                <w:szCs w:val="20"/>
              </w:rPr>
              <w:t>Blood. 2022; 139(22): 3278-3289.</w:t>
            </w:r>
          </w:p>
        </w:tc>
      </w:tr>
      <w:tr w:rsidR="004151D7" w:rsidRPr="00AB34C7" w14:paraId="6E29DDB5" w14:textId="77777777" w:rsidTr="00507D72">
        <w:trPr>
          <w:trHeight w:val="109"/>
        </w:trPr>
        <w:tc>
          <w:tcPr>
            <w:tcW w:w="548" w:type="pct"/>
            <w:vMerge/>
            <w:vAlign w:val="center"/>
          </w:tcPr>
          <w:p w14:paraId="5D953B0B" w14:textId="77777777" w:rsidR="004151D7" w:rsidRPr="00434371" w:rsidRDefault="004151D7" w:rsidP="00507D72">
            <w:pPr>
              <w:pStyle w:val="COMTabletext"/>
              <w:keepNext w:val="0"/>
              <w:rPr>
                <w:szCs w:val="20"/>
              </w:rPr>
            </w:pPr>
          </w:p>
        </w:tc>
        <w:tc>
          <w:tcPr>
            <w:tcW w:w="3144" w:type="pct"/>
            <w:tcBorders>
              <w:top w:val="nil"/>
              <w:bottom w:val="nil"/>
            </w:tcBorders>
          </w:tcPr>
          <w:p w14:paraId="4106EB8A" w14:textId="77777777" w:rsidR="004151D7" w:rsidRPr="00434371" w:rsidRDefault="004151D7" w:rsidP="00507D72">
            <w:pPr>
              <w:pStyle w:val="COMTabletext"/>
              <w:keepNext w:val="0"/>
              <w:rPr>
                <w:szCs w:val="20"/>
              </w:rPr>
            </w:pPr>
            <w:r w:rsidRPr="00434371">
              <w:rPr>
                <w:szCs w:val="20"/>
              </w:rPr>
              <w:t>Moreno C, Solman IG, Tam CS, Grigg A, et al. Immune restoration with ibrutinib plus venetoclax in first-line chronic lymphocytic leukemia: the phase 2 CAPTIVATE study.</w:t>
            </w:r>
          </w:p>
        </w:tc>
        <w:tc>
          <w:tcPr>
            <w:tcW w:w="1308" w:type="pct"/>
            <w:tcBorders>
              <w:top w:val="nil"/>
              <w:bottom w:val="nil"/>
            </w:tcBorders>
          </w:tcPr>
          <w:p w14:paraId="4186DF1B" w14:textId="77777777" w:rsidR="004151D7" w:rsidRPr="00434371" w:rsidRDefault="004151D7" w:rsidP="00507D72">
            <w:pPr>
              <w:pStyle w:val="COMTabletext"/>
              <w:keepNext w:val="0"/>
              <w:rPr>
                <w:szCs w:val="20"/>
              </w:rPr>
            </w:pPr>
            <w:r w:rsidRPr="00434371">
              <w:rPr>
                <w:szCs w:val="20"/>
              </w:rPr>
              <w:t>Blood Adv 2023; 7(18): 5294-5303.</w:t>
            </w:r>
          </w:p>
        </w:tc>
      </w:tr>
      <w:tr w:rsidR="004151D7" w:rsidRPr="00AB34C7" w14:paraId="1D2B345A" w14:textId="77777777" w:rsidTr="00507D72">
        <w:tc>
          <w:tcPr>
            <w:tcW w:w="548" w:type="pct"/>
            <w:vMerge/>
            <w:vAlign w:val="center"/>
          </w:tcPr>
          <w:p w14:paraId="572B4CDB" w14:textId="77777777" w:rsidR="004151D7" w:rsidRPr="00434371" w:rsidRDefault="004151D7" w:rsidP="00507D72">
            <w:pPr>
              <w:pStyle w:val="COMTabletext"/>
              <w:keepNext w:val="0"/>
              <w:rPr>
                <w:szCs w:val="20"/>
              </w:rPr>
            </w:pPr>
          </w:p>
        </w:tc>
        <w:tc>
          <w:tcPr>
            <w:tcW w:w="3144" w:type="pct"/>
            <w:tcBorders>
              <w:top w:val="nil"/>
              <w:bottom w:val="nil"/>
            </w:tcBorders>
          </w:tcPr>
          <w:p w14:paraId="3330612D" w14:textId="77777777" w:rsidR="004151D7" w:rsidRPr="00434371" w:rsidRDefault="004151D7" w:rsidP="00507D72">
            <w:pPr>
              <w:pStyle w:val="COMTabletext"/>
              <w:keepNext w:val="0"/>
              <w:rPr>
                <w:szCs w:val="20"/>
              </w:rPr>
            </w:pPr>
            <w:r w:rsidRPr="00434371">
              <w:rPr>
                <w:szCs w:val="20"/>
              </w:rPr>
              <w:t>Allan J.N., Flinn I.W., Siddiqi T., Ghia P., Outcomes in Patients with High-Risk Features after Fixed-Duration Ibrutinib plus Venetoclax: Phase II CAPTIVATE Study in First-Line Chronic Lymphocytic Leukemia.</w:t>
            </w:r>
          </w:p>
        </w:tc>
        <w:tc>
          <w:tcPr>
            <w:tcW w:w="1308" w:type="pct"/>
            <w:tcBorders>
              <w:top w:val="nil"/>
              <w:bottom w:val="nil"/>
            </w:tcBorders>
          </w:tcPr>
          <w:p w14:paraId="620CB93D" w14:textId="77777777" w:rsidR="004151D7" w:rsidRPr="00434371" w:rsidRDefault="004151D7" w:rsidP="00507D72">
            <w:pPr>
              <w:pStyle w:val="COMTabletext"/>
              <w:keepNext w:val="0"/>
              <w:rPr>
                <w:szCs w:val="20"/>
              </w:rPr>
            </w:pPr>
            <w:r w:rsidRPr="00434371">
              <w:rPr>
                <w:szCs w:val="20"/>
              </w:rPr>
              <w:t>Clinical Cancer Research 2023; 29(14): 2593-2601.</w:t>
            </w:r>
          </w:p>
        </w:tc>
      </w:tr>
      <w:tr w:rsidR="004151D7" w:rsidRPr="00AB34C7" w14:paraId="296D167E" w14:textId="77777777" w:rsidTr="00507D72">
        <w:trPr>
          <w:trHeight w:val="576"/>
        </w:trPr>
        <w:tc>
          <w:tcPr>
            <w:tcW w:w="548" w:type="pct"/>
            <w:vMerge/>
            <w:tcBorders>
              <w:bottom w:val="nil"/>
            </w:tcBorders>
            <w:vAlign w:val="center"/>
          </w:tcPr>
          <w:p w14:paraId="1D841659" w14:textId="77777777" w:rsidR="004151D7" w:rsidRPr="00434371" w:rsidRDefault="004151D7" w:rsidP="00507D72">
            <w:pPr>
              <w:pStyle w:val="COMTabletext"/>
              <w:keepNext w:val="0"/>
              <w:rPr>
                <w:szCs w:val="20"/>
              </w:rPr>
            </w:pPr>
          </w:p>
        </w:tc>
        <w:tc>
          <w:tcPr>
            <w:tcW w:w="3144" w:type="pct"/>
            <w:tcBorders>
              <w:top w:val="nil"/>
              <w:bottom w:val="nil"/>
            </w:tcBorders>
          </w:tcPr>
          <w:p w14:paraId="6F5A09E7" w14:textId="77777777" w:rsidR="004151D7" w:rsidRPr="00434371" w:rsidRDefault="004151D7" w:rsidP="00507D72">
            <w:pPr>
              <w:pStyle w:val="COMTabletext"/>
              <w:keepNext w:val="0"/>
              <w:rPr>
                <w:szCs w:val="20"/>
              </w:rPr>
            </w:pPr>
            <w:r w:rsidRPr="00434371">
              <w:rPr>
                <w:szCs w:val="20"/>
              </w:rPr>
              <w:t>Barr PM, Tedeschi A, Wierda WG, Allan JN, et al. Effective Tumor Debulking with Ibrutinib Before Initiation of Venetoclax: Results from the CAPTIVATE Minimal Residual Disease and Fixed-Duration Cohorts.</w:t>
            </w:r>
          </w:p>
        </w:tc>
        <w:tc>
          <w:tcPr>
            <w:tcW w:w="1308" w:type="pct"/>
            <w:tcBorders>
              <w:top w:val="nil"/>
              <w:bottom w:val="nil"/>
            </w:tcBorders>
          </w:tcPr>
          <w:p w14:paraId="6C3ADE3F" w14:textId="77777777" w:rsidR="004151D7" w:rsidRPr="00434371" w:rsidRDefault="004151D7" w:rsidP="00507D72">
            <w:pPr>
              <w:pStyle w:val="COMTabletext"/>
              <w:keepNext w:val="0"/>
              <w:rPr>
                <w:szCs w:val="20"/>
              </w:rPr>
            </w:pPr>
            <w:r w:rsidRPr="00434371">
              <w:rPr>
                <w:szCs w:val="20"/>
              </w:rPr>
              <w:t>Clinical Cancer Research 2022; 28(20): 4385-4391.</w:t>
            </w:r>
          </w:p>
        </w:tc>
      </w:tr>
      <w:tr w:rsidR="004151D7" w:rsidRPr="00AB34C7" w14:paraId="218039AE" w14:textId="77777777" w:rsidTr="00507D72">
        <w:tc>
          <w:tcPr>
            <w:tcW w:w="5000" w:type="pct"/>
            <w:gridSpan w:val="3"/>
            <w:tcBorders>
              <w:bottom w:val="nil"/>
            </w:tcBorders>
            <w:vAlign w:val="center"/>
          </w:tcPr>
          <w:p w14:paraId="5904A023" w14:textId="72E96C9C" w:rsidR="004151D7" w:rsidRPr="00434371" w:rsidRDefault="004151D7" w:rsidP="001C30EF">
            <w:pPr>
              <w:pStyle w:val="COMTabletext"/>
              <w:keepLines/>
              <w:jc w:val="both"/>
              <w:rPr>
                <w:b/>
                <w:bCs w:val="0"/>
                <w:szCs w:val="20"/>
              </w:rPr>
            </w:pPr>
            <w:r w:rsidRPr="00434371">
              <w:rPr>
                <w:b/>
                <w:bCs w:val="0"/>
                <w:szCs w:val="20"/>
              </w:rPr>
              <w:t>Venetoclax + obinutuzumab trial</w:t>
            </w:r>
          </w:p>
        </w:tc>
      </w:tr>
      <w:tr w:rsidR="004151D7" w:rsidRPr="00AB34C7" w14:paraId="1CF03B2A" w14:textId="77777777" w:rsidTr="00507D72">
        <w:tc>
          <w:tcPr>
            <w:tcW w:w="548" w:type="pct"/>
            <w:tcBorders>
              <w:bottom w:val="nil"/>
            </w:tcBorders>
            <w:vAlign w:val="center"/>
          </w:tcPr>
          <w:p w14:paraId="4F318F51" w14:textId="77777777" w:rsidR="004151D7" w:rsidRPr="00434371" w:rsidRDefault="004151D7" w:rsidP="00507D72">
            <w:pPr>
              <w:pStyle w:val="COMTabletext"/>
              <w:keepNext w:val="0"/>
              <w:rPr>
                <w:szCs w:val="20"/>
              </w:rPr>
            </w:pPr>
          </w:p>
        </w:tc>
        <w:tc>
          <w:tcPr>
            <w:tcW w:w="3144" w:type="pct"/>
            <w:tcBorders>
              <w:bottom w:val="nil"/>
            </w:tcBorders>
          </w:tcPr>
          <w:p w14:paraId="3B53FEBA" w14:textId="77777777" w:rsidR="004151D7" w:rsidRPr="00434371" w:rsidRDefault="004151D7" w:rsidP="00507D72">
            <w:pPr>
              <w:pStyle w:val="COMTabletext"/>
              <w:keepNext w:val="0"/>
              <w:rPr>
                <w:szCs w:val="20"/>
              </w:rPr>
            </w:pPr>
            <w:r w:rsidRPr="00434371">
              <w:rPr>
                <w:szCs w:val="20"/>
              </w:rPr>
              <w:t>Fischer K, Al-Sawaf O, Bahlo J, Fink AM, et al. Venetoclax and obinutuzumab in patients with CLL and coexisting conditions.</w:t>
            </w:r>
          </w:p>
        </w:tc>
        <w:tc>
          <w:tcPr>
            <w:tcW w:w="1308" w:type="pct"/>
            <w:tcBorders>
              <w:bottom w:val="nil"/>
            </w:tcBorders>
          </w:tcPr>
          <w:p w14:paraId="205FF96B" w14:textId="77777777" w:rsidR="004151D7" w:rsidRPr="00434371" w:rsidRDefault="004151D7" w:rsidP="00507D72">
            <w:pPr>
              <w:pStyle w:val="COMTabletext"/>
              <w:keepNext w:val="0"/>
              <w:rPr>
                <w:szCs w:val="20"/>
              </w:rPr>
            </w:pPr>
            <w:r w:rsidRPr="00434371">
              <w:rPr>
                <w:szCs w:val="20"/>
              </w:rPr>
              <w:t>New England Journal of Medicine 2019; 380(23): 2225-2236.</w:t>
            </w:r>
          </w:p>
        </w:tc>
      </w:tr>
      <w:tr w:rsidR="004151D7" w:rsidRPr="00AB34C7" w14:paraId="78359CB1" w14:textId="77777777" w:rsidTr="00507D72">
        <w:tc>
          <w:tcPr>
            <w:tcW w:w="548" w:type="pct"/>
            <w:tcBorders>
              <w:top w:val="nil"/>
              <w:bottom w:val="nil"/>
            </w:tcBorders>
            <w:vAlign w:val="center"/>
          </w:tcPr>
          <w:p w14:paraId="471A8410" w14:textId="77777777" w:rsidR="004151D7" w:rsidRPr="00434371" w:rsidRDefault="004151D7" w:rsidP="00507D72">
            <w:pPr>
              <w:pStyle w:val="COMTabletext"/>
              <w:keepNext w:val="0"/>
              <w:rPr>
                <w:szCs w:val="20"/>
              </w:rPr>
            </w:pPr>
            <w:r w:rsidRPr="00434371">
              <w:rPr>
                <w:szCs w:val="20"/>
              </w:rPr>
              <w:t>CLL-14</w:t>
            </w:r>
          </w:p>
        </w:tc>
        <w:tc>
          <w:tcPr>
            <w:tcW w:w="3144" w:type="pct"/>
            <w:tcBorders>
              <w:top w:val="nil"/>
              <w:bottom w:val="nil"/>
            </w:tcBorders>
          </w:tcPr>
          <w:p w14:paraId="5F49306E" w14:textId="77777777" w:rsidR="004151D7" w:rsidRPr="00434371" w:rsidRDefault="004151D7" w:rsidP="00507D72">
            <w:pPr>
              <w:pStyle w:val="COMTabletext"/>
              <w:keepNext w:val="0"/>
              <w:rPr>
                <w:szCs w:val="20"/>
              </w:rPr>
            </w:pPr>
            <w:r w:rsidRPr="00434371">
              <w:rPr>
                <w:szCs w:val="20"/>
              </w:rPr>
              <w:t xml:space="preserve">Al-Sawaf O, Zhang C, Tandon M, Sinha A, et al. Ven + obi versus chlorambucil plus obinutuzumab for previously untreated chronic lymphocytic leukaemia (CLL14): follow-up results from a multicentre, open-label, randomised, phase 3 trial. </w:t>
            </w:r>
          </w:p>
        </w:tc>
        <w:tc>
          <w:tcPr>
            <w:tcW w:w="1308" w:type="pct"/>
            <w:tcBorders>
              <w:top w:val="nil"/>
              <w:bottom w:val="nil"/>
            </w:tcBorders>
          </w:tcPr>
          <w:p w14:paraId="15D3C4E7" w14:textId="77777777" w:rsidR="004151D7" w:rsidRPr="00434371" w:rsidRDefault="004151D7" w:rsidP="00507D72">
            <w:pPr>
              <w:pStyle w:val="COMTabletext"/>
              <w:keepNext w:val="0"/>
              <w:rPr>
                <w:szCs w:val="20"/>
              </w:rPr>
            </w:pPr>
            <w:r w:rsidRPr="00434371">
              <w:rPr>
                <w:szCs w:val="20"/>
              </w:rPr>
              <w:t>The Lancet Oncology 2020; 21(9): 1188-1200.</w:t>
            </w:r>
          </w:p>
        </w:tc>
      </w:tr>
      <w:tr w:rsidR="004151D7" w:rsidRPr="00AB34C7" w14:paraId="1F7DE6CE" w14:textId="77777777" w:rsidTr="00507D72">
        <w:tc>
          <w:tcPr>
            <w:tcW w:w="548" w:type="pct"/>
            <w:tcBorders>
              <w:top w:val="nil"/>
              <w:bottom w:val="nil"/>
            </w:tcBorders>
            <w:vAlign w:val="center"/>
          </w:tcPr>
          <w:p w14:paraId="3BC93D25" w14:textId="77777777" w:rsidR="004151D7" w:rsidRPr="00434371" w:rsidRDefault="004151D7" w:rsidP="00507D72">
            <w:pPr>
              <w:pStyle w:val="COMTabletext"/>
              <w:keepNext w:val="0"/>
              <w:rPr>
                <w:szCs w:val="20"/>
              </w:rPr>
            </w:pPr>
          </w:p>
        </w:tc>
        <w:tc>
          <w:tcPr>
            <w:tcW w:w="3144" w:type="pct"/>
            <w:tcBorders>
              <w:top w:val="nil"/>
              <w:bottom w:val="nil"/>
            </w:tcBorders>
          </w:tcPr>
          <w:p w14:paraId="323B7E3F" w14:textId="77777777" w:rsidR="004151D7" w:rsidRPr="00434371" w:rsidRDefault="004151D7" w:rsidP="00507D72">
            <w:pPr>
              <w:pStyle w:val="COMTabletext"/>
              <w:keepNext w:val="0"/>
              <w:rPr>
                <w:szCs w:val="20"/>
              </w:rPr>
            </w:pPr>
            <w:r w:rsidRPr="00434371">
              <w:rPr>
                <w:szCs w:val="20"/>
              </w:rPr>
              <w:t xml:space="preserve">Al-Sawaf O, Zhang C, Lu T, Liao MZ, et al. Minimal residual disease dynamics after venetoclax-obinutuzumab treatment: extended off-treatment follow-up from the randomized CLL14 study. </w:t>
            </w:r>
          </w:p>
        </w:tc>
        <w:tc>
          <w:tcPr>
            <w:tcW w:w="1308" w:type="pct"/>
            <w:tcBorders>
              <w:top w:val="nil"/>
              <w:bottom w:val="nil"/>
            </w:tcBorders>
          </w:tcPr>
          <w:p w14:paraId="2F670D81" w14:textId="77777777" w:rsidR="004151D7" w:rsidRPr="00434371" w:rsidRDefault="004151D7" w:rsidP="00507D72">
            <w:pPr>
              <w:pStyle w:val="COMTabletext"/>
              <w:keepNext w:val="0"/>
              <w:rPr>
                <w:szCs w:val="20"/>
              </w:rPr>
            </w:pPr>
            <w:r w:rsidRPr="00434371">
              <w:rPr>
                <w:szCs w:val="20"/>
              </w:rPr>
              <w:t>Journal of Clinical Oncology 2021; 39(36): 4049-4060.</w:t>
            </w:r>
          </w:p>
        </w:tc>
      </w:tr>
      <w:tr w:rsidR="004151D7" w:rsidRPr="00AB34C7" w14:paraId="5F4DCC39" w14:textId="77777777" w:rsidTr="00507D72">
        <w:tc>
          <w:tcPr>
            <w:tcW w:w="548" w:type="pct"/>
            <w:tcBorders>
              <w:top w:val="nil"/>
              <w:bottom w:val="single" w:sz="4" w:space="0" w:color="auto"/>
            </w:tcBorders>
            <w:vAlign w:val="center"/>
          </w:tcPr>
          <w:p w14:paraId="3C0C379D" w14:textId="77777777" w:rsidR="004151D7" w:rsidRPr="00434371" w:rsidRDefault="004151D7" w:rsidP="00507D72">
            <w:pPr>
              <w:pStyle w:val="COMTabletext"/>
              <w:keepNext w:val="0"/>
              <w:rPr>
                <w:szCs w:val="20"/>
              </w:rPr>
            </w:pPr>
          </w:p>
        </w:tc>
        <w:tc>
          <w:tcPr>
            <w:tcW w:w="3144" w:type="pct"/>
            <w:tcBorders>
              <w:top w:val="nil"/>
              <w:bottom w:val="single" w:sz="4" w:space="0" w:color="auto"/>
            </w:tcBorders>
          </w:tcPr>
          <w:p w14:paraId="3BBE6684" w14:textId="77777777" w:rsidR="004151D7" w:rsidRPr="00434371" w:rsidRDefault="004151D7" w:rsidP="00507D72">
            <w:pPr>
              <w:pStyle w:val="COMTabletext"/>
              <w:keepNext w:val="0"/>
              <w:rPr>
                <w:szCs w:val="20"/>
              </w:rPr>
            </w:pPr>
            <w:r w:rsidRPr="00434371">
              <w:rPr>
                <w:szCs w:val="20"/>
              </w:rPr>
              <w:t xml:space="preserve">Al-Sawaf O, Gentile B, Devine J, Zhang C, et al. Health-related quality of life with fixed-duration venetoclax-obinutuzumab for previously untreated chronic lymphocytic leukemia: Results from the randomized, phase 3 CLL14 trial. </w:t>
            </w:r>
          </w:p>
        </w:tc>
        <w:tc>
          <w:tcPr>
            <w:tcW w:w="1308" w:type="pct"/>
            <w:tcBorders>
              <w:top w:val="nil"/>
              <w:bottom w:val="single" w:sz="4" w:space="0" w:color="auto"/>
            </w:tcBorders>
          </w:tcPr>
          <w:p w14:paraId="126F9FB0" w14:textId="77777777" w:rsidR="004151D7" w:rsidRPr="00434371" w:rsidRDefault="004151D7" w:rsidP="00507D72">
            <w:pPr>
              <w:pStyle w:val="COMTabletext"/>
              <w:keepNext w:val="0"/>
              <w:rPr>
                <w:szCs w:val="20"/>
              </w:rPr>
            </w:pPr>
            <w:r w:rsidRPr="00434371">
              <w:rPr>
                <w:szCs w:val="20"/>
              </w:rPr>
              <w:t>American Journal of Hematology 2021; 96(9): 1112-1119.</w:t>
            </w:r>
          </w:p>
        </w:tc>
      </w:tr>
      <w:tr w:rsidR="004151D7" w:rsidRPr="00AB34C7" w14:paraId="16EBE6F9" w14:textId="77777777" w:rsidTr="00507D72">
        <w:tc>
          <w:tcPr>
            <w:tcW w:w="5000" w:type="pct"/>
            <w:gridSpan w:val="3"/>
            <w:tcBorders>
              <w:top w:val="single" w:sz="4" w:space="0" w:color="auto"/>
              <w:bottom w:val="single" w:sz="4" w:space="0" w:color="auto"/>
            </w:tcBorders>
            <w:vAlign w:val="center"/>
          </w:tcPr>
          <w:p w14:paraId="46A083C5" w14:textId="7FF8A02B" w:rsidR="004151D7" w:rsidRPr="00434371" w:rsidRDefault="004151D7" w:rsidP="003F50F9">
            <w:pPr>
              <w:pStyle w:val="COMTabletext"/>
              <w:jc w:val="both"/>
              <w:rPr>
                <w:b/>
                <w:bCs w:val="0"/>
                <w:szCs w:val="20"/>
              </w:rPr>
            </w:pPr>
            <w:r w:rsidRPr="00434371">
              <w:rPr>
                <w:b/>
                <w:bCs w:val="0"/>
                <w:szCs w:val="20"/>
              </w:rPr>
              <w:lastRenderedPageBreak/>
              <w:t>Zanubrutinib trial</w:t>
            </w:r>
          </w:p>
        </w:tc>
      </w:tr>
      <w:tr w:rsidR="004151D7" w:rsidRPr="00AB34C7" w14:paraId="32B1E376" w14:textId="77777777" w:rsidTr="00E06EF7">
        <w:tc>
          <w:tcPr>
            <w:tcW w:w="548" w:type="pct"/>
            <w:vMerge w:val="restart"/>
            <w:tcBorders>
              <w:top w:val="single" w:sz="4" w:space="0" w:color="auto"/>
            </w:tcBorders>
            <w:vAlign w:val="center"/>
          </w:tcPr>
          <w:p w14:paraId="7308A017" w14:textId="77777777" w:rsidR="004151D7" w:rsidRPr="00434371" w:rsidRDefault="004151D7" w:rsidP="00507D72">
            <w:pPr>
              <w:pStyle w:val="COMTabletext"/>
              <w:rPr>
                <w:szCs w:val="20"/>
              </w:rPr>
            </w:pPr>
            <w:r w:rsidRPr="00434371">
              <w:rPr>
                <w:szCs w:val="20"/>
              </w:rPr>
              <w:t>SEQUIOA</w:t>
            </w:r>
          </w:p>
        </w:tc>
        <w:tc>
          <w:tcPr>
            <w:tcW w:w="3144" w:type="pct"/>
            <w:tcBorders>
              <w:top w:val="single" w:sz="4" w:space="0" w:color="auto"/>
              <w:bottom w:val="single" w:sz="4" w:space="0" w:color="FFFFFF" w:themeColor="background1"/>
            </w:tcBorders>
          </w:tcPr>
          <w:p w14:paraId="2CF2970E" w14:textId="77777777" w:rsidR="004151D7" w:rsidRPr="00434371" w:rsidRDefault="004151D7" w:rsidP="00507D72">
            <w:pPr>
              <w:pStyle w:val="COMTabletext"/>
              <w:keepNext w:val="0"/>
              <w:rPr>
                <w:szCs w:val="20"/>
              </w:rPr>
            </w:pPr>
            <w:r w:rsidRPr="00434371">
              <w:rPr>
                <w:szCs w:val="20"/>
              </w:rPr>
              <w:t>Munir T, Shadman M, Robak T, Brown JR, et al. Zanubrutinib (zanu) vs bendamustine + rituximab (BR) in patients (pts) with treatment-naive chronic lymphocytic leukemia/small lymphocytic lymphoma (CLL/SLL): extended follow-up of the SEQUOIA study</w:t>
            </w:r>
          </w:p>
        </w:tc>
        <w:tc>
          <w:tcPr>
            <w:tcW w:w="1308" w:type="pct"/>
            <w:tcBorders>
              <w:top w:val="single" w:sz="4" w:space="0" w:color="auto"/>
              <w:bottom w:val="single" w:sz="4" w:space="0" w:color="FFFFFF" w:themeColor="background1"/>
            </w:tcBorders>
          </w:tcPr>
          <w:p w14:paraId="7199C1EF" w14:textId="77777777" w:rsidR="004151D7" w:rsidRPr="00434371" w:rsidRDefault="004151D7" w:rsidP="00507D72">
            <w:pPr>
              <w:pStyle w:val="COMTabletext"/>
              <w:keepNext w:val="0"/>
              <w:rPr>
                <w:szCs w:val="20"/>
              </w:rPr>
            </w:pPr>
            <w:r w:rsidRPr="00434371">
              <w:rPr>
                <w:szCs w:val="20"/>
              </w:rPr>
              <w:t>Hemasphere 2023; 7(S3): e15364af.</w:t>
            </w:r>
          </w:p>
        </w:tc>
      </w:tr>
      <w:tr w:rsidR="004151D7" w:rsidRPr="00AB34C7" w14:paraId="66C4349B" w14:textId="77777777" w:rsidTr="00E06EF7">
        <w:tc>
          <w:tcPr>
            <w:tcW w:w="548" w:type="pct"/>
            <w:vMerge/>
            <w:vAlign w:val="center"/>
          </w:tcPr>
          <w:p w14:paraId="6D700699" w14:textId="77777777" w:rsidR="004151D7" w:rsidRPr="00434371" w:rsidRDefault="004151D7" w:rsidP="00507D72">
            <w:pPr>
              <w:pStyle w:val="COMTabletext"/>
              <w:rPr>
                <w:szCs w:val="20"/>
              </w:rPr>
            </w:pPr>
          </w:p>
        </w:tc>
        <w:tc>
          <w:tcPr>
            <w:tcW w:w="3144" w:type="pct"/>
            <w:tcBorders>
              <w:top w:val="single" w:sz="4" w:space="0" w:color="FFFFFF" w:themeColor="background1"/>
              <w:bottom w:val="single" w:sz="4" w:space="0" w:color="FFFFFF" w:themeColor="background1"/>
            </w:tcBorders>
          </w:tcPr>
          <w:p w14:paraId="7DBA0886" w14:textId="77777777" w:rsidR="004151D7" w:rsidRPr="00434371" w:rsidRDefault="004151D7" w:rsidP="00507D72">
            <w:pPr>
              <w:pStyle w:val="COMTabletext"/>
              <w:keepNext w:val="0"/>
              <w:rPr>
                <w:szCs w:val="20"/>
              </w:rPr>
            </w:pPr>
            <w:r w:rsidRPr="00434371">
              <w:rPr>
                <w:szCs w:val="20"/>
              </w:rPr>
              <w:t>Tam CS, Brown JR, Kahl BS, Ghia P, et al. Zanubrutinib versus bendamustine and rituximab in untreated chronic lymphocytic leukaemia and small lymphocytic lymphoma (SEQUOIA): a randomised, controlled, phase 3 trial.</w:t>
            </w:r>
          </w:p>
        </w:tc>
        <w:tc>
          <w:tcPr>
            <w:tcW w:w="1308" w:type="pct"/>
            <w:tcBorders>
              <w:top w:val="single" w:sz="4" w:space="0" w:color="FFFFFF" w:themeColor="background1"/>
              <w:bottom w:val="single" w:sz="4" w:space="0" w:color="FFFFFF" w:themeColor="background1"/>
            </w:tcBorders>
          </w:tcPr>
          <w:p w14:paraId="64E60113" w14:textId="77777777" w:rsidR="004151D7" w:rsidRPr="00434371" w:rsidRDefault="004151D7" w:rsidP="00507D72">
            <w:pPr>
              <w:pStyle w:val="COMTabletext"/>
              <w:keepNext w:val="0"/>
              <w:rPr>
                <w:szCs w:val="20"/>
              </w:rPr>
            </w:pPr>
            <w:r w:rsidRPr="00434371">
              <w:rPr>
                <w:szCs w:val="20"/>
              </w:rPr>
              <w:t>The Lancet Oncology 2022; 23(8): 1031-1043.</w:t>
            </w:r>
          </w:p>
        </w:tc>
      </w:tr>
      <w:tr w:rsidR="004151D7" w:rsidRPr="00AB34C7" w14:paraId="4C98845C" w14:textId="77777777" w:rsidTr="00AA10EC">
        <w:tc>
          <w:tcPr>
            <w:tcW w:w="548" w:type="pct"/>
            <w:vMerge/>
            <w:vAlign w:val="center"/>
          </w:tcPr>
          <w:p w14:paraId="1022FE12" w14:textId="77777777" w:rsidR="004151D7" w:rsidRPr="00434371" w:rsidRDefault="004151D7" w:rsidP="00507D72">
            <w:pPr>
              <w:pStyle w:val="COMTabletext"/>
              <w:keepNext w:val="0"/>
              <w:rPr>
                <w:szCs w:val="20"/>
              </w:rPr>
            </w:pPr>
          </w:p>
        </w:tc>
        <w:tc>
          <w:tcPr>
            <w:tcW w:w="3144" w:type="pct"/>
            <w:tcBorders>
              <w:top w:val="single" w:sz="4" w:space="0" w:color="FFFFFF" w:themeColor="background1"/>
              <w:bottom w:val="single" w:sz="4" w:space="0" w:color="FFFFFF" w:themeColor="background1"/>
            </w:tcBorders>
          </w:tcPr>
          <w:p w14:paraId="2979B143" w14:textId="77777777" w:rsidR="004151D7" w:rsidRPr="00434371" w:rsidRDefault="004151D7" w:rsidP="00507D72">
            <w:pPr>
              <w:pStyle w:val="COMTabletext"/>
              <w:keepNext w:val="0"/>
              <w:rPr>
                <w:szCs w:val="20"/>
              </w:rPr>
            </w:pPr>
            <w:r w:rsidRPr="00434371">
              <w:rPr>
                <w:szCs w:val="20"/>
              </w:rPr>
              <w:t>Tam CS, Robak T, Ghia P, Kahl BS, et al. Zanubrutinib monotherapy for patients with treatment naïve chronic lymphocytic leukaemia and 17p deletion.</w:t>
            </w:r>
          </w:p>
        </w:tc>
        <w:tc>
          <w:tcPr>
            <w:tcW w:w="1308" w:type="pct"/>
            <w:tcBorders>
              <w:top w:val="single" w:sz="4" w:space="0" w:color="FFFFFF" w:themeColor="background1"/>
              <w:bottom w:val="single" w:sz="4" w:space="0" w:color="FFFFFF" w:themeColor="background1"/>
            </w:tcBorders>
          </w:tcPr>
          <w:p w14:paraId="3C921E13" w14:textId="77777777" w:rsidR="004151D7" w:rsidRPr="00434371" w:rsidRDefault="004151D7" w:rsidP="00507D72">
            <w:pPr>
              <w:pStyle w:val="COMTabletext"/>
              <w:keepNext w:val="0"/>
              <w:rPr>
                <w:szCs w:val="20"/>
              </w:rPr>
            </w:pPr>
            <w:r w:rsidRPr="00434371">
              <w:rPr>
                <w:szCs w:val="20"/>
              </w:rPr>
              <w:t>Haematologica 2020; 106(9): 2354-2363.</w:t>
            </w:r>
          </w:p>
        </w:tc>
      </w:tr>
      <w:tr w:rsidR="004151D7" w:rsidRPr="00AB34C7" w14:paraId="4A389F73" w14:textId="77777777" w:rsidTr="00AA10EC">
        <w:trPr>
          <w:trHeight w:val="698"/>
        </w:trPr>
        <w:tc>
          <w:tcPr>
            <w:tcW w:w="548" w:type="pct"/>
            <w:vMerge/>
            <w:vAlign w:val="center"/>
          </w:tcPr>
          <w:p w14:paraId="121AA5E0" w14:textId="77777777" w:rsidR="004151D7" w:rsidRPr="00434371" w:rsidRDefault="004151D7" w:rsidP="00507D72">
            <w:pPr>
              <w:pStyle w:val="COMTabletext"/>
              <w:keepNext w:val="0"/>
              <w:rPr>
                <w:szCs w:val="20"/>
              </w:rPr>
            </w:pPr>
          </w:p>
        </w:tc>
        <w:tc>
          <w:tcPr>
            <w:tcW w:w="3144" w:type="pct"/>
            <w:tcBorders>
              <w:top w:val="single" w:sz="4" w:space="0" w:color="FFFFFF" w:themeColor="background1"/>
              <w:bottom w:val="nil"/>
            </w:tcBorders>
          </w:tcPr>
          <w:p w14:paraId="235A3DCC" w14:textId="77777777" w:rsidR="004151D7" w:rsidRPr="00434371" w:rsidRDefault="004151D7" w:rsidP="00507D72">
            <w:pPr>
              <w:pStyle w:val="COMTabletext"/>
              <w:keepNext w:val="0"/>
              <w:rPr>
                <w:szCs w:val="20"/>
              </w:rPr>
            </w:pPr>
            <w:r w:rsidRPr="00434371">
              <w:rPr>
                <w:szCs w:val="20"/>
              </w:rPr>
              <w:t>Ghia P, Barnes G, Yang K, Tam CS, et al. Health-related quality-of-life in treatment-naive CLL/SLL patients treated with zanubrutinib versus bendamustine plus rituximab.</w:t>
            </w:r>
          </w:p>
        </w:tc>
        <w:tc>
          <w:tcPr>
            <w:tcW w:w="1308" w:type="pct"/>
            <w:tcBorders>
              <w:top w:val="single" w:sz="4" w:space="0" w:color="FFFFFF" w:themeColor="background1"/>
              <w:bottom w:val="nil"/>
            </w:tcBorders>
          </w:tcPr>
          <w:p w14:paraId="58017028" w14:textId="77777777" w:rsidR="004151D7" w:rsidRPr="00434371" w:rsidRDefault="004151D7" w:rsidP="00507D72">
            <w:pPr>
              <w:pStyle w:val="COMTabletext"/>
              <w:keepNext w:val="0"/>
              <w:rPr>
                <w:szCs w:val="20"/>
              </w:rPr>
            </w:pPr>
            <w:r w:rsidRPr="00434371">
              <w:rPr>
                <w:szCs w:val="20"/>
              </w:rPr>
              <w:t>Cancer Medicine 2023; 12(18): 18643-18653.</w:t>
            </w:r>
          </w:p>
        </w:tc>
      </w:tr>
      <w:tr w:rsidR="004151D7" w:rsidRPr="00AB34C7" w14:paraId="143FDAC8" w14:textId="77777777" w:rsidTr="00AA10EC">
        <w:trPr>
          <w:trHeight w:val="698"/>
        </w:trPr>
        <w:tc>
          <w:tcPr>
            <w:tcW w:w="548" w:type="pct"/>
            <w:vMerge/>
            <w:tcBorders>
              <w:bottom w:val="single" w:sz="4" w:space="0" w:color="auto"/>
            </w:tcBorders>
            <w:vAlign w:val="center"/>
          </w:tcPr>
          <w:p w14:paraId="7949CE59" w14:textId="77777777" w:rsidR="004151D7" w:rsidRPr="00434371" w:rsidRDefault="004151D7" w:rsidP="00507D72">
            <w:pPr>
              <w:pStyle w:val="COMTabletext"/>
              <w:keepNext w:val="0"/>
              <w:rPr>
                <w:szCs w:val="20"/>
              </w:rPr>
            </w:pPr>
          </w:p>
        </w:tc>
        <w:tc>
          <w:tcPr>
            <w:tcW w:w="3144" w:type="pct"/>
            <w:tcBorders>
              <w:top w:val="nil"/>
              <w:bottom w:val="single" w:sz="4" w:space="0" w:color="auto"/>
            </w:tcBorders>
          </w:tcPr>
          <w:p w14:paraId="1F7E28CA" w14:textId="77777777" w:rsidR="004151D7" w:rsidRPr="00434371" w:rsidRDefault="004151D7" w:rsidP="00507D72">
            <w:pPr>
              <w:pStyle w:val="COMTabletext"/>
              <w:keepNext w:val="0"/>
              <w:rPr>
                <w:szCs w:val="20"/>
              </w:rPr>
            </w:pPr>
            <w:r w:rsidRPr="00434371">
              <w:rPr>
                <w:szCs w:val="20"/>
              </w:rPr>
              <w:t>Brown JR, Robak T, Ghia P, Kahl BS, et al. Efficacy and safety of zanubrutinib in patients with treatment-naïve (TN) chronic lymphocytic leukemia (CLL) or small lymphocytic lymphoma (SLL) with del(17p): follow-up results from arm C of the SEQUOIA (BGB-3111-304) trial.</w:t>
            </w:r>
          </w:p>
        </w:tc>
        <w:tc>
          <w:tcPr>
            <w:tcW w:w="1308" w:type="pct"/>
            <w:tcBorders>
              <w:top w:val="nil"/>
              <w:bottom w:val="single" w:sz="4" w:space="0" w:color="auto"/>
            </w:tcBorders>
          </w:tcPr>
          <w:p w14:paraId="45EF9BFC" w14:textId="77777777" w:rsidR="004151D7" w:rsidRPr="00434371" w:rsidRDefault="004151D7" w:rsidP="00507D72">
            <w:pPr>
              <w:pStyle w:val="COMTabletext"/>
              <w:keepNext w:val="0"/>
              <w:rPr>
                <w:szCs w:val="20"/>
              </w:rPr>
            </w:pPr>
            <w:r w:rsidRPr="00434371">
              <w:rPr>
                <w:szCs w:val="20"/>
              </w:rPr>
              <w:t>Blood 2020; 136:11-12.</w:t>
            </w:r>
          </w:p>
        </w:tc>
      </w:tr>
    </w:tbl>
    <w:p w14:paraId="50E02CA0" w14:textId="1B59D782" w:rsidR="004151D7" w:rsidRPr="00AB34C7" w:rsidRDefault="0093522E" w:rsidP="00EC5836">
      <w:pPr>
        <w:pStyle w:val="COMTablefooter"/>
      </w:pPr>
      <w:r w:rsidRPr="00AB34C7">
        <w:t>Source: Table 1.11 of the resubmission</w:t>
      </w:r>
      <w:r w:rsidR="008E0D3C" w:rsidRPr="00AB34C7">
        <w:t>.</w:t>
      </w:r>
    </w:p>
    <w:p w14:paraId="51D8173A" w14:textId="56FB9895" w:rsidR="008E0D3C" w:rsidRPr="00AB34C7" w:rsidRDefault="004151D7" w:rsidP="00EC5836">
      <w:pPr>
        <w:pStyle w:val="COMTablefooter"/>
      </w:pPr>
      <w:r w:rsidRPr="00AB34C7">
        <w:t>Selected citations relating to conference abstracts omitted.</w:t>
      </w:r>
    </w:p>
    <w:p w14:paraId="1DD06D7D" w14:textId="28F69A95" w:rsidR="007F1017" w:rsidRPr="00AB34C7" w:rsidRDefault="008F120A" w:rsidP="00AA787B">
      <w:pPr>
        <w:pStyle w:val="COMexecsumnumberedpara"/>
        <w:ind w:hanging="720"/>
      </w:pPr>
      <w:r w:rsidRPr="00AB34C7">
        <w:t>The key features of the</w:t>
      </w:r>
      <w:r w:rsidR="003B7D9C" w:rsidRPr="00AB34C7">
        <w:t xml:space="preserve"> GLOW, CAPTIVATE, CLL-14 and SEQUOIA trials are summarised in </w:t>
      </w:r>
      <w:r w:rsidR="003B7D9C" w:rsidRPr="00AB34C7">
        <w:fldChar w:fldCharType="begin" w:fldLock="1"/>
      </w:r>
      <w:r w:rsidR="003B7D9C" w:rsidRPr="00AB34C7">
        <w:instrText xml:space="preserve"> REF _Ref104804098 \h  \* MERGEFORMAT </w:instrText>
      </w:r>
      <w:r w:rsidR="003B7D9C" w:rsidRPr="00AB34C7">
        <w:fldChar w:fldCharType="separate"/>
      </w:r>
      <w:r w:rsidR="008A42E6" w:rsidRPr="00AB34C7">
        <w:t>Table 4</w:t>
      </w:r>
      <w:r w:rsidR="003B7D9C" w:rsidRPr="00AB34C7">
        <w:fldChar w:fldCharType="end"/>
      </w:r>
      <w:r w:rsidR="003B7D9C" w:rsidRPr="00AB34C7">
        <w:t>.</w:t>
      </w:r>
    </w:p>
    <w:p w14:paraId="355E2F15" w14:textId="4BE6DA3C" w:rsidR="007F1017" w:rsidRPr="00AB34C7" w:rsidRDefault="00696EF9" w:rsidP="001C30EF">
      <w:pPr>
        <w:pStyle w:val="COMtablefigcaption"/>
        <w:keepLines/>
      </w:pPr>
      <w:bookmarkStart w:id="20" w:name="_Ref104804098"/>
      <w:r w:rsidRPr="00AB34C7">
        <w:t xml:space="preserve">Table </w:t>
      </w:r>
      <w:fldSimple w:instr=" SEQ Table \* ARABIC " w:fldLock="1">
        <w:r w:rsidR="008A42E6" w:rsidRPr="00B95C74">
          <w:t>4</w:t>
        </w:r>
      </w:fldSimple>
      <w:bookmarkEnd w:id="20"/>
      <w:r w:rsidR="00D6076E" w:rsidRPr="00AB34C7">
        <w:t xml:space="preserve">: </w:t>
      </w:r>
      <w:r w:rsidR="007F1017" w:rsidRPr="00AB34C7">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986"/>
        <w:gridCol w:w="426"/>
        <w:gridCol w:w="1134"/>
        <w:gridCol w:w="711"/>
        <w:gridCol w:w="3684"/>
        <w:gridCol w:w="2076"/>
      </w:tblGrid>
      <w:tr w:rsidR="00426534" w:rsidRPr="00AB34C7" w14:paraId="53DD7CC6" w14:textId="77777777" w:rsidTr="001C30EF">
        <w:trPr>
          <w:cantSplit/>
          <w:tblHeader/>
        </w:trPr>
        <w:tc>
          <w:tcPr>
            <w:tcW w:w="547" w:type="pct"/>
            <w:shd w:val="clear" w:color="auto" w:fill="auto"/>
            <w:vAlign w:val="center"/>
          </w:tcPr>
          <w:p w14:paraId="794116BC" w14:textId="77777777" w:rsidR="00E06EF7" w:rsidRPr="00434371" w:rsidRDefault="00E06EF7" w:rsidP="001C30EF">
            <w:pPr>
              <w:pStyle w:val="COMTableheadingrow"/>
              <w:keepLines/>
              <w:rPr>
                <w:szCs w:val="20"/>
                <w:lang w:val="en-AU"/>
              </w:rPr>
            </w:pPr>
            <w:r w:rsidRPr="00434371">
              <w:rPr>
                <w:szCs w:val="20"/>
                <w:lang w:val="en-AU"/>
              </w:rPr>
              <w:t>Trial</w:t>
            </w:r>
          </w:p>
        </w:tc>
        <w:tc>
          <w:tcPr>
            <w:tcW w:w="236" w:type="pct"/>
            <w:shd w:val="clear" w:color="auto" w:fill="auto"/>
            <w:vAlign w:val="center"/>
          </w:tcPr>
          <w:p w14:paraId="51122FE5" w14:textId="77777777" w:rsidR="00E06EF7" w:rsidRPr="00434371" w:rsidRDefault="00E06EF7" w:rsidP="001C30EF">
            <w:pPr>
              <w:pStyle w:val="COMTableheadingrow"/>
              <w:keepLines/>
              <w:jc w:val="center"/>
              <w:rPr>
                <w:szCs w:val="20"/>
                <w:lang w:val="en-AU"/>
              </w:rPr>
            </w:pPr>
            <w:r w:rsidRPr="00434371">
              <w:rPr>
                <w:szCs w:val="20"/>
                <w:lang w:val="en-AU"/>
              </w:rPr>
              <w:t>N</w:t>
            </w:r>
          </w:p>
        </w:tc>
        <w:tc>
          <w:tcPr>
            <w:tcW w:w="629" w:type="pct"/>
            <w:shd w:val="clear" w:color="auto" w:fill="auto"/>
            <w:vAlign w:val="center"/>
          </w:tcPr>
          <w:p w14:paraId="41C438EF" w14:textId="77777777" w:rsidR="00E06EF7" w:rsidRPr="00434371" w:rsidRDefault="00E06EF7" w:rsidP="001C30EF">
            <w:pPr>
              <w:pStyle w:val="COMTableheadingrow"/>
              <w:keepLines/>
              <w:jc w:val="center"/>
              <w:rPr>
                <w:szCs w:val="20"/>
                <w:lang w:val="en-AU"/>
              </w:rPr>
            </w:pPr>
            <w:r w:rsidRPr="00434371">
              <w:rPr>
                <w:szCs w:val="20"/>
                <w:lang w:val="en-AU"/>
              </w:rPr>
              <w:t>Design/ duration</w:t>
            </w:r>
          </w:p>
        </w:tc>
        <w:tc>
          <w:tcPr>
            <w:tcW w:w="394" w:type="pct"/>
            <w:shd w:val="clear" w:color="auto" w:fill="auto"/>
            <w:vAlign w:val="center"/>
          </w:tcPr>
          <w:p w14:paraId="1FC91360" w14:textId="77777777" w:rsidR="00E06EF7" w:rsidRPr="00434371" w:rsidRDefault="00E06EF7" w:rsidP="001C30EF">
            <w:pPr>
              <w:pStyle w:val="COMTableheadingrow"/>
              <w:keepLines/>
              <w:jc w:val="center"/>
              <w:rPr>
                <w:szCs w:val="20"/>
                <w:lang w:val="en-AU"/>
              </w:rPr>
            </w:pPr>
            <w:r w:rsidRPr="00434371">
              <w:rPr>
                <w:szCs w:val="20"/>
                <w:lang w:val="en-AU"/>
              </w:rPr>
              <w:t>Risk of bias</w:t>
            </w:r>
          </w:p>
        </w:tc>
        <w:tc>
          <w:tcPr>
            <w:tcW w:w="2043" w:type="pct"/>
            <w:shd w:val="clear" w:color="auto" w:fill="auto"/>
            <w:vAlign w:val="center"/>
          </w:tcPr>
          <w:p w14:paraId="7FF90896" w14:textId="77777777" w:rsidR="00E06EF7" w:rsidRPr="00434371" w:rsidRDefault="00E06EF7" w:rsidP="001C30EF">
            <w:pPr>
              <w:pStyle w:val="COMTableheadingrow"/>
              <w:keepLines/>
              <w:jc w:val="center"/>
              <w:rPr>
                <w:szCs w:val="20"/>
                <w:lang w:val="en-AU"/>
              </w:rPr>
            </w:pPr>
            <w:r w:rsidRPr="00434371">
              <w:rPr>
                <w:szCs w:val="20"/>
                <w:lang w:val="en-AU"/>
              </w:rPr>
              <w:t>Patient population</w:t>
            </w:r>
          </w:p>
        </w:tc>
        <w:tc>
          <w:tcPr>
            <w:tcW w:w="1151" w:type="pct"/>
            <w:tcBorders>
              <w:right w:val="single" w:sz="4" w:space="0" w:color="auto"/>
            </w:tcBorders>
            <w:shd w:val="clear" w:color="auto" w:fill="auto"/>
            <w:vAlign w:val="center"/>
          </w:tcPr>
          <w:p w14:paraId="0FCB63F9" w14:textId="6EC25611" w:rsidR="00E06EF7" w:rsidRPr="00434371" w:rsidRDefault="00E06EF7" w:rsidP="001C30EF">
            <w:pPr>
              <w:pStyle w:val="COMTableheadingrow"/>
              <w:keepLines/>
              <w:jc w:val="center"/>
              <w:rPr>
                <w:szCs w:val="20"/>
                <w:lang w:val="en-AU"/>
              </w:rPr>
            </w:pPr>
            <w:r w:rsidRPr="00434371">
              <w:rPr>
                <w:szCs w:val="20"/>
                <w:lang w:val="en-AU"/>
              </w:rPr>
              <w:t>Outcomes</w:t>
            </w:r>
          </w:p>
        </w:tc>
      </w:tr>
      <w:tr w:rsidR="00E06EF7" w:rsidRPr="00AB34C7" w14:paraId="2A03CD4B" w14:textId="0AE1EB53" w:rsidTr="00E06EF7">
        <w:trPr>
          <w:cantSplit/>
        </w:trPr>
        <w:tc>
          <w:tcPr>
            <w:tcW w:w="5000" w:type="pct"/>
            <w:gridSpan w:val="6"/>
            <w:tcBorders>
              <w:right w:val="single" w:sz="4" w:space="0" w:color="auto"/>
            </w:tcBorders>
            <w:shd w:val="clear" w:color="auto" w:fill="auto"/>
            <w:vAlign w:val="center"/>
          </w:tcPr>
          <w:p w14:paraId="73088C85" w14:textId="781B2959" w:rsidR="00E06EF7" w:rsidRPr="00434371" w:rsidRDefault="00E06EF7" w:rsidP="001C30EF">
            <w:pPr>
              <w:pStyle w:val="COMTableheadingrow"/>
              <w:keepLines/>
              <w:rPr>
                <w:szCs w:val="20"/>
                <w:lang w:val="en-AU"/>
              </w:rPr>
            </w:pPr>
            <w:r w:rsidRPr="00434371">
              <w:rPr>
                <w:szCs w:val="20"/>
                <w:lang w:val="en-AU"/>
              </w:rPr>
              <w:t>Ibrutinib + venetoclax versus chlorambucil + obinutuzumab</w:t>
            </w:r>
          </w:p>
        </w:tc>
      </w:tr>
      <w:tr w:rsidR="00426534" w:rsidRPr="00AB34C7" w14:paraId="4EE88DCB" w14:textId="77777777" w:rsidTr="001C30EF">
        <w:trPr>
          <w:cantSplit/>
        </w:trPr>
        <w:tc>
          <w:tcPr>
            <w:tcW w:w="547" w:type="pct"/>
            <w:shd w:val="clear" w:color="auto" w:fill="auto"/>
            <w:vAlign w:val="center"/>
          </w:tcPr>
          <w:p w14:paraId="6EE77D33" w14:textId="764FF4BE" w:rsidR="00E06EF7" w:rsidRPr="00434371" w:rsidRDefault="00E06EF7" w:rsidP="001C30EF">
            <w:pPr>
              <w:pStyle w:val="COMTabletext"/>
              <w:keepNext w:val="0"/>
              <w:rPr>
                <w:szCs w:val="20"/>
              </w:rPr>
            </w:pPr>
            <w:r w:rsidRPr="00434371">
              <w:rPr>
                <w:szCs w:val="20"/>
              </w:rPr>
              <w:t>GLOW</w:t>
            </w:r>
          </w:p>
        </w:tc>
        <w:tc>
          <w:tcPr>
            <w:tcW w:w="236" w:type="pct"/>
            <w:shd w:val="clear" w:color="auto" w:fill="auto"/>
            <w:vAlign w:val="center"/>
          </w:tcPr>
          <w:p w14:paraId="41BB0E41" w14:textId="3DDFBF87" w:rsidR="00E06EF7" w:rsidRPr="00434371" w:rsidRDefault="00EB6922" w:rsidP="001C30EF">
            <w:pPr>
              <w:pStyle w:val="COMTabletext"/>
              <w:keepNext w:val="0"/>
              <w:jc w:val="center"/>
              <w:rPr>
                <w:szCs w:val="20"/>
              </w:rPr>
            </w:pPr>
            <w:r w:rsidRPr="00434371">
              <w:rPr>
                <w:szCs w:val="20"/>
              </w:rPr>
              <w:t>211</w:t>
            </w:r>
          </w:p>
        </w:tc>
        <w:tc>
          <w:tcPr>
            <w:tcW w:w="629" w:type="pct"/>
            <w:shd w:val="clear" w:color="auto" w:fill="auto"/>
            <w:vAlign w:val="center"/>
          </w:tcPr>
          <w:p w14:paraId="744D08AC" w14:textId="2DE4C2D8" w:rsidR="00E06EF7" w:rsidRPr="00434371" w:rsidRDefault="006C0793" w:rsidP="001C30EF">
            <w:pPr>
              <w:pStyle w:val="COMTabletext"/>
              <w:keepNext w:val="0"/>
              <w:jc w:val="center"/>
              <w:rPr>
                <w:szCs w:val="20"/>
              </w:rPr>
            </w:pPr>
            <w:r w:rsidRPr="00434371">
              <w:rPr>
                <w:szCs w:val="20"/>
              </w:rPr>
              <w:t>Phase 3, open-label, randomised trial. Median follow-up: 52.1 months.</w:t>
            </w:r>
          </w:p>
        </w:tc>
        <w:tc>
          <w:tcPr>
            <w:tcW w:w="394" w:type="pct"/>
            <w:shd w:val="clear" w:color="auto" w:fill="auto"/>
            <w:vAlign w:val="center"/>
          </w:tcPr>
          <w:p w14:paraId="4A529D74" w14:textId="08CD3E06" w:rsidR="00E06EF7" w:rsidRPr="00434371" w:rsidRDefault="00426630" w:rsidP="001C30EF">
            <w:pPr>
              <w:pStyle w:val="COMTabletext"/>
              <w:keepNext w:val="0"/>
              <w:jc w:val="center"/>
              <w:rPr>
                <w:iCs/>
                <w:szCs w:val="20"/>
              </w:rPr>
            </w:pPr>
            <w:r w:rsidRPr="00434371">
              <w:rPr>
                <w:iCs/>
                <w:szCs w:val="20"/>
              </w:rPr>
              <w:t>Unclear</w:t>
            </w:r>
          </w:p>
        </w:tc>
        <w:tc>
          <w:tcPr>
            <w:tcW w:w="2043" w:type="pct"/>
            <w:shd w:val="clear" w:color="auto" w:fill="auto"/>
          </w:tcPr>
          <w:p w14:paraId="7E9FDC27" w14:textId="423BF5E6" w:rsidR="00134D67" w:rsidRPr="00434371" w:rsidRDefault="001E44CC" w:rsidP="001C30EF">
            <w:pPr>
              <w:pStyle w:val="COMTabletext"/>
              <w:keepNext w:val="0"/>
              <w:numPr>
                <w:ilvl w:val="0"/>
                <w:numId w:val="12"/>
              </w:numPr>
              <w:ind w:left="157" w:hanging="125"/>
              <w:rPr>
                <w:szCs w:val="20"/>
              </w:rPr>
            </w:pPr>
            <w:r w:rsidRPr="00434371">
              <w:rPr>
                <w:szCs w:val="20"/>
              </w:rPr>
              <w:t>Age ≥65 years, or age 18 to 64 years meeting additional criteria (CrCl &lt;70</w:t>
            </w:r>
            <w:r w:rsidR="002C7D0D" w:rsidRPr="00434371">
              <w:rPr>
                <w:szCs w:val="20"/>
              </w:rPr>
              <w:t> mL</w:t>
            </w:r>
            <w:r w:rsidRPr="00434371">
              <w:rPr>
                <w:szCs w:val="20"/>
              </w:rPr>
              <w:t>/min or CIRS score &gt;6)</w:t>
            </w:r>
            <w:r w:rsidR="00134D67" w:rsidRPr="00434371">
              <w:rPr>
                <w:szCs w:val="20"/>
              </w:rPr>
              <w:t>.</w:t>
            </w:r>
          </w:p>
          <w:p w14:paraId="092A14B9" w14:textId="77777777" w:rsidR="00134D67" w:rsidRPr="00434371" w:rsidRDefault="00134D67" w:rsidP="001C30EF">
            <w:pPr>
              <w:pStyle w:val="COMTabletext"/>
              <w:keepNext w:val="0"/>
              <w:numPr>
                <w:ilvl w:val="0"/>
                <w:numId w:val="12"/>
              </w:numPr>
              <w:ind w:left="157" w:hanging="125"/>
              <w:rPr>
                <w:szCs w:val="20"/>
              </w:rPr>
            </w:pPr>
            <w:r w:rsidRPr="00434371">
              <w:rPr>
                <w:szCs w:val="20"/>
              </w:rPr>
              <w:t>D</w:t>
            </w:r>
            <w:r w:rsidR="001E44CC" w:rsidRPr="00434371">
              <w:rPr>
                <w:szCs w:val="20"/>
              </w:rPr>
              <w:t>iagnosis of CLL or SLL that meets iwCLL criteria</w:t>
            </w:r>
            <w:r w:rsidRPr="00434371">
              <w:rPr>
                <w:szCs w:val="20"/>
              </w:rPr>
              <w:t>.</w:t>
            </w:r>
          </w:p>
          <w:p w14:paraId="47F93EC0" w14:textId="77777777" w:rsidR="00134D67" w:rsidRPr="00434371" w:rsidRDefault="00134D67" w:rsidP="001C30EF">
            <w:pPr>
              <w:pStyle w:val="COMTabletext"/>
              <w:keepNext w:val="0"/>
              <w:numPr>
                <w:ilvl w:val="0"/>
                <w:numId w:val="12"/>
              </w:numPr>
              <w:ind w:left="157" w:hanging="125"/>
              <w:rPr>
                <w:szCs w:val="20"/>
              </w:rPr>
            </w:pPr>
            <w:r w:rsidRPr="00434371">
              <w:rPr>
                <w:szCs w:val="20"/>
              </w:rPr>
              <w:t>A</w:t>
            </w:r>
            <w:r w:rsidR="001E44CC" w:rsidRPr="00434371">
              <w:rPr>
                <w:szCs w:val="20"/>
              </w:rPr>
              <w:t>ctive CLL/SLL requiring treatment as per iwCLL criteria</w:t>
            </w:r>
            <w:r w:rsidRPr="00434371">
              <w:rPr>
                <w:szCs w:val="20"/>
              </w:rPr>
              <w:t>.</w:t>
            </w:r>
          </w:p>
          <w:p w14:paraId="49C4ED0C" w14:textId="422D0051" w:rsidR="00134D67" w:rsidRPr="00434371" w:rsidRDefault="00134D67" w:rsidP="001C30EF">
            <w:pPr>
              <w:pStyle w:val="COMTabletext"/>
              <w:keepNext w:val="0"/>
              <w:numPr>
                <w:ilvl w:val="0"/>
                <w:numId w:val="12"/>
              </w:numPr>
              <w:ind w:left="157" w:hanging="125"/>
              <w:rPr>
                <w:szCs w:val="20"/>
              </w:rPr>
            </w:pPr>
            <w:r w:rsidRPr="00434371">
              <w:rPr>
                <w:szCs w:val="20"/>
              </w:rPr>
              <w:t>M</w:t>
            </w:r>
            <w:r w:rsidR="001E44CC" w:rsidRPr="00434371">
              <w:rPr>
                <w:szCs w:val="20"/>
              </w:rPr>
              <w:t>easurable nodal disease</w:t>
            </w:r>
            <w:r w:rsidRPr="00434371">
              <w:rPr>
                <w:szCs w:val="20"/>
              </w:rPr>
              <w:t>.</w:t>
            </w:r>
          </w:p>
          <w:p w14:paraId="581FA02E" w14:textId="77777777" w:rsidR="00134D67" w:rsidRPr="00434371" w:rsidRDefault="00134D67" w:rsidP="001C30EF">
            <w:pPr>
              <w:pStyle w:val="COMTabletext"/>
              <w:keepNext w:val="0"/>
              <w:numPr>
                <w:ilvl w:val="0"/>
                <w:numId w:val="12"/>
              </w:numPr>
              <w:ind w:left="157" w:hanging="125"/>
              <w:rPr>
                <w:szCs w:val="20"/>
              </w:rPr>
            </w:pPr>
            <w:r w:rsidRPr="00434371">
              <w:rPr>
                <w:szCs w:val="20"/>
              </w:rPr>
              <w:t>N</w:t>
            </w:r>
            <w:r w:rsidR="001E44CC" w:rsidRPr="00434371">
              <w:rPr>
                <w:szCs w:val="20"/>
              </w:rPr>
              <w:t>o prior anti-leukemic therapy for CLL or SLL</w:t>
            </w:r>
          </w:p>
          <w:p w14:paraId="5E6F456D" w14:textId="2E4C2568" w:rsidR="00E06EF7" w:rsidRPr="00434371" w:rsidRDefault="000855AE" w:rsidP="001C30EF">
            <w:pPr>
              <w:pStyle w:val="COMTabletext"/>
              <w:keepNext w:val="0"/>
              <w:numPr>
                <w:ilvl w:val="0"/>
                <w:numId w:val="12"/>
              </w:numPr>
              <w:ind w:left="157" w:hanging="125"/>
              <w:rPr>
                <w:szCs w:val="20"/>
              </w:rPr>
            </w:pPr>
            <w:r w:rsidRPr="00434371">
              <w:rPr>
                <w:szCs w:val="20"/>
              </w:rPr>
              <w:t>P</w:t>
            </w:r>
            <w:r w:rsidR="001E44CC" w:rsidRPr="00434371">
              <w:rPr>
                <w:szCs w:val="20"/>
              </w:rPr>
              <w:t>atients with 17p deletion or known TP53 mutation detected at a threshold of &gt;10% variable allele frequency</w:t>
            </w:r>
            <w:r w:rsidRPr="00434371">
              <w:rPr>
                <w:szCs w:val="20"/>
              </w:rPr>
              <w:t xml:space="preserve"> were excluded.</w:t>
            </w:r>
          </w:p>
        </w:tc>
        <w:tc>
          <w:tcPr>
            <w:tcW w:w="1151" w:type="pct"/>
            <w:tcBorders>
              <w:right w:val="single" w:sz="4" w:space="0" w:color="auto"/>
            </w:tcBorders>
            <w:shd w:val="clear" w:color="auto" w:fill="auto"/>
          </w:tcPr>
          <w:p w14:paraId="3410D12D" w14:textId="01E60AD6" w:rsidR="000855AE" w:rsidRPr="00434371" w:rsidRDefault="001E44CC" w:rsidP="001C30EF">
            <w:pPr>
              <w:pStyle w:val="COMTabletext"/>
              <w:keepNext w:val="0"/>
              <w:numPr>
                <w:ilvl w:val="0"/>
                <w:numId w:val="12"/>
              </w:numPr>
              <w:ind w:left="159" w:hanging="125"/>
              <w:rPr>
                <w:szCs w:val="20"/>
              </w:rPr>
            </w:pPr>
            <w:r w:rsidRPr="00434371">
              <w:rPr>
                <w:szCs w:val="20"/>
              </w:rPr>
              <w:t xml:space="preserve">PFS </w:t>
            </w:r>
          </w:p>
          <w:p w14:paraId="17217B91" w14:textId="77777777" w:rsidR="000855AE" w:rsidRPr="00434371" w:rsidRDefault="001E44CC" w:rsidP="001C30EF">
            <w:pPr>
              <w:pStyle w:val="COMTabletext"/>
              <w:keepNext w:val="0"/>
              <w:numPr>
                <w:ilvl w:val="0"/>
                <w:numId w:val="12"/>
              </w:numPr>
              <w:ind w:left="159" w:hanging="125"/>
              <w:rPr>
                <w:szCs w:val="20"/>
              </w:rPr>
            </w:pPr>
            <w:r w:rsidRPr="00434371">
              <w:rPr>
                <w:szCs w:val="20"/>
              </w:rPr>
              <w:t>MRD negativity in bone marrow</w:t>
            </w:r>
          </w:p>
          <w:p w14:paraId="4CC3F722" w14:textId="77777777" w:rsidR="000855AE" w:rsidRPr="00434371" w:rsidRDefault="001E44CC" w:rsidP="001C30EF">
            <w:pPr>
              <w:pStyle w:val="COMTabletext"/>
              <w:keepNext w:val="0"/>
              <w:numPr>
                <w:ilvl w:val="0"/>
                <w:numId w:val="12"/>
              </w:numPr>
              <w:ind w:left="159" w:hanging="125"/>
              <w:rPr>
                <w:szCs w:val="20"/>
              </w:rPr>
            </w:pPr>
            <w:r w:rsidRPr="00434371">
              <w:rPr>
                <w:szCs w:val="20"/>
              </w:rPr>
              <w:t>CRR</w:t>
            </w:r>
          </w:p>
          <w:p w14:paraId="2EFD05ED" w14:textId="77777777" w:rsidR="000855AE" w:rsidRPr="00434371" w:rsidRDefault="001E44CC" w:rsidP="001C30EF">
            <w:pPr>
              <w:pStyle w:val="COMTabletext"/>
              <w:keepNext w:val="0"/>
              <w:numPr>
                <w:ilvl w:val="0"/>
                <w:numId w:val="12"/>
              </w:numPr>
              <w:ind w:left="159" w:hanging="125"/>
              <w:rPr>
                <w:szCs w:val="20"/>
              </w:rPr>
            </w:pPr>
            <w:r w:rsidRPr="00434371">
              <w:rPr>
                <w:szCs w:val="20"/>
              </w:rPr>
              <w:t>ORR</w:t>
            </w:r>
          </w:p>
          <w:p w14:paraId="15A581F7" w14:textId="39AB37D4" w:rsidR="000855AE" w:rsidRPr="00434371" w:rsidRDefault="001E44CC" w:rsidP="001C30EF">
            <w:pPr>
              <w:pStyle w:val="COMTabletext"/>
              <w:keepNext w:val="0"/>
              <w:numPr>
                <w:ilvl w:val="0"/>
                <w:numId w:val="12"/>
              </w:numPr>
              <w:ind w:left="159" w:hanging="125"/>
              <w:rPr>
                <w:szCs w:val="20"/>
              </w:rPr>
            </w:pPr>
            <w:r w:rsidRPr="00434371">
              <w:rPr>
                <w:szCs w:val="20"/>
              </w:rPr>
              <w:t>OS</w:t>
            </w:r>
          </w:p>
          <w:p w14:paraId="379A9D1D" w14:textId="39EEFF1D" w:rsidR="000855AE" w:rsidRPr="00434371" w:rsidRDefault="001E44CC" w:rsidP="001C30EF">
            <w:pPr>
              <w:pStyle w:val="COMTabletext"/>
              <w:keepNext w:val="0"/>
              <w:numPr>
                <w:ilvl w:val="0"/>
                <w:numId w:val="12"/>
              </w:numPr>
              <w:ind w:left="159" w:hanging="125"/>
              <w:rPr>
                <w:szCs w:val="20"/>
              </w:rPr>
            </w:pPr>
            <w:r w:rsidRPr="00434371">
              <w:rPr>
                <w:szCs w:val="20"/>
              </w:rPr>
              <w:t>T</w:t>
            </w:r>
            <w:r w:rsidR="00B5787A" w:rsidRPr="00434371">
              <w:rPr>
                <w:szCs w:val="20"/>
              </w:rPr>
              <w:t>T</w:t>
            </w:r>
            <w:r w:rsidRPr="00434371">
              <w:rPr>
                <w:szCs w:val="20"/>
              </w:rPr>
              <w:t>NT</w:t>
            </w:r>
          </w:p>
          <w:p w14:paraId="5247B393" w14:textId="77777777" w:rsidR="000855AE" w:rsidRPr="00434371" w:rsidRDefault="000855AE" w:rsidP="001C30EF">
            <w:pPr>
              <w:pStyle w:val="COMTabletext"/>
              <w:keepNext w:val="0"/>
              <w:numPr>
                <w:ilvl w:val="0"/>
                <w:numId w:val="12"/>
              </w:numPr>
              <w:ind w:left="159" w:hanging="125"/>
              <w:rPr>
                <w:szCs w:val="20"/>
              </w:rPr>
            </w:pPr>
            <w:r w:rsidRPr="00434371">
              <w:rPr>
                <w:szCs w:val="20"/>
              </w:rPr>
              <w:t>A</w:t>
            </w:r>
            <w:r w:rsidR="001E44CC" w:rsidRPr="00434371">
              <w:rPr>
                <w:szCs w:val="20"/>
              </w:rPr>
              <w:t>dverse events</w:t>
            </w:r>
          </w:p>
          <w:p w14:paraId="6DC76214" w14:textId="78899C8D" w:rsidR="00E06EF7" w:rsidRPr="00434371" w:rsidRDefault="001E44CC" w:rsidP="001C30EF">
            <w:pPr>
              <w:pStyle w:val="COMTabletext"/>
              <w:keepNext w:val="0"/>
              <w:numPr>
                <w:ilvl w:val="0"/>
                <w:numId w:val="12"/>
              </w:numPr>
              <w:ind w:left="159" w:hanging="125"/>
              <w:rPr>
                <w:szCs w:val="20"/>
              </w:rPr>
            </w:pPr>
            <w:r w:rsidRPr="00434371">
              <w:rPr>
                <w:szCs w:val="20"/>
              </w:rPr>
              <w:t>HRQOL (EORTC QLQ-C30, FACIT-Fatigue scale, EQ-5D-5L).</w:t>
            </w:r>
          </w:p>
        </w:tc>
      </w:tr>
      <w:tr w:rsidR="00E06EF7" w:rsidRPr="00AB34C7" w14:paraId="0F292765" w14:textId="77777777" w:rsidTr="00E06EF7">
        <w:trPr>
          <w:cantSplit/>
        </w:trPr>
        <w:tc>
          <w:tcPr>
            <w:tcW w:w="5000" w:type="pct"/>
            <w:gridSpan w:val="6"/>
            <w:tcBorders>
              <w:right w:val="single" w:sz="4" w:space="0" w:color="auto"/>
            </w:tcBorders>
            <w:shd w:val="clear" w:color="auto" w:fill="auto"/>
            <w:vAlign w:val="center"/>
          </w:tcPr>
          <w:p w14:paraId="46A3A621" w14:textId="15295EE2" w:rsidR="00E06EF7" w:rsidRPr="00434371" w:rsidRDefault="00E06EF7" w:rsidP="00434371">
            <w:pPr>
              <w:pStyle w:val="COMTabletext"/>
              <w:rPr>
                <w:b/>
                <w:bCs w:val="0"/>
                <w:szCs w:val="20"/>
              </w:rPr>
            </w:pPr>
            <w:r w:rsidRPr="00434371">
              <w:rPr>
                <w:b/>
                <w:bCs w:val="0"/>
                <w:szCs w:val="20"/>
              </w:rPr>
              <w:t>Ibrutinib + venetoclax</w:t>
            </w:r>
          </w:p>
        </w:tc>
      </w:tr>
      <w:tr w:rsidR="00426534" w:rsidRPr="00AB34C7" w14:paraId="13A6895C" w14:textId="77777777" w:rsidTr="001C30EF">
        <w:trPr>
          <w:cantSplit/>
        </w:trPr>
        <w:tc>
          <w:tcPr>
            <w:tcW w:w="547" w:type="pct"/>
            <w:shd w:val="clear" w:color="auto" w:fill="auto"/>
            <w:vAlign w:val="center"/>
          </w:tcPr>
          <w:p w14:paraId="4A9488B3" w14:textId="0331E6B2" w:rsidR="00E06EF7" w:rsidRPr="00434371" w:rsidRDefault="00991CC9" w:rsidP="001C30EF">
            <w:pPr>
              <w:pStyle w:val="COMTabletext"/>
              <w:keepNext w:val="0"/>
              <w:rPr>
                <w:szCs w:val="20"/>
              </w:rPr>
            </w:pPr>
            <w:r w:rsidRPr="00434371">
              <w:rPr>
                <w:szCs w:val="20"/>
              </w:rPr>
              <w:t>CAPTIVATE (fixed duration cohort)</w:t>
            </w:r>
          </w:p>
        </w:tc>
        <w:tc>
          <w:tcPr>
            <w:tcW w:w="236" w:type="pct"/>
            <w:shd w:val="clear" w:color="auto" w:fill="auto"/>
            <w:vAlign w:val="center"/>
          </w:tcPr>
          <w:p w14:paraId="3F4D20B5" w14:textId="5F945881" w:rsidR="00E06EF7" w:rsidRPr="00434371" w:rsidRDefault="00991CC9" w:rsidP="001C30EF">
            <w:pPr>
              <w:pStyle w:val="COMTabletext"/>
              <w:keepNext w:val="0"/>
              <w:jc w:val="center"/>
              <w:rPr>
                <w:szCs w:val="20"/>
              </w:rPr>
            </w:pPr>
            <w:r w:rsidRPr="00434371">
              <w:rPr>
                <w:szCs w:val="20"/>
              </w:rPr>
              <w:t>159</w:t>
            </w:r>
          </w:p>
        </w:tc>
        <w:tc>
          <w:tcPr>
            <w:tcW w:w="629" w:type="pct"/>
            <w:shd w:val="clear" w:color="auto" w:fill="auto"/>
            <w:vAlign w:val="center"/>
          </w:tcPr>
          <w:p w14:paraId="4EA08E19" w14:textId="6DCCF578" w:rsidR="00991CC9" w:rsidRPr="00434371" w:rsidRDefault="00991CC9" w:rsidP="001C30EF">
            <w:pPr>
              <w:pStyle w:val="COMTabletext"/>
              <w:keepNext w:val="0"/>
              <w:jc w:val="center"/>
              <w:rPr>
                <w:szCs w:val="20"/>
              </w:rPr>
            </w:pPr>
            <w:r w:rsidRPr="00434371">
              <w:rPr>
                <w:szCs w:val="20"/>
              </w:rPr>
              <w:t>Single-arm, open-label study</w:t>
            </w:r>
            <w:r w:rsidR="006C0793" w:rsidRPr="00434371">
              <w:rPr>
                <w:szCs w:val="20"/>
              </w:rPr>
              <w:t>.</w:t>
            </w:r>
          </w:p>
          <w:p w14:paraId="68D92FE7" w14:textId="50B1B09A" w:rsidR="00E06EF7" w:rsidRPr="00434371" w:rsidRDefault="00991CC9" w:rsidP="001C30EF">
            <w:pPr>
              <w:pStyle w:val="COMTabletext"/>
              <w:keepNext w:val="0"/>
              <w:jc w:val="center"/>
              <w:rPr>
                <w:szCs w:val="20"/>
              </w:rPr>
            </w:pPr>
            <w:r w:rsidRPr="00434371">
              <w:rPr>
                <w:szCs w:val="20"/>
              </w:rPr>
              <w:t>Median follow-up:</w:t>
            </w:r>
            <w:r w:rsidR="006C0793" w:rsidRPr="00434371">
              <w:rPr>
                <w:szCs w:val="20"/>
              </w:rPr>
              <w:t xml:space="preserve"> </w:t>
            </w:r>
            <w:r w:rsidR="00426630" w:rsidRPr="00434371">
              <w:rPr>
                <w:szCs w:val="20"/>
              </w:rPr>
              <w:t>55.7 months</w:t>
            </w:r>
          </w:p>
        </w:tc>
        <w:tc>
          <w:tcPr>
            <w:tcW w:w="394" w:type="pct"/>
            <w:shd w:val="clear" w:color="auto" w:fill="auto"/>
            <w:vAlign w:val="center"/>
          </w:tcPr>
          <w:p w14:paraId="6F0F93F8" w14:textId="77777777" w:rsidR="00E06EF7" w:rsidRPr="00434371" w:rsidRDefault="00E06EF7" w:rsidP="001C30EF">
            <w:pPr>
              <w:pStyle w:val="COMTabletext"/>
              <w:keepNext w:val="0"/>
              <w:jc w:val="center"/>
              <w:rPr>
                <w:iCs/>
                <w:szCs w:val="20"/>
              </w:rPr>
            </w:pPr>
            <w:r w:rsidRPr="00434371">
              <w:rPr>
                <w:iCs/>
                <w:szCs w:val="20"/>
              </w:rPr>
              <w:t>High</w:t>
            </w:r>
          </w:p>
        </w:tc>
        <w:tc>
          <w:tcPr>
            <w:tcW w:w="2043" w:type="pct"/>
            <w:shd w:val="clear" w:color="auto" w:fill="auto"/>
          </w:tcPr>
          <w:p w14:paraId="1CF50E0E" w14:textId="3B2C8420" w:rsidR="000855AE" w:rsidRPr="00434371" w:rsidRDefault="001E44CC" w:rsidP="001C30EF">
            <w:pPr>
              <w:pStyle w:val="COMTabletext"/>
              <w:keepNext w:val="0"/>
              <w:numPr>
                <w:ilvl w:val="0"/>
                <w:numId w:val="12"/>
              </w:numPr>
              <w:ind w:left="159" w:hanging="125"/>
              <w:rPr>
                <w:szCs w:val="20"/>
              </w:rPr>
            </w:pPr>
            <w:r w:rsidRPr="00434371">
              <w:rPr>
                <w:szCs w:val="20"/>
              </w:rPr>
              <w:t>Age 18 to 70 years</w:t>
            </w:r>
            <w:r w:rsidR="000855AE" w:rsidRPr="00434371">
              <w:rPr>
                <w:szCs w:val="20"/>
              </w:rPr>
              <w:t>.</w:t>
            </w:r>
          </w:p>
          <w:p w14:paraId="735A4A72" w14:textId="77777777" w:rsidR="000855AE" w:rsidRPr="00434371" w:rsidRDefault="001E44CC" w:rsidP="001C30EF">
            <w:pPr>
              <w:pStyle w:val="COMTabletext"/>
              <w:keepNext w:val="0"/>
              <w:numPr>
                <w:ilvl w:val="0"/>
                <w:numId w:val="12"/>
              </w:numPr>
              <w:ind w:left="159" w:hanging="125"/>
              <w:rPr>
                <w:szCs w:val="20"/>
              </w:rPr>
            </w:pPr>
            <w:r w:rsidRPr="00434371">
              <w:rPr>
                <w:szCs w:val="20"/>
              </w:rPr>
              <w:t>ECOG performance status of 0-2</w:t>
            </w:r>
            <w:r w:rsidR="000855AE" w:rsidRPr="00434371">
              <w:rPr>
                <w:szCs w:val="20"/>
              </w:rPr>
              <w:t>.</w:t>
            </w:r>
          </w:p>
          <w:p w14:paraId="068D38A7" w14:textId="77777777" w:rsidR="00DD5FD4" w:rsidRPr="00434371" w:rsidRDefault="000855AE" w:rsidP="001C30EF">
            <w:pPr>
              <w:pStyle w:val="COMTabletext"/>
              <w:keepNext w:val="0"/>
              <w:numPr>
                <w:ilvl w:val="0"/>
                <w:numId w:val="12"/>
              </w:numPr>
              <w:ind w:left="159" w:hanging="125"/>
              <w:rPr>
                <w:szCs w:val="20"/>
              </w:rPr>
            </w:pPr>
            <w:r w:rsidRPr="00434371">
              <w:rPr>
                <w:szCs w:val="20"/>
              </w:rPr>
              <w:t>D</w:t>
            </w:r>
            <w:r w:rsidR="001E44CC" w:rsidRPr="00434371">
              <w:rPr>
                <w:szCs w:val="20"/>
              </w:rPr>
              <w:t>iagnosis of CLL/SLL meeting iwCLL diagnostic criteria</w:t>
            </w:r>
            <w:r w:rsidR="00DD5FD4" w:rsidRPr="00434371">
              <w:rPr>
                <w:szCs w:val="20"/>
              </w:rPr>
              <w:t>.</w:t>
            </w:r>
          </w:p>
          <w:p w14:paraId="2E8785CD" w14:textId="77777777" w:rsidR="00DD5FD4" w:rsidRPr="00434371" w:rsidRDefault="00DD5FD4" w:rsidP="001C30EF">
            <w:pPr>
              <w:pStyle w:val="COMTabletext"/>
              <w:keepNext w:val="0"/>
              <w:numPr>
                <w:ilvl w:val="0"/>
                <w:numId w:val="12"/>
              </w:numPr>
              <w:ind w:left="159" w:hanging="125"/>
              <w:rPr>
                <w:szCs w:val="20"/>
              </w:rPr>
            </w:pPr>
            <w:r w:rsidRPr="00434371">
              <w:rPr>
                <w:szCs w:val="20"/>
              </w:rPr>
              <w:t>A</w:t>
            </w:r>
            <w:r w:rsidR="001E44CC" w:rsidRPr="00434371">
              <w:rPr>
                <w:szCs w:val="20"/>
              </w:rPr>
              <w:t>ctive disease meeting ≥1 iwCLL criteria for requiring treatment</w:t>
            </w:r>
            <w:r w:rsidRPr="00434371">
              <w:rPr>
                <w:szCs w:val="20"/>
              </w:rPr>
              <w:t>.</w:t>
            </w:r>
          </w:p>
          <w:p w14:paraId="2095258F" w14:textId="77777777" w:rsidR="00DD5FD4" w:rsidRPr="00434371" w:rsidRDefault="00DD5FD4" w:rsidP="001C30EF">
            <w:pPr>
              <w:pStyle w:val="COMTabletext"/>
              <w:keepNext w:val="0"/>
              <w:numPr>
                <w:ilvl w:val="0"/>
                <w:numId w:val="12"/>
              </w:numPr>
              <w:ind w:left="159" w:hanging="125"/>
              <w:rPr>
                <w:szCs w:val="20"/>
              </w:rPr>
            </w:pPr>
            <w:r w:rsidRPr="00434371">
              <w:rPr>
                <w:szCs w:val="20"/>
              </w:rPr>
              <w:t>M</w:t>
            </w:r>
            <w:r w:rsidR="001E44CC" w:rsidRPr="00434371">
              <w:rPr>
                <w:szCs w:val="20"/>
              </w:rPr>
              <w:t>easurable nodal disease</w:t>
            </w:r>
          </w:p>
          <w:p w14:paraId="43AC963E" w14:textId="3D4F820F" w:rsidR="00E06EF7" w:rsidRPr="00434371" w:rsidRDefault="00DD5FD4" w:rsidP="001C30EF">
            <w:pPr>
              <w:pStyle w:val="COMTabletext"/>
              <w:keepNext w:val="0"/>
              <w:numPr>
                <w:ilvl w:val="0"/>
                <w:numId w:val="12"/>
              </w:numPr>
              <w:ind w:left="159" w:hanging="125"/>
              <w:rPr>
                <w:szCs w:val="20"/>
              </w:rPr>
            </w:pPr>
            <w:r w:rsidRPr="00434371">
              <w:rPr>
                <w:szCs w:val="20"/>
              </w:rPr>
              <w:t>N</w:t>
            </w:r>
            <w:r w:rsidR="001E44CC" w:rsidRPr="00434371">
              <w:rPr>
                <w:szCs w:val="20"/>
              </w:rPr>
              <w:t>o prior therapy used for treatment of CLL or SLL.</w:t>
            </w:r>
          </w:p>
        </w:tc>
        <w:tc>
          <w:tcPr>
            <w:tcW w:w="1151" w:type="pct"/>
            <w:tcBorders>
              <w:right w:val="single" w:sz="4" w:space="0" w:color="auto"/>
            </w:tcBorders>
            <w:shd w:val="clear" w:color="auto" w:fill="auto"/>
          </w:tcPr>
          <w:p w14:paraId="48C5E5EE" w14:textId="16D954F3" w:rsidR="00DD5FD4" w:rsidRPr="00434371" w:rsidRDefault="001E44CC" w:rsidP="001C30EF">
            <w:pPr>
              <w:pStyle w:val="COMTabletext"/>
              <w:keepNext w:val="0"/>
              <w:numPr>
                <w:ilvl w:val="0"/>
                <w:numId w:val="12"/>
              </w:numPr>
              <w:ind w:left="159" w:hanging="125"/>
              <w:rPr>
                <w:szCs w:val="20"/>
              </w:rPr>
            </w:pPr>
            <w:r w:rsidRPr="00434371">
              <w:rPr>
                <w:szCs w:val="20"/>
              </w:rPr>
              <w:t>Best overall response of CR or C</w:t>
            </w:r>
            <w:r w:rsidR="00723D71" w:rsidRPr="00434371">
              <w:rPr>
                <w:szCs w:val="20"/>
              </w:rPr>
              <w:t>R</w:t>
            </w:r>
            <w:r w:rsidRPr="00434371">
              <w:rPr>
                <w:szCs w:val="20"/>
              </w:rPr>
              <w:t>i</w:t>
            </w:r>
          </w:p>
          <w:p w14:paraId="63677D9A" w14:textId="77777777" w:rsidR="00DD5FD4" w:rsidRPr="00434371" w:rsidRDefault="001E44CC" w:rsidP="001C30EF">
            <w:pPr>
              <w:pStyle w:val="COMTabletext"/>
              <w:keepNext w:val="0"/>
              <w:numPr>
                <w:ilvl w:val="0"/>
                <w:numId w:val="12"/>
              </w:numPr>
              <w:ind w:left="159" w:hanging="125"/>
              <w:rPr>
                <w:szCs w:val="20"/>
              </w:rPr>
            </w:pPr>
            <w:r w:rsidRPr="00434371">
              <w:rPr>
                <w:szCs w:val="20"/>
              </w:rPr>
              <w:t>ORR</w:t>
            </w:r>
          </w:p>
          <w:p w14:paraId="6BCC5A89" w14:textId="77777777" w:rsidR="00DD5FD4" w:rsidRPr="00434371" w:rsidRDefault="00DD5FD4" w:rsidP="001C30EF">
            <w:pPr>
              <w:pStyle w:val="COMTabletext"/>
              <w:keepNext w:val="0"/>
              <w:numPr>
                <w:ilvl w:val="0"/>
                <w:numId w:val="12"/>
              </w:numPr>
              <w:ind w:left="159" w:hanging="125"/>
              <w:rPr>
                <w:szCs w:val="20"/>
              </w:rPr>
            </w:pPr>
            <w:r w:rsidRPr="00434371">
              <w:rPr>
                <w:szCs w:val="20"/>
              </w:rPr>
              <w:t>D</w:t>
            </w:r>
            <w:r w:rsidR="001E44CC" w:rsidRPr="00434371">
              <w:rPr>
                <w:szCs w:val="20"/>
              </w:rPr>
              <w:t>uration of response</w:t>
            </w:r>
          </w:p>
          <w:p w14:paraId="495D0DB9" w14:textId="77777777" w:rsidR="00DD5FD4" w:rsidRPr="00434371" w:rsidRDefault="001E44CC" w:rsidP="001C30EF">
            <w:pPr>
              <w:pStyle w:val="COMTabletext"/>
              <w:keepNext w:val="0"/>
              <w:numPr>
                <w:ilvl w:val="0"/>
                <w:numId w:val="12"/>
              </w:numPr>
              <w:ind w:left="159" w:hanging="125"/>
              <w:rPr>
                <w:szCs w:val="20"/>
              </w:rPr>
            </w:pPr>
            <w:r w:rsidRPr="00434371">
              <w:rPr>
                <w:szCs w:val="20"/>
              </w:rPr>
              <w:t>MRD negativity rate</w:t>
            </w:r>
          </w:p>
          <w:p w14:paraId="40F1E34C" w14:textId="77777777" w:rsidR="00DD5FD4" w:rsidRPr="00434371" w:rsidRDefault="00DD5FD4" w:rsidP="001C30EF">
            <w:pPr>
              <w:pStyle w:val="COMTabletext"/>
              <w:keepNext w:val="0"/>
              <w:numPr>
                <w:ilvl w:val="0"/>
                <w:numId w:val="12"/>
              </w:numPr>
              <w:ind w:left="159" w:hanging="125"/>
              <w:rPr>
                <w:szCs w:val="20"/>
              </w:rPr>
            </w:pPr>
            <w:r w:rsidRPr="00434371">
              <w:rPr>
                <w:szCs w:val="20"/>
              </w:rPr>
              <w:t>T</w:t>
            </w:r>
            <w:r w:rsidR="001E44CC" w:rsidRPr="00434371">
              <w:rPr>
                <w:szCs w:val="20"/>
              </w:rPr>
              <w:t>umour lysis syndrome risk reduction</w:t>
            </w:r>
          </w:p>
          <w:p w14:paraId="4F0C99D2" w14:textId="626B8E66" w:rsidR="00E06EF7" w:rsidRPr="00434371" w:rsidRDefault="00DD5FD4" w:rsidP="001C30EF">
            <w:pPr>
              <w:pStyle w:val="COMTabletext"/>
              <w:keepNext w:val="0"/>
              <w:numPr>
                <w:ilvl w:val="0"/>
                <w:numId w:val="12"/>
              </w:numPr>
              <w:ind w:left="159" w:hanging="125"/>
              <w:rPr>
                <w:szCs w:val="20"/>
              </w:rPr>
            </w:pPr>
            <w:r w:rsidRPr="00434371">
              <w:rPr>
                <w:szCs w:val="20"/>
              </w:rPr>
              <w:t>A</w:t>
            </w:r>
            <w:r w:rsidR="001E44CC" w:rsidRPr="00434371">
              <w:rPr>
                <w:szCs w:val="20"/>
              </w:rPr>
              <w:t>dverse events</w:t>
            </w:r>
          </w:p>
        </w:tc>
      </w:tr>
      <w:tr w:rsidR="001E44CC" w:rsidRPr="00AB34C7" w14:paraId="6AF94297" w14:textId="77777777" w:rsidTr="001E44CC">
        <w:trPr>
          <w:cantSplit/>
        </w:trPr>
        <w:tc>
          <w:tcPr>
            <w:tcW w:w="5000" w:type="pct"/>
            <w:gridSpan w:val="6"/>
            <w:tcBorders>
              <w:right w:val="single" w:sz="4" w:space="0" w:color="auto"/>
            </w:tcBorders>
            <w:shd w:val="clear" w:color="auto" w:fill="auto"/>
            <w:vAlign w:val="center"/>
          </w:tcPr>
          <w:p w14:paraId="39938244" w14:textId="7BEE7E26" w:rsidR="001E44CC" w:rsidRPr="00434371" w:rsidRDefault="001E44CC" w:rsidP="001C30EF">
            <w:pPr>
              <w:pStyle w:val="COMTabletext"/>
              <w:keepNext w:val="0"/>
              <w:rPr>
                <w:szCs w:val="20"/>
              </w:rPr>
            </w:pPr>
            <w:r w:rsidRPr="00434371">
              <w:rPr>
                <w:b/>
                <w:szCs w:val="20"/>
              </w:rPr>
              <w:t>Venetoclax + obinutuzumab versus chlorambucil + obinutuzumab</w:t>
            </w:r>
          </w:p>
        </w:tc>
      </w:tr>
      <w:tr w:rsidR="001E44CC" w:rsidRPr="00AB34C7" w14:paraId="4D880302" w14:textId="77777777" w:rsidTr="001C30EF">
        <w:trPr>
          <w:cantSplit/>
        </w:trPr>
        <w:tc>
          <w:tcPr>
            <w:tcW w:w="547" w:type="pct"/>
            <w:shd w:val="clear" w:color="auto" w:fill="auto"/>
            <w:vAlign w:val="center"/>
          </w:tcPr>
          <w:p w14:paraId="3A83F59C" w14:textId="0E80728F" w:rsidR="001E44CC" w:rsidRPr="00434371" w:rsidRDefault="001E44CC" w:rsidP="001C30EF">
            <w:pPr>
              <w:pStyle w:val="COMTabletext"/>
              <w:keepNext w:val="0"/>
              <w:rPr>
                <w:szCs w:val="20"/>
              </w:rPr>
            </w:pPr>
            <w:r w:rsidRPr="00434371">
              <w:rPr>
                <w:szCs w:val="20"/>
              </w:rPr>
              <w:lastRenderedPageBreak/>
              <w:t>CLL-14</w:t>
            </w:r>
          </w:p>
        </w:tc>
        <w:tc>
          <w:tcPr>
            <w:tcW w:w="236" w:type="pct"/>
            <w:shd w:val="clear" w:color="auto" w:fill="auto"/>
            <w:vAlign w:val="center"/>
          </w:tcPr>
          <w:p w14:paraId="73724240" w14:textId="10EEE463" w:rsidR="001E44CC" w:rsidRPr="00434371" w:rsidRDefault="00EB6922" w:rsidP="001C30EF">
            <w:pPr>
              <w:pStyle w:val="COMTabletext"/>
              <w:keepNext w:val="0"/>
              <w:jc w:val="center"/>
              <w:rPr>
                <w:szCs w:val="20"/>
              </w:rPr>
            </w:pPr>
            <w:r w:rsidRPr="00434371">
              <w:rPr>
                <w:szCs w:val="20"/>
              </w:rPr>
              <w:t>432</w:t>
            </w:r>
          </w:p>
        </w:tc>
        <w:tc>
          <w:tcPr>
            <w:tcW w:w="629" w:type="pct"/>
            <w:shd w:val="clear" w:color="auto" w:fill="auto"/>
            <w:vAlign w:val="center"/>
          </w:tcPr>
          <w:p w14:paraId="016496A0" w14:textId="09BC389D" w:rsidR="001E44CC" w:rsidRPr="00434371" w:rsidRDefault="00426630" w:rsidP="001C30EF">
            <w:pPr>
              <w:pStyle w:val="COMTabletext"/>
              <w:keepNext w:val="0"/>
              <w:jc w:val="center"/>
              <w:rPr>
                <w:szCs w:val="20"/>
              </w:rPr>
            </w:pPr>
            <w:r w:rsidRPr="00434371">
              <w:rPr>
                <w:szCs w:val="20"/>
              </w:rPr>
              <w:t>Phase 3, open-label</w:t>
            </w:r>
            <w:r w:rsidR="00384702" w:rsidRPr="00434371">
              <w:rPr>
                <w:szCs w:val="20"/>
              </w:rPr>
              <w:t>,</w:t>
            </w:r>
            <w:r w:rsidRPr="00434371">
              <w:rPr>
                <w:szCs w:val="20"/>
              </w:rPr>
              <w:t xml:space="preserve"> randomised trial. Median follow-up: 76.4 months.</w:t>
            </w:r>
          </w:p>
        </w:tc>
        <w:tc>
          <w:tcPr>
            <w:tcW w:w="394" w:type="pct"/>
            <w:shd w:val="clear" w:color="auto" w:fill="auto"/>
            <w:vAlign w:val="center"/>
          </w:tcPr>
          <w:p w14:paraId="0AF337E4" w14:textId="6135EF6D" w:rsidR="001E44CC" w:rsidRPr="00434371" w:rsidRDefault="00426630" w:rsidP="001C30EF">
            <w:pPr>
              <w:pStyle w:val="COMTabletext"/>
              <w:keepNext w:val="0"/>
              <w:jc w:val="center"/>
              <w:rPr>
                <w:iCs/>
                <w:szCs w:val="20"/>
              </w:rPr>
            </w:pPr>
            <w:r w:rsidRPr="00434371">
              <w:rPr>
                <w:iCs/>
                <w:szCs w:val="20"/>
              </w:rPr>
              <w:t>Unclear</w:t>
            </w:r>
          </w:p>
        </w:tc>
        <w:tc>
          <w:tcPr>
            <w:tcW w:w="2043" w:type="pct"/>
            <w:shd w:val="clear" w:color="auto" w:fill="auto"/>
          </w:tcPr>
          <w:p w14:paraId="2F000E1E" w14:textId="77777777" w:rsidR="00DD5FD4" w:rsidRPr="00434371" w:rsidRDefault="001E44CC" w:rsidP="001C30EF">
            <w:pPr>
              <w:pStyle w:val="COMTabletext"/>
              <w:keepNext w:val="0"/>
              <w:numPr>
                <w:ilvl w:val="0"/>
                <w:numId w:val="12"/>
              </w:numPr>
              <w:ind w:left="159" w:hanging="125"/>
              <w:rPr>
                <w:szCs w:val="20"/>
              </w:rPr>
            </w:pPr>
            <w:r w:rsidRPr="00434371">
              <w:rPr>
                <w:szCs w:val="20"/>
              </w:rPr>
              <w:t>Age ≥18 years</w:t>
            </w:r>
            <w:r w:rsidR="00DD5FD4" w:rsidRPr="00434371">
              <w:rPr>
                <w:szCs w:val="20"/>
              </w:rPr>
              <w:t>.</w:t>
            </w:r>
          </w:p>
          <w:p w14:paraId="429C1A01" w14:textId="136BC5AA" w:rsidR="00DD5FD4" w:rsidRPr="00434371" w:rsidRDefault="001E44CC" w:rsidP="001C30EF">
            <w:pPr>
              <w:pStyle w:val="COMTabletext"/>
              <w:keepNext w:val="0"/>
              <w:numPr>
                <w:ilvl w:val="0"/>
                <w:numId w:val="12"/>
              </w:numPr>
              <w:ind w:left="159" w:hanging="125"/>
              <w:rPr>
                <w:szCs w:val="20"/>
              </w:rPr>
            </w:pPr>
            <w:r w:rsidRPr="00434371">
              <w:rPr>
                <w:szCs w:val="20"/>
              </w:rPr>
              <w:t>CIRS score &gt;6 or CrCl &lt;70</w:t>
            </w:r>
            <w:r w:rsidR="002C7D0D" w:rsidRPr="00434371">
              <w:rPr>
                <w:szCs w:val="20"/>
              </w:rPr>
              <w:t> mL</w:t>
            </w:r>
            <w:r w:rsidRPr="00434371">
              <w:rPr>
                <w:szCs w:val="20"/>
              </w:rPr>
              <w:t>/min</w:t>
            </w:r>
            <w:r w:rsidR="00DD5FD4" w:rsidRPr="00434371">
              <w:rPr>
                <w:szCs w:val="20"/>
              </w:rPr>
              <w:t>.</w:t>
            </w:r>
          </w:p>
          <w:p w14:paraId="6ACA1052" w14:textId="77777777" w:rsidR="00DD5FD4" w:rsidRPr="00434371" w:rsidRDefault="00DD5FD4" w:rsidP="001C30EF">
            <w:pPr>
              <w:pStyle w:val="COMTabletext"/>
              <w:keepNext w:val="0"/>
              <w:numPr>
                <w:ilvl w:val="0"/>
                <w:numId w:val="12"/>
              </w:numPr>
              <w:ind w:left="159" w:hanging="125"/>
              <w:rPr>
                <w:szCs w:val="20"/>
              </w:rPr>
            </w:pPr>
            <w:r w:rsidRPr="00434371">
              <w:rPr>
                <w:szCs w:val="20"/>
              </w:rPr>
              <w:t>L</w:t>
            </w:r>
            <w:r w:rsidR="001E44CC" w:rsidRPr="00434371">
              <w:rPr>
                <w:szCs w:val="20"/>
              </w:rPr>
              <w:t>ife expectancy &gt;6 months</w:t>
            </w:r>
          </w:p>
          <w:p w14:paraId="0E9F139D" w14:textId="77777777" w:rsidR="00DD5FD4" w:rsidRPr="00434371" w:rsidRDefault="001E44CC" w:rsidP="001C30EF">
            <w:pPr>
              <w:pStyle w:val="COMTabletext"/>
              <w:keepNext w:val="0"/>
              <w:numPr>
                <w:ilvl w:val="0"/>
                <w:numId w:val="12"/>
              </w:numPr>
              <w:ind w:left="159" w:hanging="125"/>
              <w:rPr>
                <w:szCs w:val="20"/>
              </w:rPr>
            </w:pPr>
            <w:r w:rsidRPr="00434371">
              <w:rPr>
                <w:szCs w:val="20"/>
              </w:rPr>
              <w:t>CLL requiring treatment according to the iwCLL 2008 criteria</w:t>
            </w:r>
            <w:r w:rsidR="00DD5FD4" w:rsidRPr="00434371">
              <w:rPr>
                <w:szCs w:val="20"/>
              </w:rPr>
              <w:t>.</w:t>
            </w:r>
          </w:p>
          <w:p w14:paraId="2FB3EF69" w14:textId="6F03A515" w:rsidR="001E44CC" w:rsidRPr="00434371" w:rsidRDefault="00DD5FD4" w:rsidP="001C30EF">
            <w:pPr>
              <w:pStyle w:val="COMTabletext"/>
              <w:keepNext w:val="0"/>
              <w:numPr>
                <w:ilvl w:val="0"/>
                <w:numId w:val="12"/>
              </w:numPr>
              <w:ind w:left="159" w:hanging="125"/>
              <w:rPr>
                <w:szCs w:val="20"/>
              </w:rPr>
            </w:pPr>
            <w:r w:rsidRPr="00434371">
              <w:rPr>
                <w:szCs w:val="20"/>
              </w:rPr>
              <w:t>D</w:t>
            </w:r>
            <w:r w:rsidR="001E44CC" w:rsidRPr="00434371">
              <w:rPr>
                <w:szCs w:val="20"/>
              </w:rPr>
              <w:t>ocumented previously untreated CLL according to iwCLL criteria.</w:t>
            </w:r>
          </w:p>
        </w:tc>
        <w:tc>
          <w:tcPr>
            <w:tcW w:w="1151" w:type="pct"/>
            <w:tcBorders>
              <w:right w:val="single" w:sz="4" w:space="0" w:color="auto"/>
            </w:tcBorders>
            <w:shd w:val="clear" w:color="auto" w:fill="auto"/>
          </w:tcPr>
          <w:p w14:paraId="0484CEAF" w14:textId="77777777" w:rsidR="00DD5FD4" w:rsidRPr="00434371" w:rsidRDefault="00134D67" w:rsidP="001C30EF">
            <w:pPr>
              <w:pStyle w:val="COMTabletext"/>
              <w:keepNext w:val="0"/>
              <w:numPr>
                <w:ilvl w:val="0"/>
                <w:numId w:val="12"/>
              </w:numPr>
              <w:ind w:left="159" w:hanging="125"/>
              <w:rPr>
                <w:szCs w:val="20"/>
              </w:rPr>
            </w:pPr>
            <w:r w:rsidRPr="00434371">
              <w:rPr>
                <w:szCs w:val="20"/>
              </w:rPr>
              <w:t>PFS</w:t>
            </w:r>
          </w:p>
          <w:p w14:paraId="5B1348CB" w14:textId="77777777" w:rsidR="00DD5FD4" w:rsidRPr="00434371" w:rsidRDefault="00134D67" w:rsidP="001C30EF">
            <w:pPr>
              <w:pStyle w:val="COMTabletext"/>
              <w:keepNext w:val="0"/>
              <w:numPr>
                <w:ilvl w:val="0"/>
                <w:numId w:val="12"/>
              </w:numPr>
              <w:ind w:left="159" w:hanging="125"/>
              <w:rPr>
                <w:szCs w:val="20"/>
              </w:rPr>
            </w:pPr>
            <w:r w:rsidRPr="00434371">
              <w:rPr>
                <w:szCs w:val="20"/>
              </w:rPr>
              <w:t>ORR</w:t>
            </w:r>
          </w:p>
          <w:p w14:paraId="6E510B7E" w14:textId="77777777" w:rsidR="00DD5FD4" w:rsidRPr="00434371" w:rsidRDefault="00134D67" w:rsidP="001C30EF">
            <w:pPr>
              <w:pStyle w:val="COMTabletext"/>
              <w:keepNext w:val="0"/>
              <w:numPr>
                <w:ilvl w:val="0"/>
                <w:numId w:val="12"/>
              </w:numPr>
              <w:ind w:left="159" w:hanging="125"/>
              <w:rPr>
                <w:szCs w:val="20"/>
              </w:rPr>
            </w:pPr>
            <w:r w:rsidRPr="00434371">
              <w:rPr>
                <w:szCs w:val="20"/>
              </w:rPr>
              <w:t>CRR</w:t>
            </w:r>
          </w:p>
          <w:p w14:paraId="7D0022F4" w14:textId="77777777" w:rsidR="00DD5FD4" w:rsidRPr="00434371" w:rsidRDefault="00134D67" w:rsidP="001C30EF">
            <w:pPr>
              <w:pStyle w:val="COMTabletext"/>
              <w:keepNext w:val="0"/>
              <w:numPr>
                <w:ilvl w:val="0"/>
                <w:numId w:val="12"/>
              </w:numPr>
              <w:ind w:left="159" w:hanging="125"/>
              <w:rPr>
                <w:szCs w:val="20"/>
              </w:rPr>
            </w:pPr>
            <w:r w:rsidRPr="00434371">
              <w:rPr>
                <w:szCs w:val="20"/>
              </w:rPr>
              <w:t>MRD response rate</w:t>
            </w:r>
          </w:p>
          <w:p w14:paraId="5AB82426" w14:textId="77777777" w:rsidR="00DD5FD4" w:rsidRPr="00434371" w:rsidRDefault="00134D67" w:rsidP="001C30EF">
            <w:pPr>
              <w:pStyle w:val="COMTabletext"/>
              <w:keepNext w:val="0"/>
              <w:numPr>
                <w:ilvl w:val="0"/>
                <w:numId w:val="12"/>
              </w:numPr>
              <w:ind w:left="159" w:hanging="125"/>
              <w:rPr>
                <w:szCs w:val="20"/>
              </w:rPr>
            </w:pPr>
            <w:r w:rsidRPr="00434371">
              <w:rPr>
                <w:szCs w:val="20"/>
              </w:rPr>
              <w:t>OS</w:t>
            </w:r>
          </w:p>
          <w:p w14:paraId="5D062E39" w14:textId="77777777" w:rsidR="00DD5FD4" w:rsidRPr="00434371" w:rsidRDefault="00DD5FD4" w:rsidP="001C30EF">
            <w:pPr>
              <w:pStyle w:val="COMTabletext"/>
              <w:keepNext w:val="0"/>
              <w:numPr>
                <w:ilvl w:val="0"/>
                <w:numId w:val="12"/>
              </w:numPr>
              <w:ind w:left="159" w:hanging="125"/>
              <w:rPr>
                <w:szCs w:val="20"/>
              </w:rPr>
            </w:pPr>
            <w:r w:rsidRPr="00434371">
              <w:rPr>
                <w:szCs w:val="20"/>
              </w:rPr>
              <w:t>D</w:t>
            </w:r>
            <w:r w:rsidR="00134D67" w:rsidRPr="00434371">
              <w:rPr>
                <w:szCs w:val="20"/>
              </w:rPr>
              <w:t>uration of response</w:t>
            </w:r>
          </w:p>
          <w:p w14:paraId="441255BC" w14:textId="77777777" w:rsidR="00DD5FD4" w:rsidRPr="00434371" w:rsidRDefault="00134D67" w:rsidP="001C30EF">
            <w:pPr>
              <w:pStyle w:val="COMTabletext"/>
              <w:keepNext w:val="0"/>
              <w:numPr>
                <w:ilvl w:val="0"/>
                <w:numId w:val="12"/>
              </w:numPr>
              <w:ind w:left="159" w:hanging="125"/>
              <w:rPr>
                <w:szCs w:val="20"/>
              </w:rPr>
            </w:pPr>
            <w:r w:rsidRPr="00434371">
              <w:rPr>
                <w:szCs w:val="20"/>
              </w:rPr>
              <w:t>TTNT</w:t>
            </w:r>
          </w:p>
          <w:p w14:paraId="040E6C8B" w14:textId="77777777" w:rsidR="00DD5FD4" w:rsidRPr="00434371" w:rsidRDefault="00DD5FD4" w:rsidP="001C30EF">
            <w:pPr>
              <w:pStyle w:val="COMTabletext"/>
              <w:keepNext w:val="0"/>
              <w:numPr>
                <w:ilvl w:val="0"/>
                <w:numId w:val="12"/>
              </w:numPr>
              <w:ind w:left="159" w:hanging="125"/>
              <w:rPr>
                <w:szCs w:val="20"/>
              </w:rPr>
            </w:pPr>
            <w:r w:rsidRPr="00434371">
              <w:rPr>
                <w:szCs w:val="20"/>
              </w:rPr>
              <w:t>E</w:t>
            </w:r>
            <w:r w:rsidR="00134D67" w:rsidRPr="00434371">
              <w:rPr>
                <w:szCs w:val="20"/>
              </w:rPr>
              <w:t>vent-free survival</w:t>
            </w:r>
          </w:p>
          <w:p w14:paraId="63965750" w14:textId="77777777" w:rsidR="00DD5FD4" w:rsidRPr="00434371" w:rsidRDefault="00DD5FD4" w:rsidP="001C30EF">
            <w:pPr>
              <w:pStyle w:val="COMTabletext"/>
              <w:keepNext w:val="0"/>
              <w:numPr>
                <w:ilvl w:val="0"/>
                <w:numId w:val="12"/>
              </w:numPr>
              <w:ind w:left="159" w:hanging="125"/>
              <w:rPr>
                <w:szCs w:val="20"/>
              </w:rPr>
            </w:pPr>
            <w:r w:rsidRPr="00434371">
              <w:rPr>
                <w:szCs w:val="20"/>
              </w:rPr>
              <w:t>A</w:t>
            </w:r>
            <w:r w:rsidR="00134D67" w:rsidRPr="00434371">
              <w:rPr>
                <w:szCs w:val="20"/>
              </w:rPr>
              <w:t>dverse events</w:t>
            </w:r>
          </w:p>
          <w:p w14:paraId="24F45C5C" w14:textId="1395597A" w:rsidR="001E44CC" w:rsidRPr="00434371" w:rsidRDefault="00134D67" w:rsidP="001C30EF">
            <w:pPr>
              <w:pStyle w:val="COMTabletext"/>
              <w:keepNext w:val="0"/>
              <w:numPr>
                <w:ilvl w:val="0"/>
                <w:numId w:val="12"/>
              </w:numPr>
              <w:ind w:left="159" w:hanging="125"/>
              <w:rPr>
                <w:szCs w:val="20"/>
              </w:rPr>
            </w:pPr>
            <w:r w:rsidRPr="00434371">
              <w:rPr>
                <w:szCs w:val="20"/>
              </w:rPr>
              <w:t>HRQOL (MDASI, EORTC QLQ-C30, EQ-5D-5L).</w:t>
            </w:r>
          </w:p>
        </w:tc>
      </w:tr>
      <w:tr w:rsidR="00991CC9" w:rsidRPr="00AB34C7" w14:paraId="28762BB8" w14:textId="77777777" w:rsidTr="00991CC9">
        <w:trPr>
          <w:cantSplit/>
        </w:trPr>
        <w:tc>
          <w:tcPr>
            <w:tcW w:w="5000" w:type="pct"/>
            <w:gridSpan w:val="6"/>
            <w:tcBorders>
              <w:right w:val="single" w:sz="4" w:space="0" w:color="auto"/>
            </w:tcBorders>
            <w:shd w:val="clear" w:color="auto" w:fill="auto"/>
            <w:vAlign w:val="center"/>
          </w:tcPr>
          <w:p w14:paraId="47B4E9B7" w14:textId="3365DF22" w:rsidR="00991CC9" w:rsidRPr="00434371" w:rsidRDefault="00991CC9" w:rsidP="001C30EF">
            <w:pPr>
              <w:pStyle w:val="COMTabletext"/>
              <w:keepNext w:val="0"/>
              <w:rPr>
                <w:b/>
                <w:bCs w:val="0"/>
                <w:szCs w:val="20"/>
              </w:rPr>
            </w:pPr>
            <w:r w:rsidRPr="00434371">
              <w:rPr>
                <w:b/>
                <w:bCs w:val="0"/>
                <w:szCs w:val="20"/>
              </w:rPr>
              <w:t>Zanubrutinib versus bendamustine + rituximab</w:t>
            </w:r>
          </w:p>
        </w:tc>
      </w:tr>
      <w:tr w:rsidR="00426534" w:rsidRPr="00AB34C7" w14:paraId="6BB16954" w14:textId="77777777" w:rsidTr="001C30EF">
        <w:trPr>
          <w:cantSplit/>
        </w:trPr>
        <w:tc>
          <w:tcPr>
            <w:tcW w:w="547" w:type="pct"/>
            <w:shd w:val="clear" w:color="auto" w:fill="auto"/>
            <w:vAlign w:val="center"/>
          </w:tcPr>
          <w:p w14:paraId="587801CB" w14:textId="674F85BD" w:rsidR="00991CC9" w:rsidRPr="00434371" w:rsidRDefault="00426630" w:rsidP="001C30EF">
            <w:pPr>
              <w:pStyle w:val="COMTabletext"/>
              <w:keepNext w:val="0"/>
              <w:rPr>
                <w:szCs w:val="20"/>
              </w:rPr>
            </w:pPr>
            <w:r w:rsidRPr="00434371">
              <w:rPr>
                <w:szCs w:val="20"/>
              </w:rPr>
              <w:t>SEQUOIA</w:t>
            </w:r>
          </w:p>
        </w:tc>
        <w:tc>
          <w:tcPr>
            <w:tcW w:w="236" w:type="pct"/>
            <w:shd w:val="clear" w:color="auto" w:fill="auto"/>
            <w:vAlign w:val="center"/>
          </w:tcPr>
          <w:p w14:paraId="0EE9B253" w14:textId="32EA0BE0" w:rsidR="00991CC9" w:rsidRPr="00434371" w:rsidRDefault="00EB6922" w:rsidP="001C30EF">
            <w:pPr>
              <w:pStyle w:val="COMTabletext"/>
              <w:keepNext w:val="0"/>
              <w:jc w:val="center"/>
              <w:rPr>
                <w:szCs w:val="20"/>
              </w:rPr>
            </w:pPr>
            <w:r w:rsidRPr="00434371">
              <w:rPr>
                <w:szCs w:val="20"/>
              </w:rPr>
              <w:t>590</w:t>
            </w:r>
          </w:p>
        </w:tc>
        <w:tc>
          <w:tcPr>
            <w:tcW w:w="629" w:type="pct"/>
            <w:shd w:val="clear" w:color="auto" w:fill="auto"/>
            <w:vAlign w:val="center"/>
          </w:tcPr>
          <w:p w14:paraId="366ACB02" w14:textId="4247576C" w:rsidR="00991CC9" w:rsidRPr="00434371" w:rsidRDefault="00426630" w:rsidP="001C30EF">
            <w:pPr>
              <w:pStyle w:val="COMTabletext"/>
              <w:keepNext w:val="0"/>
              <w:jc w:val="center"/>
              <w:rPr>
                <w:szCs w:val="20"/>
              </w:rPr>
            </w:pPr>
            <w:r w:rsidRPr="00434371">
              <w:rPr>
                <w:szCs w:val="20"/>
              </w:rPr>
              <w:t>Phase 3, open-label</w:t>
            </w:r>
            <w:r w:rsidR="00384702" w:rsidRPr="00434371">
              <w:rPr>
                <w:szCs w:val="20"/>
              </w:rPr>
              <w:t>,</w:t>
            </w:r>
            <w:r w:rsidRPr="00434371">
              <w:rPr>
                <w:szCs w:val="20"/>
              </w:rPr>
              <w:t xml:space="preserve"> randomised trial. Median follow-up: 43.7 months.</w:t>
            </w:r>
          </w:p>
        </w:tc>
        <w:tc>
          <w:tcPr>
            <w:tcW w:w="394" w:type="pct"/>
            <w:shd w:val="clear" w:color="auto" w:fill="auto"/>
            <w:vAlign w:val="center"/>
          </w:tcPr>
          <w:p w14:paraId="39FACFB0" w14:textId="736C3D71" w:rsidR="00991CC9" w:rsidRPr="00434371" w:rsidRDefault="00426630" w:rsidP="001C30EF">
            <w:pPr>
              <w:pStyle w:val="COMTabletext"/>
              <w:keepNext w:val="0"/>
              <w:jc w:val="center"/>
              <w:rPr>
                <w:szCs w:val="20"/>
              </w:rPr>
            </w:pPr>
            <w:r w:rsidRPr="00434371">
              <w:rPr>
                <w:szCs w:val="20"/>
              </w:rPr>
              <w:t>Unclear</w:t>
            </w:r>
          </w:p>
        </w:tc>
        <w:tc>
          <w:tcPr>
            <w:tcW w:w="2043" w:type="pct"/>
            <w:shd w:val="clear" w:color="auto" w:fill="auto"/>
          </w:tcPr>
          <w:p w14:paraId="3C05E1C2" w14:textId="7065964C" w:rsidR="00426534" w:rsidRPr="00434371" w:rsidRDefault="001E44CC" w:rsidP="001C30EF">
            <w:pPr>
              <w:pStyle w:val="COMTabletext"/>
              <w:keepNext w:val="0"/>
              <w:numPr>
                <w:ilvl w:val="0"/>
                <w:numId w:val="12"/>
              </w:numPr>
              <w:ind w:left="159" w:hanging="125"/>
              <w:rPr>
                <w:szCs w:val="20"/>
              </w:rPr>
            </w:pPr>
            <w:r w:rsidRPr="00434371">
              <w:rPr>
                <w:szCs w:val="20"/>
              </w:rPr>
              <w:t>Age ≥65 years, or age 18 to 64 years meeting additional criteria (CrCl of 30 to 69</w:t>
            </w:r>
            <w:r w:rsidR="002C7D0D" w:rsidRPr="00434371">
              <w:rPr>
                <w:szCs w:val="20"/>
              </w:rPr>
              <w:t> mL</w:t>
            </w:r>
            <w:r w:rsidRPr="00434371">
              <w:rPr>
                <w:szCs w:val="20"/>
              </w:rPr>
              <w:t>/min, CIRS score &gt;6, or history of previous serious infection or multiple infections in the past 2 years)</w:t>
            </w:r>
            <w:r w:rsidR="00426534" w:rsidRPr="00434371">
              <w:rPr>
                <w:szCs w:val="20"/>
              </w:rPr>
              <w:t>.</w:t>
            </w:r>
          </w:p>
          <w:p w14:paraId="34F9A9B1" w14:textId="77777777" w:rsidR="00426534" w:rsidRPr="00434371" w:rsidRDefault="001E44CC" w:rsidP="001C30EF">
            <w:pPr>
              <w:pStyle w:val="COMTabletext"/>
              <w:keepNext w:val="0"/>
              <w:numPr>
                <w:ilvl w:val="0"/>
                <w:numId w:val="12"/>
              </w:numPr>
              <w:ind w:left="159" w:hanging="125"/>
              <w:rPr>
                <w:szCs w:val="20"/>
              </w:rPr>
            </w:pPr>
            <w:r w:rsidRPr="00434371">
              <w:rPr>
                <w:szCs w:val="20"/>
              </w:rPr>
              <w:t>ECOG score ≤2</w:t>
            </w:r>
            <w:r w:rsidR="00426534" w:rsidRPr="00434371">
              <w:rPr>
                <w:szCs w:val="20"/>
              </w:rPr>
              <w:t>.</w:t>
            </w:r>
          </w:p>
          <w:p w14:paraId="07205B0C" w14:textId="77777777" w:rsidR="00426534" w:rsidRPr="00434371" w:rsidRDefault="00426534" w:rsidP="001C30EF">
            <w:pPr>
              <w:pStyle w:val="COMTabletext"/>
              <w:keepNext w:val="0"/>
              <w:numPr>
                <w:ilvl w:val="0"/>
                <w:numId w:val="12"/>
              </w:numPr>
              <w:ind w:left="159" w:hanging="125"/>
              <w:rPr>
                <w:szCs w:val="20"/>
              </w:rPr>
            </w:pPr>
            <w:r w:rsidRPr="00434371">
              <w:rPr>
                <w:szCs w:val="20"/>
              </w:rPr>
              <w:t>C</w:t>
            </w:r>
            <w:r w:rsidR="001E44CC" w:rsidRPr="00434371">
              <w:rPr>
                <w:szCs w:val="20"/>
              </w:rPr>
              <w:t>onfirmed diagnosis of CD20-positive CLL or SLL meeting iwCLL criteria</w:t>
            </w:r>
            <w:r w:rsidRPr="00434371">
              <w:rPr>
                <w:szCs w:val="20"/>
              </w:rPr>
              <w:t>.</w:t>
            </w:r>
          </w:p>
          <w:p w14:paraId="72930167" w14:textId="77777777" w:rsidR="00426534" w:rsidRPr="00434371" w:rsidRDefault="001E44CC" w:rsidP="001C30EF">
            <w:pPr>
              <w:pStyle w:val="COMTabletext"/>
              <w:keepNext w:val="0"/>
              <w:numPr>
                <w:ilvl w:val="0"/>
                <w:numId w:val="12"/>
              </w:numPr>
              <w:ind w:left="159" w:hanging="125"/>
              <w:rPr>
                <w:szCs w:val="20"/>
              </w:rPr>
            </w:pPr>
            <w:r w:rsidRPr="00434371">
              <w:rPr>
                <w:szCs w:val="20"/>
              </w:rPr>
              <w:t>CLL/SLL requiring treatment based on iwCLL criteria</w:t>
            </w:r>
            <w:r w:rsidR="00426534" w:rsidRPr="00434371">
              <w:rPr>
                <w:szCs w:val="20"/>
              </w:rPr>
              <w:t>.</w:t>
            </w:r>
          </w:p>
          <w:p w14:paraId="36D05ADC" w14:textId="348DCB1F" w:rsidR="00452E9D" w:rsidRPr="00434371" w:rsidRDefault="00426534" w:rsidP="001C30EF">
            <w:pPr>
              <w:pStyle w:val="COMTabletext"/>
              <w:keepNext w:val="0"/>
              <w:numPr>
                <w:ilvl w:val="0"/>
                <w:numId w:val="12"/>
              </w:numPr>
              <w:ind w:left="159" w:hanging="125"/>
              <w:rPr>
                <w:szCs w:val="20"/>
              </w:rPr>
            </w:pPr>
            <w:r w:rsidRPr="00434371">
              <w:rPr>
                <w:szCs w:val="20"/>
              </w:rPr>
              <w:t>L</w:t>
            </w:r>
            <w:r w:rsidR="001E44CC" w:rsidRPr="00434371">
              <w:rPr>
                <w:szCs w:val="20"/>
              </w:rPr>
              <w:t>ife expectancy ≥6 months</w:t>
            </w:r>
            <w:r w:rsidR="006C0793" w:rsidRPr="00434371">
              <w:rPr>
                <w:szCs w:val="20"/>
              </w:rPr>
              <w:t>.</w:t>
            </w:r>
          </w:p>
          <w:p w14:paraId="04FE32A2" w14:textId="77777777" w:rsidR="00452E9D" w:rsidRPr="00434371" w:rsidRDefault="00452E9D" w:rsidP="001C30EF">
            <w:pPr>
              <w:pStyle w:val="COMTabletext"/>
              <w:keepNext w:val="0"/>
              <w:numPr>
                <w:ilvl w:val="0"/>
                <w:numId w:val="12"/>
              </w:numPr>
              <w:ind w:left="159" w:hanging="125"/>
              <w:rPr>
                <w:szCs w:val="20"/>
              </w:rPr>
            </w:pPr>
            <w:r w:rsidRPr="00434371">
              <w:rPr>
                <w:szCs w:val="20"/>
              </w:rPr>
              <w:t>M</w:t>
            </w:r>
            <w:r w:rsidR="001E44CC" w:rsidRPr="00434371">
              <w:rPr>
                <w:szCs w:val="20"/>
              </w:rPr>
              <w:t>easurable disease</w:t>
            </w:r>
            <w:r w:rsidRPr="00434371">
              <w:rPr>
                <w:szCs w:val="20"/>
              </w:rPr>
              <w:t>.</w:t>
            </w:r>
          </w:p>
          <w:p w14:paraId="65FE631C" w14:textId="49781B83" w:rsidR="00991CC9" w:rsidRPr="00434371" w:rsidRDefault="00452E9D" w:rsidP="001C30EF">
            <w:pPr>
              <w:pStyle w:val="COMTabletext"/>
              <w:keepNext w:val="0"/>
              <w:numPr>
                <w:ilvl w:val="0"/>
                <w:numId w:val="12"/>
              </w:numPr>
              <w:ind w:left="159" w:hanging="125"/>
              <w:rPr>
                <w:szCs w:val="20"/>
              </w:rPr>
            </w:pPr>
            <w:r w:rsidRPr="00434371">
              <w:rPr>
                <w:szCs w:val="20"/>
              </w:rPr>
              <w:t>N</w:t>
            </w:r>
            <w:r w:rsidR="001E44CC" w:rsidRPr="00434371">
              <w:rPr>
                <w:szCs w:val="20"/>
              </w:rPr>
              <w:t>o previous systemic treatment for CLL/SLL.</w:t>
            </w:r>
          </w:p>
        </w:tc>
        <w:tc>
          <w:tcPr>
            <w:tcW w:w="1151" w:type="pct"/>
            <w:tcBorders>
              <w:right w:val="single" w:sz="4" w:space="0" w:color="auto"/>
            </w:tcBorders>
            <w:shd w:val="clear" w:color="auto" w:fill="auto"/>
          </w:tcPr>
          <w:p w14:paraId="670D9AA1" w14:textId="77777777" w:rsidR="00452E9D" w:rsidRPr="00434371" w:rsidRDefault="00134D67" w:rsidP="001C30EF">
            <w:pPr>
              <w:pStyle w:val="COMTabletext"/>
              <w:keepNext w:val="0"/>
              <w:numPr>
                <w:ilvl w:val="0"/>
                <w:numId w:val="12"/>
              </w:numPr>
              <w:ind w:left="159" w:hanging="125"/>
              <w:rPr>
                <w:szCs w:val="20"/>
              </w:rPr>
            </w:pPr>
            <w:r w:rsidRPr="00434371">
              <w:rPr>
                <w:szCs w:val="20"/>
              </w:rPr>
              <w:t>PFS</w:t>
            </w:r>
          </w:p>
          <w:p w14:paraId="69F3306E" w14:textId="77777777" w:rsidR="00452E9D" w:rsidRPr="00434371" w:rsidRDefault="00134D67" w:rsidP="001C30EF">
            <w:pPr>
              <w:pStyle w:val="COMTabletext"/>
              <w:keepNext w:val="0"/>
              <w:numPr>
                <w:ilvl w:val="0"/>
                <w:numId w:val="12"/>
              </w:numPr>
              <w:ind w:left="159" w:hanging="125"/>
              <w:rPr>
                <w:szCs w:val="20"/>
              </w:rPr>
            </w:pPr>
            <w:r w:rsidRPr="00434371">
              <w:rPr>
                <w:szCs w:val="20"/>
              </w:rPr>
              <w:t>ORR</w:t>
            </w:r>
          </w:p>
          <w:p w14:paraId="715E0E1E" w14:textId="77777777" w:rsidR="00452E9D" w:rsidRPr="00434371" w:rsidRDefault="00452E9D" w:rsidP="001C30EF">
            <w:pPr>
              <w:pStyle w:val="COMTabletext"/>
              <w:keepNext w:val="0"/>
              <w:numPr>
                <w:ilvl w:val="0"/>
                <w:numId w:val="12"/>
              </w:numPr>
              <w:ind w:left="159" w:hanging="125"/>
              <w:rPr>
                <w:szCs w:val="20"/>
              </w:rPr>
            </w:pPr>
            <w:r w:rsidRPr="00434371">
              <w:rPr>
                <w:szCs w:val="20"/>
              </w:rPr>
              <w:t>D</w:t>
            </w:r>
            <w:r w:rsidR="00134D67" w:rsidRPr="00434371">
              <w:rPr>
                <w:szCs w:val="20"/>
              </w:rPr>
              <w:t>uration of response</w:t>
            </w:r>
          </w:p>
          <w:p w14:paraId="627E2BD9" w14:textId="77777777" w:rsidR="00452E9D" w:rsidRPr="00434371" w:rsidRDefault="00134D67" w:rsidP="001C30EF">
            <w:pPr>
              <w:pStyle w:val="COMTabletext"/>
              <w:keepNext w:val="0"/>
              <w:numPr>
                <w:ilvl w:val="0"/>
                <w:numId w:val="12"/>
              </w:numPr>
              <w:ind w:left="159" w:hanging="125"/>
              <w:rPr>
                <w:szCs w:val="20"/>
              </w:rPr>
            </w:pPr>
            <w:r w:rsidRPr="00434371">
              <w:rPr>
                <w:szCs w:val="20"/>
              </w:rPr>
              <w:t>OS</w:t>
            </w:r>
          </w:p>
          <w:p w14:paraId="3A97BDB7" w14:textId="77777777" w:rsidR="006C0793" w:rsidRPr="00434371" w:rsidRDefault="00452E9D" w:rsidP="001C30EF">
            <w:pPr>
              <w:pStyle w:val="COMTabletext"/>
              <w:keepNext w:val="0"/>
              <w:numPr>
                <w:ilvl w:val="0"/>
                <w:numId w:val="12"/>
              </w:numPr>
              <w:ind w:left="159" w:hanging="125"/>
              <w:rPr>
                <w:szCs w:val="20"/>
              </w:rPr>
            </w:pPr>
            <w:r w:rsidRPr="00434371">
              <w:rPr>
                <w:szCs w:val="20"/>
              </w:rPr>
              <w:t>A</w:t>
            </w:r>
            <w:r w:rsidR="00134D67" w:rsidRPr="00434371">
              <w:rPr>
                <w:szCs w:val="20"/>
              </w:rPr>
              <w:t>dverse event</w:t>
            </w:r>
            <w:r w:rsidRPr="00434371">
              <w:rPr>
                <w:szCs w:val="20"/>
              </w:rPr>
              <w:t>s</w:t>
            </w:r>
          </w:p>
          <w:p w14:paraId="6B2D10A5" w14:textId="6A55DB89" w:rsidR="00991CC9" w:rsidRPr="00434371" w:rsidRDefault="00134D67" w:rsidP="001C30EF">
            <w:pPr>
              <w:pStyle w:val="COMTabletext"/>
              <w:keepNext w:val="0"/>
              <w:numPr>
                <w:ilvl w:val="0"/>
                <w:numId w:val="12"/>
              </w:numPr>
              <w:ind w:left="159" w:hanging="125"/>
              <w:rPr>
                <w:szCs w:val="20"/>
              </w:rPr>
            </w:pPr>
            <w:r w:rsidRPr="00434371">
              <w:rPr>
                <w:szCs w:val="20"/>
              </w:rPr>
              <w:t>HRQOL (MDASI-CLL, EORTC QLQ-C30, EQ-5D-3L).</w:t>
            </w:r>
          </w:p>
        </w:tc>
      </w:tr>
    </w:tbl>
    <w:p w14:paraId="4A65320A" w14:textId="085ECF7A" w:rsidR="00EB6922" w:rsidRPr="00AB34C7" w:rsidRDefault="00045017" w:rsidP="00EB6922">
      <w:pPr>
        <w:pStyle w:val="COMTablefooter"/>
      </w:pPr>
      <w:r w:rsidRPr="00AB34C7">
        <w:t xml:space="preserve">Source: </w:t>
      </w:r>
      <w:r w:rsidR="00426630" w:rsidRPr="00AB34C7">
        <w:t>Section 2.3 of the resubmission</w:t>
      </w:r>
      <w:r w:rsidR="00EB6922" w:rsidRPr="00AB34C7">
        <w:t xml:space="preserve">; </w:t>
      </w:r>
      <w:r w:rsidR="00426630" w:rsidRPr="00AB34C7">
        <w:t>Table 2.20; Section 2.4.2; Section 2.4.3</w:t>
      </w:r>
      <w:r w:rsidR="003C34FF">
        <w:t xml:space="preserve"> </w:t>
      </w:r>
      <w:r w:rsidR="00426630" w:rsidRPr="00AB34C7">
        <w:t>of the resubmission.</w:t>
      </w:r>
    </w:p>
    <w:p w14:paraId="560080D2" w14:textId="46405EAF" w:rsidR="00045017" w:rsidRPr="00AB34C7" w:rsidRDefault="00EB6922" w:rsidP="00EB6922">
      <w:pPr>
        <w:pStyle w:val="COMTablefooter"/>
      </w:pPr>
      <w:r w:rsidRPr="00AB34C7">
        <w:t xml:space="preserve">Abbreviations: </w:t>
      </w:r>
      <w:r w:rsidR="00D96AD2" w:rsidRPr="00AB34C7">
        <w:t xml:space="preserve">CIRS, cumulative illness rating scale; CLL, chronic lymphocytic leukaemia; </w:t>
      </w:r>
      <w:r w:rsidR="00723D71" w:rsidRPr="00AB34C7">
        <w:t xml:space="preserve">CR, complete response; CrCl, creatinine clearance; CRi, complete response with incomplete bone marrow recovery; </w:t>
      </w:r>
      <w:r w:rsidR="00B5787A" w:rsidRPr="00AB34C7">
        <w:t xml:space="preserve">CRR, complete response rate; </w:t>
      </w:r>
      <w:r w:rsidR="00723D71" w:rsidRPr="00AB34C7">
        <w:t xml:space="preserve">ECOG, Eastern Cooperative Oncology Group; </w:t>
      </w:r>
      <w:r w:rsidR="00B5787A" w:rsidRPr="00AB34C7">
        <w:t xml:space="preserve">EORTC, European Organisation for Research and Treatment of Cancer; </w:t>
      </w:r>
      <w:r w:rsidR="00723D71" w:rsidRPr="00AB34C7">
        <w:t xml:space="preserve">FACIT, Functional Assessment of Chronic Illness Therapy; </w:t>
      </w:r>
      <w:r w:rsidR="00B5787A" w:rsidRPr="00AB34C7">
        <w:t xml:space="preserve">HRQOL, health-related quality of life; </w:t>
      </w:r>
      <w:r w:rsidR="00D96AD2" w:rsidRPr="00AB34C7">
        <w:t xml:space="preserve">iwCLL, International Workshop on Chronic Lymphocytic Leukaemia; </w:t>
      </w:r>
      <w:r w:rsidR="00990E22" w:rsidRPr="00AB34C7">
        <w:t xml:space="preserve">MDASI, MD Anderson Symptom Inventory; </w:t>
      </w:r>
      <w:r w:rsidR="00B5787A" w:rsidRPr="00AB34C7">
        <w:t xml:space="preserve">MRD, minimal residual disease; </w:t>
      </w:r>
      <w:r w:rsidR="00723D71" w:rsidRPr="00AB34C7">
        <w:t xml:space="preserve">ORR, overall response rate; QLQ, quality of life questionnaire; </w:t>
      </w:r>
      <w:r w:rsidR="00B5787A" w:rsidRPr="00AB34C7">
        <w:t xml:space="preserve">ORR, overall response rate; OS, overall survival; PFS, progression-free survival; </w:t>
      </w:r>
      <w:r w:rsidR="00D96AD2" w:rsidRPr="00AB34C7">
        <w:t>SLL, small lymphocytic lymphoma</w:t>
      </w:r>
      <w:r w:rsidR="00B5787A" w:rsidRPr="00AB34C7">
        <w:t>; TTNT, time to next treatment</w:t>
      </w:r>
      <w:r w:rsidR="00990E22" w:rsidRPr="00AB34C7">
        <w:t>.</w:t>
      </w:r>
    </w:p>
    <w:p w14:paraId="059725C5" w14:textId="384A28BA" w:rsidR="00990E22" w:rsidRPr="00AB34C7" w:rsidRDefault="00990E22" w:rsidP="00AA787B">
      <w:pPr>
        <w:pStyle w:val="COMexecsumnumberedpara"/>
        <w:ind w:hanging="720"/>
      </w:pPr>
      <w:r w:rsidRPr="00AB34C7">
        <w:t xml:space="preserve">The GLOW trial is an ongoing international trial </w:t>
      </w:r>
      <w:r w:rsidR="00255AD1" w:rsidRPr="00AB34C7">
        <w:t>comparing treatment with ibrutinib + venetoclax versus chlorambucil + obinutuzumab in patients with previously untreated CLL/SLL</w:t>
      </w:r>
      <w:r w:rsidR="000B59EF" w:rsidRPr="00AB34C7">
        <w:t xml:space="preserve">. </w:t>
      </w:r>
      <w:r w:rsidRPr="00AB34C7">
        <w:t>Results for the primary analysis (February 2021 data cut: median follow-up of 27.7 months) and two interim analyses (August 2022 data cut: median follow-up 46.1</w:t>
      </w:r>
      <w:r w:rsidR="00434371">
        <w:t> </w:t>
      </w:r>
      <w:r w:rsidRPr="00AB34C7">
        <w:t>months; February 2023 data cut: median follow-up 52.0 months) were presented in the resubmission</w:t>
      </w:r>
      <w:r w:rsidR="00255AD1" w:rsidRPr="00AB34C7">
        <w:t>.</w:t>
      </w:r>
      <w:r w:rsidRPr="00AB34C7">
        <w:t xml:space="preserve"> The GLOW trial was excluded from the November 2022 ibrutinib submission on the basis that the trial population differed from the proposed PBS population (patients who had a CIRS score </w:t>
      </w:r>
      <w:r w:rsidRPr="00AB34C7">
        <w:rPr>
          <w:rFonts w:cs="Calibri"/>
        </w:rPr>
        <w:t>≤</w:t>
      </w:r>
      <w:r w:rsidRPr="00AB34C7">
        <w:t xml:space="preserve">6 and a creatinine clearance </w:t>
      </w:r>
      <w:r w:rsidRPr="00AB34C7">
        <w:rPr>
          <w:rFonts w:cs="Calibri"/>
        </w:rPr>
        <w:t>≥</w:t>
      </w:r>
      <w:r w:rsidRPr="00AB34C7">
        <w:t>70</w:t>
      </w:r>
      <w:r w:rsidR="002C7D0D" w:rsidRPr="00AB34C7">
        <w:t> mL</w:t>
      </w:r>
      <w:r w:rsidRPr="00AB34C7">
        <w:t>/min).</w:t>
      </w:r>
    </w:p>
    <w:p w14:paraId="5515B682" w14:textId="0D04AB64" w:rsidR="002F319E" w:rsidRPr="00AB34C7" w:rsidRDefault="00255AD1" w:rsidP="00AA787B">
      <w:pPr>
        <w:pStyle w:val="COMexecsumnumberedpara"/>
        <w:ind w:hanging="720"/>
      </w:pPr>
      <w:r w:rsidRPr="00AB34C7">
        <w:t>The CAPTIVATE study is an ongoing single-arm study</w:t>
      </w:r>
      <w:r w:rsidR="002F319E" w:rsidRPr="00AB34C7">
        <w:t xml:space="preserve"> of fixed duration </w:t>
      </w:r>
      <w:r w:rsidR="00984FA7" w:rsidRPr="00AB34C7">
        <w:t>ibrutinib</w:t>
      </w:r>
      <w:r w:rsidR="002F319E" w:rsidRPr="00AB34C7">
        <w:t xml:space="preserve"> + venetoclax. The </w:t>
      </w:r>
      <w:r w:rsidRPr="00AB34C7">
        <w:t>study incorporated a fixed duration treatment cohort and an MRD-guided discontinuation cohort. Results for the fixed duration cohort at the primary analysis (December 2020 data cut; median follow-up 27.9 months) were presented as key evidence in the November 2022 submission. The resubmission include</w:t>
      </w:r>
      <w:r w:rsidR="00F958A8" w:rsidRPr="00AB34C7">
        <w:t>d</w:t>
      </w:r>
      <w:r w:rsidRPr="00AB34C7">
        <w:t xml:space="preserve"> </w:t>
      </w:r>
      <w:r w:rsidR="00984FA7" w:rsidRPr="00AB34C7">
        <w:t>additional</w:t>
      </w:r>
      <w:r w:rsidRPr="00AB34C7">
        <w:t xml:space="preserve"> data from the CAPTIVATE study, corresponding to a median follow-up of 49.8 months (October 2022 data cut) and 55.7 months (March 2023 data cut)</w:t>
      </w:r>
      <w:r w:rsidR="002F319E" w:rsidRPr="00AB34C7">
        <w:t>.</w:t>
      </w:r>
    </w:p>
    <w:p w14:paraId="0DE396B2" w14:textId="1829FCCD" w:rsidR="006D7861" w:rsidRPr="00AB34C7" w:rsidRDefault="00A11E1D" w:rsidP="00AA787B">
      <w:pPr>
        <w:pStyle w:val="COMexecsumnumberedpara"/>
        <w:ind w:hanging="720"/>
      </w:pPr>
      <w:r w:rsidRPr="00AB34C7">
        <w:rPr>
          <w:iCs/>
        </w:rPr>
        <w:lastRenderedPageBreak/>
        <w:t>The resubmission considered the GLOW, CLL-14 and SEQU</w:t>
      </w:r>
      <w:r w:rsidR="00686C28" w:rsidRPr="00AB34C7">
        <w:rPr>
          <w:iCs/>
        </w:rPr>
        <w:t>O</w:t>
      </w:r>
      <w:r w:rsidRPr="00AB34C7">
        <w:rPr>
          <w:iCs/>
        </w:rPr>
        <w:t>IA trials to have a low risk of bias, however t</w:t>
      </w:r>
      <w:r w:rsidR="002F319E" w:rsidRPr="00AB34C7">
        <w:rPr>
          <w:iCs/>
        </w:rPr>
        <w:t xml:space="preserve">he </w:t>
      </w:r>
      <w:r w:rsidR="0081564B" w:rsidRPr="00AB34C7">
        <w:rPr>
          <w:iCs/>
        </w:rPr>
        <w:t xml:space="preserve">evaluation considered the </w:t>
      </w:r>
      <w:r w:rsidRPr="00AB34C7">
        <w:rPr>
          <w:iCs/>
        </w:rPr>
        <w:t xml:space="preserve">risk of bias in the trials to be </w:t>
      </w:r>
      <w:r w:rsidR="002F0F81" w:rsidRPr="00AB34C7">
        <w:rPr>
          <w:iCs/>
        </w:rPr>
        <w:t>unclear/</w:t>
      </w:r>
      <w:r w:rsidRPr="00AB34C7">
        <w:rPr>
          <w:iCs/>
        </w:rPr>
        <w:t>high</w:t>
      </w:r>
      <w:r w:rsidR="002F319E" w:rsidRPr="00AB34C7">
        <w:rPr>
          <w:iCs/>
        </w:rPr>
        <w:t xml:space="preserve">. As the trials were open label, investigators, patients, and study personnel were not blinded to treatment allocation, which may have influenced the treatment of patients in the trial. Each trial included blinded assessments by an independent review committee, which had a lower risk of assessment bias. Assessments made by unblinded study investigators were at high risk of bias. Longer term results for the trials were </w:t>
      </w:r>
      <w:r w:rsidR="00984FA7" w:rsidRPr="00AB34C7">
        <w:rPr>
          <w:iCs/>
        </w:rPr>
        <w:t>generally</w:t>
      </w:r>
      <w:r w:rsidR="00984FA7" w:rsidRPr="00AB34C7">
        <w:rPr>
          <w:i/>
        </w:rPr>
        <w:t xml:space="preserve"> </w:t>
      </w:r>
      <w:r w:rsidR="002F319E" w:rsidRPr="00AB34C7">
        <w:rPr>
          <w:iCs/>
        </w:rPr>
        <w:t xml:space="preserve">based on investigator assessment. The CAPTIVATE study was </w:t>
      </w:r>
      <w:r w:rsidR="00686C28" w:rsidRPr="00AB34C7">
        <w:rPr>
          <w:iCs/>
        </w:rPr>
        <w:t xml:space="preserve">a </w:t>
      </w:r>
      <w:r w:rsidR="002F319E" w:rsidRPr="00AB34C7">
        <w:rPr>
          <w:iCs/>
        </w:rPr>
        <w:t>single-arm study, and consequently, had a high risk of bias.</w:t>
      </w:r>
    </w:p>
    <w:p w14:paraId="25647117" w14:textId="10094443" w:rsidR="006D7861" w:rsidRPr="00AB34C7" w:rsidRDefault="006D7861" w:rsidP="00AA787B">
      <w:pPr>
        <w:pStyle w:val="COMexecsumnumberedpara"/>
        <w:ind w:hanging="720"/>
      </w:pPr>
      <w:r w:rsidRPr="00AB34C7">
        <w:t xml:space="preserve">The GLOW, CAPTIVATE, CLL-14 and SEQUOIA trials recruited patients with previously untreated CLL/SLL with active disease requiring treatment (the CLL-14 trial recruited patients with CLL only). Patients in the GLOW and SEQUOIA trials were aged </w:t>
      </w:r>
      <w:r w:rsidRPr="00AB34C7">
        <w:rPr>
          <w:rFonts w:cs="Calibri"/>
        </w:rPr>
        <w:t>≥</w:t>
      </w:r>
      <w:r w:rsidRPr="00AB34C7">
        <w:t>65 years, or 18</w:t>
      </w:r>
      <w:r w:rsidR="005C71A2" w:rsidRPr="00AB34C7">
        <w:t xml:space="preserve"> to </w:t>
      </w:r>
      <w:r w:rsidRPr="00AB34C7">
        <w:t>65 years with a CIRS score &gt;6 or a creatinine clearance &lt;70</w:t>
      </w:r>
      <w:r w:rsidR="002C7D0D" w:rsidRPr="00AB34C7">
        <w:t> mL</w:t>
      </w:r>
      <w:r w:rsidRPr="00AB34C7">
        <w:t>/min. The SEQUOIA trial also included patients aged 18</w:t>
      </w:r>
      <w:r w:rsidR="005C71A2" w:rsidRPr="00AB34C7">
        <w:t xml:space="preserve"> to </w:t>
      </w:r>
      <w:r w:rsidRPr="00AB34C7">
        <w:t xml:space="preserve">65 years with a history of serious or multiple infections in the past 2 years. The CLL-14 trial recruited patients aged </w:t>
      </w:r>
      <w:r w:rsidRPr="00AB34C7">
        <w:rPr>
          <w:rFonts w:cs="Calibri"/>
        </w:rPr>
        <w:t>≥</w:t>
      </w:r>
      <w:r w:rsidR="00434371">
        <w:rPr>
          <w:rFonts w:cs="Calibri"/>
        </w:rPr>
        <w:t> </w:t>
      </w:r>
      <w:r w:rsidRPr="00AB34C7">
        <w:t>18</w:t>
      </w:r>
      <w:r w:rsidR="00434371">
        <w:t> </w:t>
      </w:r>
      <w:r w:rsidRPr="00AB34C7">
        <w:t>years with a CIRS score &gt;6 or creatinine clearance &lt;70</w:t>
      </w:r>
      <w:r w:rsidR="002C7D0D" w:rsidRPr="00AB34C7">
        <w:t> mL</w:t>
      </w:r>
      <w:r w:rsidRPr="00AB34C7">
        <w:t>/min. The CAPTIVATE study recruited patients aged 18 to 70 years, with no specified CIRS or creatinine clearance criteria</w:t>
      </w:r>
      <w:r w:rsidR="00F544F3" w:rsidRPr="00AB34C7">
        <w:t>, resulting in a patient population considered more “fit” for treatment with immunochemotherapy, based on fewer comorbidities</w:t>
      </w:r>
      <w:r w:rsidRPr="00AB34C7">
        <w:t xml:space="preserve">. GLOW, CAPTIVATE and SEQUOIA specified an ECOG </w:t>
      </w:r>
      <w:r w:rsidRPr="00AB34C7">
        <w:rPr>
          <w:rFonts w:cs="Calibri"/>
        </w:rPr>
        <w:t>≤2; no ECOG score was specified in the CLL-14 trial.</w:t>
      </w:r>
    </w:p>
    <w:p w14:paraId="6CEA6BB0" w14:textId="61A7F3A2" w:rsidR="005A7B20" w:rsidRPr="00AB34C7" w:rsidRDefault="006D7861" w:rsidP="00AA787B">
      <w:pPr>
        <w:pStyle w:val="COMexecsumnumberedpara"/>
        <w:ind w:hanging="720"/>
      </w:pPr>
      <w:r w:rsidRPr="00AB34C7">
        <w:t xml:space="preserve">CAPTIVATE, SEQUOIA and CLL-14 trials included patients with 17p deletion. </w:t>
      </w:r>
      <w:r w:rsidR="00631014" w:rsidRPr="00AB34C7">
        <w:t>P</w:t>
      </w:r>
      <w:r w:rsidRPr="00AB34C7">
        <w:t xml:space="preserve">atients in the SEQUOIA trial with 17p deletion were not randomised, and received treatment with zanubrutinib in a separate treatment arm. The GLOW trial excluded patients with 17p deletion or known TP53 mutation detected at a threshold of &gt;10% variable allele frequency. </w:t>
      </w:r>
    </w:p>
    <w:p w14:paraId="49BB9422" w14:textId="5C43D5AD" w:rsidR="005A7B20" w:rsidRPr="00AB34C7" w:rsidRDefault="005A7B20" w:rsidP="00AA787B">
      <w:pPr>
        <w:pStyle w:val="COMexecsumnumberedpara"/>
        <w:ind w:hanging="720"/>
      </w:pPr>
      <w:r w:rsidRPr="00AB34C7">
        <w:t>Patients in the ibrutinib + venetoclax arm of the GLOW trial and the fixed duration cohort of the CAPTIVATE study received 15 cycles of treatment with oral ibrutinib (420</w:t>
      </w:r>
      <w:r w:rsidR="00DC6EBB" w:rsidRPr="00AB34C7">
        <w:t> mg</w:t>
      </w:r>
      <w:r w:rsidRPr="00AB34C7">
        <w:t xml:space="preserve"> daily), and 12 cycles of oral venetoclax (initial dose ramp-up cycle followed by 11 cycles of 400</w:t>
      </w:r>
      <w:r w:rsidR="00DC6EBB" w:rsidRPr="00AB34C7">
        <w:t> mg</w:t>
      </w:r>
      <w:r w:rsidRPr="00AB34C7">
        <w:t xml:space="preserve"> daily). Patients in the chlorambucil + obinutuzumab arm of the GLOW trial received chlorambucil 0.5</w:t>
      </w:r>
      <w:r w:rsidR="00DC6EBB" w:rsidRPr="00AB34C7">
        <w:t> mg</w:t>
      </w:r>
      <w:r w:rsidRPr="00AB34C7">
        <w:t>/kg/m</w:t>
      </w:r>
      <w:r w:rsidRPr="00AB34C7">
        <w:rPr>
          <w:vertAlign w:val="superscript"/>
        </w:rPr>
        <w:t>2</w:t>
      </w:r>
      <w:r w:rsidRPr="00AB34C7">
        <w:t xml:space="preserve"> orally on Days 1 and 15 for 6 cycles; and obinutuzumab 1,000</w:t>
      </w:r>
      <w:r w:rsidR="00DC6EBB" w:rsidRPr="00AB34C7">
        <w:t> mg</w:t>
      </w:r>
      <w:r w:rsidRPr="00AB34C7">
        <w:t xml:space="preserve"> intravenously on Days 1, 8, and 15 of Cycle 1 and on Day 1 of Cycles 2 to 6. Patients in the chlorambucil + obinutuzumab arm of the CLL-14 trial received chlorambucil 0.5</w:t>
      </w:r>
      <w:r w:rsidR="00DC6EBB" w:rsidRPr="00AB34C7">
        <w:t> mg</w:t>
      </w:r>
      <w:r w:rsidRPr="00AB34C7">
        <w:t>/kg/m</w:t>
      </w:r>
      <w:r w:rsidRPr="00AB34C7">
        <w:rPr>
          <w:vertAlign w:val="superscript"/>
        </w:rPr>
        <w:t>2</w:t>
      </w:r>
      <w:r w:rsidRPr="00AB34C7">
        <w:t xml:space="preserve"> orally on Days 1 and 15 for 12 cycles; and obinutuzumab 1,000</w:t>
      </w:r>
      <w:r w:rsidR="00DC6EBB" w:rsidRPr="00AB34C7">
        <w:t> mg</w:t>
      </w:r>
      <w:r w:rsidRPr="00AB34C7">
        <w:t xml:space="preserve"> intravenously on Days 1, 8, and 15 of Cycle 1 and on Day 1 of Cycles 2 to 6. The median duration of chlorambucil treatment </w:t>
      </w:r>
      <w:r w:rsidR="006A5B4C" w:rsidRPr="00AB34C7">
        <w:t>in the CLL-14 trial was substantially longer than in the GLOW trial (11.1 months versus 5.5 months).</w:t>
      </w:r>
    </w:p>
    <w:p w14:paraId="00851534" w14:textId="0749C4EC" w:rsidR="006D7861" w:rsidRPr="00AB34C7" w:rsidRDefault="006D7861" w:rsidP="00AA787B">
      <w:pPr>
        <w:pStyle w:val="COMexecsumnumberedpara"/>
        <w:ind w:hanging="720"/>
      </w:pPr>
      <w:r w:rsidRPr="00AB34C7">
        <w:t xml:space="preserve">The resubmission argued that the outcomes reported by the trials, including progression-free survival, overall survival, time to next treatment, overall response rate, the rate of MRD-negative responses, and health-related quality of life are all clinically important outcomes. No clinically important differences were identified for </w:t>
      </w:r>
      <w:r w:rsidRPr="00AB34C7">
        <w:lastRenderedPageBreak/>
        <w:t>any of the efficacy outcomes. No non-inferiority margins were proposed in the resubmission.</w:t>
      </w:r>
    </w:p>
    <w:p w14:paraId="4A4FE085" w14:textId="1C5613CC" w:rsidR="00B60939" w:rsidRPr="00AB34C7" w:rsidRDefault="00B60939" w:rsidP="00AA787B">
      <w:pPr>
        <w:pStyle w:val="COMH2-non-numbered"/>
        <w:ind w:left="720" w:hanging="720"/>
      </w:pPr>
      <w:bookmarkStart w:id="21" w:name="_Toc22897641"/>
      <w:bookmarkStart w:id="22" w:name="_Toc156912601"/>
      <w:r w:rsidRPr="00AB34C7">
        <w:t>Comparative effectiveness</w:t>
      </w:r>
      <w:bookmarkEnd w:id="21"/>
      <w:bookmarkEnd w:id="22"/>
    </w:p>
    <w:p w14:paraId="1073E977" w14:textId="653B856A" w:rsidR="00D96F54" w:rsidRPr="00AB34C7" w:rsidRDefault="006766B9" w:rsidP="00AA787B">
      <w:pPr>
        <w:pStyle w:val="COMexecsumnumberedpara"/>
        <w:ind w:hanging="720"/>
      </w:pPr>
      <w:r w:rsidRPr="00B95C74">
        <w:rPr>
          <w:snapToGrid/>
        </w:rPr>
        <w:t>Kaplan-Meier plots of investigator-assessed</w:t>
      </w:r>
      <w:r w:rsidRPr="00AB34C7">
        <w:t xml:space="preserve"> </w:t>
      </w:r>
      <w:r w:rsidRPr="00B95C74">
        <w:rPr>
          <w:snapToGrid/>
        </w:rPr>
        <w:t xml:space="preserve">progression-free survival </w:t>
      </w:r>
      <w:r w:rsidR="00D96F54" w:rsidRPr="00B95C74">
        <w:rPr>
          <w:snapToGrid/>
        </w:rPr>
        <w:t xml:space="preserve">based on extended follow-up </w:t>
      </w:r>
      <w:r w:rsidRPr="00B95C74">
        <w:rPr>
          <w:snapToGrid/>
        </w:rPr>
        <w:t xml:space="preserve">for the GLOW trial and the CAPTIVATE study, respectively, </w:t>
      </w:r>
      <w:r w:rsidR="00D96F54" w:rsidRPr="00B95C74">
        <w:rPr>
          <w:snapToGrid/>
        </w:rPr>
        <w:t xml:space="preserve">are presented in </w:t>
      </w:r>
      <w:r w:rsidR="00912879" w:rsidRPr="00B95C74">
        <w:rPr>
          <w:snapToGrid/>
        </w:rPr>
        <w:fldChar w:fldCharType="begin" w:fldLock="1"/>
      </w:r>
      <w:r w:rsidR="00912879" w:rsidRPr="00B95C74">
        <w:rPr>
          <w:snapToGrid/>
        </w:rPr>
        <w:instrText xml:space="preserve"> REF _Ref153191663 \h </w:instrText>
      </w:r>
      <w:r w:rsidR="00912879" w:rsidRPr="00B95C74">
        <w:rPr>
          <w:snapToGrid/>
        </w:rPr>
      </w:r>
      <w:r w:rsidR="00912879" w:rsidRPr="00B95C74">
        <w:rPr>
          <w:snapToGrid/>
        </w:rPr>
        <w:fldChar w:fldCharType="separate"/>
      </w:r>
      <w:r w:rsidR="008A42E6" w:rsidRPr="00AB34C7">
        <w:t xml:space="preserve">Figure </w:t>
      </w:r>
      <w:r w:rsidR="008A42E6" w:rsidRPr="00B95C74">
        <w:t>1</w:t>
      </w:r>
      <w:r w:rsidR="00912879" w:rsidRPr="00B95C74">
        <w:rPr>
          <w:snapToGrid/>
        </w:rPr>
        <w:fldChar w:fldCharType="end"/>
      </w:r>
      <w:r w:rsidR="00D96F54" w:rsidRPr="00B95C74">
        <w:rPr>
          <w:snapToGrid/>
        </w:rPr>
        <w:t xml:space="preserve"> and </w:t>
      </w:r>
      <w:r w:rsidR="00912879" w:rsidRPr="00B95C74">
        <w:rPr>
          <w:snapToGrid/>
        </w:rPr>
        <w:fldChar w:fldCharType="begin" w:fldLock="1"/>
      </w:r>
      <w:r w:rsidR="00912879" w:rsidRPr="00B95C74">
        <w:rPr>
          <w:snapToGrid/>
        </w:rPr>
        <w:instrText xml:space="preserve"> REF _Ref153191717 \h </w:instrText>
      </w:r>
      <w:r w:rsidR="00912879" w:rsidRPr="00B95C74">
        <w:rPr>
          <w:snapToGrid/>
        </w:rPr>
      </w:r>
      <w:r w:rsidR="00912879" w:rsidRPr="00B95C74">
        <w:rPr>
          <w:snapToGrid/>
        </w:rPr>
        <w:fldChar w:fldCharType="separate"/>
      </w:r>
      <w:r w:rsidR="008A42E6" w:rsidRPr="00AB34C7">
        <w:t xml:space="preserve">Figure </w:t>
      </w:r>
      <w:r w:rsidR="008A42E6" w:rsidRPr="00B95C74">
        <w:t>2</w:t>
      </w:r>
      <w:r w:rsidR="00912879" w:rsidRPr="00B95C74">
        <w:rPr>
          <w:snapToGrid/>
        </w:rPr>
        <w:fldChar w:fldCharType="end"/>
      </w:r>
      <w:r w:rsidR="00AB34C7">
        <w:rPr>
          <w:snapToGrid/>
        </w:rPr>
        <w:t xml:space="preserve">. </w:t>
      </w:r>
    </w:p>
    <w:p w14:paraId="635F4427" w14:textId="7B68D759" w:rsidR="00D96F54" w:rsidRPr="00AB34C7" w:rsidRDefault="00D96F54" w:rsidP="00434371">
      <w:pPr>
        <w:pStyle w:val="COMtablefigcaption"/>
      </w:pPr>
      <w:bookmarkStart w:id="23" w:name="_Ref153191663"/>
      <w:r w:rsidRPr="00AB34C7">
        <w:t xml:space="preserve">Figure </w:t>
      </w:r>
      <w:fldSimple w:instr=" SEQ Figure \* ARABIC " w:fldLock="1">
        <w:r w:rsidR="008A42E6" w:rsidRPr="00B95C74">
          <w:t>1</w:t>
        </w:r>
      </w:fldSimple>
      <w:bookmarkEnd w:id="23"/>
      <w:r w:rsidRPr="00AB34C7">
        <w:t>: Investigator-assessed progression-free survival for the GLOW trial (median follow-up: 52.1 months)</w:t>
      </w:r>
    </w:p>
    <w:p w14:paraId="58C677B0" w14:textId="77777777" w:rsidR="00D96F54" w:rsidRPr="00AB34C7" w:rsidRDefault="00D96F54" w:rsidP="001C30EF">
      <w:pPr>
        <w:pStyle w:val="COMTablefooter"/>
        <w:keepNext/>
        <w:spacing w:after="0"/>
      </w:pPr>
      <w:r w:rsidRPr="00A24580">
        <w:rPr>
          <w:noProof/>
        </w:rPr>
        <w:drawing>
          <wp:inline distT="0" distB="0" distL="0" distR="0" wp14:anchorId="7ADEEF69" wp14:editId="5AC844D3">
            <wp:extent cx="4830792" cy="3904149"/>
            <wp:effectExtent l="0" t="0" r="8255" b="1270"/>
            <wp:docPr id="243124678" name="Picture 243124678" descr="Figure 1: Investigator-assessed progression-free survival for the GLOW trial (median follow-up: 52.1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124678" name="Picture 243124678" descr="Figure 1: Investigator-assessed progression-free survival for the GLOW trial (median follow-up: 52.1 months)"/>
                    <pic:cNvPicPr>
                      <a:picLocks noChangeAspect="1" noChangeArrowheads="1"/>
                    </pic:cNvPicPr>
                  </pic:nvPicPr>
                  <pic:blipFill>
                    <a:blip r:embed="rId8">
                      <a:lum bright="-20000" contrast="40000"/>
                      <a:extLst>
                        <a:ext uri="{28A0092B-C50C-407E-A947-70E740481C1C}">
                          <a14:useLocalDpi xmlns:a14="http://schemas.microsoft.com/office/drawing/2010/main" val="0"/>
                        </a:ext>
                      </a:extLst>
                    </a:blip>
                    <a:srcRect/>
                    <a:stretch>
                      <a:fillRect/>
                    </a:stretch>
                  </pic:blipFill>
                  <pic:spPr bwMode="auto">
                    <a:xfrm>
                      <a:off x="0" y="0"/>
                      <a:ext cx="4832619" cy="3905626"/>
                    </a:xfrm>
                    <a:prstGeom prst="rect">
                      <a:avLst/>
                    </a:prstGeom>
                    <a:noFill/>
                    <a:ln>
                      <a:noFill/>
                    </a:ln>
                  </pic:spPr>
                </pic:pic>
              </a:graphicData>
            </a:graphic>
          </wp:inline>
        </w:drawing>
      </w:r>
    </w:p>
    <w:p w14:paraId="50EA8DE0" w14:textId="4E8C65E7" w:rsidR="00D96F54" w:rsidRPr="00AB34C7" w:rsidRDefault="00D96F54" w:rsidP="001C30EF">
      <w:pPr>
        <w:pStyle w:val="COMTablefooter"/>
        <w:keepNext/>
        <w:spacing w:after="0"/>
      </w:pPr>
      <w:r w:rsidRPr="00AB34C7">
        <w:t>Source: Figure 2.12 of the resubmission.</w:t>
      </w:r>
    </w:p>
    <w:p w14:paraId="5151BCA4" w14:textId="77777777" w:rsidR="00D96F54" w:rsidRPr="00AB34C7" w:rsidRDefault="00D96F54" w:rsidP="00D96F54">
      <w:pPr>
        <w:pStyle w:val="COMTablefooter"/>
      </w:pPr>
      <w:r w:rsidRPr="00AB34C7">
        <w:t>Abbreviations: Clb, chlorambucil; Ibr, ibrutinib; Ob, obinutuzumab; Ven, venetoclax.</w:t>
      </w:r>
    </w:p>
    <w:p w14:paraId="00C23CF0" w14:textId="6407EB01" w:rsidR="00912879" w:rsidRPr="00AB34C7" w:rsidRDefault="00912879" w:rsidP="00434371">
      <w:pPr>
        <w:pStyle w:val="COMtablefigcaption"/>
      </w:pPr>
      <w:bookmarkStart w:id="24" w:name="_Ref153191717"/>
      <w:r w:rsidRPr="00AB34C7">
        <w:lastRenderedPageBreak/>
        <w:t xml:space="preserve">Figure </w:t>
      </w:r>
      <w:fldSimple w:instr=" SEQ Figure \* ARABIC " w:fldLock="1">
        <w:r w:rsidR="008A42E6" w:rsidRPr="00B95C74">
          <w:t>2</w:t>
        </w:r>
      </w:fldSimple>
      <w:bookmarkEnd w:id="24"/>
      <w:r w:rsidRPr="00AB34C7">
        <w:t xml:space="preserve">: </w:t>
      </w:r>
      <w:r w:rsidR="00482D57" w:rsidRPr="00AB34C7">
        <w:t>Investigator-assessed progression-free survival for the CAPTIVATE study (median follow-up: 55.7 months)</w:t>
      </w:r>
    </w:p>
    <w:p w14:paraId="567BD284" w14:textId="77777777" w:rsidR="00482D57" w:rsidRPr="00AB34C7" w:rsidRDefault="00482D57" w:rsidP="001C30EF">
      <w:pPr>
        <w:pStyle w:val="COMTablefooter"/>
        <w:keepNext/>
        <w:spacing w:after="0"/>
      </w:pPr>
      <w:r w:rsidRPr="00A24580">
        <w:rPr>
          <w:noProof/>
        </w:rPr>
        <w:drawing>
          <wp:inline distT="0" distB="0" distL="0" distR="0" wp14:anchorId="50624ACA" wp14:editId="6C1049E0">
            <wp:extent cx="4760705" cy="3619500"/>
            <wp:effectExtent l="0" t="0" r="1905" b="0"/>
            <wp:docPr id="1703559641" name="Picture 1703559641" descr="Figure 2: Investigator-assessed progression-free survival for the CAPTIVATE study (median follow-up: 55.7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559641" name="Picture 1703559641" descr="Figure 2: Investigator-assessed progression-free survival for the CAPTIVATE study (median follow-up: 55.7 months)"/>
                    <pic:cNvPicPr>
                      <a:picLocks noChangeAspect="1" noChangeArrowheads="1"/>
                    </pic:cNvPicPr>
                  </pic:nvPicPr>
                  <pic:blipFill rotWithShape="1">
                    <a:blip r:embed="rId9">
                      <a:lum bright="-20000" contrast="40000"/>
                      <a:extLst>
                        <a:ext uri="{28A0092B-C50C-407E-A947-70E740481C1C}">
                          <a14:useLocalDpi xmlns:a14="http://schemas.microsoft.com/office/drawing/2010/main" val="0"/>
                        </a:ext>
                      </a:extLst>
                    </a:blip>
                    <a:srcRect l="2730" t="3990" r="1866" b="1818"/>
                    <a:stretch/>
                  </pic:blipFill>
                  <pic:spPr bwMode="auto">
                    <a:xfrm>
                      <a:off x="0" y="0"/>
                      <a:ext cx="4769091" cy="3625876"/>
                    </a:xfrm>
                    <a:prstGeom prst="rect">
                      <a:avLst/>
                    </a:prstGeom>
                    <a:noFill/>
                    <a:ln>
                      <a:noFill/>
                    </a:ln>
                    <a:extLst>
                      <a:ext uri="{53640926-AAD7-44D8-BBD7-CCE9431645EC}">
                        <a14:shadowObscured xmlns:a14="http://schemas.microsoft.com/office/drawing/2010/main"/>
                      </a:ext>
                    </a:extLst>
                  </pic:spPr>
                </pic:pic>
              </a:graphicData>
            </a:graphic>
          </wp:inline>
        </w:drawing>
      </w:r>
    </w:p>
    <w:p w14:paraId="6747E5F2" w14:textId="7B2E2528" w:rsidR="00482D57" w:rsidRPr="00AB34C7" w:rsidRDefault="00482D57" w:rsidP="001C30EF">
      <w:pPr>
        <w:pStyle w:val="COMTablefooter"/>
        <w:keepNext/>
        <w:spacing w:after="0"/>
      </w:pPr>
      <w:r w:rsidRPr="00AB34C7">
        <w:t>Source: Figure 2.19 of the resubmission.</w:t>
      </w:r>
    </w:p>
    <w:p w14:paraId="4C4D6681" w14:textId="77777777" w:rsidR="00482D57" w:rsidRPr="00AB34C7" w:rsidRDefault="00482D57" w:rsidP="00482D57">
      <w:pPr>
        <w:pStyle w:val="COMTablefooter"/>
      </w:pPr>
      <w:r w:rsidRPr="00AB34C7">
        <w:t>Abbreviations: FD, fixed duration; PFS, progression-free survival.</w:t>
      </w:r>
    </w:p>
    <w:p w14:paraId="447B37B6" w14:textId="7F0A7889" w:rsidR="004365A3" w:rsidRPr="00AB34C7" w:rsidRDefault="00C91783" w:rsidP="00AA787B">
      <w:pPr>
        <w:pStyle w:val="COMexecsumnumberedpara"/>
        <w:ind w:hanging="720"/>
      </w:pPr>
      <w:r w:rsidRPr="00AB34C7">
        <w:fldChar w:fldCharType="begin" w:fldLock="1"/>
      </w:r>
      <w:r w:rsidRPr="00AB34C7">
        <w:instrText xml:space="preserve"> REF _Ref153192112 \h </w:instrText>
      </w:r>
      <w:r w:rsidRPr="00AB34C7">
        <w:fldChar w:fldCharType="separate"/>
      </w:r>
      <w:r w:rsidR="008A42E6" w:rsidRPr="00AB34C7">
        <w:t xml:space="preserve">Table </w:t>
      </w:r>
      <w:r w:rsidR="008A42E6" w:rsidRPr="00B95C74">
        <w:t>5</w:t>
      </w:r>
      <w:r w:rsidRPr="00AB34C7">
        <w:fldChar w:fldCharType="end"/>
      </w:r>
      <w:r w:rsidRPr="00AB34C7">
        <w:t xml:space="preserve"> </w:t>
      </w:r>
      <w:r w:rsidR="004365A3" w:rsidRPr="00AB34C7">
        <w:t>presents a summary of investigator-assessed progression-free survival results for the GLOW,</w:t>
      </w:r>
      <w:r w:rsidRPr="00AB34C7">
        <w:t xml:space="preserve"> </w:t>
      </w:r>
      <w:r w:rsidR="004365A3" w:rsidRPr="00AB34C7">
        <w:t>CAPTIVATE, CLL-14 and SEQUOIA trials based on extended follow-up.</w:t>
      </w:r>
    </w:p>
    <w:p w14:paraId="734B7311" w14:textId="03016123" w:rsidR="00482D57" w:rsidRPr="00AB34C7" w:rsidRDefault="00482D57" w:rsidP="00482D57">
      <w:pPr>
        <w:pStyle w:val="COMtablefigcaption"/>
      </w:pPr>
      <w:bookmarkStart w:id="25" w:name="_Ref153192112"/>
      <w:r w:rsidRPr="00AB34C7">
        <w:lastRenderedPageBreak/>
        <w:t xml:space="preserve">Table </w:t>
      </w:r>
      <w:fldSimple w:instr=" SEQ Table \* ARABIC " w:fldLock="1">
        <w:r w:rsidR="008A42E6" w:rsidRPr="00B95C74">
          <w:t>5</w:t>
        </w:r>
      </w:fldSimple>
      <w:bookmarkEnd w:id="25"/>
      <w:r w:rsidRPr="00AB34C7">
        <w:t xml:space="preserve">: </w:t>
      </w:r>
      <w:r w:rsidR="00C91783" w:rsidRPr="00AB34C7">
        <w:t>I</w:t>
      </w:r>
      <w:r w:rsidRPr="00AB34C7">
        <w:t>nvestigator-assessed progression-free survival results for GLOW, CAPTIVATE, CLL-14 and SEQUOIA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Caption w:val="Table 5: Investigator-assessed progression-free survival results for GLOW, CAPTIVATE, CLL-14 and SEQUOIA"/>
      </w:tblPr>
      <w:tblGrid>
        <w:gridCol w:w="1557"/>
        <w:gridCol w:w="933"/>
        <w:gridCol w:w="936"/>
        <w:gridCol w:w="932"/>
        <w:gridCol w:w="932"/>
        <w:gridCol w:w="932"/>
        <w:gridCol w:w="932"/>
        <w:gridCol w:w="932"/>
        <w:gridCol w:w="931"/>
      </w:tblGrid>
      <w:tr w:rsidR="00482D57" w:rsidRPr="00AB34C7" w14:paraId="48D51FFB" w14:textId="77777777" w:rsidTr="00507D72">
        <w:trPr>
          <w:trHeight w:val="70"/>
          <w:tblHeader/>
        </w:trPr>
        <w:tc>
          <w:tcPr>
            <w:tcW w:w="863" w:type="pct"/>
            <w:vMerge w:val="restart"/>
            <w:tcBorders>
              <w:top w:val="single" w:sz="4" w:space="0" w:color="auto"/>
              <w:left w:val="single" w:sz="4" w:space="0" w:color="auto"/>
              <w:right w:val="single" w:sz="4" w:space="0" w:color="auto"/>
            </w:tcBorders>
            <w:shd w:val="clear" w:color="auto" w:fill="FFFFFF"/>
            <w:vAlign w:val="center"/>
          </w:tcPr>
          <w:p w14:paraId="308A35DC" w14:textId="77777777" w:rsidR="00482D57" w:rsidRPr="00AB34C7" w:rsidRDefault="00482D57" w:rsidP="00507D72">
            <w:pPr>
              <w:keepNext/>
              <w:rPr>
                <w:rFonts w:ascii="Arial Narrow" w:hAnsi="Arial Narrow"/>
                <w:b/>
                <w:iCs/>
                <w:sz w:val="20"/>
                <w:szCs w:val="20"/>
              </w:rPr>
            </w:pPr>
          </w:p>
        </w:tc>
        <w:tc>
          <w:tcPr>
            <w:tcW w:w="1036" w:type="pct"/>
            <w:gridSpan w:val="2"/>
            <w:tcBorders>
              <w:top w:val="single" w:sz="4" w:space="0" w:color="auto"/>
              <w:left w:val="single" w:sz="4" w:space="0" w:color="auto"/>
              <w:right w:val="single" w:sz="4" w:space="0" w:color="auto"/>
            </w:tcBorders>
            <w:shd w:val="clear" w:color="auto" w:fill="FFFFFF"/>
            <w:vAlign w:val="center"/>
          </w:tcPr>
          <w:p w14:paraId="4140F4F1" w14:textId="77777777" w:rsidR="00482D57" w:rsidRPr="00AB34C7" w:rsidRDefault="00482D57" w:rsidP="00507D72">
            <w:pPr>
              <w:keepNext/>
              <w:jc w:val="center"/>
              <w:rPr>
                <w:rFonts w:ascii="Arial Narrow" w:hAnsi="Arial Narrow"/>
                <w:b/>
                <w:bCs/>
                <w:iCs/>
                <w:sz w:val="20"/>
                <w:szCs w:val="20"/>
              </w:rPr>
            </w:pPr>
            <w:r w:rsidRPr="00AB34C7">
              <w:rPr>
                <w:rFonts w:ascii="Arial Narrow" w:hAnsi="Arial Narrow"/>
                <w:b/>
                <w:bCs/>
                <w:iCs/>
                <w:sz w:val="20"/>
                <w:szCs w:val="20"/>
              </w:rPr>
              <w:t>GLOW</w:t>
            </w:r>
          </w:p>
        </w:tc>
        <w:tc>
          <w:tcPr>
            <w:tcW w:w="517" w:type="pct"/>
            <w:tcBorders>
              <w:top w:val="single" w:sz="4" w:space="0" w:color="auto"/>
              <w:left w:val="single" w:sz="4" w:space="0" w:color="auto"/>
              <w:right w:val="single" w:sz="4" w:space="0" w:color="auto"/>
            </w:tcBorders>
            <w:shd w:val="clear" w:color="auto" w:fill="FFFFFF"/>
          </w:tcPr>
          <w:p w14:paraId="740187FB" w14:textId="77777777" w:rsidR="00482D57" w:rsidRPr="00AB34C7" w:rsidRDefault="00482D57" w:rsidP="00507D72">
            <w:pPr>
              <w:keepNext/>
              <w:jc w:val="center"/>
              <w:rPr>
                <w:rFonts w:ascii="Arial Narrow" w:hAnsi="Arial Narrow"/>
                <w:b/>
                <w:bCs/>
                <w:iCs/>
                <w:sz w:val="20"/>
                <w:szCs w:val="20"/>
              </w:rPr>
            </w:pPr>
            <w:r w:rsidRPr="00AB34C7">
              <w:rPr>
                <w:rFonts w:ascii="Arial Narrow" w:hAnsi="Arial Narrow"/>
                <w:b/>
                <w:bCs/>
                <w:iCs/>
                <w:sz w:val="20"/>
                <w:szCs w:val="20"/>
              </w:rPr>
              <w:t>CAPT-IVATE</w:t>
            </w:r>
          </w:p>
        </w:tc>
        <w:tc>
          <w:tcPr>
            <w:tcW w:w="1034" w:type="pct"/>
            <w:gridSpan w:val="2"/>
            <w:tcBorders>
              <w:top w:val="single" w:sz="4" w:space="0" w:color="auto"/>
              <w:left w:val="single" w:sz="4" w:space="0" w:color="auto"/>
              <w:right w:val="single" w:sz="4" w:space="0" w:color="auto"/>
            </w:tcBorders>
            <w:shd w:val="clear" w:color="auto" w:fill="FFFFFF"/>
            <w:vAlign w:val="center"/>
          </w:tcPr>
          <w:p w14:paraId="79CA9E7E" w14:textId="77777777" w:rsidR="00482D57" w:rsidRPr="00AB34C7" w:rsidRDefault="00482D57" w:rsidP="00507D72">
            <w:pPr>
              <w:keepNext/>
              <w:jc w:val="center"/>
              <w:rPr>
                <w:rFonts w:ascii="Arial Narrow" w:hAnsi="Arial Narrow"/>
                <w:b/>
                <w:bCs/>
                <w:iCs/>
                <w:sz w:val="20"/>
                <w:szCs w:val="20"/>
              </w:rPr>
            </w:pPr>
            <w:r w:rsidRPr="00AB34C7">
              <w:rPr>
                <w:rFonts w:ascii="Arial Narrow" w:hAnsi="Arial Narrow"/>
                <w:b/>
                <w:iCs/>
                <w:sz w:val="20"/>
                <w:szCs w:val="20"/>
              </w:rPr>
              <w:t>CLL-14</w:t>
            </w:r>
          </w:p>
        </w:tc>
        <w:tc>
          <w:tcPr>
            <w:tcW w:w="1550" w:type="pct"/>
            <w:gridSpan w:val="3"/>
            <w:tcBorders>
              <w:top w:val="single" w:sz="4" w:space="0" w:color="auto"/>
              <w:left w:val="single" w:sz="4" w:space="0" w:color="auto"/>
              <w:right w:val="single" w:sz="4" w:space="0" w:color="auto"/>
            </w:tcBorders>
            <w:shd w:val="clear" w:color="auto" w:fill="FFFFFF"/>
            <w:vAlign w:val="center"/>
          </w:tcPr>
          <w:p w14:paraId="6D2F40C8" w14:textId="77777777" w:rsidR="00482D57" w:rsidRPr="00AB34C7" w:rsidRDefault="00482D57" w:rsidP="00507D72">
            <w:pPr>
              <w:keepNext/>
              <w:jc w:val="center"/>
              <w:rPr>
                <w:rFonts w:ascii="Arial Narrow" w:hAnsi="Arial Narrow"/>
                <w:b/>
                <w:iCs/>
                <w:sz w:val="20"/>
                <w:szCs w:val="20"/>
              </w:rPr>
            </w:pPr>
            <w:r w:rsidRPr="00AB34C7">
              <w:rPr>
                <w:rFonts w:ascii="Arial Narrow" w:hAnsi="Arial Narrow"/>
                <w:b/>
                <w:iCs/>
                <w:sz w:val="20"/>
                <w:szCs w:val="20"/>
              </w:rPr>
              <w:t>SEQUOIA</w:t>
            </w:r>
          </w:p>
        </w:tc>
      </w:tr>
      <w:tr w:rsidR="00482D57" w:rsidRPr="00AB34C7" w14:paraId="25762F9F" w14:textId="77777777" w:rsidTr="00507D72">
        <w:trPr>
          <w:trHeight w:val="401"/>
          <w:tblHeader/>
        </w:trPr>
        <w:tc>
          <w:tcPr>
            <w:tcW w:w="863" w:type="pct"/>
            <w:vMerge/>
            <w:tcBorders>
              <w:left w:val="single" w:sz="4" w:space="0" w:color="auto"/>
              <w:right w:val="single" w:sz="4" w:space="0" w:color="auto"/>
            </w:tcBorders>
            <w:shd w:val="clear" w:color="auto" w:fill="FFFFFF"/>
            <w:vAlign w:val="center"/>
          </w:tcPr>
          <w:p w14:paraId="3338CC9B" w14:textId="77777777" w:rsidR="00482D57" w:rsidRPr="00AB34C7" w:rsidRDefault="00482D57" w:rsidP="00507D72">
            <w:pPr>
              <w:keepNext/>
              <w:rPr>
                <w:rFonts w:ascii="Arial Narrow" w:hAnsi="Arial Narrow"/>
                <w:b/>
                <w:iCs/>
                <w:sz w:val="20"/>
                <w:szCs w:val="20"/>
              </w:rPr>
            </w:pPr>
          </w:p>
        </w:tc>
        <w:tc>
          <w:tcPr>
            <w:tcW w:w="517" w:type="pct"/>
            <w:tcBorders>
              <w:left w:val="single" w:sz="4" w:space="0" w:color="auto"/>
              <w:bottom w:val="single" w:sz="4" w:space="0" w:color="FFFFFF" w:themeColor="background1"/>
              <w:right w:val="single" w:sz="4" w:space="0" w:color="auto"/>
            </w:tcBorders>
            <w:shd w:val="clear" w:color="auto" w:fill="FFFFFF"/>
            <w:vAlign w:val="center"/>
          </w:tcPr>
          <w:p w14:paraId="250E29C8" w14:textId="77777777" w:rsidR="00482D57" w:rsidRPr="00AB34C7" w:rsidRDefault="00482D57" w:rsidP="00507D72">
            <w:pPr>
              <w:keepNext/>
              <w:jc w:val="center"/>
              <w:rPr>
                <w:rFonts w:ascii="Arial Narrow" w:hAnsi="Arial Narrow"/>
                <w:b/>
                <w:iCs/>
                <w:sz w:val="20"/>
                <w:szCs w:val="20"/>
              </w:rPr>
            </w:pPr>
            <w:r w:rsidRPr="00AB34C7">
              <w:rPr>
                <w:rFonts w:ascii="Arial Narrow" w:hAnsi="Arial Narrow"/>
                <w:b/>
                <w:iCs/>
                <w:sz w:val="20"/>
                <w:szCs w:val="20"/>
              </w:rPr>
              <w:t>IBR + VEN</w:t>
            </w:r>
          </w:p>
        </w:tc>
        <w:tc>
          <w:tcPr>
            <w:tcW w:w="519" w:type="pct"/>
            <w:tcBorders>
              <w:left w:val="single" w:sz="4" w:space="0" w:color="auto"/>
              <w:bottom w:val="single" w:sz="4" w:space="0" w:color="FFFFFF" w:themeColor="background1"/>
              <w:right w:val="single" w:sz="4" w:space="0" w:color="auto"/>
            </w:tcBorders>
            <w:shd w:val="clear" w:color="auto" w:fill="FFFFFF"/>
            <w:vAlign w:val="center"/>
          </w:tcPr>
          <w:p w14:paraId="2B659E79" w14:textId="77777777" w:rsidR="00482D57" w:rsidRPr="00AB34C7" w:rsidRDefault="00482D57" w:rsidP="00507D72">
            <w:pPr>
              <w:keepNext/>
              <w:jc w:val="center"/>
              <w:rPr>
                <w:rFonts w:ascii="Arial Narrow" w:hAnsi="Arial Narrow"/>
                <w:b/>
                <w:iCs/>
                <w:sz w:val="20"/>
                <w:szCs w:val="20"/>
              </w:rPr>
            </w:pPr>
            <w:r w:rsidRPr="00AB34C7">
              <w:rPr>
                <w:rFonts w:ascii="Arial Narrow" w:hAnsi="Arial Narrow"/>
                <w:b/>
                <w:iCs/>
                <w:sz w:val="20"/>
                <w:szCs w:val="20"/>
              </w:rPr>
              <w:t>CHL + OBI</w:t>
            </w:r>
          </w:p>
        </w:tc>
        <w:tc>
          <w:tcPr>
            <w:tcW w:w="517" w:type="pct"/>
            <w:tcBorders>
              <w:left w:val="single" w:sz="4" w:space="0" w:color="auto"/>
              <w:bottom w:val="single" w:sz="4" w:space="0" w:color="FFFFFF" w:themeColor="background1"/>
              <w:right w:val="single" w:sz="4" w:space="0" w:color="auto"/>
            </w:tcBorders>
            <w:shd w:val="clear" w:color="auto" w:fill="FFFFFF"/>
            <w:vAlign w:val="center"/>
          </w:tcPr>
          <w:p w14:paraId="747D4000" w14:textId="77777777" w:rsidR="00482D57" w:rsidRPr="00AB34C7" w:rsidRDefault="00482D57" w:rsidP="00507D72">
            <w:pPr>
              <w:keepNext/>
              <w:jc w:val="center"/>
              <w:rPr>
                <w:rFonts w:ascii="Arial Narrow" w:hAnsi="Arial Narrow"/>
                <w:b/>
                <w:iCs/>
                <w:sz w:val="20"/>
                <w:szCs w:val="20"/>
              </w:rPr>
            </w:pPr>
            <w:r w:rsidRPr="00AB34C7">
              <w:rPr>
                <w:rFonts w:ascii="Arial Narrow" w:hAnsi="Arial Narrow"/>
                <w:b/>
                <w:iCs/>
                <w:sz w:val="20"/>
                <w:szCs w:val="20"/>
              </w:rPr>
              <w:t>IBR + VEN</w:t>
            </w:r>
          </w:p>
        </w:tc>
        <w:tc>
          <w:tcPr>
            <w:tcW w:w="517" w:type="pct"/>
            <w:tcBorders>
              <w:left w:val="single" w:sz="4" w:space="0" w:color="auto"/>
              <w:bottom w:val="single" w:sz="4" w:space="0" w:color="FFFFFF" w:themeColor="background1"/>
              <w:right w:val="single" w:sz="4" w:space="0" w:color="auto"/>
            </w:tcBorders>
            <w:shd w:val="clear" w:color="auto" w:fill="FFFFFF"/>
            <w:vAlign w:val="center"/>
          </w:tcPr>
          <w:p w14:paraId="040D3B1C" w14:textId="77777777" w:rsidR="00482D57" w:rsidRPr="00AB34C7" w:rsidRDefault="00482D57" w:rsidP="00507D72">
            <w:pPr>
              <w:keepNext/>
              <w:jc w:val="center"/>
              <w:rPr>
                <w:rFonts w:ascii="Arial Narrow" w:hAnsi="Arial Narrow"/>
                <w:b/>
                <w:iCs/>
                <w:sz w:val="20"/>
                <w:szCs w:val="20"/>
              </w:rPr>
            </w:pPr>
            <w:r w:rsidRPr="00AB34C7">
              <w:rPr>
                <w:rFonts w:ascii="Arial Narrow" w:hAnsi="Arial Narrow"/>
                <w:b/>
                <w:iCs/>
                <w:sz w:val="20"/>
                <w:szCs w:val="20"/>
              </w:rPr>
              <w:t>VEN + OBI</w:t>
            </w:r>
          </w:p>
        </w:tc>
        <w:tc>
          <w:tcPr>
            <w:tcW w:w="517" w:type="pct"/>
            <w:tcBorders>
              <w:left w:val="single" w:sz="4" w:space="0" w:color="auto"/>
              <w:bottom w:val="single" w:sz="4" w:space="0" w:color="FFFFFF" w:themeColor="background1"/>
              <w:right w:val="single" w:sz="4" w:space="0" w:color="auto"/>
            </w:tcBorders>
            <w:shd w:val="clear" w:color="auto" w:fill="FFFFFF"/>
            <w:vAlign w:val="center"/>
          </w:tcPr>
          <w:p w14:paraId="0AA1656F" w14:textId="77777777" w:rsidR="00482D57" w:rsidRPr="00AB34C7" w:rsidRDefault="00482D57" w:rsidP="00507D72">
            <w:pPr>
              <w:keepNext/>
              <w:jc w:val="center"/>
              <w:rPr>
                <w:rFonts w:ascii="Arial Narrow" w:hAnsi="Arial Narrow"/>
                <w:b/>
                <w:iCs/>
                <w:sz w:val="20"/>
                <w:szCs w:val="20"/>
              </w:rPr>
            </w:pPr>
            <w:r w:rsidRPr="00AB34C7">
              <w:rPr>
                <w:rFonts w:ascii="Arial Narrow" w:hAnsi="Arial Narrow"/>
                <w:b/>
                <w:iCs/>
                <w:sz w:val="20"/>
                <w:szCs w:val="20"/>
              </w:rPr>
              <w:t>CHL + OBI</w:t>
            </w:r>
          </w:p>
        </w:tc>
        <w:tc>
          <w:tcPr>
            <w:tcW w:w="517" w:type="pct"/>
            <w:tcBorders>
              <w:left w:val="single" w:sz="4" w:space="0" w:color="auto"/>
              <w:bottom w:val="single" w:sz="4" w:space="0" w:color="FFFFFF" w:themeColor="background1"/>
              <w:right w:val="single" w:sz="4" w:space="0" w:color="auto"/>
            </w:tcBorders>
            <w:shd w:val="clear" w:color="auto" w:fill="FFFFFF"/>
            <w:vAlign w:val="center"/>
          </w:tcPr>
          <w:p w14:paraId="6CBD1901" w14:textId="77777777" w:rsidR="00482D57" w:rsidRPr="00AB34C7" w:rsidRDefault="00482D57" w:rsidP="00507D72">
            <w:pPr>
              <w:keepNext/>
              <w:jc w:val="center"/>
              <w:rPr>
                <w:rFonts w:ascii="Arial Narrow" w:hAnsi="Arial Narrow"/>
                <w:b/>
                <w:iCs/>
                <w:sz w:val="20"/>
                <w:szCs w:val="20"/>
              </w:rPr>
            </w:pPr>
            <w:r w:rsidRPr="00AB34C7">
              <w:rPr>
                <w:rFonts w:ascii="Arial Narrow" w:hAnsi="Arial Narrow"/>
                <w:b/>
                <w:iCs/>
                <w:sz w:val="20"/>
                <w:szCs w:val="20"/>
              </w:rPr>
              <w:t>ZAN</w:t>
            </w:r>
          </w:p>
        </w:tc>
        <w:tc>
          <w:tcPr>
            <w:tcW w:w="517" w:type="pct"/>
            <w:tcBorders>
              <w:left w:val="single" w:sz="4" w:space="0" w:color="auto"/>
              <w:bottom w:val="single" w:sz="4" w:space="0" w:color="FFFFFF" w:themeColor="background1"/>
              <w:right w:val="single" w:sz="4" w:space="0" w:color="auto"/>
            </w:tcBorders>
            <w:shd w:val="clear" w:color="auto" w:fill="FFFFFF"/>
          </w:tcPr>
          <w:p w14:paraId="2D7538B8" w14:textId="77777777" w:rsidR="00482D57" w:rsidRPr="00AB34C7" w:rsidRDefault="00482D57" w:rsidP="00507D72">
            <w:pPr>
              <w:keepNext/>
              <w:jc w:val="center"/>
              <w:rPr>
                <w:rFonts w:ascii="Arial Narrow" w:hAnsi="Arial Narrow"/>
                <w:b/>
                <w:iCs/>
                <w:sz w:val="20"/>
                <w:szCs w:val="20"/>
              </w:rPr>
            </w:pPr>
            <w:r w:rsidRPr="00AB34C7">
              <w:rPr>
                <w:rFonts w:ascii="Arial Narrow" w:hAnsi="Arial Narrow"/>
                <w:b/>
                <w:iCs/>
                <w:sz w:val="20"/>
                <w:szCs w:val="20"/>
              </w:rPr>
              <w:t xml:space="preserve">ZAN </w:t>
            </w:r>
          </w:p>
          <w:p w14:paraId="050DC057" w14:textId="77777777" w:rsidR="00482D57" w:rsidRPr="00AB34C7" w:rsidRDefault="00482D57" w:rsidP="00507D72">
            <w:pPr>
              <w:keepNext/>
              <w:jc w:val="center"/>
              <w:rPr>
                <w:rFonts w:ascii="Arial Narrow" w:hAnsi="Arial Narrow"/>
                <w:b/>
                <w:iCs/>
                <w:sz w:val="20"/>
                <w:szCs w:val="20"/>
              </w:rPr>
            </w:pPr>
            <w:r w:rsidRPr="00AB34C7">
              <w:rPr>
                <w:rFonts w:ascii="Arial Narrow" w:hAnsi="Arial Narrow"/>
                <w:b/>
                <w:iCs/>
                <w:sz w:val="20"/>
                <w:szCs w:val="20"/>
              </w:rPr>
              <w:t>(del 17p)</w:t>
            </w:r>
          </w:p>
        </w:tc>
        <w:tc>
          <w:tcPr>
            <w:tcW w:w="516" w:type="pct"/>
            <w:tcBorders>
              <w:left w:val="single" w:sz="4" w:space="0" w:color="auto"/>
              <w:bottom w:val="single" w:sz="4" w:space="0" w:color="FFFFFF" w:themeColor="background1"/>
              <w:right w:val="single" w:sz="4" w:space="0" w:color="auto"/>
            </w:tcBorders>
            <w:shd w:val="clear" w:color="auto" w:fill="FFFFFF"/>
            <w:vAlign w:val="center"/>
          </w:tcPr>
          <w:p w14:paraId="7B9886BE" w14:textId="77777777" w:rsidR="00482D57" w:rsidRPr="00AB34C7" w:rsidRDefault="00482D57" w:rsidP="00507D72">
            <w:pPr>
              <w:keepNext/>
              <w:jc w:val="center"/>
              <w:rPr>
                <w:rFonts w:ascii="Arial Narrow" w:hAnsi="Arial Narrow"/>
                <w:b/>
                <w:iCs/>
                <w:sz w:val="20"/>
                <w:szCs w:val="20"/>
              </w:rPr>
            </w:pPr>
            <w:r w:rsidRPr="00AB34C7">
              <w:rPr>
                <w:rFonts w:ascii="Arial Narrow" w:hAnsi="Arial Narrow"/>
                <w:b/>
                <w:iCs/>
                <w:sz w:val="20"/>
                <w:szCs w:val="20"/>
              </w:rPr>
              <w:t>BEN + RIT</w:t>
            </w:r>
          </w:p>
        </w:tc>
      </w:tr>
      <w:tr w:rsidR="00482D57" w:rsidRPr="00AB34C7" w14:paraId="6C182CC9" w14:textId="77777777" w:rsidTr="00507D72">
        <w:trPr>
          <w:trHeight w:val="277"/>
          <w:tblHeader/>
        </w:trPr>
        <w:tc>
          <w:tcPr>
            <w:tcW w:w="863" w:type="pct"/>
            <w:vMerge/>
            <w:tcBorders>
              <w:left w:val="single" w:sz="4" w:space="0" w:color="auto"/>
              <w:bottom w:val="single" w:sz="4" w:space="0" w:color="auto"/>
              <w:right w:val="single" w:sz="4" w:space="0" w:color="auto"/>
            </w:tcBorders>
            <w:shd w:val="clear" w:color="auto" w:fill="FFFFFF"/>
            <w:vAlign w:val="center"/>
          </w:tcPr>
          <w:p w14:paraId="420D9F55" w14:textId="77777777" w:rsidR="00482D57" w:rsidRPr="00AB34C7" w:rsidRDefault="00482D57" w:rsidP="00507D72">
            <w:pPr>
              <w:keepNext/>
              <w:rPr>
                <w:rFonts w:ascii="Arial Narrow" w:hAnsi="Arial Narrow"/>
                <w:b/>
                <w:iCs/>
                <w:sz w:val="20"/>
                <w:szCs w:val="20"/>
              </w:rPr>
            </w:pPr>
          </w:p>
        </w:tc>
        <w:tc>
          <w:tcPr>
            <w:tcW w:w="517" w:type="pct"/>
            <w:tcBorders>
              <w:top w:val="single" w:sz="4" w:space="0" w:color="FFFFFF" w:themeColor="background1"/>
              <w:left w:val="single" w:sz="4" w:space="0" w:color="auto"/>
              <w:right w:val="single" w:sz="4" w:space="0" w:color="auto"/>
            </w:tcBorders>
            <w:shd w:val="clear" w:color="auto" w:fill="FFFFFF"/>
          </w:tcPr>
          <w:p w14:paraId="1FA65F0A" w14:textId="77777777" w:rsidR="00482D57" w:rsidRPr="00AB34C7" w:rsidRDefault="00482D57" w:rsidP="00507D72">
            <w:pPr>
              <w:keepNext/>
              <w:jc w:val="center"/>
              <w:rPr>
                <w:rFonts w:ascii="Arial Narrow" w:hAnsi="Arial Narrow"/>
                <w:b/>
                <w:iCs/>
                <w:sz w:val="20"/>
                <w:szCs w:val="20"/>
              </w:rPr>
            </w:pPr>
            <w:r w:rsidRPr="00AB34C7">
              <w:rPr>
                <w:rFonts w:ascii="Arial Narrow" w:hAnsi="Arial Narrow"/>
                <w:b/>
                <w:iCs/>
                <w:sz w:val="20"/>
                <w:szCs w:val="20"/>
              </w:rPr>
              <w:t>N=106</w:t>
            </w:r>
          </w:p>
        </w:tc>
        <w:tc>
          <w:tcPr>
            <w:tcW w:w="519" w:type="pct"/>
            <w:tcBorders>
              <w:top w:val="single" w:sz="4" w:space="0" w:color="FFFFFF" w:themeColor="background1"/>
              <w:left w:val="single" w:sz="4" w:space="0" w:color="auto"/>
              <w:right w:val="single" w:sz="4" w:space="0" w:color="auto"/>
            </w:tcBorders>
            <w:shd w:val="clear" w:color="auto" w:fill="FFFFFF"/>
          </w:tcPr>
          <w:p w14:paraId="4C98D055" w14:textId="77777777" w:rsidR="00482D57" w:rsidRPr="00AB34C7" w:rsidRDefault="00482D57" w:rsidP="00507D72">
            <w:pPr>
              <w:keepNext/>
              <w:jc w:val="center"/>
              <w:rPr>
                <w:rFonts w:ascii="Arial Narrow" w:hAnsi="Arial Narrow"/>
                <w:b/>
                <w:iCs/>
                <w:sz w:val="20"/>
                <w:szCs w:val="20"/>
              </w:rPr>
            </w:pPr>
            <w:r w:rsidRPr="00AB34C7">
              <w:rPr>
                <w:rFonts w:ascii="Arial Narrow" w:hAnsi="Arial Narrow"/>
                <w:b/>
                <w:iCs/>
                <w:sz w:val="20"/>
                <w:szCs w:val="20"/>
              </w:rPr>
              <w:t>N=105</w:t>
            </w:r>
          </w:p>
        </w:tc>
        <w:tc>
          <w:tcPr>
            <w:tcW w:w="517" w:type="pct"/>
            <w:tcBorders>
              <w:top w:val="single" w:sz="4" w:space="0" w:color="FFFFFF" w:themeColor="background1"/>
              <w:left w:val="single" w:sz="4" w:space="0" w:color="auto"/>
              <w:right w:val="single" w:sz="4" w:space="0" w:color="auto"/>
            </w:tcBorders>
            <w:shd w:val="clear" w:color="auto" w:fill="FFFFFF"/>
          </w:tcPr>
          <w:p w14:paraId="1D7D3495" w14:textId="77777777" w:rsidR="00482D57" w:rsidRPr="00AB34C7" w:rsidRDefault="00482D57" w:rsidP="00507D72">
            <w:pPr>
              <w:keepNext/>
              <w:jc w:val="center"/>
              <w:rPr>
                <w:rFonts w:ascii="Arial Narrow" w:hAnsi="Arial Narrow"/>
                <w:b/>
                <w:iCs/>
                <w:sz w:val="20"/>
                <w:szCs w:val="20"/>
              </w:rPr>
            </w:pPr>
            <w:r w:rsidRPr="00AB34C7">
              <w:rPr>
                <w:rFonts w:ascii="Arial Narrow" w:hAnsi="Arial Narrow"/>
                <w:b/>
                <w:iCs/>
                <w:sz w:val="20"/>
                <w:szCs w:val="20"/>
              </w:rPr>
              <w:t>N=159</w:t>
            </w:r>
          </w:p>
        </w:tc>
        <w:tc>
          <w:tcPr>
            <w:tcW w:w="517" w:type="pct"/>
            <w:tcBorders>
              <w:top w:val="single" w:sz="4" w:space="0" w:color="FFFFFF" w:themeColor="background1"/>
              <w:left w:val="single" w:sz="4" w:space="0" w:color="auto"/>
              <w:right w:val="single" w:sz="4" w:space="0" w:color="auto"/>
            </w:tcBorders>
            <w:shd w:val="clear" w:color="auto" w:fill="FFFFFF"/>
          </w:tcPr>
          <w:p w14:paraId="6756FA97" w14:textId="77777777" w:rsidR="00482D57" w:rsidRPr="00AB34C7" w:rsidRDefault="00482D57" w:rsidP="00507D72">
            <w:pPr>
              <w:keepNext/>
              <w:jc w:val="center"/>
              <w:rPr>
                <w:rFonts w:ascii="Arial Narrow" w:hAnsi="Arial Narrow"/>
                <w:b/>
                <w:iCs/>
                <w:sz w:val="20"/>
                <w:szCs w:val="20"/>
              </w:rPr>
            </w:pPr>
            <w:r w:rsidRPr="00AB34C7">
              <w:rPr>
                <w:rFonts w:ascii="Arial Narrow" w:hAnsi="Arial Narrow"/>
                <w:b/>
                <w:iCs/>
                <w:sz w:val="20"/>
                <w:szCs w:val="20"/>
              </w:rPr>
              <w:t>N=216</w:t>
            </w:r>
          </w:p>
        </w:tc>
        <w:tc>
          <w:tcPr>
            <w:tcW w:w="517" w:type="pct"/>
            <w:tcBorders>
              <w:top w:val="single" w:sz="4" w:space="0" w:color="FFFFFF" w:themeColor="background1"/>
              <w:left w:val="single" w:sz="4" w:space="0" w:color="auto"/>
              <w:right w:val="single" w:sz="4" w:space="0" w:color="auto"/>
            </w:tcBorders>
            <w:shd w:val="clear" w:color="auto" w:fill="FFFFFF"/>
          </w:tcPr>
          <w:p w14:paraId="0ED8511E" w14:textId="77777777" w:rsidR="00482D57" w:rsidRPr="00AB34C7" w:rsidRDefault="00482D57" w:rsidP="00507D72">
            <w:pPr>
              <w:keepNext/>
              <w:jc w:val="center"/>
              <w:rPr>
                <w:rFonts w:ascii="Arial Narrow" w:hAnsi="Arial Narrow"/>
                <w:b/>
                <w:iCs/>
                <w:sz w:val="20"/>
                <w:szCs w:val="20"/>
              </w:rPr>
            </w:pPr>
            <w:r w:rsidRPr="00AB34C7">
              <w:rPr>
                <w:rFonts w:ascii="Arial Narrow" w:hAnsi="Arial Narrow"/>
                <w:b/>
                <w:iCs/>
                <w:sz w:val="20"/>
                <w:szCs w:val="20"/>
              </w:rPr>
              <w:t>N=216</w:t>
            </w:r>
          </w:p>
        </w:tc>
        <w:tc>
          <w:tcPr>
            <w:tcW w:w="517" w:type="pct"/>
            <w:tcBorders>
              <w:top w:val="single" w:sz="4" w:space="0" w:color="FFFFFF" w:themeColor="background1"/>
              <w:left w:val="single" w:sz="4" w:space="0" w:color="auto"/>
              <w:right w:val="single" w:sz="4" w:space="0" w:color="auto"/>
            </w:tcBorders>
            <w:shd w:val="clear" w:color="auto" w:fill="FFFFFF"/>
          </w:tcPr>
          <w:p w14:paraId="1BACB2B5" w14:textId="77777777" w:rsidR="00482D57" w:rsidRPr="00AB34C7" w:rsidRDefault="00482D57" w:rsidP="00507D72">
            <w:pPr>
              <w:keepNext/>
              <w:jc w:val="center"/>
              <w:rPr>
                <w:rFonts w:ascii="Arial Narrow" w:hAnsi="Arial Narrow"/>
                <w:b/>
                <w:iCs/>
                <w:sz w:val="20"/>
                <w:szCs w:val="20"/>
              </w:rPr>
            </w:pPr>
            <w:r w:rsidRPr="00AB34C7">
              <w:rPr>
                <w:rFonts w:ascii="Arial Narrow" w:hAnsi="Arial Narrow"/>
                <w:b/>
                <w:iCs/>
                <w:sz w:val="20"/>
                <w:szCs w:val="20"/>
              </w:rPr>
              <w:t>N=241</w:t>
            </w:r>
          </w:p>
        </w:tc>
        <w:tc>
          <w:tcPr>
            <w:tcW w:w="517" w:type="pct"/>
            <w:tcBorders>
              <w:top w:val="single" w:sz="4" w:space="0" w:color="FFFFFF" w:themeColor="background1"/>
              <w:left w:val="single" w:sz="4" w:space="0" w:color="auto"/>
              <w:right w:val="single" w:sz="4" w:space="0" w:color="auto"/>
            </w:tcBorders>
            <w:shd w:val="clear" w:color="auto" w:fill="FFFFFF"/>
          </w:tcPr>
          <w:p w14:paraId="4B50962E" w14:textId="77777777" w:rsidR="00482D57" w:rsidRPr="00AB34C7" w:rsidRDefault="00482D57" w:rsidP="00507D72">
            <w:pPr>
              <w:keepNext/>
              <w:jc w:val="center"/>
              <w:rPr>
                <w:rFonts w:ascii="Arial Narrow" w:hAnsi="Arial Narrow"/>
                <w:b/>
                <w:iCs/>
                <w:sz w:val="20"/>
                <w:szCs w:val="20"/>
              </w:rPr>
            </w:pPr>
            <w:r w:rsidRPr="00AB34C7">
              <w:rPr>
                <w:rFonts w:ascii="Arial Narrow" w:hAnsi="Arial Narrow"/>
                <w:b/>
                <w:iCs/>
                <w:sz w:val="20"/>
                <w:szCs w:val="20"/>
              </w:rPr>
              <w:t>N=110</w:t>
            </w:r>
          </w:p>
        </w:tc>
        <w:tc>
          <w:tcPr>
            <w:tcW w:w="516" w:type="pct"/>
            <w:tcBorders>
              <w:top w:val="single" w:sz="4" w:space="0" w:color="FFFFFF" w:themeColor="background1"/>
              <w:left w:val="single" w:sz="4" w:space="0" w:color="auto"/>
              <w:right w:val="single" w:sz="4" w:space="0" w:color="auto"/>
            </w:tcBorders>
            <w:shd w:val="clear" w:color="auto" w:fill="FFFFFF"/>
          </w:tcPr>
          <w:p w14:paraId="6D9E470A" w14:textId="77777777" w:rsidR="00482D57" w:rsidRPr="00AB34C7" w:rsidRDefault="00482D57" w:rsidP="00507D72">
            <w:pPr>
              <w:keepNext/>
              <w:jc w:val="center"/>
              <w:rPr>
                <w:rFonts w:ascii="Arial Narrow" w:hAnsi="Arial Narrow"/>
                <w:b/>
                <w:iCs/>
                <w:sz w:val="20"/>
                <w:szCs w:val="20"/>
              </w:rPr>
            </w:pPr>
            <w:r w:rsidRPr="00AB34C7">
              <w:rPr>
                <w:rFonts w:ascii="Arial Narrow" w:hAnsi="Arial Narrow"/>
                <w:b/>
                <w:iCs/>
                <w:sz w:val="20"/>
                <w:szCs w:val="20"/>
              </w:rPr>
              <w:t>N=238</w:t>
            </w:r>
          </w:p>
        </w:tc>
      </w:tr>
      <w:tr w:rsidR="00482D57" w:rsidRPr="00AB34C7" w14:paraId="62E2B91F" w14:textId="77777777" w:rsidTr="00507D72">
        <w:tc>
          <w:tcPr>
            <w:tcW w:w="863" w:type="pct"/>
            <w:tcBorders>
              <w:top w:val="single" w:sz="4" w:space="0" w:color="auto"/>
              <w:bottom w:val="single" w:sz="4" w:space="0" w:color="auto"/>
              <w:right w:val="single" w:sz="4" w:space="0" w:color="auto"/>
            </w:tcBorders>
            <w:vAlign w:val="center"/>
          </w:tcPr>
          <w:p w14:paraId="767B196C" w14:textId="77777777" w:rsidR="00482D57" w:rsidRPr="00AB34C7" w:rsidRDefault="00482D57" w:rsidP="00507D72">
            <w:pPr>
              <w:keepNext/>
              <w:jc w:val="left"/>
              <w:rPr>
                <w:rFonts w:ascii="Arial Narrow" w:hAnsi="Arial Narrow"/>
                <w:sz w:val="20"/>
                <w:szCs w:val="20"/>
              </w:rPr>
            </w:pPr>
            <w:r w:rsidRPr="00AB34C7">
              <w:rPr>
                <w:rFonts w:ascii="Arial Narrow" w:hAnsi="Arial Narrow"/>
                <w:sz w:val="20"/>
                <w:szCs w:val="20"/>
              </w:rPr>
              <w:t>Median follow-up, months (range)</w:t>
            </w:r>
          </w:p>
        </w:tc>
        <w:tc>
          <w:tcPr>
            <w:tcW w:w="517" w:type="pct"/>
            <w:tcBorders>
              <w:left w:val="single" w:sz="4" w:space="0" w:color="auto"/>
              <w:right w:val="single" w:sz="4" w:space="0" w:color="auto"/>
            </w:tcBorders>
            <w:shd w:val="clear" w:color="auto" w:fill="FFFFFF"/>
          </w:tcPr>
          <w:p w14:paraId="6B8B2E8E"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 xml:space="preserve">52.1 </w:t>
            </w:r>
          </w:p>
          <w:p w14:paraId="5585F432"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(1.7-56.4)</w:t>
            </w:r>
          </w:p>
        </w:tc>
        <w:tc>
          <w:tcPr>
            <w:tcW w:w="519" w:type="pct"/>
            <w:tcBorders>
              <w:left w:val="single" w:sz="4" w:space="0" w:color="auto"/>
              <w:right w:val="single" w:sz="4" w:space="0" w:color="auto"/>
            </w:tcBorders>
            <w:shd w:val="clear" w:color="auto" w:fill="FFFFFF"/>
          </w:tcPr>
          <w:p w14:paraId="0EF610B0"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 xml:space="preserve">51.9 </w:t>
            </w:r>
          </w:p>
          <w:p w14:paraId="10EAE058"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(5.1-57.8)</w:t>
            </w:r>
          </w:p>
        </w:tc>
        <w:tc>
          <w:tcPr>
            <w:tcW w:w="517" w:type="pct"/>
            <w:tcBorders>
              <w:left w:val="single" w:sz="4" w:space="0" w:color="auto"/>
              <w:right w:val="single" w:sz="4" w:space="0" w:color="auto"/>
            </w:tcBorders>
            <w:shd w:val="clear" w:color="auto" w:fill="FFFFFF"/>
          </w:tcPr>
          <w:p w14:paraId="1DAD507C"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 xml:space="preserve">55.7 </w:t>
            </w:r>
          </w:p>
          <w:p w14:paraId="1CF56796"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(0.8-61.2)</w:t>
            </w:r>
          </w:p>
        </w:tc>
        <w:tc>
          <w:tcPr>
            <w:tcW w:w="1034" w:type="pct"/>
            <w:gridSpan w:val="2"/>
            <w:tcBorders>
              <w:left w:val="single" w:sz="4" w:space="0" w:color="auto"/>
              <w:right w:val="single" w:sz="4" w:space="0" w:color="auto"/>
            </w:tcBorders>
            <w:shd w:val="clear" w:color="auto" w:fill="FFFFFF"/>
            <w:vAlign w:val="center"/>
          </w:tcPr>
          <w:p w14:paraId="0D93A45C"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65.4 (IQR 52.6-69.4)</w:t>
            </w:r>
          </w:p>
        </w:tc>
        <w:tc>
          <w:tcPr>
            <w:tcW w:w="1034" w:type="pct"/>
            <w:gridSpan w:val="2"/>
            <w:tcBorders>
              <w:left w:val="single" w:sz="4" w:space="0" w:color="auto"/>
              <w:right w:val="single" w:sz="4" w:space="0" w:color="auto"/>
            </w:tcBorders>
            <w:shd w:val="clear" w:color="auto" w:fill="FFFFFF"/>
            <w:vAlign w:val="center"/>
          </w:tcPr>
          <w:p w14:paraId="7415201B"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43.7 (0-60.0)</w:t>
            </w:r>
          </w:p>
        </w:tc>
        <w:tc>
          <w:tcPr>
            <w:tcW w:w="516" w:type="pct"/>
            <w:tcBorders>
              <w:left w:val="single" w:sz="4" w:space="0" w:color="auto"/>
              <w:right w:val="single" w:sz="4" w:space="0" w:color="auto"/>
            </w:tcBorders>
            <w:shd w:val="clear" w:color="auto" w:fill="FFFFFF"/>
            <w:vAlign w:val="center"/>
          </w:tcPr>
          <w:p w14:paraId="697D9EF9"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 xml:space="preserve">47.9 </w:t>
            </w:r>
          </w:p>
          <w:p w14:paraId="13489758"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(5.0-56.9)</w:t>
            </w:r>
          </w:p>
        </w:tc>
      </w:tr>
      <w:tr w:rsidR="00482D57" w:rsidRPr="00AB34C7" w14:paraId="55D1E8E7" w14:textId="77777777" w:rsidTr="00507D72">
        <w:tc>
          <w:tcPr>
            <w:tcW w:w="863" w:type="pct"/>
            <w:tcBorders>
              <w:top w:val="single" w:sz="4" w:space="0" w:color="auto"/>
              <w:right w:val="single" w:sz="4" w:space="0" w:color="auto"/>
            </w:tcBorders>
            <w:vAlign w:val="center"/>
          </w:tcPr>
          <w:p w14:paraId="2EE4D645" w14:textId="77777777" w:rsidR="00482D57" w:rsidRPr="00AB34C7" w:rsidRDefault="00482D57" w:rsidP="00507D72">
            <w:pPr>
              <w:keepNext/>
              <w:jc w:val="left"/>
              <w:rPr>
                <w:rFonts w:ascii="Arial Narrow" w:hAnsi="Arial Narrow"/>
                <w:sz w:val="20"/>
                <w:szCs w:val="20"/>
              </w:rPr>
            </w:pPr>
            <w:r w:rsidRPr="00AB34C7">
              <w:rPr>
                <w:rFonts w:ascii="Arial Narrow" w:hAnsi="Arial Narrow"/>
                <w:sz w:val="20"/>
                <w:szCs w:val="20"/>
              </w:rPr>
              <w:t>Events, n (%)</w:t>
            </w:r>
          </w:p>
          <w:p w14:paraId="1BFCE026" w14:textId="77777777" w:rsidR="00482D57" w:rsidRPr="00AB34C7" w:rsidRDefault="00482D57" w:rsidP="00507D72">
            <w:pPr>
              <w:keepNext/>
              <w:ind w:left="357" w:hanging="357"/>
              <w:jc w:val="left"/>
              <w:rPr>
                <w:rFonts w:ascii="Arial Narrow" w:hAnsi="Arial Narrow"/>
                <w:sz w:val="20"/>
                <w:szCs w:val="20"/>
              </w:rPr>
            </w:pPr>
            <w:r w:rsidRPr="00AB34C7">
              <w:rPr>
                <w:rFonts w:ascii="Arial Narrow" w:hAnsi="Arial Narrow"/>
                <w:sz w:val="20"/>
                <w:szCs w:val="20"/>
              </w:rPr>
              <w:t>- Progression</w:t>
            </w:r>
          </w:p>
          <w:p w14:paraId="4F2FC56E" w14:textId="77777777" w:rsidR="00482D57" w:rsidRPr="00AB34C7" w:rsidRDefault="00482D57" w:rsidP="00507D72">
            <w:pPr>
              <w:keepNext/>
              <w:ind w:left="357" w:hanging="357"/>
              <w:jc w:val="left"/>
              <w:rPr>
                <w:rFonts w:ascii="Arial Narrow" w:hAnsi="Arial Narrow"/>
                <w:sz w:val="20"/>
                <w:szCs w:val="20"/>
              </w:rPr>
            </w:pPr>
            <w:r w:rsidRPr="00AB34C7">
              <w:rPr>
                <w:rFonts w:ascii="Arial Narrow" w:hAnsi="Arial Narrow"/>
                <w:sz w:val="20"/>
                <w:szCs w:val="20"/>
              </w:rPr>
              <w:t>- Death</w:t>
            </w:r>
          </w:p>
        </w:tc>
        <w:tc>
          <w:tcPr>
            <w:tcW w:w="517" w:type="pct"/>
            <w:tcBorders>
              <w:left w:val="single" w:sz="4" w:space="0" w:color="auto"/>
              <w:right w:val="single" w:sz="4" w:space="0" w:color="auto"/>
            </w:tcBorders>
            <w:shd w:val="clear" w:color="auto" w:fill="FFFFFF"/>
          </w:tcPr>
          <w:p w14:paraId="76B5EC91"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33 (31.1)</w:t>
            </w:r>
          </w:p>
          <w:p w14:paraId="3C416E30"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20 (18.9)</w:t>
            </w:r>
          </w:p>
          <w:p w14:paraId="352CF67D"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13 (12.3)</w:t>
            </w:r>
          </w:p>
        </w:tc>
        <w:tc>
          <w:tcPr>
            <w:tcW w:w="519" w:type="pct"/>
            <w:tcBorders>
              <w:left w:val="single" w:sz="4" w:space="0" w:color="auto"/>
              <w:right w:val="single" w:sz="4" w:space="0" w:color="auto"/>
            </w:tcBorders>
            <w:shd w:val="clear" w:color="auto" w:fill="FFFFFF"/>
          </w:tcPr>
          <w:p w14:paraId="18F8E517"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83 (79.0)</w:t>
            </w:r>
          </w:p>
          <w:p w14:paraId="1F79685E"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75 (71.4)</w:t>
            </w:r>
          </w:p>
          <w:p w14:paraId="0FA59CCB"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8 (7.6)</w:t>
            </w:r>
          </w:p>
        </w:tc>
        <w:tc>
          <w:tcPr>
            <w:tcW w:w="517" w:type="pct"/>
            <w:tcBorders>
              <w:left w:val="single" w:sz="4" w:space="0" w:color="auto"/>
              <w:right w:val="single" w:sz="4" w:space="0" w:color="auto"/>
            </w:tcBorders>
            <w:shd w:val="clear" w:color="auto" w:fill="FFFFFF"/>
          </w:tcPr>
          <w:p w14:paraId="5F7CC587"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48 (30.2)</w:t>
            </w:r>
          </w:p>
          <w:p w14:paraId="50B2A535"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45 (28.3)</w:t>
            </w:r>
          </w:p>
          <w:p w14:paraId="7078C1EF"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3 (1.9)</w:t>
            </w:r>
          </w:p>
        </w:tc>
        <w:tc>
          <w:tcPr>
            <w:tcW w:w="517" w:type="pct"/>
            <w:tcBorders>
              <w:left w:val="single" w:sz="4" w:space="0" w:color="auto"/>
              <w:right w:val="single" w:sz="4" w:space="0" w:color="auto"/>
            </w:tcBorders>
            <w:shd w:val="clear" w:color="auto" w:fill="FFFFFF"/>
          </w:tcPr>
          <w:p w14:paraId="32CB227B" w14:textId="77777777" w:rsidR="00E832AF" w:rsidRPr="00AB34C7" w:rsidRDefault="00E832AF" w:rsidP="00E832AF">
            <w:pPr>
              <w:keepNext/>
              <w:jc w:val="center"/>
              <w:rPr>
                <w:rFonts w:ascii="Arial Narrow" w:hAnsi="Arial Narrow"/>
                <w:iCs/>
                <w:sz w:val="20"/>
                <w:szCs w:val="20"/>
              </w:rPr>
            </w:pPr>
            <w:r w:rsidRPr="00AB34C7">
              <w:rPr>
                <w:rFonts w:ascii="Arial Narrow" w:hAnsi="Arial Narrow"/>
                <w:iCs/>
                <w:sz w:val="20"/>
                <w:szCs w:val="20"/>
              </w:rPr>
              <w:t>80 (37.0)</w:t>
            </w:r>
          </w:p>
          <w:p w14:paraId="35F685C0" w14:textId="77777777" w:rsidR="00E832AF" w:rsidRPr="00AB34C7" w:rsidRDefault="00E832AF" w:rsidP="00E832AF">
            <w:pPr>
              <w:keepNext/>
              <w:jc w:val="center"/>
              <w:rPr>
                <w:rFonts w:ascii="Arial Narrow" w:hAnsi="Arial Narrow"/>
                <w:iCs/>
                <w:sz w:val="20"/>
                <w:szCs w:val="20"/>
              </w:rPr>
            </w:pPr>
            <w:r w:rsidRPr="00AB34C7">
              <w:rPr>
                <w:rFonts w:ascii="Arial Narrow" w:hAnsi="Arial Narrow"/>
                <w:iCs/>
                <w:sz w:val="20"/>
                <w:szCs w:val="20"/>
              </w:rPr>
              <w:t>52 (24.1)</w:t>
            </w:r>
          </w:p>
          <w:p w14:paraId="048417E3" w14:textId="2DAD3E4D" w:rsidR="00482D57" w:rsidRPr="00AB34C7" w:rsidRDefault="00E832AF" w:rsidP="00507D72">
            <w:pPr>
              <w:keepNext/>
              <w:jc w:val="center"/>
              <w:rPr>
                <w:rFonts w:ascii="Arial Narrow" w:hAnsi="Arial Narrow"/>
                <w:iCs/>
                <w:sz w:val="20"/>
                <w:szCs w:val="20"/>
              </w:rPr>
            </w:pPr>
            <w:r w:rsidRPr="00AB34C7">
              <w:rPr>
                <w:rFonts w:ascii="Arial Narrow" w:hAnsi="Arial Narrow"/>
                <w:iCs/>
                <w:sz w:val="20"/>
                <w:szCs w:val="20"/>
              </w:rPr>
              <w:t>28 (13.0)</w:t>
            </w:r>
          </w:p>
        </w:tc>
        <w:tc>
          <w:tcPr>
            <w:tcW w:w="517" w:type="pct"/>
            <w:tcBorders>
              <w:left w:val="single" w:sz="4" w:space="0" w:color="auto"/>
              <w:right w:val="single" w:sz="4" w:space="0" w:color="auto"/>
            </w:tcBorders>
            <w:shd w:val="clear" w:color="auto" w:fill="FFFFFF"/>
          </w:tcPr>
          <w:p w14:paraId="116955F7" w14:textId="77777777" w:rsidR="00E832AF" w:rsidRPr="00AB34C7" w:rsidRDefault="00E832AF" w:rsidP="00E832AF">
            <w:pPr>
              <w:keepNext/>
              <w:jc w:val="center"/>
              <w:rPr>
                <w:rFonts w:ascii="Arial Narrow" w:hAnsi="Arial Narrow"/>
                <w:iCs/>
                <w:sz w:val="20"/>
                <w:szCs w:val="20"/>
              </w:rPr>
            </w:pPr>
            <w:r w:rsidRPr="00AB34C7">
              <w:rPr>
                <w:rFonts w:ascii="Arial Narrow" w:hAnsi="Arial Narrow"/>
                <w:iCs/>
                <w:sz w:val="20"/>
                <w:szCs w:val="20"/>
              </w:rPr>
              <w:t>150 (69.4)</w:t>
            </w:r>
          </w:p>
          <w:p w14:paraId="1113A65F" w14:textId="77777777" w:rsidR="00E832AF" w:rsidRPr="00AB34C7" w:rsidRDefault="00E832AF" w:rsidP="00E832AF">
            <w:pPr>
              <w:keepNext/>
              <w:jc w:val="center"/>
              <w:rPr>
                <w:rFonts w:ascii="Arial Narrow" w:hAnsi="Arial Narrow"/>
                <w:iCs/>
                <w:sz w:val="20"/>
                <w:szCs w:val="20"/>
              </w:rPr>
            </w:pPr>
            <w:r w:rsidRPr="00AB34C7">
              <w:rPr>
                <w:rFonts w:ascii="Arial Narrow" w:hAnsi="Arial Narrow"/>
                <w:iCs/>
                <w:sz w:val="20"/>
                <w:szCs w:val="20"/>
              </w:rPr>
              <w:t>132 (61.1)</w:t>
            </w:r>
          </w:p>
          <w:p w14:paraId="193B72A4" w14:textId="2B41EA96" w:rsidR="00482D57" w:rsidRPr="00AB34C7" w:rsidRDefault="00E832AF" w:rsidP="00507D72">
            <w:pPr>
              <w:keepNext/>
              <w:jc w:val="center"/>
              <w:rPr>
                <w:rFonts w:ascii="Arial Narrow" w:hAnsi="Arial Narrow"/>
                <w:iCs/>
                <w:sz w:val="20"/>
                <w:szCs w:val="20"/>
              </w:rPr>
            </w:pPr>
            <w:r w:rsidRPr="00AB34C7">
              <w:rPr>
                <w:rFonts w:ascii="Arial Narrow" w:hAnsi="Arial Narrow"/>
                <w:iCs/>
                <w:sz w:val="20"/>
                <w:szCs w:val="20"/>
              </w:rPr>
              <w:t>18 (8.3)</w:t>
            </w:r>
          </w:p>
        </w:tc>
        <w:tc>
          <w:tcPr>
            <w:tcW w:w="517" w:type="pct"/>
            <w:tcBorders>
              <w:left w:val="single" w:sz="4" w:space="0" w:color="auto"/>
              <w:right w:val="single" w:sz="4" w:space="0" w:color="auto"/>
            </w:tcBorders>
            <w:shd w:val="clear" w:color="auto" w:fill="FFFFFF"/>
          </w:tcPr>
          <w:p w14:paraId="18A9B361"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NR</w:t>
            </w:r>
          </w:p>
          <w:p w14:paraId="415353C0"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NR</w:t>
            </w:r>
          </w:p>
          <w:p w14:paraId="34C0B97A"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NR</w:t>
            </w:r>
          </w:p>
        </w:tc>
        <w:tc>
          <w:tcPr>
            <w:tcW w:w="517" w:type="pct"/>
            <w:tcBorders>
              <w:left w:val="single" w:sz="4" w:space="0" w:color="auto"/>
              <w:right w:val="single" w:sz="4" w:space="0" w:color="auto"/>
            </w:tcBorders>
            <w:shd w:val="clear" w:color="auto" w:fill="FFFFFF"/>
          </w:tcPr>
          <w:p w14:paraId="60985728"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NR</w:t>
            </w:r>
          </w:p>
          <w:p w14:paraId="4F549191"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NR</w:t>
            </w:r>
          </w:p>
          <w:p w14:paraId="7A614110"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NR</w:t>
            </w:r>
          </w:p>
        </w:tc>
        <w:tc>
          <w:tcPr>
            <w:tcW w:w="516" w:type="pct"/>
            <w:tcBorders>
              <w:left w:val="single" w:sz="4" w:space="0" w:color="auto"/>
              <w:right w:val="single" w:sz="4" w:space="0" w:color="auto"/>
            </w:tcBorders>
            <w:shd w:val="clear" w:color="auto" w:fill="FFFFFF"/>
          </w:tcPr>
          <w:p w14:paraId="0009F768"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NR</w:t>
            </w:r>
          </w:p>
          <w:p w14:paraId="1964F62C"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NR</w:t>
            </w:r>
          </w:p>
          <w:p w14:paraId="5144C1F6"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NR</w:t>
            </w:r>
          </w:p>
        </w:tc>
      </w:tr>
      <w:tr w:rsidR="00482D57" w:rsidRPr="00AB34C7" w14:paraId="7B084755" w14:textId="77777777" w:rsidTr="00507D72">
        <w:tc>
          <w:tcPr>
            <w:tcW w:w="863" w:type="pct"/>
            <w:tcBorders>
              <w:right w:val="single" w:sz="4" w:space="0" w:color="auto"/>
            </w:tcBorders>
            <w:vAlign w:val="center"/>
          </w:tcPr>
          <w:p w14:paraId="70E0DB2E" w14:textId="77777777" w:rsidR="00482D57" w:rsidRPr="00AB34C7" w:rsidRDefault="00482D57" w:rsidP="00507D72">
            <w:pPr>
              <w:keepNext/>
              <w:jc w:val="left"/>
              <w:rPr>
                <w:rFonts w:ascii="Arial Narrow" w:hAnsi="Arial Narrow"/>
                <w:iCs/>
                <w:sz w:val="20"/>
                <w:szCs w:val="20"/>
              </w:rPr>
            </w:pPr>
            <w:r w:rsidRPr="00AB34C7">
              <w:rPr>
                <w:rFonts w:ascii="Arial Narrow" w:hAnsi="Arial Narrow"/>
                <w:sz w:val="20"/>
                <w:szCs w:val="20"/>
              </w:rPr>
              <w:t>Median PFS, months (95% CI)</w:t>
            </w:r>
          </w:p>
        </w:tc>
        <w:tc>
          <w:tcPr>
            <w:tcW w:w="517" w:type="pct"/>
            <w:tcBorders>
              <w:left w:val="single" w:sz="4" w:space="0" w:color="auto"/>
              <w:right w:val="single" w:sz="4" w:space="0" w:color="auto"/>
            </w:tcBorders>
            <w:shd w:val="clear" w:color="auto" w:fill="FFFFFF"/>
          </w:tcPr>
          <w:p w14:paraId="7D4557D0"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 xml:space="preserve">54.1 </w:t>
            </w:r>
          </w:p>
          <w:p w14:paraId="6846BA2D"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(54.1, NE)</w:t>
            </w:r>
          </w:p>
        </w:tc>
        <w:tc>
          <w:tcPr>
            <w:tcW w:w="519" w:type="pct"/>
            <w:tcBorders>
              <w:left w:val="single" w:sz="4" w:space="0" w:color="auto"/>
              <w:right w:val="single" w:sz="4" w:space="0" w:color="auto"/>
            </w:tcBorders>
            <w:shd w:val="clear" w:color="auto" w:fill="FFFFFF"/>
          </w:tcPr>
          <w:p w14:paraId="7C6134AC"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 xml:space="preserve">23.0 </w:t>
            </w:r>
          </w:p>
          <w:p w14:paraId="382EB301"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(16.9, 31.2)</w:t>
            </w:r>
          </w:p>
        </w:tc>
        <w:tc>
          <w:tcPr>
            <w:tcW w:w="517" w:type="pct"/>
            <w:tcBorders>
              <w:left w:val="single" w:sz="4" w:space="0" w:color="auto"/>
              <w:right w:val="single" w:sz="4" w:space="0" w:color="auto"/>
            </w:tcBorders>
            <w:shd w:val="clear" w:color="auto" w:fill="FFFFFF"/>
          </w:tcPr>
          <w:p w14:paraId="72960567"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 xml:space="preserve">61.2 </w:t>
            </w:r>
          </w:p>
          <w:p w14:paraId="005A2AAC"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(58.7, NE)</w:t>
            </w:r>
          </w:p>
        </w:tc>
        <w:tc>
          <w:tcPr>
            <w:tcW w:w="517" w:type="pct"/>
            <w:tcBorders>
              <w:left w:val="single" w:sz="4" w:space="0" w:color="auto"/>
              <w:right w:val="single" w:sz="4" w:space="0" w:color="auto"/>
            </w:tcBorders>
            <w:shd w:val="clear" w:color="auto" w:fill="FFFFFF"/>
            <w:vAlign w:val="center"/>
          </w:tcPr>
          <w:p w14:paraId="1E23AB7A"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76.2 (NR)</w:t>
            </w:r>
          </w:p>
        </w:tc>
        <w:tc>
          <w:tcPr>
            <w:tcW w:w="517" w:type="pct"/>
            <w:tcBorders>
              <w:left w:val="single" w:sz="4" w:space="0" w:color="auto"/>
              <w:right w:val="single" w:sz="4" w:space="0" w:color="auto"/>
            </w:tcBorders>
            <w:shd w:val="clear" w:color="auto" w:fill="FFFFFF"/>
            <w:vAlign w:val="center"/>
          </w:tcPr>
          <w:p w14:paraId="59763A7E"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36.4 (NR)</w:t>
            </w:r>
          </w:p>
        </w:tc>
        <w:tc>
          <w:tcPr>
            <w:tcW w:w="517" w:type="pct"/>
            <w:tcBorders>
              <w:left w:val="single" w:sz="4" w:space="0" w:color="auto"/>
              <w:right w:val="single" w:sz="4" w:space="0" w:color="auto"/>
            </w:tcBorders>
            <w:shd w:val="clear" w:color="auto" w:fill="FFFFFF"/>
            <w:vAlign w:val="center"/>
          </w:tcPr>
          <w:p w14:paraId="27AECD77"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NE (NR)</w:t>
            </w:r>
          </w:p>
        </w:tc>
        <w:tc>
          <w:tcPr>
            <w:tcW w:w="517" w:type="pct"/>
            <w:tcBorders>
              <w:left w:val="single" w:sz="4" w:space="0" w:color="auto"/>
              <w:right w:val="single" w:sz="4" w:space="0" w:color="auto"/>
            </w:tcBorders>
            <w:shd w:val="clear" w:color="auto" w:fill="FFFFFF"/>
            <w:vAlign w:val="center"/>
          </w:tcPr>
          <w:p w14:paraId="780D11F6"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NE (NR)</w:t>
            </w:r>
          </w:p>
        </w:tc>
        <w:tc>
          <w:tcPr>
            <w:tcW w:w="516" w:type="pct"/>
            <w:tcBorders>
              <w:left w:val="single" w:sz="4" w:space="0" w:color="auto"/>
              <w:right w:val="single" w:sz="4" w:space="0" w:color="auto"/>
            </w:tcBorders>
            <w:shd w:val="clear" w:color="auto" w:fill="FFFFFF"/>
            <w:vAlign w:val="center"/>
          </w:tcPr>
          <w:p w14:paraId="2877125D"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42.2 (NR)</w:t>
            </w:r>
          </w:p>
        </w:tc>
      </w:tr>
      <w:tr w:rsidR="00482D57" w:rsidRPr="00AB34C7" w14:paraId="7C301427" w14:textId="77777777" w:rsidTr="00507D72">
        <w:tc>
          <w:tcPr>
            <w:tcW w:w="863" w:type="pct"/>
            <w:tcBorders>
              <w:right w:val="single" w:sz="4" w:space="0" w:color="auto"/>
            </w:tcBorders>
            <w:vAlign w:val="center"/>
          </w:tcPr>
          <w:p w14:paraId="07A58803" w14:textId="77777777" w:rsidR="00482D57" w:rsidRPr="00AB34C7" w:rsidRDefault="00482D57" w:rsidP="00507D72">
            <w:pPr>
              <w:keepNext/>
              <w:jc w:val="left"/>
              <w:rPr>
                <w:rFonts w:ascii="Arial Narrow" w:hAnsi="Arial Narrow"/>
                <w:sz w:val="20"/>
                <w:szCs w:val="20"/>
              </w:rPr>
            </w:pPr>
            <w:r w:rsidRPr="00AB34C7">
              <w:rPr>
                <w:rFonts w:ascii="Arial Narrow" w:hAnsi="Arial Narrow"/>
                <w:sz w:val="20"/>
                <w:szCs w:val="20"/>
              </w:rPr>
              <w:t>HR vs comparator (95% CI)</w:t>
            </w:r>
          </w:p>
        </w:tc>
        <w:tc>
          <w:tcPr>
            <w:tcW w:w="517" w:type="pct"/>
            <w:tcBorders>
              <w:left w:val="single" w:sz="4" w:space="0" w:color="auto"/>
              <w:right w:val="single" w:sz="4" w:space="0" w:color="auto"/>
            </w:tcBorders>
            <w:shd w:val="clear" w:color="auto" w:fill="FFFFFF"/>
          </w:tcPr>
          <w:p w14:paraId="745F7F94" w14:textId="77777777" w:rsidR="00482D57" w:rsidRPr="00AB34C7" w:rsidRDefault="00482D57" w:rsidP="00507D72">
            <w:pPr>
              <w:keepNext/>
              <w:jc w:val="center"/>
              <w:rPr>
                <w:rFonts w:ascii="Arial Narrow" w:hAnsi="Arial Narrow"/>
                <w:b/>
                <w:bCs/>
                <w:iCs/>
                <w:sz w:val="20"/>
                <w:szCs w:val="20"/>
              </w:rPr>
            </w:pPr>
            <w:r w:rsidRPr="00AB34C7">
              <w:rPr>
                <w:rFonts w:ascii="Arial Narrow" w:hAnsi="Arial Narrow"/>
                <w:b/>
                <w:bCs/>
                <w:iCs/>
                <w:sz w:val="20"/>
                <w:szCs w:val="20"/>
              </w:rPr>
              <w:t xml:space="preserve">0.23 </w:t>
            </w:r>
          </w:p>
          <w:p w14:paraId="0EAE3C37" w14:textId="77777777" w:rsidR="00482D57" w:rsidRPr="00AB34C7" w:rsidRDefault="00482D57" w:rsidP="00507D72">
            <w:pPr>
              <w:keepNext/>
              <w:jc w:val="center"/>
              <w:rPr>
                <w:rFonts w:ascii="Arial Narrow" w:hAnsi="Arial Narrow"/>
                <w:b/>
                <w:bCs/>
                <w:iCs/>
                <w:sz w:val="20"/>
                <w:szCs w:val="20"/>
              </w:rPr>
            </w:pPr>
            <w:r w:rsidRPr="00AB34C7">
              <w:rPr>
                <w:rFonts w:ascii="Arial Narrow" w:hAnsi="Arial Narrow"/>
                <w:b/>
                <w:bCs/>
                <w:iCs/>
                <w:sz w:val="20"/>
                <w:szCs w:val="20"/>
              </w:rPr>
              <w:t>(0.15, 0.35)</w:t>
            </w:r>
          </w:p>
        </w:tc>
        <w:tc>
          <w:tcPr>
            <w:tcW w:w="519" w:type="pct"/>
            <w:tcBorders>
              <w:left w:val="single" w:sz="4" w:space="0" w:color="auto"/>
              <w:right w:val="single" w:sz="4" w:space="0" w:color="auto"/>
            </w:tcBorders>
            <w:shd w:val="clear" w:color="auto" w:fill="FFFFFF"/>
            <w:vAlign w:val="center"/>
          </w:tcPr>
          <w:p w14:paraId="4D48CFBD"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w:t>
            </w:r>
          </w:p>
        </w:tc>
        <w:tc>
          <w:tcPr>
            <w:tcW w:w="517" w:type="pct"/>
            <w:tcBorders>
              <w:left w:val="single" w:sz="4" w:space="0" w:color="auto"/>
              <w:right w:val="single" w:sz="4" w:space="0" w:color="auto"/>
            </w:tcBorders>
            <w:shd w:val="clear" w:color="auto" w:fill="FFFFFF"/>
            <w:vAlign w:val="center"/>
          </w:tcPr>
          <w:p w14:paraId="7D56639E"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w:t>
            </w:r>
          </w:p>
        </w:tc>
        <w:tc>
          <w:tcPr>
            <w:tcW w:w="517" w:type="pct"/>
            <w:tcBorders>
              <w:left w:val="single" w:sz="4" w:space="0" w:color="auto"/>
              <w:right w:val="single" w:sz="4" w:space="0" w:color="auto"/>
            </w:tcBorders>
            <w:shd w:val="clear" w:color="auto" w:fill="FFFFFF"/>
            <w:vAlign w:val="center"/>
          </w:tcPr>
          <w:p w14:paraId="76389C0E" w14:textId="77777777" w:rsidR="00482D57" w:rsidRPr="00AB34C7" w:rsidRDefault="00482D57" w:rsidP="00507D72">
            <w:pPr>
              <w:keepNext/>
              <w:jc w:val="center"/>
              <w:rPr>
                <w:rFonts w:ascii="Arial Narrow" w:hAnsi="Arial Narrow"/>
                <w:b/>
                <w:bCs/>
                <w:iCs/>
                <w:sz w:val="20"/>
                <w:szCs w:val="20"/>
              </w:rPr>
            </w:pPr>
            <w:r w:rsidRPr="00AB34C7">
              <w:rPr>
                <w:rFonts w:ascii="Arial Narrow" w:hAnsi="Arial Narrow"/>
                <w:b/>
                <w:bCs/>
                <w:iCs/>
                <w:sz w:val="20"/>
                <w:szCs w:val="20"/>
              </w:rPr>
              <w:t xml:space="preserve">0.35 </w:t>
            </w:r>
          </w:p>
          <w:p w14:paraId="74C7C86F" w14:textId="77777777" w:rsidR="00482D57" w:rsidRPr="00AB34C7" w:rsidRDefault="00482D57" w:rsidP="00507D72">
            <w:pPr>
              <w:keepNext/>
              <w:jc w:val="center"/>
              <w:rPr>
                <w:rFonts w:ascii="Arial Narrow" w:hAnsi="Arial Narrow"/>
                <w:b/>
                <w:bCs/>
                <w:iCs/>
                <w:sz w:val="20"/>
                <w:szCs w:val="20"/>
              </w:rPr>
            </w:pPr>
            <w:r w:rsidRPr="00AB34C7">
              <w:rPr>
                <w:rFonts w:ascii="Arial Narrow" w:hAnsi="Arial Narrow"/>
                <w:b/>
                <w:bCs/>
                <w:iCs/>
                <w:sz w:val="20"/>
                <w:szCs w:val="20"/>
              </w:rPr>
              <w:t>(0.26, 0.46)</w:t>
            </w:r>
          </w:p>
        </w:tc>
        <w:tc>
          <w:tcPr>
            <w:tcW w:w="517" w:type="pct"/>
            <w:tcBorders>
              <w:left w:val="single" w:sz="4" w:space="0" w:color="auto"/>
              <w:right w:val="single" w:sz="4" w:space="0" w:color="auto"/>
            </w:tcBorders>
            <w:shd w:val="clear" w:color="auto" w:fill="FFFFFF"/>
            <w:vAlign w:val="center"/>
          </w:tcPr>
          <w:p w14:paraId="2F613433" w14:textId="77777777" w:rsidR="00482D57" w:rsidRPr="00AB34C7" w:rsidRDefault="00482D57" w:rsidP="00507D72">
            <w:pPr>
              <w:keepNext/>
              <w:jc w:val="center"/>
              <w:rPr>
                <w:rFonts w:ascii="Arial Narrow" w:hAnsi="Arial Narrow"/>
                <w:b/>
                <w:bCs/>
                <w:iCs/>
                <w:sz w:val="20"/>
                <w:szCs w:val="20"/>
              </w:rPr>
            </w:pPr>
            <w:r w:rsidRPr="00AB34C7">
              <w:rPr>
                <w:rFonts w:ascii="Arial Narrow" w:hAnsi="Arial Narrow"/>
                <w:b/>
                <w:bCs/>
                <w:iCs/>
                <w:sz w:val="20"/>
                <w:szCs w:val="20"/>
              </w:rPr>
              <w:t>-</w:t>
            </w:r>
          </w:p>
        </w:tc>
        <w:tc>
          <w:tcPr>
            <w:tcW w:w="1034" w:type="pct"/>
            <w:gridSpan w:val="2"/>
            <w:tcBorders>
              <w:left w:val="single" w:sz="4" w:space="0" w:color="auto"/>
              <w:right w:val="single" w:sz="4" w:space="0" w:color="auto"/>
            </w:tcBorders>
            <w:shd w:val="clear" w:color="auto" w:fill="FFFFFF"/>
          </w:tcPr>
          <w:p w14:paraId="3F1C5554" w14:textId="77777777" w:rsidR="00482D57" w:rsidRPr="00AB34C7" w:rsidRDefault="00482D57" w:rsidP="00507D72">
            <w:pPr>
              <w:keepNext/>
              <w:jc w:val="center"/>
              <w:rPr>
                <w:rFonts w:ascii="Arial Narrow" w:hAnsi="Arial Narrow"/>
                <w:b/>
                <w:bCs/>
                <w:iCs/>
                <w:sz w:val="20"/>
                <w:szCs w:val="20"/>
              </w:rPr>
            </w:pPr>
            <w:r w:rsidRPr="00AB34C7">
              <w:rPr>
                <w:rFonts w:ascii="Arial Narrow" w:hAnsi="Arial Narrow"/>
                <w:b/>
                <w:bCs/>
                <w:iCs/>
                <w:sz w:val="20"/>
                <w:szCs w:val="20"/>
              </w:rPr>
              <w:t>0.30</w:t>
            </w:r>
          </w:p>
          <w:p w14:paraId="3D025853" w14:textId="77777777" w:rsidR="00482D57" w:rsidRPr="00AB34C7" w:rsidRDefault="00482D57" w:rsidP="00507D72">
            <w:pPr>
              <w:keepNext/>
              <w:jc w:val="center"/>
              <w:rPr>
                <w:rFonts w:ascii="Arial Narrow" w:hAnsi="Arial Narrow"/>
                <w:b/>
                <w:bCs/>
                <w:iCs/>
                <w:sz w:val="20"/>
                <w:szCs w:val="20"/>
              </w:rPr>
            </w:pPr>
            <w:r w:rsidRPr="00AB34C7">
              <w:rPr>
                <w:rFonts w:ascii="Arial Narrow" w:hAnsi="Arial Narrow"/>
                <w:b/>
                <w:bCs/>
                <w:iCs/>
                <w:sz w:val="20"/>
                <w:szCs w:val="20"/>
              </w:rPr>
              <w:t>(0.21, 0.43)</w:t>
            </w:r>
          </w:p>
        </w:tc>
        <w:tc>
          <w:tcPr>
            <w:tcW w:w="516" w:type="pct"/>
            <w:tcBorders>
              <w:left w:val="single" w:sz="4" w:space="0" w:color="auto"/>
              <w:right w:val="single" w:sz="4" w:space="0" w:color="auto"/>
            </w:tcBorders>
            <w:shd w:val="clear" w:color="auto" w:fill="FFFFFF"/>
            <w:vAlign w:val="center"/>
          </w:tcPr>
          <w:p w14:paraId="1E0335B5" w14:textId="77777777" w:rsidR="00482D57" w:rsidRPr="00AB34C7" w:rsidRDefault="00482D57" w:rsidP="00507D72">
            <w:pPr>
              <w:keepNext/>
              <w:jc w:val="center"/>
              <w:rPr>
                <w:rFonts w:ascii="Arial Narrow" w:hAnsi="Arial Narrow"/>
                <w:b/>
                <w:bCs/>
                <w:iCs/>
                <w:sz w:val="20"/>
                <w:szCs w:val="20"/>
              </w:rPr>
            </w:pPr>
            <w:r w:rsidRPr="00AB34C7">
              <w:rPr>
                <w:rFonts w:ascii="Arial Narrow" w:hAnsi="Arial Narrow"/>
                <w:b/>
                <w:bCs/>
                <w:iCs/>
                <w:sz w:val="20"/>
                <w:szCs w:val="20"/>
              </w:rPr>
              <w:t>-</w:t>
            </w:r>
          </w:p>
        </w:tc>
      </w:tr>
      <w:tr w:rsidR="00482D57" w:rsidRPr="00AB34C7" w14:paraId="564F368A" w14:textId="77777777" w:rsidTr="00507D72">
        <w:trPr>
          <w:trHeight w:val="814"/>
        </w:trPr>
        <w:tc>
          <w:tcPr>
            <w:tcW w:w="863" w:type="pct"/>
            <w:tcBorders>
              <w:right w:val="single" w:sz="4" w:space="0" w:color="auto"/>
            </w:tcBorders>
          </w:tcPr>
          <w:p w14:paraId="5B820D3C" w14:textId="77777777" w:rsidR="00482D57" w:rsidRPr="00AB34C7" w:rsidRDefault="00482D57" w:rsidP="00507D72">
            <w:pPr>
              <w:keepNext/>
              <w:widowControl w:val="0"/>
              <w:jc w:val="left"/>
              <w:rPr>
                <w:rFonts w:ascii="Arial Narrow" w:hAnsi="Arial Narrow"/>
                <w:snapToGrid w:val="0"/>
                <w:sz w:val="20"/>
                <w:szCs w:val="20"/>
              </w:rPr>
            </w:pPr>
            <w:r w:rsidRPr="00AB34C7">
              <w:rPr>
                <w:rFonts w:ascii="Arial Narrow" w:hAnsi="Arial Narrow"/>
                <w:snapToGrid w:val="0"/>
                <w:sz w:val="20"/>
                <w:szCs w:val="20"/>
              </w:rPr>
              <w:t>KM estimate of PFS</w:t>
            </w:r>
          </w:p>
          <w:p w14:paraId="27429462" w14:textId="77777777" w:rsidR="00482D57" w:rsidRPr="00AB34C7" w:rsidRDefault="00482D57" w:rsidP="00507D72">
            <w:pPr>
              <w:keepNext/>
              <w:widowControl w:val="0"/>
              <w:jc w:val="left"/>
              <w:rPr>
                <w:rFonts w:ascii="Arial Narrow" w:hAnsi="Arial Narrow"/>
                <w:snapToGrid w:val="0"/>
                <w:sz w:val="20"/>
                <w:szCs w:val="20"/>
              </w:rPr>
            </w:pPr>
            <w:r w:rsidRPr="00AB34C7">
              <w:rPr>
                <w:rFonts w:ascii="Arial Narrow" w:hAnsi="Arial Narrow"/>
                <w:snapToGrid w:val="0"/>
                <w:sz w:val="20"/>
                <w:szCs w:val="20"/>
              </w:rPr>
              <w:t>- 36 months, %</w:t>
            </w:r>
          </w:p>
          <w:p w14:paraId="4043486C" w14:textId="77777777" w:rsidR="00482D57" w:rsidRPr="00AB34C7" w:rsidRDefault="00482D57" w:rsidP="00507D72">
            <w:pPr>
              <w:keepNext/>
              <w:widowControl w:val="0"/>
              <w:jc w:val="left"/>
              <w:rPr>
                <w:rFonts w:ascii="Arial Narrow" w:hAnsi="Arial Narrow"/>
                <w:snapToGrid w:val="0"/>
                <w:sz w:val="20"/>
                <w:szCs w:val="20"/>
              </w:rPr>
            </w:pPr>
            <w:r w:rsidRPr="00AB34C7">
              <w:rPr>
                <w:rFonts w:ascii="Arial Narrow" w:hAnsi="Arial Narrow"/>
                <w:snapToGrid w:val="0"/>
                <w:sz w:val="20"/>
                <w:szCs w:val="20"/>
              </w:rPr>
              <w:t>(95% CI)</w:t>
            </w:r>
          </w:p>
          <w:p w14:paraId="703E2263" w14:textId="77777777" w:rsidR="00482D57" w:rsidRPr="00AB34C7" w:rsidRDefault="00482D57" w:rsidP="00507D72">
            <w:pPr>
              <w:keepNext/>
              <w:widowControl w:val="0"/>
              <w:jc w:val="left"/>
              <w:rPr>
                <w:rFonts w:ascii="Arial Narrow" w:hAnsi="Arial Narrow"/>
                <w:snapToGrid w:val="0"/>
                <w:sz w:val="20"/>
                <w:szCs w:val="20"/>
              </w:rPr>
            </w:pPr>
            <w:r w:rsidRPr="00AB34C7">
              <w:rPr>
                <w:rFonts w:ascii="Arial Narrow" w:hAnsi="Arial Narrow"/>
                <w:snapToGrid w:val="0"/>
                <w:sz w:val="20"/>
                <w:szCs w:val="20"/>
              </w:rPr>
              <w:t>- 42 months, %</w:t>
            </w:r>
          </w:p>
          <w:p w14:paraId="1ABA10ED" w14:textId="77777777" w:rsidR="00482D57" w:rsidRPr="00AB34C7" w:rsidRDefault="00482D57" w:rsidP="00507D72">
            <w:pPr>
              <w:keepNext/>
              <w:widowControl w:val="0"/>
              <w:jc w:val="left"/>
              <w:rPr>
                <w:rFonts w:ascii="Arial Narrow" w:hAnsi="Arial Narrow"/>
                <w:snapToGrid w:val="0"/>
                <w:sz w:val="20"/>
                <w:szCs w:val="20"/>
              </w:rPr>
            </w:pPr>
            <w:r w:rsidRPr="00AB34C7">
              <w:rPr>
                <w:rFonts w:ascii="Arial Narrow" w:hAnsi="Arial Narrow"/>
                <w:snapToGrid w:val="0"/>
                <w:sz w:val="20"/>
                <w:szCs w:val="20"/>
              </w:rPr>
              <w:t>(95% CI)</w:t>
            </w:r>
          </w:p>
          <w:p w14:paraId="6F28095E" w14:textId="77777777" w:rsidR="00482D57" w:rsidRPr="00AB34C7" w:rsidRDefault="00482D57" w:rsidP="00507D72">
            <w:pPr>
              <w:keepNext/>
              <w:widowControl w:val="0"/>
              <w:jc w:val="left"/>
              <w:rPr>
                <w:rFonts w:ascii="Arial Narrow" w:hAnsi="Arial Narrow"/>
                <w:snapToGrid w:val="0"/>
                <w:sz w:val="20"/>
                <w:szCs w:val="20"/>
              </w:rPr>
            </w:pPr>
            <w:r w:rsidRPr="00AB34C7">
              <w:rPr>
                <w:rFonts w:ascii="Arial Narrow" w:hAnsi="Arial Narrow"/>
                <w:snapToGrid w:val="0"/>
                <w:sz w:val="20"/>
                <w:szCs w:val="20"/>
              </w:rPr>
              <w:t>- 48 months, %</w:t>
            </w:r>
          </w:p>
          <w:p w14:paraId="6DFC60F8" w14:textId="77777777" w:rsidR="00482D57" w:rsidRPr="00AB34C7" w:rsidRDefault="00482D57" w:rsidP="00507D72">
            <w:pPr>
              <w:keepNext/>
              <w:widowControl w:val="0"/>
              <w:jc w:val="left"/>
              <w:rPr>
                <w:rFonts w:ascii="Arial Narrow" w:hAnsi="Arial Narrow"/>
                <w:snapToGrid w:val="0"/>
                <w:sz w:val="20"/>
                <w:szCs w:val="20"/>
              </w:rPr>
            </w:pPr>
            <w:r w:rsidRPr="00AB34C7">
              <w:rPr>
                <w:rFonts w:ascii="Arial Narrow" w:hAnsi="Arial Narrow"/>
                <w:snapToGrid w:val="0"/>
                <w:sz w:val="20"/>
                <w:szCs w:val="20"/>
              </w:rPr>
              <w:t>(95% CI)</w:t>
            </w:r>
          </w:p>
          <w:p w14:paraId="0620F3D2" w14:textId="77777777" w:rsidR="00482D57" w:rsidRPr="00AB34C7" w:rsidRDefault="00482D57" w:rsidP="00507D72">
            <w:pPr>
              <w:keepNext/>
              <w:widowControl w:val="0"/>
              <w:jc w:val="left"/>
              <w:rPr>
                <w:rFonts w:ascii="Arial Narrow" w:hAnsi="Arial Narrow"/>
                <w:snapToGrid w:val="0"/>
                <w:sz w:val="20"/>
                <w:szCs w:val="20"/>
              </w:rPr>
            </w:pPr>
            <w:r w:rsidRPr="00AB34C7">
              <w:rPr>
                <w:rFonts w:ascii="Arial Narrow" w:hAnsi="Arial Narrow"/>
                <w:snapToGrid w:val="0"/>
                <w:sz w:val="20"/>
                <w:szCs w:val="20"/>
              </w:rPr>
              <w:t>- 54 months, %</w:t>
            </w:r>
          </w:p>
          <w:p w14:paraId="39367E28" w14:textId="77777777" w:rsidR="00482D57" w:rsidRPr="00AB34C7" w:rsidRDefault="00482D57" w:rsidP="00507D72">
            <w:pPr>
              <w:keepNext/>
              <w:widowControl w:val="0"/>
              <w:jc w:val="left"/>
              <w:rPr>
                <w:rFonts w:ascii="Arial Narrow" w:hAnsi="Arial Narrow"/>
                <w:snapToGrid w:val="0"/>
                <w:sz w:val="20"/>
                <w:szCs w:val="20"/>
              </w:rPr>
            </w:pPr>
            <w:r w:rsidRPr="00AB34C7">
              <w:rPr>
                <w:rFonts w:ascii="Arial Narrow" w:hAnsi="Arial Narrow"/>
                <w:snapToGrid w:val="0"/>
                <w:sz w:val="20"/>
                <w:szCs w:val="20"/>
              </w:rPr>
              <w:t>(95% CI)</w:t>
            </w:r>
          </w:p>
          <w:p w14:paraId="7A928737" w14:textId="77777777" w:rsidR="00482D57" w:rsidRPr="00AB34C7" w:rsidRDefault="00482D57" w:rsidP="00507D72">
            <w:pPr>
              <w:keepNext/>
              <w:jc w:val="left"/>
              <w:rPr>
                <w:rFonts w:ascii="Arial Narrow" w:hAnsi="Arial Narrow"/>
                <w:snapToGrid w:val="0"/>
                <w:sz w:val="20"/>
                <w:szCs w:val="20"/>
              </w:rPr>
            </w:pPr>
            <w:r w:rsidRPr="00AB34C7">
              <w:rPr>
                <w:rFonts w:ascii="Arial Narrow" w:hAnsi="Arial Narrow"/>
                <w:snapToGrid w:val="0"/>
                <w:sz w:val="20"/>
                <w:szCs w:val="20"/>
              </w:rPr>
              <w:t>- 60 months, %</w:t>
            </w:r>
          </w:p>
          <w:p w14:paraId="625A3C25" w14:textId="77777777" w:rsidR="00482D57" w:rsidRPr="00AB34C7" w:rsidRDefault="00482D57" w:rsidP="00507D72">
            <w:pPr>
              <w:keepNext/>
              <w:jc w:val="left"/>
              <w:rPr>
                <w:rFonts w:ascii="Arial Narrow" w:hAnsi="Arial Narrow"/>
                <w:snapToGrid w:val="0"/>
                <w:sz w:val="20"/>
                <w:szCs w:val="20"/>
              </w:rPr>
            </w:pPr>
            <w:r w:rsidRPr="00AB34C7">
              <w:rPr>
                <w:rFonts w:ascii="Arial Narrow" w:hAnsi="Arial Narrow"/>
                <w:snapToGrid w:val="0"/>
                <w:sz w:val="20"/>
                <w:szCs w:val="20"/>
              </w:rPr>
              <w:t>(95% CI)</w:t>
            </w:r>
          </w:p>
        </w:tc>
        <w:tc>
          <w:tcPr>
            <w:tcW w:w="517" w:type="pct"/>
            <w:tcBorders>
              <w:left w:val="single" w:sz="4" w:space="0" w:color="auto"/>
              <w:right w:val="single" w:sz="4" w:space="0" w:color="auto"/>
            </w:tcBorders>
            <w:shd w:val="clear" w:color="auto" w:fill="FFFFFF"/>
          </w:tcPr>
          <w:p w14:paraId="3AC23853" w14:textId="77777777" w:rsidR="00482D57" w:rsidRPr="00AB34C7" w:rsidRDefault="00482D57" w:rsidP="00507D72">
            <w:pPr>
              <w:keepNext/>
              <w:jc w:val="center"/>
              <w:rPr>
                <w:rFonts w:ascii="Arial Narrow" w:hAnsi="Arial Narrow"/>
                <w:iCs/>
                <w:sz w:val="20"/>
                <w:szCs w:val="20"/>
              </w:rPr>
            </w:pPr>
          </w:p>
          <w:p w14:paraId="47F79CAC"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 xml:space="preserve">78.8 </w:t>
            </w:r>
          </w:p>
          <w:p w14:paraId="01424822"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(69.5, 85.5)</w:t>
            </w:r>
          </w:p>
          <w:p w14:paraId="66D5E510"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 xml:space="preserve">74.8 </w:t>
            </w:r>
          </w:p>
          <w:p w14:paraId="36C1972B"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(65.2, 82.1)</w:t>
            </w:r>
          </w:p>
          <w:p w14:paraId="3BD11155"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 xml:space="preserve">69.7 </w:t>
            </w:r>
          </w:p>
          <w:p w14:paraId="5E92B302"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(59.5, 77.9)</w:t>
            </w:r>
          </w:p>
          <w:p w14:paraId="3CEA385B"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66.1</w:t>
            </w:r>
          </w:p>
          <w:p w14:paraId="0080D2BB"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(55.0, 75.1)</w:t>
            </w:r>
          </w:p>
          <w:p w14:paraId="6920F0FA"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w:t>
            </w:r>
          </w:p>
        </w:tc>
        <w:tc>
          <w:tcPr>
            <w:tcW w:w="519" w:type="pct"/>
            <w:tcBorders>
              <w:left w:val="single" w:sz="4" w:space="0" w:color="auto"/>
              <w:right w:val="single" w:sz="4" w:space="0" w:color="auto"/>
            </w:tcBorders>
            <w:shd w:val="clear" w:color="auto" w:fill="FFFFFF"/>
          </w:tcPr>
          <w:p w14:paraId="2FC984A2" w14:textId="77777777" w:rsidR="00482D57" w:rsidRPr="00AB34C7" w:rsidRDefault="00482D57" w:rsidP="00507D72">
            <w:pPr>
              <w:keepNext/>
              <w:jc w:val="center"/>
              <w:rPr>
                <w:rFonts w:ascii="Arial Narrow" w:hAnsi="Arial Narrow"/>
                <w:iCs/>
                <w:sz w:val="20"/>
                <w:szCs w:val="20"/>
              </w:rPr>
            </w:pPr>
          </w:p>
          <w:p w14:paraId="60F209AD"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 xml:space="preserve">32.6 </w:t>
            </w:r>
          </w:p>
          <w:p w14:paraId="406A0EFC"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(23.8, 41.7)</w:t>
            </w:r>
          </w:p>
          <w:p w14:paraId="3FCDAAEB"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 xml:space="preserve">23.7 </w:t>
            </w:r>
          </w:p>
          <w:p w14:paraId="5022DD40"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(16.0, 32.3)</w:t>
            </w:r>
          </w:p>
          <w:p w14:paraId="648EBEF5"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 xml:space="preserve">20.7 </w:t>
            </w:r>
          </w:p>
          <w:p w14:paraId="5340AD9F"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(13.4, 29.0)</w:t>
            </w:r>
          </w:p>
          <w:p w14:paraId="735186D3"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18.6</w:t>
            </w:r>
          </w:p>
          <w:p w14:paraId="19AE333B"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(11.4, 27.3)</w:t>
            </w:r>
          </w:p>
          <w:p w14:paraId="4AF02B89"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w:t>
            </w:r>
          </w:p>
        </w:tc>
        <w:tc>
          <w:tcPr>
            <w:tcW w:w="517" w:type="pct"/>
            <w:tcBorders>
              <w:left w:val="single" w:sz="4" w:space="0" w:color="auto"/>
              <w:right w:val="single" w:sz="4" w:space="0" w:color="auto"/>
            </w:tcBorders>
            <w:shd w:val="clear" w:color="auto" w:fill="FFFFFF"/>
          </w:tcPr>
          <w:p w14:paraId="7AC2FD15" w14:textId="77777777" w:rsidR="00482D57" w:rsidRPr="00AB34C7" w:rsidRDefault="00482D57" w:rsidP="00507D72">
            <w:pPr>
              <w:keepNext/>
              <w:jc w:val="center"/>
              <w:rPr>
                <w:rFonts w:ascii="Arial Narrow" w:hAnsi="Arial Narrow"/>
                <w:iCs/>
                <w:sz w:val="20"/>
                <w:szCs w:val="20"/>
              </w:rPr>
            </w:pPr>
          </w:p>
          <w:p w14:paraId="2574186D"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 xml:space="preserve">88.1 </w:t>
            </w:r>
          </w:p>
          <w:p w14:paraId="71D9C292"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(81.7, 92.3)</w:t>
            </w:r>
          </w:p>
          <w:p w14:paraId="4A0A44FD"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79.2</w:t>
            </w:r>
          </w:p>
          <w:p w14:paraId="070571C2"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(71.8, 84.9)</w:t>
            </w:r>
          </w:p>
          <w:p w14:paraId="76E9DCC4"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 xml:space="preserve">78.5 </w:t>
            </w:r>
          </w:p>
          <w:p w14:paraId="04C73B60"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(71.0, 84.3)</w:t>
            </w:r>
          </w:p>
          <w:p w14:paraId="6A3D8234"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70.2</w:t>
            </w:r>
          </w:p>
          <w:p w14:paraId="54B8E4CC"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(62.0, 76.9)</w:t>
            </w:r>
          </w:p>
          <w:p w14:paraId="542E5321"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 xml:space="preserve">62.7 </w:t>
            </w:r>
          </w:p>
          <w:p w14:paraId="1037FDD8"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(49.3, 73.5)</w:t>
            </w:r>
          </w:p>
        </w:tc>
        <w:tc>
          <w:tcPr>
            <w:tcW w:w="517" w:type="pct"/>
            <w:tcBorders>
              <w:left w:val="single" w:sz="4" w:space="0" w:color="auto"/>
              <w:right w:val="single" w:sz="4" w:space="0" w:color="auto"/>
            </w:tcBorders>
            <w:shd w:val="clear" w:color="auto" w:fill="FFFFFF"/>
          </w:tcPr>
          <w:p w14:paraId="4F120DAD" w14:textId="77777777" w:rsidR="00482D57" w:rsidRPr="00AB34C7" w:rsidRDefault="00482D57" w:rsidP="00507D72">
            <w:pPr>
              <w:keepNext/>
              <w:jc w:val="center"/>
              <w:rPr>
                <w:rFonts w:ascii="Arial Narrow" w:hAnsi="Arial Narrow"/>
                <w:iCs/>
                <w:sz w:val="20"/>
                <w:szCs w:val="20"/>
              </w:rPr>
            </w:pPr>
          </w:p>
          <w:p w14:paraId="02A38742"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NR</w:t>
            </w:r>
          </w:p>
          <w:p w14:paraId="5688A78C" w14:textId="77777777" w:rsidR="00482D57" w:rsidRPr="00AB34C7" w:rsidRDefault="00482D57" w:rsidP="00507D72">
            <w:pPr>
              <w:keepNext/>
              <w:jc w:val="center"/>
              <w:rPr>
                <w:rFonts w:ascii="Arial Narrow" w:hAnsi="Arial Narrow"/>
                <w:iCs/>
                <w:sz w:val="20"/>
                <w:szCs w:val="20"/>
              </w:rPr>
            </w:pPr>
          </w:p>
          <w:p w14:paraId="53908505"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NR</w:t>
            </w:r>
          </w:p>
          <w:p w14:paraId="6A4BF585" w14:textId="77777777" w:rsidR="00482D57" w:rsidRPr="00AB34C7" w:rsidRDefault="00482D57" w:rsidP="00507D72">
            <w:pPr>
              <w:keepNext/>
              <w:jc w:val="center"/>
              <w:rPr>
                <w:rFonts w:ascii="Arial Narrow" w:hAnsi="Arial Narrow"/>
                <w:iCs/>
                <w:sz w:val="20"/>
                <w:szCs w:val="20"/>
              </w:rPr>
            </w:pPr>
          </w:p>
          <w:p w14:paraId="7F16CDF3" w14:textId="32D13AB3" w:rsidR="00482D57" w:rsidRPr="00AB34C7" w:rsidRDefault="00482D57" w:rsidP="00507D72">
            <w:pPr>
              <w:keepNext/>
              <w:jc w:val="center"/>
              <w:rPr>
                <w:rFonts w:ascii="Arial Narrow" w:hAnsi="Arial Narrow"/>
                <w:iCs/>
                <w:sz w:val="20"/>
                <w:szCs w:val="20"/>
                <w:vertAlign w:val="superscript"/>
              </w:rPr>
            </w:pPr>
            <w:r w:rsidRPr="00AB34C7">
              <w:rPr>
                <w:rFonts w:ascii="Arial Narrow" w:hAnsi="Arial Narrow"/>
                <w:iCs/>
                <w:sz w:val="20"/>
                <w:szCs w:val="20"/>
              </w:rPr>
              <w:t>74.0 (NR)</w:t>
            </w:r>
            <w:r w:rsidRPr="00AB34C7">
              <w:rPr>
                <w:rFonts w:ascii="Arial Narrow" w:hAnsi="Arial Narrow"/>
                <w:iCs/>
                <w:sz w:val="20"/>
                <w:szCs w:val="20"/>
                <w:vertAlign w:val="superscript"/>
              </w:rPr>
              <w:t>a</w:t>
            </w:r>
          </w:p>
          <w:p w14:paraId="28E7CCEE" w14:textId="77777777" w:rsidR="00482D57" w:rsidRPr="00AB34C7" w:rsidRDefault="00482D57" w:rsidP="00507D72">
            <w:pPr>
              <w:keepNext/>
              <w:jc w:val="center"/>
              <w:rPr>
                <w:rFonts w:ascii="Arial Narrow" w:hAnsi="Arial Narrow"/>
                <w:iCs/>
                <w:sz w:val="20"/>
                <w:szCs w:val="20"/>
              </w:rPr>
            </w:pPr>
          </w:p>
          <w:p w14:paraId="5FAD7E6E"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NR</w:t>
            </w:r>
          </w:p>
          <w:p w14:paraId="1DD8361A" w14:textId="77777777" w:rsidR="00482D57" w:rsidRPr="00AB34C7" w:rsidRDefault="00482D57" w:rsidP="00507D72">
            <w:pPr>
              <w:keepNext/>
              <w:jc w:val="center"/>
              <w:rPr>
                <w:rFonts w:ascii="Arial Narrow" w:hAnsi="Arial Narrow"/>
                <w:iCs/>
                <w:sz w:val="20"/>
                <w:szCs w:val="20"/>
              </w:rPr>
            </w:pPr>
          </w:p>
          <w:p w14:paraId="0AA04BC1"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 xml:space="preserve">62.6 </w:t>
            </w:r>
          </w:p>
          <w:p w14:paraId="4286E974" w14:textId="77777777" w:rsidR="00482D57" w:rsidRPr="00AB34C7" w:rsidRDefault="00482D57" w:rsidP="00507D72">
            <w:pPr>
              <w:keepNext/>
              <w:jc w:val="center"/>
              <w:rPr>
                <w:rFonts w:ascii="Arial Narrow" w:hAnsi="Arial Narrow"/>
                <w:iCs/>
                <w:sz w:val="20"/>
                <w:szCs w:val="20"/>
                <w:vertAlign w:val="superscript"/>
              </w:rPr>
            </w:pPr>
            <w:r w:rsidRPr="00AB34C7">
              <w:rPr>
                <w:rFonts w:ascii="Arial Narrow" w:hAnsi="Arial Narrow"/>
                <w:iCs/>
                <w:sz w:val="20"/>
                <w:szCs w:val="20"/>
              </w:rPr>
              <w:t>(55.7, 69.6)</w:t>
            </w:r>
          </w:p>
        </w:tc>
        <w:tc>
          <w:tcPr>
            <w:tcW w:w="517" w:type="pct"/>
            <w:tcBorders>
              <w:left w:val="single" w:sz="4" w:space="0" w:color="auto"/>
              <w:right w:val="single" w:sz="4" w:space="0" w:color="auto"/>
            </w:tcBorders>
            <w:shd w:val="clear" w:color="auto" w:fill="FFFFFF"/>
          </w:tcPr>
          <w:p w14:paraId="4CB6E5C6" w14:textId="77777777" w:rsidR="00482D57" w:rsidRPr="00AB34C7" w:rsidRDefault="00482D57" w:rsidP="00507D72">
            <w:pPr>
              <w:keepNext/>
              <w:jc w:val="center"/>
              <w:rPr>
                <w:rFonts w:ascii="Arial Narrow" w:hAnsi="Arial Narrow"/>
                <w:iCs/>
                <w:sz w:val="20"/>
                <w:szCs w:val="20"/>
              </w:rPr>
            </w:pPr>
          </w:p>
          <w:p w14:paraId="1F99C695"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NR</w:t>
            </w:r>
          </w:p>
          <w:p w14:paraId="6963F9F3" w14:textId="77777777" w:rsidR="00482D57" w:rsidRPr="00AB34C7" w:rsidRDefault="00482D57" w:rsidP="00507D72">
            <w:pPr>
              <w:keepNext/>
              <w:jc w:val="center"/>
              <w:rPr>
                <w:rFonts w:ascii="Arial Narrow" w:hAnsi="Arial Narrow"/>
                <w:iCs/>
                <w:sz w:val="20"/>
                <w:szCs w:val="20"/>
              </w:rPr>
            </w:pPr>
          </w:p>
          <w:p w14:paraId="3B78C57B"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NR</w:t>
            </w:r>
          </w:p>
          <w:p w14:paraId="233CD03C" w14:textId="77777777" w:rsidR="00482D57" w:rsidRPr="00AB34C7" w:rsidRDefault="00482D57" w:rsidP="00507D72">
            <w:pPr>
              <w:keepNext/>
              <w:jc w:val="center"/>
              <w:rPr>
                <w:rFonts w:ascii="Arial Narrow" w:hAnsi="Arial Narrow"/>
                <w:iCs/>
                <w:sz w:val="20"/>
                <w:szCs w:val="20"/>
              </w:rPr>
            </w:pPr>
          </w:p>
          <w:p w14:paraId="6F0D4B63" w14:textId="1FC5A5B1" w:rsidR="00482D57" w:rsidRPr="00AB34C7" w:rsidRDefault="00482D57" w:rsidP="00507D72">
            <w:pPr>
              <w:keepNext/>
              <w:jc w:val="center"/>
              <w:rPr>
                <w:rFonts w:ascii="Arial Narrow" w:hAnsi="Arial Narrow"/>
                <w:iCs/>
                <w:sz w:val="20"/>
                <w:szCs w:val="20"/>
                <w:vertAlign w:val="superscript"/>
              </w:rPr>
            </w:pPr>
            <w:r w:rsidRPr="00AB34C7">
              <w:rPr>
                <w:rFonts w:ascii="Arial Narrow" w:hAnsi="Arial Narrow"/>
                <w:iCs/>
                <w:sz w:val="20"/>
                <w:szCs w:val="20"/>
              </w:rPr>
              <w:t>35.4 (NR)</w:t>
            </w:r>
            <w:r w:rsidRPr="00AB34C7">
              <w:rPr>
                <w:rFonts w:ascii="Arial Narrow" w:hAnsi="Arial Narrow"/>
                <w:iCs/>
                <w:sz w:val="20"/>
                <w:szCs w:val="20"/>
                <w:vertAlign w:val="superscript"/>
              </w:rPr>
              <w:t>a</w:t>
            </w:r>
          </w:p>
          <w:p w14:paraId="6C11FAA4" w14:textId="77777777" w:rsidR="00482D57" w:rsidRPr="00AB34C7" w:rsidRDefault="00482D57" w:rsidP="00507D72">
            <w:pPr>
              <w:keepNext/>
              <w:jc w:val="center"/>
              <w:rPr>
                <w:rFonts w:ascii="Arial Narrow" w:hAnsi="Arial Narrow"/>
                <w:iCs/>
                <w:sz w:val="20"/>
                <w:szCs w:val="20"/>
              </w:rPr>
            </w:pPr>
          </w:p>
          <w:p w14:paraId="08C95227"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NR</w:t>
            </w:r>
          </w:p>
          <w:p w14:paraId="2E615D4A" w14:textId="77777777" w:rsidR="00482D57" w:rsidRPr="00AB34C7" w:rsidRDefault="00482D57" w:rsidP="00507D72">
            <w:pPr>
              <w:keepNext/>
              <w:jc w:val="center"/>
              <w:rPr>
                <w:rFonts w:ascii="Arial Narrow" w:hAnsi="Arial Narrow"/>
                <w:iCs/>
                <w:sz w:val="20"/>
                <w:szCs w:val="20"/>
              </w:rPr>
            </w:pPr>
          </w:p>
          <w:p w14:paraId="68449F6B"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 xml:space="preserve">27.0 </w:t>
            </w:r>
          </w:p>
          <w:p w14:paraId="2BA4CD46" w14:textId="77777777" w:rsidR="00482D57" w:rsidRPr="00AB34C7" w:rsidRDefault="00482D57" w:rsidP="00507D72">
            <w:pPr>
              <w:keepNext/>
              <w:jc w:val="center"/>
              <w:rPr>
                <w:rFonts w:ascii="Arial Narrow" w:hAnsi="Arial Narrow"/>
                <w:iCs/>
                <w:sz w:val="20"/>
                <w:szCs w:val="20"/>
                <w:vertAlign w:val="superscript"/>
              </w:rPr>
            </w:pPr>
            <w:r w:rsidRPr="00AB34C7">
              <w:rPr>
                <w:rFonts w:ascii="Arial Narrow" w:hAnsi="Arial Narrow"/>
                <w:iCs/>
                <w:sz w:val="20"/>
                <w:szCs w:val="20"/>
              </w:rPr>
              <w:t>(20.6, 33.4)</w:t>
            </w:r>
          </w:p>
        </w:tc>
        <w:tc>
          <w:tcPr>
            <w:tcW w:w="517" w:type="pct"/>
            <w:tcBorders>
              <w:left w:val="single" w:sz="4" w:space="0" w:color="auto"/>
              <w:right w:val="single" w:sz="4" w:space="0" w:color="auto"/>
            </w:tcBorders>
            <w:shd w:val="clear" w:color="auto" w:fill="FFFFFF"/>
          </w:tcPr>
          <w:p w14:paraId="6C63C481" w14:textId="77777777" w:rsidR="00482D57" w:rsidRPr="00AB34C7" w:rsidRDefault="00482D57" w:rsidP="00507D72">
            <w:pPr>
              <w:keepNext/>
              <w:jc w:val="center"/>
              <w:rPr>
                <w:rFonts w:ascii="Arial Narrow" w:hAnsi="Arial Narrow"/>
                <w:iCs/>
                <w:sz w:val="20"/>
                <w:szCs w:val="20"/>
              </w:rPr>
            </w:pPr>
          </w:p>
          <w:p w14:paraId="4A766D0B"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NR</w:t>
            </w:r>
          </w:p>
          <w:p w14:paraId="3C42134A" w14:textId="77777777" w:rsidR="00482D57" w:rsidRPr="00AB34C7" w:rsidRDefault="00482D57" w:rsidP="00507D72">
            <w:pPr>
              <w:keepNext/>
              <w:jc w:val="center"/>
              <w:rPr>
                <w:rFonts w:ascii="Arial Narrow" w:hAnsi="Arial Narrow"/>
                <w:iCs/>
                <w:sz w:val="20"/>
                <w:szCs w:val="20"/>
              </w:rPr>
            </w:pPr>
          </w:p>
          <w:p w14:paraId="4DEAE4FC"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82.4 (NR)</w:t>
            </w:r>
          </w:p>
          <w:p w14:paraId="475F6EFD" w14:textId="77777777" w:rsidR="00482D57" w:rsidRPr="00AB34C7" w:rsidRDefault="00482D57" w:rsidP="00507D72">
            <w:pPr>
              <w:keepNext/>
              <w:jc w:val="center"/>
              <w:rPr>
                <w:rFonts w:ascii="Arial Narrow" w:hAnsi="Arial Narrow"/>
                <w:iCs/>
                <w:sz w:val="20"/>
                <w:szCs w:val="20"/>
              </w:rPr>
            </w:pPr>
          </w:p>
          <w:p w14:paraId="3331B8C7"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w:t>
            </w:r>
          </w:p>
          <w:p w14:paraId="158A6E1B" w14:textId="77777777" w:rsidR="00482D57" w:rsidRPr="00AB34C7" w:rsidRDefault="00482D57" w:rsidP="00507D72">
            <w:pPr>
              <w:keepNext/>
              <w:jc w:val="center"/>
              <w:rPr>
                <w:rFonts w:ascii="Arial Narrow" w:hAnsi="Arial Narrow"/>
                <w:iCs/>
                <w:sz w:val="20"/>
                <w:szCs w:val="20"/>
              </w:rPr>
            </w:pPr>
          </w:p>
          <w:p w14:paraId="7AAEC40B"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w:t>
            </w:r>
          </w:p>
          <w:p w14:paraId="1DA3C9B7" w14:textId="77777777" w:rsidR="00482D57" w:rsidRPr="00AB34C7" w:rsidRDefault="00482D57" w:rsidP="00507D72">
            <w:pPr>
              <w:keepNext/>
              <w:jc w:val="center"/>
              <w:rPr>
                <w:rFonts w:ascii="Arial Narrow" w:hAnsi="Arial Narrow"/>
                <w:iCs/>
                <w:sz w:val="20"/>
                <w:szCs w:val="20"/>
              </w:rPr>
            </w:pPr>
          </w:p>
          <w:p w14:paraId="2F7E44BA"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w:t>
            </w:r>
          </w:p>
        </w:tc>
        <w:tc>
          <w:tcPr>
            <w:tcW w:w="517" w:type="pct"/>
            <w:tcBorders>
              <w:left w:val="single" w:sz="4" w:space="0" w:color="auto"/>
              <w:right w:val="single" w:sz="4" w:space="0" w:color="auto"/>
            </w:tcBorders>
            <w:shd w:val="clear" w:color="auto" w:fill="FFFFFF"/>
          </w:tcPr>
          <w:p w14:paraId="1A1F65D8" w14:textId="77777777" w:rsidR="00482D57" w:rsidRPr="00AB34C7" w:rsidRDefault="00482D57" w:rsidP="00507D72">
            <w:pPr>
              <w:keepNext/>
              <w:jc w:val="center"/>
              <w:rPr>
                <w:rFonts w:ascii="Arial Narrow" w:hAnsi="Arial Narrow"/>
                <w:iCs/>
                <w:sz w:val="20"/>
                <w:szCs w:val="20"/>
              </w:rPr>
            </w:pPr>
          </w:p>
          <w:p w14:paraId="4192D3E1"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NR</w:t>
            </w:r>
          </w:p>
          <w:p w14:paraId="38D7325C" w14:textId="77777777" w:rsidR="00482D57" w:rsidRPr="00AB34C7" w:rsidRDefault="00482D57" w:rsidP="00507D72">
            <w:pPr>
              <w:keepNext/>
              <w:jc w:val="center"/>
              <w:rPr>
                <w:rFonts w:ascii="Arial Narrow" w:hAnsi="Arial Narrow"/>
                <w:iCs/>
                <w:sz w:val="20"/>
                <w:szCs w:val="20"/>
              </w:rPr>
            </w:pPr>
          </w:p>
          <w:p w14:paraId="32B3C22C"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79.4 (NR)</w:t>
            </w:r>
          </w:p>
          <w:p w14:paraId="352CE827" w14:textId="77777777" w:rsidR="00482D57" w:rsidRPr="00AB34C7" w:rsidRDefault="00482D57" w:rsidP="00507D72">
            <w:pPr>
              <w:keepNext/>
              <w:jc w:val="center"/>
              <w:rPr>
                <w:rFonts w:ascii="Arial Narrow" w:hAnsi="Arial Narrow"/>
                <w:iCs/>
                <w:sz w:val="20"/>
                <w:szCs w:val="20"/>
              </w:rPr>
            </w:pPr>
          </w:p>
          <w:p w14:paraId="16D2F5AA"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w:t>
            </w:r>
          </w:p>
          <w:p w14:paraId="362737E6" w14:textId="77777777" w:rsidR="00482D57" w:rsidRPr="00AB34C7" w:rsidRDefault="00482D57" w:rsidP="00507D72">
            <w:pPr>
              <w:keepNext/>
              <w:jc w:val="center"/>
              <w:rPr>
                <w:rFonts w:ascii="Arial Narrow" w:hAnsi="Arial Narrow"/>
                <w:iCs/>
                <w:sz w:val="20"/>
                <w:szCs w:val="20"/>
              </w:rPr>
            </w:pPr>
          </w:p>
          <w:p w14:paraId="199854CA"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w:t>
            </w:r>
          </w:p>
          <w:p w14:paraId="03F981E2" w14:textId="77777777" w:rsidR="00482D57" w:rsidRPr="00AB34C7" w:rsidRDefault="00482D57" w:rsidP="00507D72">
            <w:pPr>
              <w:keepNext/>
              <w:jc w:val="center"/>
              <w:rPr>
                <w:rFonts w:ascii="Arial Narrow" w:hAnsi="Arial Narrow"/>
                <w:iCs/>
                <w:sz w:val="20"/>
                <w:szCs w:val="20"/>
              </w:rPr>
            </w:pPr>
          </w:p>
          <w:p w14:paraId="15F86CEF"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w:t>
            </w:r>
          </w:p>
        </w:tc>
        <w:tc>
          <w:tcPr>
            <w:tcW w:w="516" w:type="pct"/>
            <w:tcBorders>
              <w:left w:val="single" w:sz="4" w:space="0" w:color="auto"/>
              <w:right w:val="single" w:sz="4" w:space="0" w:color="auto"/>
            </w:tcBorders>
            <w:shd w:val="clear" w:color="auto" w:fill="FFFFFF"/>
          </w:tcPr>
          <w:p w14:paraId="7677B848" w14:textId="77777777" w:rsidR="00482D57" w:rsidRPr="00AB34C7" w:rsidRDefault="00482D57" w:rsidP="00507D72">
            <w:pPr>
              <w:keepNext/>
              <w:jc w:val="center"/>
              <w:rPr>
                <w:rFonts w:ascii="Arial Narrow" w:hAnsi="Arial Narrow"/>
                <w:iCs/>
                <w:sz w:val="20"/>
                <w:szCs w:val="20"/>
              </w:rPr>
            </w:pPr>
          </w:p>
          <w:p w14:paraId="69E5897B"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NR</w:t>
            </w:r>
          </w:p>
          <w:p w14:paraId="25D8201B" w14:textId="77777777" w:rsidR="00482D57" w:rsidRPr="00AB34C7" w:rsidRDefault="00482D57" w:rsidP="00507D72">
            <w:pPr>
              <w:keepNext/>
              <w:jc w:val="center"/>
              <w:rPr>
                <w:rFonts w:ascii="Arial Narrow" w:hAnsi="Arial Narrow"/>
                <w:iCs/>
                <w:sz w:val="20"/>
                <w:szCs w:val="20"/>
              </w:rPr>
            </w:pPr>
          </w:p>
          <w:p w14:paraId="6F547F47"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50.0 (NR)</w:t>
            </w:r>
          </w:p>
          <w:p w14:paraId="17A3ADF9" w14:textId="77777777" w:rsidR="00482D57" w:rsidRPr="00AB34C7" w:rsidRDefault="00482D57" w:rsidP="00507D72">
            <w:pPr>
              <w:keepNext/>
              <w:jc w:val="center"/>
              <w:rPr>
                <w:rFonts w:ascii="Arial Narrow" w:hAnsi="Arial Narrow"/>
                <w:iCs/>
                <w:sz w:val="20"/>
                <w:szCs w:val="20"/>
              </w:rPr>
            </w:pPr>
          </w:p>
          <w:p w14:paraId="7D55E193"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w:t>
            </w:r>
          </w:p>
          <w:p w14:paraId="62BBC67A" w14:textId="77777777" w:rsidR="00482D57" w:rsidRPr="00AB34C7" w:rsidRDefault="00482D57" w:rsidP="00507D72">
            <w:pPr>
              <w:keepNext/>
              <w:jc w:val="center"/>
              <w:rPr>
                <w:rFonts w:ascii="Arial Narrow" w:hAnsi="Arial Narrow"/>
                <w:iCs/>
                <w:sz w:val="20"/>
                <w:szCs w:val="20"/>
              </w:rPr>
            </w:pPr>
          </w:p>
          <w:p w14:paraId="58BA1CBF"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w:t>
            </w:r>
          </w:p>
          <w:p w14:paraId="76EDB0D6" w14:textId="77777777" w:rsidR="00482D57" w:rsidRPr="00AB34C7" w:rsidRDefault="00482D57" w:rsidP="00507D72">
            <w:pPr>
              <w:keepNext/>
              <w:jc w:val="center"/>
              <w:rPr>
                <w:rFonts w:ascii="Arial Narrow" w:hAnsi="Arial Narrow"/>
                <w:iCs/>
                <w:sz w:val="20"/>
                <w:szCs w:val="20"/>
              </w:rPr>
            </w:pPr>
          </w:p>
          <w:p w14:paraId="17A5FFB3" w14:textId="77777777" w:rsidR="00482D57" w:rsidRPr="00AB34C7" w:rsidRDefault="00482D57" w:rsidP="00507D72">
            <w:pPr>
              <w:keepNext/>
              <w:jc w:val="center"/>
              <w:rPr>
                <w:rFonts w:ascii="Arial Narrow" w:hAnsi="Arial Narrow"/>
                <w:iCs/>
                <w:sz w:val="20"/>
                <w:szCs w:val="20"/>
              </w:rPr>
            </w:pPr>
            <w:r w:rsidRPr="00AB34C7">
              <w:rPr>
                <w:rFonts w:ascii="Arial Narrow" w:hAnsi="Arial Narrow"/>
                <w:iCs/>
                <w:sz w:val="20"/>
                <w:szCs w:val="20"/>
              </w:rPr>
              <w:t>-</w:t>
            </w:r>
          </w:p>
        </w:tc>
      </w:tr>
    </w:tbl>
    <w:p w14:paraId="37EC3509" w14:textId="77777777" w:rsidR="00482D57" w:rsidRPr="00AB34C7" w:rsidRDefault="00482D57" w:rsidP="00482D57">
      <w:pPr>
        <w:pStyle w:val="COMTablefooter"/>
      </w:pPr>
      <w:r w:rsidRPr="00AB34C7">
        <w:t>Source: Table 1, p9 of the GLOW clinical study report (February 2023 data cut); Table 4, p15 of the CAPTIVATE clinical study report (March 2023 data cut); p2 of Al-Sawaf et al. (2023); Munir et al. (2023).</w:t>
      </w:r>
    </w:p>
    <w:p w14:paraId="7BBB5922" w14:textId="77777777" w:rsidR="00482D57" w:rsidRPr="00AB34C7" w:rsidRDefault="00482D57" w:rsidP="00482D57">
      <w:pPr>
        <w:pStyle w:val="COMTablefooter"/>
      </w:pPr>
      <w:r w:rsidRPr="00AB34C7">
        <w:t>Abbreviations: CHL, chlorambucil; CI, confidence interval; HR, hazard ratio; IBR, ibrutinib; OBI, obinutuzumab; PFS, progression-free survival; RIT, rituximab; VEN, venetoclax.</w:t>
      </w:r>
    </w:p>
    <w:p w14:paraId="5D575666" w14:textId="77777777" w:rsidR="00482D57" w:rsidRPr="00AB34C7" w:rsidRDefault="00482D57" w:rsidP="00482D57">
      <w:pPr>
        <w:pStyle w:val="COMTablefooter"/>
      </w:pPr>
      <w:r w:rsidRPr="00AB34C7">
        <w:rPr>
          <w:vertAlign w:val="superscript"/>
        </w:rPr>
        <w:t>a</w:t>
      </w:r>
      <w:r w:rsidRPr="00AB34C7">
        <w:t xml:space="preserve"> Reported by Al-Sawaf et al. (2021) based on a median follow-up of 52.4 months.</w:t>
      </w:r>
    </w:p>
    <w:p w14:paraId="1A8B5A45" w14:textId="77777777" w:rsidR="00C91783" w:rsidRPr="00AB34C7" w:rsidRDefault="00C91783" w:rsidP="00AA787B">
      <w:pPr>
        <w:pStyle w:val="COMexecsumnumberedpara"/>
        <w:ind w:hanging="720"/>
      </w:pPr>
      <w:r w:rsidRPr="00B95C74">
        <w:rPr>
          <w:snapToGrid/>
        </w:rPr>
        <w:t>Based on extended follow-up, median progression-free survival was 54.1 months in the ibrutinib + venetoclax arm of the GLOW trial and 23.0 months in the chlorambucil + obinutuzumab arm. Treatment with ibrutinib + venetoclax was associated with a statistically significant improvement in investigator-assessed progression-free survival compared to chlorambucil + obinutuzumab (hazard ratio: 0.23; 95% CI: 0.15, 0.35).</w:t>
      </w:r>
    </w:p>
    <w:p w14:paraId="0E2655BB" w14:textId="669643D7" w:rsidR="00C91783" w:rsidRPr="00AB34C7" w:rsidRDefault="00C91783" w:rsidP="00AA787B">
      <w:pPr>
        <w:pStyle w:val="COMexecsumnumberedpara"/>
        <w:ind w:hanging="720"/>
      </w:pPr>
      <w:r w:rsidRPr="00AB34C7">
        <w:t>Based on extended follow-up, the median progression-free survival was 61.2 months in the ibrutinib + venetoclax arm of the CAPTIVATE study.</w:t>
      </w:r>
    </w:p>
    <w:p w14:paraId="45098D57" w14:textId="1D2F9B77" w:rsidR="006B3273" w:rsidRPr="00AB34C7" w:rsidRDefault="00C91783" w:rsidP="00AA787B">
      <w:pPr>
        <w:pStyle w:val="COMexecsumnumberedpara"/>
        <w:ind w:hanging="720"/>
      </w:pPr>
      <w:r w:rsidRPr="00AB34C7">
        <w:t xml:space="preserve">Based on a naïve comparison of investigator-assessed progression-free survival, the proportion of patients remaining progression-free at 48 months was 69.7% in the ibrutinib + venetoclax arm of the GLOW trial, 78.5% in the ibrutinib + venetoclax arm of the CAPTIVATE study and 74.0% in the venetoclax + obinutuzumab arm of the CLL-14 trial. </w:t>
      </w:r>
      <w:r w:rsidR="00B27945" w:rsidRPr="00AB34C7">
        <w:t>The PBAC noted h</w:t>
      </w:r>
      <w:r w:rsidR="00A15657" w:rsidRPr="00AB34C7">
        <w:t>owever,</w:t>
      </w:r>
      <w:r w:rsidR="006B3273" w:rsidRPr="00AB34C7">
        <w:t xml:space="preserve"> </w:t>
      </w:r>
      <w:r w:rsidR="00B27945" w:rsidRPr="00AB34C7">
        <w:t xml:space="preserve">that there was </w:t>
      </w:r>
      <w:r w:rsidR="00A15657" w:rsidRPr="00AB34C7">
        <w:t>a substantial</w:t>
      </w:r>
      <w:r w:rsidR="006B3273" w:rsidRPr="00AB34C7">
        <w:t xml:space="preserve"> difference in the Kaplan-Meier estimates of PFS at 48 months in the common comparator arms of the GLOW and CLL-14 trials (20.7% versus 35.4%, respectively).</w:t>
      </w:r>
    </w:p>
    <w:p w14:paraId="6A987B09" w14:textId="2B8FC1C6" w:rsidR="00C91783" w:rsidRPr="00AB34C7" w:rsidRDefault="00C91783" w:rsidP="00AA787B">
      <w:pPr>
        <w:pStyle w:val="COMexecsumnumberedpara"/>
        <w:ind w:hanging="720"/>
      </w:pPr>
      <w:r w:rsidRPr="00AB34C7">
        <w:t>The proportion of patients rem</w:t>
      </w:r>
      <w:r w:rsidR="001250B6" w:rsidRPr="00AB34C7">
        <w:t>a</w:t>
      </w:r>
      <w:r w:rsidRPr="00AB34C7">
        <w:t xml:space="preserve">ining progression-free at 42 months was 74.8% in the ibrutinib + venetoclax arm of the GLOW trial, 79.2% in the ibrutinib + venetoclax arm </w:t>
      </w:r>
      <w:r w:rsidRPr="00AB34C7">
        <w:lastRenderedPageBreak/>
        <w:t>of the CAPTIVATE study, and 82.4%/79.4% in the zanubrutinib arms of the SEQUOIA trial (without 17p deletion and with 17p deletion, respectively).</w:t>
      </w:r>
    </w:p>
    <w:p w14:paraId="00C9E5E8" w14:textId="0A8CA1FA" w:rsidR="00C91783" w:rsidRPr="00AB34C7" w:rsidRDefault="00C91783" w:rsidP="00AA787B">
      <w:pPr>
        <w:pStyle w:val="COMexecsumnumberedpara"/>
        <w:ind w:hanging="720"/>
      </w:pPr>
      <w:r w:rsidRPr="00AB34C7">
        <w:t xml:space="preserve">Kaplan-Meier plots of overall survival based on extended follow-up for the GLOW trial and the CAPTIVATE study, respectively, are presented in </w:t>
      </w:r>
      <w:r w:rsidR="004F428A" w:rsidRPr="00AB34C7">
        <w:fldChar w:fldCharType="begin" w:fldLock="1"/>
      </w:r>
      <w:r w:rsidR="004F428A" w:rsidRPr="00AB34C7">
        <w:instrText xml:space="preserve"> REF _Ref153192468 \h </w:instrText>
      </w:r>
      <w:r w:rsidR="004F428A" w:rsidRPr="00AB34C7">
        <w:fldChar w:fldCharType="separate"/>
      </w:r>
      <w:r w:rsidR="008A42E6" w:rsidRPr="00AB34C7">
        <w:t xml:space="preserve">Figure </w:t>
      </w:r>
      <w:r w:rsidR="008A42E6" w:rsidRPr="00B95C74">
        <w:t>3</w:t>
      </w:r>
      <w:r w:rsidR="004F428A" w:rsidRPr="00AB34C7">
        <w:fldChar w:fldCharType="end"/>
      </w:r>
      <w:r w:rsidRPr="00AB34C7">
        <w:t xml:space="preserve"> and </w:t>
      </w:r>
      <w:r w:rsidR="004F428A" w:rsidRPr="00AB34C7">
        <w:fldChar w:fldCharType="begin" w:fldLock="1"/>
      </w:r>
      <w:r w:rsidR="004F428A" w:rsidRPr="00AB34C7">
        <w:instrText xml:space="preserve"> REF _Ref153192478 \h </w:instrText>
      </w:r>
      <w:r w:rsidR="004F428A" w:rsidRPr="00AB34C7">
        <w:fldChar w:fldCharType="separate"/>
      </w:r>
      <w:r w:rsidR="008A42E6" w:rsidRPr="00AB34C7">
        <w:t xml:space="preserve">Figure </w:t>
      </w:r>
      <w:r w:rsidR="008A42E6" w:rsidRPr="00B95C74">
        <w:t>4</w:t>
      </w:r>
      <w:r w:rsidR="004F428A" w:rsidRPr="00AB34C7">
        <w:fldChar w:fldCharType="end"/>
      </w:r>
      <w:r w:rsidR="00681D5F" w:rsidRPr="00AB34C7">
        <w:t>.</w:t>
      </w:r>
    </w:p>
    <w:p w14:paraId="2E33F43C" w14:textId="3E03760F" w:rsidR="00681D5F" w:rsidRPr="00AB34C7" w:rsidRDefault="004F428A" w:rsidP="00681D5F">
      <w:pPr>
        <w:pStyle w:val="COMtablefigcaption"/>
      </w:pPr>
      <w:bookmarkStart w:id="26" w:name="_Ref153192468"/>
      <w:r w:rsidRPr="00AB34C7">
        <w:t xml:space="preserve">Figure </w:t>
      </w:r>
      <w:fldSimple w:instr=" SEQ Figure \* ARABIC " w:fldLock="1">
        <w:r w:rsidR="008A42E6" w:rsidRPr="00B95C74">
          <w:t>3</w:t>
        </w:r>
      </w:fldSimple>
      <w:bookmarkEnd w:id="26"/>
      <w:r w:rsidR="00681D5F" w:rsidRPr="00AB34C7">
        <w:t>: Overall survival results for the GLOW trial (median follow-up: 52.1 months)</w:t>
      </w:r>
    </w:p>
    <w:p w14:paraId="1A2D7B44" w14:textId="77777777" w:rsidR="00681D5F" w:rsidRPr="00AB34C7" w:rsidRDefault="00681D5F" w:rsidP="00681D5F">
      <w:r w:rsidRPr="00A24580">
        <w:rPr>
          <w:noProof/>
        </w:rPr>
        <w:drawing>
          <wp:inline distT="0" distB="0" distL="0" distR="0" wp14:anchorId="38F09EEE" wp14:editId="417085F9">
            <wp:extent cx="5581015" cy="5001260"/>
            <wp:effectExtent l="0" t="0" r="635" b="8890"/>
            <wp:docPr id="487823252" name="Picture 487823252" descr="Figure 3: Overall survival results for the GLOW trial (median follow-up: 52.1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823252" name="Picture 487823252" descr="Figure 3: Overall survival results for the GLOW trial (median follow-up: 52.1 months)"/>
                    <pic:cNvPicPr/>
                  </pic:nvPicPr>
                  <pic:blipFill>
                    <a:blip r:embed="rId10"/>
                    <a:stretch>
                      <a:fillRect/>
                    </a:stretch>
                  </pic:blipFill>
                  <pic:spPr>
                    <a:xfrm>
                      <a:off x="0" y="0"/>
                      <a:ext cx="5581015" cy="5001260"/>
                    </a:xfrm>
                    <a:prstGeom prst="rect">
                      <a:avLst/>
                    </a:prstGeom>
                  </pic:spPr>
                </pic:pic>
              </a:graphicData>
            </a:graphic>
          </wp:inline>
        </w:drawing>
      </w:r>
    </w:p>
    <w:p w14:paraId="5DDE8E88" w14:textId="3454725B" w:rsidR="00681D5F" w:rsidRPr="00AB34C7" w:rsidRDefault="00681D5F" w:rsidP="00681D5F">
      <w:pPr>
        <w:pStyle w:val="COMTablefooter"/>
      </w:pPr>
      <w:r w:rsidRPr="00AB34C7">
        <w:t>Source: Figure 2.14</w:t>
      </w:r>
      <w:r w:rsidR="003C34FF">
        <w:t xml:space="preserve"> </w:t>
      </w:r>
      <w:r w:rsidRPr="00AB34C7">
        <w:t>of the resubmission.</w:t>
      </w:r>
    </w:p>
    <w:p w14:paraId="3E0EE567" w14:textId="77777777" w:rsidR="00681D5F" w:rsidRPr="00AB34C7" w:rsidRDefault="00681D5F" w:rsidP="00681D5F">
      <w:pPr>
        <w:pStyle w:val="COMTablefooter"/>
      </w:pPr>
      <w:r w:rsidRPr="00AB34C7">
        <w:t>Abbreviations: Clb, chlorambucil; Ibr, ibrutinib; Ob, obinutuzumab; Ven, venetoclax.</w:t>
      </w:r>
    </w:p>
    <w:p w14:paraId="41D36A7D" w14:textId="0B0E1527" w:rsidR="004F428A" w:rsidRPr="001C30EF" w:rsidRDefault="00681D5F" w:rsidP="001C30EF">
      <w:pPr>
        <w:pStyle w:val="COMexecsumnumberedpara"/>
        <w:ind w:hanging="720"/>
        <w:rPr>
          <w:i/>
          <w:iCs/>
        </w:rPr>
      </w:pPr>
      <w:r w:rsidRPr="00AB34C7">
        <w:t xml:space="preserve">The proportion of surviving patients in the GLOW trial </w:t>
      </w:r>
      <w:r w:rsidR="000A5267" w:rsidRPr="00AB34C7">
        <w:t>was</w:t>
      </w:r>
      <w:r w:rsidRPr="00AB34C7">
        <w:t xml:space="preserve"> notably </w:t>
      </w:r>
      <w:r w:rsidR="000A5267" w:rsidRPr="00AB34C7">
        <w:t xml:space="preserve">lower in the ibrutinib + venetoclax arm </w:t>
      </w:r>
      <w:r w:rsidRPr="00AB34C7">
        <w:t xml:space="preserve">compared to the </w:t>
      </w:r>
      <w:r w:rsidR="000A5267" w:rsidRPr="00AB34C7">
        <w:t>chlorambucil + obinutuzumab ar</w:t>
      </w:r>
      <w:r w:rsidRPr="00AB34C7">
        <w:t>m during the initial two years. However, the survival curves subsequently cross at approximately 26 months, from which time the proportion of surviving patients in the ibrutinib + venetoclax arm is higher.</w:t>
      </w:r>
    </w:p>
    <w:p w14:paraId="0BC77091" w14:textId="7025FE63" w:rsidR="00681D5F" w:rsidRPr="00AB34C7" w:rsidRDefault="004F428A" w:rsidP="00681D5F">
      <w:pPr>
        <w:pStyle w:val="COMtablefigcaption"/>
      </w:pPr>
      <w:bookmarkStart w:id="27" w:name="_Ref153192478"/>
      <w:r w:rsidRPr="00AB34C7">
        <w:lastRenderedPageBreak/>
        <w:t xml:space="preserve">Figure </w:t>
      </w:r>
      <w:fldSimple w:instr=" SEQ Figure \* ARABIC " w:fldLock="1">
        <w:r w:rsidR="008A42E6" w:rsidRPr="00B95C74">
          <w:t>4</w:t>
        </w:r>
      </w:fldSimple>
      <w:bookmarkEnd w:id="27"/>
      <w:r w:rsidR="00681D5F" w:rsidRPr="00AB34C7">
        <w:t>: Overall survival results for the CAPTIVATE study (median follow-up: 55.7 months)</w:t>
      </w:r>
    </w:p>
    <w:p w14:paraId="7D3611B6" w14:textId="47C190B0" w:rsidR="00681D5F" w:rsidRPr="00AB34C7" w:rsidRDefault="00681D5F" w:rsidP="00681D5F">
      <w:pPr>
        <w:jc w:val="center"/>
      </w:pPr>
      <w:r w:rsidRPr="00A24580">
        <w:rPr>
          <w:noProof/>
        </w:rPr>
        <w:drawing>
          <wp:inline distT="0" distB="0" distL="0" distR="0" wp14:anchorId="688F0CE3" wp14:editId="7D644817">
            <wp:extent cx="4944110" cy="3688715"/>
            <wp:effectExtent l="0" t="0" r="8890" b="6985"/>
            <wp:docPr id="1212528934" name="Picture 5" descr="Figure 4: Overall survival results for the CAPTIVATE study (median follow-up: 55.7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528934" name="Picture 5" descr="Figure 4: Overall survival results for the CAPTIVATE study (median follow-up: 55.7 month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4110" cy="3688715"/>
                    </a:xfrm>
                    <a:prstGeom prst="rect">
                      <a:avLst/>
                    </a:prstGeom>
                    <a:noFill/>
                  </pic:spPr>
                </pic:pic>
              </a:graphicData>
            </a:graphic>
          </wp:inline>
        </w:drawing>
      </w:r>
    </w:p>
    <w:p w14:paraId="1E52654F" w14:textId="24297CD3" w:rsidR="00681D5F" w:rsidRPr="00AB34C7" w:rsidRDefault="00681D5F" w:rsidP="00681D5F">
      <w:pPr>
        <w:pStyle w:val="COMTablefooter"/>
      </w:pPr>
      <w:r w:rsidRPr="00AB34C7">
        <w:t>Source: Figure 2.20 of the resubmission.</w:t>
      </w:r>
    </w:p>
    <w:p w14:paraId="5A055AA5" w14:textId="77777777" w:rsidR="00681D5F" w:rsidRPr="00AB34C7" w:rsidRDefault="00681D5F" w:rsidP="00681D5F">
      <w:pPr>
        <w:pStyle w:val="COMTablefooter"/>
      </w:pPr>
      <w:r w:rsidRPr="00AB34C7">
        <w:t>Abbreviations: FD, fixed duration; OS, overall survival.</w:t>
      </w:r>
    </w:p>
    <w:p w14:paraId="4B98432A" w14:textId="02588025" w:rsidR="008B4827" w:rsidRPr="00AB34C7" w:rsidRDefault="0031277B" w:rsidP="00AA787B">
      <w:pPr>
        <w:pStyle w:val="COMexecsumnumberedpara"/>
        <w:ind w:hanging="720"/>
      </w:pPr>
      <w:r w:rsidRPr="00AB34C7">
        <w:fldChar w:fldCharType="begin" w:fldLock="1"/>
      </w:r>
      <w:r w:rsidRPr="00AB34C7">
        <w:instrText xml:space="preserve"> REF _Ref153192675 \h </w:instrText>
      </w:r>
      <w:r w:rsidRPr="00AB34C7">
        <w:fldChar w:fldCharType="separate"/>
      </w:r>
      <w:r w:rsidR="008A42E6" w:rsidRPr="00AB34C7">
        <w:t xml:space="preserve">Table </w:t>
      </w:r>
      <w:r w:rsidR="008A42E6" w:rsidRPr="00B95C74">
        <w:t>6</w:t>
      </w:r>
      <w:r w:rsidRPr="00AB34C7">
        <w:fldChar w:fldCharType="end"/>
      </w:r>
      <w:r w:rsidR="008B4827" w:rsidRPr="00AB34C7">
        <w:t xml:space="preserve"> presents the overall survival results for the GLOW, CAPTIVATE, CLL-14 and SEQUOIA trials.</w:t>
      </w:r>
    </w:p>
    <w:p w14:paraId="6BB9EF7B" w14:textId="46AA0704" w:rsidR="008B4827" w:rsidRPr="00AB34C7" w:rsidRDefault="008B4827" w:rsidP="00C70AFF">
      <w:pPr>
        <w:pStyle w:val="COMtablefigcaption"/>
      </w:pPr>
      <w:bookmarkStart w:id="28" w:name="_Ref153192675"/>
      <w:r w:rsidRPr="00AB34C7">
        <w:lastRenderedPageBreak/>
        <w:t xml:space="preserve">Table </w:t>
      </w:r>
      <w:fldSimple w:instr=" SEQ Table \* ARABIC " w:fldLock="1">
        <w:r w:rsidR="008A42E6" w:rsidRPr="00B95C74">
          <w:t>6</w:t>
        </w:r>
      </w:fldSimple>
      <w:bookmarkEnd w:id="28"/>
      <w:r w:rsidRPr="00AB34C7">
        <w:t xml:space="preserve">: </w:t>
      </w:r>
      <w:r w:rsidRPr="00AB34C7">
        <w:rPr>
          <w:rStyle w:val="COMtablefigcaptionChar"/>
          <w:b/>
          <w:bCs/>
        </w:rPr>
        <w:t>Overall</w:t>
      </w:r>
      <w:r w:rsidRPr="00AB34C7">
        <w:t xml:space="preserve"> survival results for the GLOW, CAPTIVATE, CLL-14 and SEQUOIA trials</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Caption w:val="Table 6: Overall survival results for the GLOW, CAPTIVATE, CLL-14 and SEQUOIA trials"/>
      </w:tblPr>
      <w:tblGrid>
        <w:gridCol w:w="1556"/>
        <w:gridCol w:w="922"/>
        <w:gridCol w:w="921"/>
        <w:gridCol w:w="930"/>
        <w:gridCol w:w="922"/>
        <w:gridCol w:w="922"/>
        <w:gridCol w:w="922"/>
        <w:gridCol w:w="922"/>
        <w:gridCol w:w="921"/>
      </w:tblGrid>
      <w:tr w:rsidR="008B4827" w:rsidRPr="00AB34C7" w14:paraId="1621C637" w14:textId="77777777" w:rsidTr="00507D72">
        <w:trPr>
          <w:trHeight w:val="70"/>
          <w:tblHeader/>
        </w:trPr>
        <w:tc>
          <w:tcPr>
            <w:tcW w:w="870" w:type="pct"/>
            <w:vMerge w:val="restart"/>
            <w:tcBorders>
              <w:top w:val="single" w:sz="4" w:space="0" w:color="auto"/>
              <w:left w:val="single" w:sz="4" w:space="0" w:color="auto"/>
              <w:right w:val="single" w:sz="4" w:space="0" w:color="auto"/>
            </w:tcBorders>
            <w:shd w:val="clear" w:color="auto" w:fill="FFFFFF"/>
            <w:vAlign w:val="center"/>
          </w:tcPr>
          <w:p w14:paraId="5725294F" w14:textId="77777777" w:rsidR="008B4827" w:rsidRPr="00AB34C7" w:rsidRDefault="008B4827" w:rsidP="00507D72">
            <w:pPr>
              <w:keepNext/>
              <w:rPr>
                <w:rFonts w:ascii="Arial Narrow" w:hAnsi="Arial Narrow"/>
                <w:b/>
                <w:iCs/>
                <w:sz w:val="20"/>
                <w:szCs w:val="20"/>
              </w:rPr>
            </w:pPr>
          </w:p>
        </w:tc>
        <w:tc>
          <w:tcPr>
            <w:tcW w:w="1031" w:type="pct"/>
            <w:gridSpan w:val="2"/>
            <w:tcBorders>
              <w:top w:val="single" w:sz="4" w:space="0" w:color="auto"/>
              <w:left w:val="single" w:sz="4" w:space="0" w:color="auto"/>
              <w:right w:val="single" w:sz="4" w:space="0" w:color="auto"/>
            </w:tcBorders>
            <w:shd w:val="clear" w:color="auto" w:fill="FFFFFF"/>
            <w:vAlign w:val="center"/>
          </w:tcPr>
          <w:p w14:paraId="47AE9DA1" w14:textId="77777777" w:rsidR="008B4827" w:rsidRPr="00AB34C7" w:rsidRDefault="008B4827" w:rsidP="00507D72">
            <w:pPr>
              <w:keepNext/>
              <w:jc w:val="center"/>
              <w:rPr>
                <w:rFonts w:ascii="Arial Narrow" w:hAnsi="Arial Narrow"/>
                <w:b/>
                <w:bCs/>
                <w:iCs/>
                <w:sz w:val="20"/>
                <w:szCs w:val="20"/>
              </w:rPr>
            </w:pPr>
            <w:r w:rsidRPr="00AB34C7">
              <w:rPr>
                <w:rFonts w:ascii="Arial Narrow" w:hAnsi="Arial Narrow"/>
                <w:b/>
                <w:bCs/>
                <w:iCs/>
                <w:sz w:val="20"/>
                <w:szCs w:val="20"/>
              </w:rPr>
              <w:t>GLOW</w:t>
            </w:r>
          </w:p>
        </w:tc>
        <w:tc>
          <w:tcPr>
            <w:tcW w:w="520" w:type="pct"/>
            <w:tcBorders>
              <w:top w:val="single" w:sz="4" w:space="0" w:color="auto"/>
              <w:left w:val="single" w:sz="4" w:space="0" w:color="auto"/>
              <w:right w:val="single" w:sz="4" w:space="0" w:color="auto"/>
            </w:tcBorders>
            <w:shd w:val="clear" w:color="auto" w:fill="FFFFFF"/>
          </w:tcPr>
          <w:p w14:paraId="10E212D7" w14:textId="77777777" w:rsidR="008B4827" w:rsidRPr="00AB34C7" w:rsidRDefault="008B4827" w:rsidP="00507D72">
            <w:pPr>
              <w:keepNext/>
              <w:jc w:val="center"/>
              <w:rPr>
                <w:rFonts w:ascii="Arial Narrow" w:hAnsi="Arial Narrow"/>
                <w:b/>
                <w:bCs/>
                <w:iCs/>
                <w:sz w:val="20"/>
                <w:szCs w:val="20"/>
              </w:rPr>
            </w:pPr>
            <w:r w:rsidRPr="00AB34C7">
              <w:rPr>
                <w:rFonts w:ascii="Arial Narrow" w:hAnsi="Arial Narrow"/>
                <w:b/>
                <w:bCs/>
                <w:iCs/>
                <w:sz w:val="20"/>
                <w:szCs w:val="20"/>
              </w:rPr>
              <w:t>CAPTI-VATE</w:t>
            </w:r>
          </w:p>
        </w:tc>
        <w:tc>
          <w:tcPr>
            <w:tcW w:w="1032" w:type="pct"/>
            <w:gridSpan w:val="2"/>
            <w:tcBorders>
              <w:top w:val="single" w:sz="4" w:space="0" w:color="auto"/>
              <w:left w:val="single" w:sz="4" w:space="0" w:color="auto"/>
              <w:right w:val="single" w:sz="4" w:space="0" w:color="auto"/>
            </w:tcBorders>
            <w:shd w:val="clear" w:color="auto" w:fill="FFFFFF"/>
            <w:vAlign w:val="center"/>
          </w:tcPr>
          <w:p w14:paraId="4BF9846B" w14:textId="77777777" w:rsidR="008B4827" w:rsidRPr="00AB34C7" w:rsidRDefault="008B4827" w:rsidP="00507D72">
            <w:pPr>
              <w:keepNext/>
              <w:jc w:val="center"/>
              <w:rPr>
                <w:rFonts w:ascii="Arial Narrow" w:hAnsi="Arial Narrow"/>
                <w:b/>
                <w:bCs/>
                <w:iCs/>
                <w:sz w:val="20"/>
                <w:szCs w:val="20"/>
              </w:rPr>
            </w:pPr>
            <w:r w:rsidRPr="00AB34C7">
              <w:rPr>
                <w:rFonts w:ascii="Arial Narrow" w:hAnsi="Arial Narrow"/>
                <w:b/>
                <w:iCs/>
                <w:sz w:val="20"/>
                <w:szCs w:val="20"/>
              </w:rPr>
              <w:t>CLL-14</w:t>
            </w:r>
          </w:p>
        </w:tc>
        <w:tc>
          <w:tcPr>
            <w:tcW w:w="1547" w:type="pct"/>
            <w:gridSpan w:val="3"/>
            <w:tcBorders>
              <w:top w:val="single" w:sz="4" w:space="0" w:color="auto"/>
              <w:left w:val="single" w:sz="4" w:space="0" w:color="auto"/>
              <w:right w:val="single" w:sz="4" w:space="0" w:color="auto"/>
            </w:tcBorders>
            <w:shd w:val="clear" w:color="auto" w:fill="FFFFFF"/>
            <w:vAlign w:val="center"/>
          </w:tcPr>
          <w:p w14:paraId="3E59CD32" w14:textId="77777777" w:rsidR="008B4827" w:rsidRPr="00AB34C7" w:rsidRDefault="008B4827" w:rsidP="00507D72">
            <w:pPr>
              <w:keepNext/>
              <w:jc w:val="center"/>
              <w:rPr>
                <w:rFonts w:ascii="Arial Narrow" w:hAnsi="Arial Narrow"/>
                <w:b/>
                <w:bCs/>
                <w:iCs/>
                <w:sz w:val="20"/>
                <w:szCs w:val="20"/>
              </w:rPr>
            </w:pPr>
            <w:r w:rsidRPr="00AB34C7">
              <w:rPr>
                <w:rFonts w:ascii="Arial Narrow" w:hAnsi="Arial Narrow"/>
                <w:b/>
                <w:bCs/>
                <w:iCs/>
                <w:sz w:val="20"/>
                <w:szCs w:val="20"/>
              </w:rPr>
              <w:t>SEQUOIA</w:t>
            </w:r>
          </w:p>
        </w:tc>
      </w:tr>
      <w:tr w:rsidR="008B4827" w:rsidRPr="00AB34C7" w14:paraId="13E70D8E" w14:textId="77777777" w:rsidTr="00507D72">
        <w:trPr>
          <w:trHeight w:val="401"/>
          <w:tblHeader/>
        </w:trPr>
        <w:tc>
          <w:tcPr>
            <w:tcW w:w="870" w:type="pct"/>
            <w:vMerge/>
            <w:tcBorders>
              <w:left w:val="single" w:sz="4" w:space="0" w:color="auto"/>
              <w:right w:val="single" w:sz="4" w:space="0" w:color="auto"/>
            </w:tcBorders>
            <w:shd w:val="clear" w:color="auto" w:fill="FFFFFF"/>
            <w:vAlign w:val="center"/>
          </w:tcPr>
          <w:p w14:paraId="28BDF7A9" w14:textId="77777777" w:rsidR="008B4827" w:rsidRPr="00AB34C7" w:rsidRDefault="008B4827" w:rsidP="00507D72">
            <w:pPr>
              <w:keepNext/>
              <w:rPr>
                <w:rFonts w:ascii="Arial Narrow" w:hAnsi="Arial Narrow"/>
                <w:b/>
                <w:iCs/>
                <w:sz w:val="20"/>
                <w:szCs w:val="20"/>
              </w:rPr>
            </w:pPr>
          </w:p>
        </w:tc>
        <w:tc>
          <w:tcPr>
            <w:tcW w:w="516" w:type="pct"/>
            <w:tcBorders>
              <w:left w:val="single" w:sz="4" w:space="0" w:color="auto"/>
              <w:bottom w:val="single" w:sz="4" w:space="0" w:color="FFFFFF" w:themeColor="background1"/>
              <w:right w:val="single" w:sz="4" w:space="0" w:color="auto"/>
            </w:tcBorders>
            <w:shd w:val="clear" w:color="auto" w:fill="FFFFFF"/>
            <w:vAlign w:val="center"/>
          </w:tcPr>
          <w:p w14:paraId="1AD2D368" w14:textId="77777777" w:rsidR="008B4827" w:rsidRPr="00AB34C7" w:rsidRDefault="008B4827" w:rsidP="00507D72">
            <w:pPr>
              <w:keepNext/>
              <w:jc w:val="center"/>
              <w:rPr>
                <w:rFonts w:ascii="Arial Narrow" w:hAnsi="Arial Narrow"/>
                <w:b/>
                <w:iCs/>
                <w:sz w:val="20"/>
                <w:szCs w:val="20"/>
              </w:rPr>
            </w:pPr>
            <w:r w:rsidRPr="00AB34C7">
              <w:rPr>
                <w:rFonts w:ascii="Arial Narrow" w:hAnsi="Arial Narrow"/>
                <w:b/>
                <w:iCs/>
                <w:sz w:val="20"/>
                <w:szCs w:val="20"/>
              </w:rPr>
              <w:t>IBR + VEN</w:t>
            </w:r>
          </w:p>
        </w:tc>
        <w:tc>
          <w:tcPr>
            <w:tcW w:w="515" w:type="pct"/>
            <w:tcBorders>
              <w:left w:val="single" w:sz="4" w:space="0" w:color="auto"/>
              <w:bottom w:val="single" w:sz="4" w:space="0" w:color="FFFFFF" w:themeColor="background1"/>
              <w:right w:val="single" w:sz="4" w:space="0" w:color="auto"/>
            </w:tcBorders>
            <w:shd w:val="clear" w:color="auto" w:fill="FFFFFF"/>
            <w:vAlign w:val="center"/>
          </w:tcPr>
          <w:p w14:paraId="2504FB6C" w14:textId="77777777" w:rsidR="008B4827" w:rsidRPr="00AB34C7" w:rsidRDefault="008B4827" w:rsidP="00507D72">
            <w:pPr>
              <w:keepNext/>
              <w:jc w:val="center"/>
              <w:rPr>
                <w:rFonts w:ascii="Arial Narrow" w:hAnsi="Arial Narrow"/>
                <w:b/>
                <w:iCs/>
                <w:sz w:val="20"/>
                <w:szCs w:val="20"/>
              </w:rPr>
            </w:pPr>
            <w:r w:rsidRPr="00AB34C7">
              <w:rPr>
                <w:rFonts w:ascii="Arial Narrow" w:hAnsi="Arial Narrow"/>
                <w:b/>
                <w:iCs/>
                <w:sz w:val="20"/>
                <w:szCs w:val="20"/>
              </w:rPr>
              <w:t>CHL + OBI</w:t>
            </w:r>
          </w:p>
        </w:tc>
        <w:tc>
          <w:tcPr>
            <w:tcW w:w="520" w:type="pct"/>
            <w:tcBorders>
              <w:left w:val="single" w:sz="4" w:space="0" w:color="auto"/>
              <w:bottom w:val="single" w:sz="4" w:space="0" w:color="FFFFFF" w:themeColor="background1"/>
              <w:right w:val="single" w:sz="4" w:space="0" w:color="auto"/>
            </w:tcBorders>
            <w:shd w:val="clear" w:color="auto" w:fill="FFFFFF"/>
            <w:vAlign w:val="center"/>
          </w:tcPr>
          <w:p w14:paraId="4B2E3261" w14:textId="77777777" w:rsidR="008B4827" w:rsidRPr="00AB34C7" w:rsidRDefault="008B4827" w:rsidP="00507D72">
            <w:pPr>
              <w:keepNext/>
              <w:jc w:val="center"/>
              <w:rPr>
                <w:rFonts w:ascii="Arial Narrow" w:hAnsi="Arial Narrow"/>
                <w:b/>
                <w:iCs/>
                <w:sz w:val="20"/>
                <w:szCs w:val="20"/>
              </w:rPr>
            </w:pPr>
            <w:r w:rsidRPr="00AB34C7">
              <w:rPr>
                <w:rFonts w:ascii="Arial Narrow" w:hAnsi="Arial Narrow"/>
                <w:b/>
                <w:iCs/>
                <w:sz w:val="20"/>
                <w:szCs w:val="20"/>
              </w:rPr>
              <w:t>IBR + VEN</w:t>
            </w:r>
          </w:p>
        </w:tc>
        <w:tc>
          <w:tcPr>
            <w:tcW w:w="516" w:type="pct"/>
            <w:tcBorders>
              <w:left w:val="single" w:sz="4" w:space="0" w:color="auto"/>
              <w:bottom w:val="single" w:sz="4" w:space="0" w:color="FFFFFF" w:themeColor="background1"/>
              <w:right w:val="single" w:sz="4" w:space="0" w:color="auto"/>
            </w:tcBorders>
            <w:shd w:val="clear" w:color="auto" w:fill="FFFFFF"/>
            <w:vAlign w:val="center"/>
          </w:tcPr>
          <w:p w14:paraId="464F8C67" w14:textId="77777777" w:rsidR="008B4827" w:rsidRPr="00AB34C7" w:rsidRDefault="008B4827" w:rsidP="00507D72">
            <w:pPr>
              <w:keepNext/>
              <w:jc w:val="center"/>
              <w:rPr>
                <w:rFonts w:ascii="Arial Narrow" w:hAnsi="Arial Narrow"/>
                <w:b/>
                <w:iCs/>
                <w:sz w:val="20"/>
                <w:szCs w:val="20"/>
              </w:rPr>
            </w:pPr>
            <w:r w:rsidRPr="00AB34C7">
              <w:rPr>
                <w:rFonts w:ascii="Arial Narrow" w:hAnsi="Arial Narrow"/>
                <w:b/>
                <w:iCs/>
                <w:sz w:val="20"/>
                <w:szCs w:val="20"/>
              </w:rPr>
              <w:t>VEN + OBI</w:t>
            </w:r>
          </w:p>
        </w:tc>
        <w:tc>
          <w:tcPr>
            <w:tcW w:w="516" w:type="pct"/>
            <w:tcBorders>
              <w:left w:val="single" w:sz="4" w:space="0" w:color="auto"/>
              <w:bottom w:val="single" w:sz="4" w:space="0" w:color="FFFFFF" w:themeColor="background1"/>
              <w:right w:val="single" w:sz="4" w:space="0" w:color="auto"/>
            </w:tcBorders>
            <w:shd w:val="clear" w:color="auto" w:fill="FFFFFF"/>
            <w:vAlign w:val="center"/>
          </w:tcPr>
          <w:p w14:paraId="74CA2B19" w14:textId="77777777" w:rsidR="008B4827" w:rsidRPr="00AB34C7" w:rsidRDefault="008B4827" w:rsidP="00507D72">
            <w:pPr>
              <w:keepNext/>
              <w:jc w:val="center"/>
              <w:rPr>
                <w:rFonts w:ascii="Arial Narrow" w:hAnsi="Arial Narrow"/>
                <w:b/>
                <w:iCs/>
                <w:sz w:val="20"/>
                <w:szCs w:val="20"/>
              </w:rPr>
            </w:pPr>
            <w:r w:rsidRPr="00AB34C7">
              <w:rPr>
                <w:rFonts w:ascii="Arial Narrow" w:hAnsi="Arial Narrow"/>
                <w:b/>
                <w:iCs/>
                <w:sz w:val="20"/>
                <w:szCs w:val="20"/>
              </w:rPr>
              <w:t>CHL + OBI</w:t>
            </w:r>
          </w:p>
        </w:tc>
        <w:tc>
          <w:tcPr>
            <w:tcW w:w="516" w:type="pct"/>
            <w:tcBorders>
              <w:left w:val="single" w:sz="4" w:space="0" w:color="auto"/>
              <w:bottom w:val="single" w:sz="4" w:space="0" w:color="FFFFFF" w:themeColor="background1"/>
              <w:right w:val="single" w:sz="4" w:space="0" w:color="auto"/>
            </w:tcBorders>
            <w:shd w:val="clear" w:color="auto" w:fill="FFFFFF"/>
            <w:vAlign w:val="center"/>
          </w:tcPr>
          <w:p w14:paraId="0AE45C91" w14:textId="77777777" w:rsidR="008B4827" w:rsidRPr="00AB34C7" w:rsidRDefault="008B4827" w:rsidP="00507D72">
            <w:pPr>
              <w:keepNext/>
              <w:jc w:val="center"/>
              <w:rPr>
                <w:rFonts w:ascii="Arial Narrow" w:hAnsi="Arial Narrow"/>
                <w:b/>
                <w:iCs/>
                <w:sz w:val="20"/>
                <w:szCs w:val="20"/>
              </w:rPr>
            </w:pPr>
            <w:r w:rsidRPr="00AB34C7">
              <w:rPr>
                <w:rFonts w:ascii="Arial Narrow" w:hAnsi="Arial Narrow"/>
                <w:b/>
                <w:iCs/>
                <w:sz w:val="20"/>
                <w:szCs w:val="20"/>
              </w:rPr>
              <w:t>ZAN</w:t>
            </w:r>
          </w:p>
        </w:tc>
        <w:tc>
          <w:tcPr>
            <w:tcW w:w="516" w:type="pct"/>
            <w:tcBorders>
              <w:left w:val="single" w:sz="4" w:space="0" w:color="auto"/>
              <w:bottom w:val="single" w:sz="4" w:space="0" w:color="FFFFFF" w:themeColor="background1"/>
              <w:right w:val="single" w:sz="4" w:space="0" w:color="auto"/>
            </w:tcBorders>
            <w:shd w:val="clear" w:color="auto" w:fill="FFFFFF"/>
          </w:tcPr>
          <w:p w14:paraId="75BFCB2A" w14:textId="77777777" w:rsidR="008B4827" w:rsidRPr="00AB34C7" w:rsidRDefault="008B4827" w:rsidP="00507D72">
            <w:pPr>
              <w:keepNext/>
              <w:jc w:val="center"/>
              <w:rPr>
                <w:rFonts w:ascii="Arial Narrow" w:hAnsi="Arial Narrow"/>
                <w:b/>
                <w:iCs/>
                <w:sz w:val="20"/>
                <w:szCs w:val="20"/>
              </w:rPr>
            </w:pPr>
            <w:r w:rsidRPr="00AB34C7">
              <w:rPr>
                <w:rFonts w:ascii="Arial Narrow" w:hAnsi="Arial Narrow"/>
                <w:b/>
                <w:iCs/>
                <w:sz w:val="20"/>
                <w:szCs w:val="20"/>
              </w:rPr>
              <w:t xml:space="preserve">ZAN </w:t>
            </w:r>
          </w:p>
          <w:p w14:paraId="59E1F5B4" w14:textId="77777777" w:rsidR="008B4827" w:rsidRPr="00AB34C7" w:rsidRDefault="008B4827" w:rsidP="00507D72">
            <w:pPr>
              <w:keepNext/>
              <w:jc w:val="center"/>
              <w:rPr>
                <w:rFonts w:ascii="Arial Narrow" w:hAnsi="Arial Narrow"/>
                <w:b/>
                <w:iCs/>
                <w:sz w:val="20"/>
                <w:szCs w:val="20"/>
              </w:rPr>
            </w:pPr>
            <w:r w:rsidRPr="00AB34C7">
              <w:rPr>
                <w:rFonts w:ascii="Arial Narrow" w:hAnsi="Arial Narrow"/>
                <w:b/>
                <w:iCs/>
                <w:sz w:val="20"/>
                <w:szCs w:val="20"/>
              </w:rPr>
              <w:t>(del 17p)</w:t>
            </w:r>
          </w:p>
        </w:tc>
        <w:tc>
          <w:tcPr>
            <w:tcW w:w="515" w:type="pct"/>
            <w:tcBorders>
              <w:left w:val="single" w:sz="4" w:space="0" w:color="auto"/>
              <w:bottom w:val="single" w:sz="4" w:space="0" w:color="FFFFFF" w:themeColor="background1"/>
              <w:right w:val="single" w:sz="4" w:space="0" w:color="auto"/>
            </w:tcBorders>
            <w:shd w:val="clear" w:color="auto" w:fill="FFFFFF"/>
            <w:vAlign w:val="center"/>
          </w:tcPr>
          <w:p w14:paraId="4C9BE683" w14:textId="77777777" w:rsidR="008B4827" w:rsidRPr="00AB34C7" w:rsidRDefault="008B4827" w:rsidP="00507D72">
            <w:pPr>
              <w:keepNext/>
              <w:jc w:val="center"/>
              <w:rPr>
                <w:rFonts w:ascii="Arial Narrow" w:hAnsi="Arial Narrow"/>
                <w:b/>
                <w:iCs/>
                <w:sz w:val="20"/>
                <w:szCs w:val="20"/>
              </w:rPr>
            </w:pPr>
            <w:r w:rsidRPr="00AB34C7">
              <w:rPr>
                <w:rFonts w:ascii="Arial Narrow" w:hAnsi="Arial Narrow"/>
                <w:b/>
                <w:iCs/>
                <w:sz w:val="20"/>
                <w:szCs w:val="20"/>
              </w:rPr>
              <w:t>BEN + RIT</w:t>
            </w:r>
          </w:p>
        </w:tc>
      </w:tr>
      <w:tr w:rsidR="008B4827" w:rsidRPr="00AB34C7" w14:paraId="025289AA" w14:textId="77777777" w:rsidTr="00507D72">
        <w:trPr>
          <w:trHeight w:val="277"/>
          <w:tblHeader/>
        </w:trPr>
        <w:tc>
          <w:tcPr>
            <w:tcW w:w="870" w:type="pct"/>
            <w:vMerge/>
            <w:tcBorders>
              <w:left w:val="single" w:sz="4" w:space="0" w:color="auto"/>
              <w:bottom w:val="single" w:sz="4" w:space="0" w:color="auto"/>
              <w:right w:val="single" w:sz="4" w:space="0" w:color="auto"/>
            </w:tcBorders>
            <w:shd w:val="clear" w:color="auto" w:fill="FFFFFF"/>
            <w:vAlign w:val="center"/>
          </w:tcPr>
          <w:p w14:paraId="21FFAB86" w14:textId="77777777" w:rsidR="008B4827" w:rsidRPr="00AB34C7" w:rsidRDefault="008B4827" w:rsidP="00507D72">
            <w:pPr>
              <w:keepNext/>
              <w:rPr>
                <w:rFonts w:ascii="Arial Narrow" w:hAnsi="Arial Narrow"/>
                <w:b/>
                <w:iCs/>
                <w:sz w:val="20"/>
                <w:szCs w:val="20"/>
              </w:rPr>
            </w:pPr>
          </w:p>
        </w:tc>
        <w:tc>
          <w:tcPr>
            <w:tcW w:w="516" w:type="pct"/>
            <w:tcBorders>
              <w:top w:val="single" w:sz="4" w:space="0" w:color="FFFFFF" w:themeColor="background1"/>
              <w:left w:val="single" w:sz="4" w:space="0" w:color="auto"/>
              <w:right w:val="single" w:sz="4" w:space="0" w:color="auto"/>
            </w:tcBorders>
            <w:shd w:val="clear" w:color="auto" w:fill="FFFFFF"/>
          </w:tcPr>
          <w:p w14:paraId="6863EA3A" w14:textId="77777777" w:rsidR="008B4827" w:rsidRPr="00AB34C7" w:rsidRDefault="008B4827" w:rsidP="00507D72">
            <w:pPr>
              <w:keepNext/>
              <w:jc w:val="center"/>
              <w:rPr>
                <w:rFonts w:ascii="Arial Narrow" w:hAnsi="Arial Narrow"/>
                <w:b/>
                <w:iCs/>
                <w:sz w:val="20"/>
                <w:szCs w:val="20"/>
              </w:rPr>
            </w:pPr>
            <w:r w:rsidRPr="00AB34C7">
              <w:rPr>
                <w:rFonts w:ascii="Arial Narrow" w:hAnsi="Arial Narrow"/>
                <w:b/>
                <w:iCs/>
                <w:sz w:val="20"/>
                <w:szCs w:val="20"/>
              </w:rPr>
              <w:t>N=106</w:t>
            </w:r>
          </w:p>
        </w:tc>
        <w:tc>
          <w:tcPr>
            <w:tcW w:w="515" w:type="pct"/>
            <w:tcBorders>
              <w:top w:val="single" w:sz="4" w:space="0" w:color="FFFFFF" w:themeColor="background1"/>
              <w:left w:val="single" w:sz="4" w:space="0" w:color="auto"/>
              <w:right w:val="single" w:sz="4" w:space="0" w:color="auto"/>
            </w:tcBorders>
            <w:shd w:val="clear" w:color="auto" w:fill="FFFFFF"/>
          </w:tcPr>
          <w:p w14:paraId="5C1D95E6" w14:textId="77777777" w:rsidR="008B4827" w:rsidRPr="00AB34C7" w:rsidRDefault="008B4827" w:rsidP="00507D72">
            <w:pPr>
              <w:keepNext/>
              <w:jc w:val="center"/>
              <w:rPr>
                <w:rFonts w:ascii="Arial Narrow" w:hAnsi="Arial Narrow"/>
                <w:b/>
                <w:iCs/>
                <w:sz w:val="20"/>
                <w:szCs w:val="20"/>
              </w:rPr>
            </w:pPr>
            <w:r w:rsidRPr="00AB34C7">
              <w:rPr>
                <w:rFonts w:ascii="Arial Narrow" w:hAnsi="Arial Narrow"/>
                <w:b/>
                <w:iCs/>
                <w:sz w:val="20"/>
                <w:szCs w:val="20"/>
              </w:rPr>
              <w:t>N=105</w:t>
            </w:r>
          </w:p>
        </w:tc>
        <w:tc>
          <w:tcPr>
            <w:tcW w:w="520" w:type="pct"/>
            <w:tcBorders>
              <w:top w:val="single" w:sz="4" w:space="0" w:color="FFFFFF" w:themeColor="background1"/>
              <w:left w:val="single" w:sz="4" w:space="0" w:color="auto"/>
              <w:right w:val="single" w:sz="4" w:space="0" w:color="auto"/>
            </w:tcBorders>
            <w:shd w:val="clear" w:color="auto" w:fill="FFFFFF"/>
          </w:tcPr>
          <w:p w14:paraId="760C88CB" w14:textId="77777777" w:rsidR="008B4827" w:rsidRPr="00AB34C7" w:rsidRDefault="008B4827" w:rsidP="00507D72">
            <w:pPr>
              <w:keepNext/>
              <w:jc w:val="center"/>
              <w:rPr>
                <w:rFonts w:ascii="Arial Narrow" w:hAnsi="Arial Narrow"/>
                <w:b/>
                <w:iCs/>
                <w:sz w:val="20"/>
                <w:szCs w:val="20"/>
              </w:rPr>
            </w:pPr>
            <w:r w:rsidRPr="00AB34C7">
              <w:rPr>
                <w:rFonts w:ascii="Arial Narrow" w:hAnsi="Arial Narrow"/>
                <w:b/>
                <w:iCs/>
                <w:sz w:val="20"/>
                <w:szCs w:val="20"/>
              </w:rPr>
              <w:t>N=159</w:t>
            </w:r>
          </w:p>
        </w:tc>
        <w:tc>
          <w:tcPr>
            <w:tcW w:w="516" w:type="pct"/>
            <w:tcBorders>
              <w:top w:val="single" w:sz="4" w:space="0" w:color="FFFFFF" w:themeColor="background1"/>
              <w:left w:val="single" w:sz="4" w:space="0" w:color="auto"/>
              <w:right w:val="single" w:sz="4" w:space="0" w:color="auto"/>
            </w:tcBorders>
            <w:shd w:val="clear" w:color="auto" w:fill="FFFFFF"/>
          </w:tcPr>
          <w:p w14:paraId="59E8D7B2" w14:textId="77777777" w:rsidR="008B4827" w:rsidRPr="00AB34C7" w:rsidRDefault="008B4827" w:rsidP="00507D72">
            <w:pPr>
              <w:keepNext/>
              <w:jc w:val="center"/>
              <w:rPr>
                <w:rFonts w:ascii="Arial Narrow" w:hAnsi="Arial Narrow"/>
                <w:b/>
                <w:iCs/>
                <w:sz w:val="20"/>
                <w:szCs w:val="20"/>
              </w:rPr>
            </w:pPr>
            <w:r w:rsidRPr="00AB34C7">
              <w:rPr>
                <w:rFonts w:ascii="Arial Narrow" w:hAnsi="Arial Narrow"/>
                <w:b/>
                <w:iCs/>
                <w:sz w:val="20"/>
                <w:szCs w:val="20"/>
              </w:rPr>
              <w:t>N=216</w:t>
            </w:r>
          </w:p>
        </w:tc>
        <w:tc>
          <w:tcPr>
            <w:tcW w:w="516" w:type="pct"/>
            <w:tcBorders>
              <w:top w:val="single" w:sz="4" w:space="0" w:color="FFFFFF" w:themeColor="background1"/>
              <w:left w:val="single" w:sz="4" w:space="0" w:color="auto"/>
              <w:right w:val="single" w:sz="4" w:space="0" w:color="auto"/>
            </w:tcBorders>
            <w:shd w:val="clear" w:color="auto" w:fill="FFFFFF"/>
          </w:tcPr>
          <w:p w14:paraId="54A79C8F" w14:textId="77777777" w:rsidR="008B4827" w:rsidRPr="00AB34C7" w:rsidRDefault="008B4827" w:rsidP="00507D72">
            <w:pPr>
              <w:keepNext/>
              <w:jc w:val="center"/>
              <w:rPr>
                <w:rFonts w:ascii="Arial Narrow" w:hAnsi="Arial Narrow"/>
                <w:b/>
                <w:iCs/>
                <w:sz w:val="20"/>
                <w:szCs w:val="20"/>
              </w:rPr>
            </w:pPr>
            <w:r w:rsidRPr="00AB34C7">
              <w:rPr>
                <w:rFonts w:ascii="Arial Narrow" w:hAnsi="Arial Narrow"/>
                <w:b/>
                <w:iCs/>
                <w:sz w:val="20"/>
                <w:szCs w:val="20"/>
              </w:rPr>
              <w:t>N=216</w:t>
            </w:r>
          </w:p>
        </w:tc>
        <w:tc>
          <w:tcPr>
            <w:tcW w:w="516" w:type="pct"/>
            <w:tcBorders>
              <w:top w:val="single" w:sz="4" w:space="0" w:color="FFFFFF" w:themeColor="background1"/>
              <w:left w:val="single" w:sz="4" w:space="0" w:color="auto"/>
              <w:right w:val="single" w:sz="4" w:space="0" w:color="auto"/>
            </w:tcBorders>
            <w:shd w:val="clear" w:color="auto" w:fill="FFFFFF"/>
          </w:tcPr>
          <w:p w14:paraId="3D2DEC12" w14:textId="77777777" w:rsidR="008B4827" w:rsidRPr="00AB34C7" w:rsidRDefault="008B4827" w:rsidP="00507D72">
            <w:pPr>
              <w:keepNext/>
              <w:jc w:val="center"/>
              <w:rPr>
                <w:rFonts w:ascii="Arial Narrow" w:hAnsi="Arial Narrow"/>
                <w:b/>
                <w:iCs/>
                <w:sz w:val="20"/>
                <w:szCs w:val="20"/>
              </w:rPr>
            </w:pPr>
            <w:r w:rsidRPr="00AB34C7">
              <w:rPr>
                <w:rFonts w:ascii="Arial Narrow" w:hAnsi="Arial Narrow"/>
                <w:b/>
                <w:iCs/>
                <w:sz w:val="20"/>
                <w:szCs w:val="20"/>
              </w:rPr>
              <w:t>N=241</w:t>
            </w:r>
          </w:p>
        </w:tc>
        <w:tc>
          <w:tcPr>
            <w:tcW w:w="516" w:type="pct"/>
            <w:tcBorders>
              <w:top w:val="single" w:sz="4" w:space="0" w:color="FFFFFF" w:themeColor="background1"/>
              <w:left w:val="single" w:sz="4" w:space="0" w:color="auto"/>
              <w:right w:val="single" w:sz="4" w:space="0" w:color="auto"/>
            </w:tcBorders>
            <w:shd w:val="clear" w:color="auto" w:fill="FFFFFF"/>
          </w:tcPr>
          <w:p w14:paraId="25C64B61" w14:textId="77777777" w:rsidR="008B4827" w:rsidRPr="00AB34C7" w:rsidRDefault="008B4827" w:rsidP="00507D72">
            <w:pPr>
              <w:keepNext/>
              <w:jc w:val="center"/>
              <w:rPr>
                <w:rFonts w:ascii="Arial Narrow" w:hAnsi="Arial Narrow"/>
                <w:b/>
                <w:iCs/>
                <w:sz w:val="20"/>
                <w:szCs w:val="20"/>
              </w:rPr>
            </w:pPr>
            <w:r w:rsidRPr="00AB34C7">
              <w:rPr>
                <w:rFonts w:ascii="Arial Narrow" w:hAnsi="Arial Narrow"/>
                <w:b/>
                <w:iCs/>
                <w:sz w:val="20"/>
                <w:szCs w:val="20"/>
              </w:rPr>
              <w:t>N=110</w:t>
            </w:r>
          </w:p>
        </w:tc>
        <w:tc>
          <w:tcPr>
            <w:tcW w:w="515" w:type="pct"/>
            <w:tcBorders>
              <w:top w:val="single" w:sz="4" w:space="0" w:color="FFFFFF" w:themeColor="background1"/>
              <w:left w:val="single" w:sz="4" w:space="0" w:color="auto"/>
              <w:right w:val="single" w:sz="4" w:space="0" w:color="auto"/>
            </w:tcBorders>
            <w:shd w:val="clear" w:color="auto" w:fill="FFFFFF"/>
          </w:tcPr>
          <w:p w14:paraId="43467DBD" w14:textId="77777777" w:rsidR="008B4827" w:rsidRPr="00AB34C7" w:rsidRDefault="008B4827" w:rsidP="00507D72">
            <w:pPr>
              <w:keepNext/>
              <w:jc w:val="center"/>
              <w:rPr>
                <w:rFonts w:ascii="Arial Narrow" w:hAnsi="Arial Narrow"/>
                <w:b/>
                <w:iCs/>
                <w:sz w:val="20"/>
                <w:szCs w:val="20"/>
              </w:rPr>
            </w:pPr>
            <w:r w:rsidRPr="00AB34C7">
              <w:rPr>
                <w:rFonts w:ascii="Arial Narrow" w:hAnsi="Arial Narrow"/>
                <w:b/>
                <w:iCs/>
                <w:sz w:val="20"/>
                <w:szCs w:val="20"/>
              </w:rPr>
              <w:t>N=238</w:t>
            </w:r>
          </w:p>
        </w:tc>
      </w:tr>
      <w:tr w:rsidR="008B4827" w:rsidRPr="00AB34C7" w14:paraId="00E84B41" w14:textId="77777777" w:rsidTr="00507D72">
        <w:tc>
          <w:tcPr>
            <w:tcW w:w="870" w:type="pct"/>
            <w:tcBorders>
              <w:top w:val="single" w:sz="4" w:space="0" w:color="auto"/>
              <w:bottom w:val="single" w:sz="4" w:space="0" w:color="auto"/>
              <w:right w:val="single" w:sz="4" w:space="0" w:color="auto"/>
            </w:tcBorders>
            <w:vAlign w:val="center"/>
          </w:tcPr>
          <w:p w14:paraId="3377F59B" w14:textId="77777777" w:rsidR="008B4827" w:rsidRPr="00AB34C7" w:rsidRDefault="008B4827" w:rsidP="00507D72">
            <w:pPr>
              <w:keepNext/>
              <w:jc w:val="left"/>
              <w:rPr>
                <w:rFonts w:ascii="Arial Narrow" w:hAnsi="Arial Narrow"/>
                <w:sz w:val="20"/>
                <w:szCs w:val="20"/>
              </w:rPr>
            </w:pPr>
            <w:r w:rsidRPr="00AB34C7">
              <w:rPr>
                <w:rFonts w:ascii="Arial Narrow" w:hAnsi="Arial Narrow"/>
                <w:sz w:val="20"/>
                <w:szCs w:val="20"/>
              </w:rPr>
              <w:t>Median follow-up, months (range)</w:t>
            </w:r>
          </w:p>
        </w:tc>
        <w:tc>
          <w:tcPr>
            <w:tcW w:w="516" w:type="pct"/>
            <w:tcBorders>
              <w:left w:val="single" w:sz="4" w:space="0" w:color="auto"/>
              <w:right w:val="single" w:sz="4" w:space="0" w:color="auto"/>
            </w:tcBorders>
            <w:shd w:val="clear" w:color="auto" w:fill="FFFFFF"/>
          </w:tcPr>
          <w:p w14:paraId="1C1613A7"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 xml:space="preserve">52.1 </w:t>
            </w:r>
          </w:p>
          <w:p w14:paraId="15FCBE12"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(1.7-56.4)</w:t>
            </w:r>
          </w:p>
        </w:tc>
        <w:tc>
          <w:tcPr>
            <w:tcW w:w="515" w:type="pct"/>
            <w:tcBorders>
              <w:left w:val="single" w:sz="4" w:space="0" w:color="auto"/>
              <w:right w:val="single" w:sz="4" w:space="0" w:color="auto"/>
            </w:tcBorders>
            <w:shd w:val="clear" w:color="auto" w:fill="FFFFFF"/>
          </w:tcPr>
          <w:p w14:paraId="1C146832"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 xml:space="preserve">51.9 </w:t>
            </w:r>
          </w:p>
          <w:p w14:paraId="55EE0DB8"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(5.1-57.8)</w:t>
            </w:r>
          </w:p>
        </w:tc>
        <w:tc>
          <w:tcPr>
            <w:tcW w:w="520" w:type="pct"/>
            <w:tcBorders>
              <w:left w:val="single" w:sz="4" w:space="0" w:color="auto"/>
              <w:right w:val="single" w:sz="4" w:space="0" w:color="auto"/>
            </w:tcBorders>
            <w:shd w:val="clear" w:color="auto" w:fill="FFFFFF"/>
          </w:tcPr>
          <w:p w14:paraId="28913798"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 xml:space="preserve">55.7 </w:t>
            </w:r>
          </w:p>
          <w:p w14:paraId="660E7D56"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(0.8-61.2)</w:t>
            </w:r>
          </w:p>
        </w:tc>
        <w:tc>
          <w:tcPr>
            <w:tcW w:w="1032" w:type="pct"/>
            <w:gridSpan w:val="2"/>
            <w:tcBorders>
              <w:left w:val="single" w:sz="4" w:space="0" w:color="auto"/>
              <w:right w:val="single" w:sz="4" w:space="0" w:color="auto"/>
            </w:tcBorders>
            <w:shd w:val="clear" w:color="auto" w:fill="FFFFFF"/>
            <w:vAlign w:val="center"/>
          </w:tcPr>
          <w:p w14:paraId="54EB3225"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76.4 (NR)</w:t>
            </w:r>
          </w:p>
        </w:tc>
        <w:tc>
          <w:tcPr>
            <w:tcW w:w="1032" w:type="pct"/>
            <w:gridSpan w:val="2"/>
            <w:tcBorders>
              <w:left w:val="single" w:sz="4" w:space="0" w:color="auto"/>
              <w:right w:val="single" w:sz="4" w:space="0" w:color="auto"/>
            </w:tcBorders>
            <w:shd w:val="clear" w:color="auto" w:fill="FFFFFF"/>
            <w:vAlign w:val="center"/>
          </w:tcPr>
          <w:p w14:paraId="5DEF907A"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43.7 (0-60.0)</w:t>
            </w:r>
          </w:p>
        </w:tc>
        <w:tc>
          <w:tcPr>
            <w:tcW w:w="515" w:type="pct"/>
            <w:tcBorders>
              <w:left w:val="single" w:sz="4" w:space="0" w:color="auto"/>
              <w:right w:val="single" w:sz="4" w:space="0" w:color="auto"/>
            </w:tcBorders>
            <w:shd w:val="clear" w:color="auto" w:fill="FFFFFF"/>
            <w:vAlign w:val="center"/>
          </w:tcPr>
          <w:p w14:paraId="4A868CC2"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 xml:space="preserve">47.9 </w:t>
            </w:r>
          </w:p>
          <w:p w14:paraId="26D2D2A8"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(5.0-56.9)</w:t>
            </w:r>
          </w:p>
        </w:tc>
      </w:tr>
      <w:tr w:rsidR="008B4827" w:rsidRPr="00AB34C7" w14:paraId="506DA496" w14:textId="77777777" w:rsidTr="00507D72">
        <w:tc>
          <w:tcPr>
            <w:tcW w:w="870" w:type="pct"/>
            <w:tcBorders>
              <w:top w:val="single" w:sz="4" w:space="0" w:color="auto"/>
              <w:right w:val="single" w:sz="4" w:space="0" w:color="auto"/>
            </w:tcBorders>
            <w:vAlign w:val="center"/>
          </w:tcPr>
          <w:p w14:paraId="6A9BB661" w14:textId="77777777" w:rsidR="008B4827" w:rsidRPr="00AB34C7" w:rsidRDefault="008B4827" w:rsidP="00507D72">
            <w:pPr>
              <w:keepNext/>
              <w:jc w:val="left"/>
              <w:rPr>
                <w:rFonts w:ascii="Arial Narrow" w:hAnsi="Arial Narrow"/>
                <w:sz w:val="20"/>
                <w:szCs w:val="20"/>
              </w:rPr>
            </w:pPr>
            <w:r w:rsidRPr="00AB34C7">
              <w:rPr>
                <w:rFonts w:ascii="Arial Narrow" w:hAnsi="Arial Narrow"/>
                <w:sz w:val="20"/>
                <w:szCs w:val="20"/>
              </w:rPr>
              <w:t>Events, n (%)</w:t>
            </w:r>
          </w:p>
        </w:tc>
        <w:tc>
          <w:tcPr>
            <w:tcW w:w="516" w:type="pct"/>
            <w:tcBorders>
              <w:left w:val="single" w:sz="4" w:space="0" w:color="auto"/>
              <w:right w:val="single" w:sz="4" w:space="0" w:color="auto"/>
            </w:tcBorders>
            <w:shd w:val="clear" w:color="auto" w:fill="FFFFFF"/>
          </w:tcPr>
          <w:p w14:paraId="72B0A92A"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17 (16.0)</w:t>
            </w:r>
          </w:p>
        </w:tc>
        <w:tc>
          <w:tcPr>
            <w:tcW w:w="515" w:type="pct"/>
            <w:tcBorders>
              <w:left w:val="single" w:sz="4" w:space="0" w:color="auto"/>
              <w:right w:val="single" w:sz="4" w:space="0" w:color="auto"/>
            </w:tcBorders>
            <w:shd w:val="clear" w:color="auto" w:fill="FFFFFF"/>
          </w:tcPr>
          <w:p w14:paraId="7E569435"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36 (34.3)</w:t>
            </w:r>
          </w:p>
        </w:tc>
        <w:tc>
          <w:tcPr>
            <w:tcW w:w="520" w:type="pct"/>
            <w:tcBorders>
              <w:left w:val="single" w:sz="4" w:space="0" w:color="auto"/>
              <w:right w:val="single" w:sz="4" w:space="0" w:color="auto"/>
            </w:tcBorders>
            <w:shd w:val="clear" w:color="auto" w:fill="FFFFFF"/>
          </w:tcPr>
          <w:p w14:paraId="5A80C172"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6 (3.8)</w:t>
            </w:r>
          </w:p>
        </w:tc>
        <w:tc>
          <w:tcPr>
            <w:tcW w:w="516" w:type="pct"/>
            <w:tcBorders>
              <w:left w:val="single" w:sz="4" w:space="0" w:color="auto"/>
              <w:right w:val="single" w:sz="4" w:space="0" w:color="auto"/>
            </w:tcBorders>
            <w:shd w:val="clear" w:color="auto" w:fill="FFFFFF"/>
          </w:tcPr>
          <w:p w14:paraId="188A0690"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48 (NR)</w:t>
            </w:r>
          </w:p>
        </w:tc>
        <w:tc>
          <w:tcPr>
            <w:tcW w:w="516" w:type="pct"/>
            <w:tcBorders>
              <w:left w:val="single" w:sz="4" w:space="0" w:color="auto"/>
              <w:right w:val="single" w:sz="4" w:space="0" w:color="auto"/>
            </w:tcBorders>
            <w:shd w:val="clear" w:color="auto" w:fill="FFFFFF"/>
          </w:tcPr>
          <w:p w14:paraId="022A751E"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70 (NR)</w:t>
            </w:r>
          </w:p>
        </w:tc>
        <w:tc>
          <w:tcPr>
            <w:tcW w:w="516" w:type="pct"/>
            <w:tcBorders>
              <w:left w:val="single" w:sz="4" w:space="0" w:color="auto"/>
              <w:right w:val="single" w:sz="4" w:space="0" w:color="auto"/>
            </w:tcBorders>
            <w:shd w:val="clear" w:color="auto" w:fill="FFFFFF"/>
          </w:tcPr>
          <w:p w14:paraId="31DBB938"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NR</w:t>
            </w:r>
          </w:p>
        </w:tc>
        <w:tc>
          <w:tcPr>
            <w:tcW w:w="516" w:type="pct"/>
            <w:tcBorders>
              <w:left w:val="single" w:sz="4" w:space="0" w:color="auto"/>
              <w:right w:val="single" w:sz="4" w:space="0" w:color="auto"/>
            </w:tcBorders>
            <w:shd w:val="clear" w:color="auto" w:fill="FFFFFF"/>
          </w:tcPr>
          <w:p w14:paraId="555D7176"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NR</w:t>
            </w:r>
          </w:p>
        </w:tc>
        <w:tc>
          <w:tcPr>
            <w:tcW w:w="515" w:type="pct"/>
            <w:tcBorders>
              <w:left w:val="single" w:sz="4" w:space="0" w:color="auto"/>
              <w:right w:val="single" w:sz="4" w:space="0" w:color="auto"/>
            </w:tcBorders>
            <w:shd w:val="clear" w:color="auto" w:fill="FFFFFF"/>
          </w:tcPr>
          <w:p w14:paraId="7CD69DB8"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NR</w:t>
            </w:r>
          </w:p>
        </w:tc>
      </w:tr>
      <w:tr w:rsidR="008B4827" w:rsidRPr="00AB34C7" w14:paraId="4BEAC522" w14:textId="77777777" w:rsidTr="00507D72">
        <w:tc>
          <w:tcPr>
            <w:tcW w:w="870" w:type="pct"/>
            <w:tcBorders>
              <w:right w:val="single" w:sz="4" w:space="0" w:color="auto"/>
            </w:tcBorders>
            <w:vAlign w:val="center"/>
          </w:tcPr>
          <w:p w14:paraId="194FFB5E" w14:textId="77777777" w:rsidR="008B4827" w:rsidRPr="00AB34C7" w:rsidRDefault="008B4827" w:rsidP="00507D72">
            <w:pPr>
              <w:keepNext/>
              <w:jc w:val="left"/>
              <w:rPr>
                <w:rFonts w:ascii="Arial Narrow" w:hAnsi="Arial Narrow"/>
                <w:iCs/>
                <w:sz w:val="20"/>
                <w:szCs w:val="20"/>
              </w:rPr>
            </w:pPr>
            <w:r w:rsidRPr="00AB34C7">
              <w:rPr>
                <w:rFonts w:ascii="Arial Narrow" w:hAnsi="Arial Narrow"/>
                <w:sz w:val="20"/>
                <w:szCs w:val="20"/>
              </w:rPr>
              <w:t>Median OS, months (95% CI)</w:t>
            </w:r>
          </w:p>
        </w:tc>
        <w:tc>
          <w:tcPr>
            <w:tcW w:w="516" w:type="pct"/>
            <w:tcBorders>
              <w:left w:val="single" w:sz="4" w:space="0" w:color="auto"/>
              <w:right w:val="single" w:sz="4" w:space="0" w:color="auto"/>
            </w:tcBorders>
            <w:shd w:val="clear" w:color="auto" w:fill="FFFFFF"/>
          </w:tcPr>
          <w:p w14:paraId="2C6AF5B4"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 xml:space="preserve">NE </w:t>
            </w:r>
          </w:p>
          <w:p w14:paraId="1E60C8D8"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(NE, NE)</w:t>
            </w:r>
          </w:p>
        </w:tc>
        <w:tc>
          <w:tcPr>
            <w:tcW w:w="515" w:type="pct"/>
            <w:tcBorders>
              <w:left w:val="single" w:sz="4" w:space="0" w:color="auto"/>
              <w:right w:val="single" w:sz="4" w:space="0" w:color="auto"/>
            </w:tcBorders>
            <w:shd w:val="clear" w:color="auto" w:fill="FFFFFF"/>
          </w:tcPr>
          <w:p w14:paraId="0205C0C4"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 xml:space="preserve">NE </w:t>
            </w:r>
          </w:p>
          <w:p w14:paraId="31C0DED2"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(NE, NE)</w:t>
            </w:r>
          </w:p>
        </w:tc>
        <w:tc>
          <w:tcPr>
            <w:tcW w:w="520" w:type="pct"/>
            <w:tcBorders>
              <w:left w:val="single" w:sz="4" w:space="0" w:color="auto"/>
              <w:right w:val="single" w:sz="4" w:space="0" w:color="auto"/>
            </w:tcBorders>
            <w:shd w:val="clear" w:color="auto" w:fill="FFFFFF"/>
          </w:tcPr>
          <w:p w14:paraId="4F30D9EF"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 xml:space="preserve">NE </w:t>
            </w:r>
          </w:p>
          <w:p w14:paraId="202586C9"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(NE, NE)</w:t>
            </w:r>
          </w:p>
        </w:tc>
        <w:tc>
          <w:tcPr>
            <w:tcW w:w="516" w:type="pct"/>
            <w:tcBorders>
              <w:left w:val="single" w:sz="4" w:space="0" w:color="auto"/>
              <w:right w:val="single" w:sz="4" w:space="0" w:color="auto"/>
            </w:tcBorders>
            <w:shd w:val="clear" w:color="auto" w:fill="FFFFFF"/>
          </w:tcPr>
          <w:p w14:paraId="5AB08224"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NE</w:t>
            </w:r>
          </w:p>
          <w:p w14:paraId="407D96F7"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(NR)</w:t>
            </w:r>
          </w:p>
        </w:tc>
        <w:tc>
          <w:tcPr>
            <w:tcW w:w="516" w:type="pct"/>
            <w:tcBorders>
              <w:left w:val="single" w:sz="4" w:space="0" w:color="auto"/>
              <w:right w:val="single" w:sz="4" w:space="0" w:color="auto"/>
            </w:tcBorders>
            <w:shd w:val="clear" w:color="auto" w:fill="FFFFFF"/>
          </w:tcPr>
          <w:p w14:paraId="2D154D2F"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NE</w:t>
            </w:r>
          </w:p>
          <w:p w14:paraId="253EDA8B"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(NR)</w:t>
            </w:r>
          </w:p>
        </w:tc>
        <w:tc>
          <w:tcPr>
            <w:tcW w:w="516" w:type="pct"/>
            <w:tcBorders>
              <w:left w:val="single" w:sz="4" w:space="0" w:color="auto"/>
              <w:right w:val="single" w:sz="4" w:space="0" w:color="auto"/>
            </w:tcBorders>
            <w:shd w:val="clear" w:color="auto" w:fill="FFFFFF"/>
            <w:vAlign w:val="center"/>
          </w:tcPr>
          <w:p w14:paraId="7752D17F"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NE (NR)</w:t>
            </w:r>
          </w:p>
        </w:tc>
        <w:tc>
          <w:tcPr>
            <w:tcW w:w="516" w:type="pct"/>
            <w:tcBorders>
              <w:left w:val="single" w:sz="4" w:space="0" w:color="auto"/>
              <w:right w:val="single" w:sz="4" w:space="0" w:color="auto"/>
            </w:tcBorders>
            <w:shd w:val="clear" w:color="auto" w:fill="FFFFFF"/>
            <w:vAlign w:val="center"/>
          </w:tcPr>
          <w:p w14:paraId="3F3BEE85"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NE (NR)</w:t>
            </w:r>
          </w:p>
        </w:tc>
        <w:tc>
          <w:tcPr>
            <w:tcW w:w="515" w:type="pct"/>
            <w:tcBorders>
              <w:left w:val="single" w:sz="4" w:space="0" w:color="auto"/>
              <w:right w:val="single" w:sz="4" w:space="0" w:color="auto"/>
            </w:tcBorders>
            <w:shd w:val="clear" w:color="auto" w:fill="FFFFFF"/>
            <w:vAlign w:val="center"/>
          </w:tcPr>
          <w:p w14:paraId="793A480B"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NE (NR)</w:t>
            </w:r>
          </w:p>
        </w:tc>
      </w:tr>
      <w:tr w:rsidR="008B4827" w:rsidRPr="00AB34C7" w14:paraId="7FCB1DC8" w14:textId="77777777" w:rsidTr="00507D72">
        <w:tc>
          <w:tcPr>
            <w:tcW w:w="870" w:type="pct"/>
            <w:tcBorders>
              <w:right w:val="single" w:sz="4" w:space="0" w:color="auto"/>
            </w:tcBorders>
          </w:tcPr>
          <w:p w14:paraId="08997C00" w14:textId="77777777" w:rsidR="008B4827" w:rsidRPr="00AB34C7" w:rsidRDefault="008B4827" w:rsidP="00507D72">
            <w:pPr>
              <w:keepNext/>
              <w:jc w:val="left"/>
              <w:rPr>
                <w:rFonts w:ascii="Arial Narrow" w:hAnsi="Arial Narrow"/>
                <w:sz w:val="20"/>
                <w:szCs w:val="20"/>
              </w:rPr>
            </w:pPr>
            <w:r w:rsidRPr="00AB34C7">
              <w:rPr>
                <w:rFonts w:ascii="Arial Narrow" w:hAnsi="Arial Narrow"/>
                <w:sz w:val="20"/>
                <w:szCs w:val="20"/>
              </w:rPr>
              <w:t>HR vs comparator (95% CI)</w:t>
            </w:r>
          </w:p>
        </w:tc>
        <w:tc>
          <w:tcPr>
            <w:tcW w:w="516" w:type="pct"/>
            <w:tcBorders>
              <w:left w:val="single" w:sz="4" w:space="0" w:color="auto"/>
              <w:right w:val="single" w:sz="4" w:space="0" w:color="auto"/>
            </w:tcBorders>
            <w:shd w:val="clear" w:color="auto" w:fill="FFFFFF"/>
          </w:tcPr>
          <w:p w14:paraId="0336CCE4" w14:textId="77777777" w:rsidR="008B4827" w:rsidRPr="00AB34C7" w:rsidRDefault="008B4827" w:rsidP="00507D72">
            <w:pPr>
              <w:keepNext/>
              <w:jc w:val="center"/>
              <w:rPr>
                <w:rFonts w:ascii="Arial Narrow" w:hAnsi="Arial Narrow"/>
                <w:b/>
                <w:bCs/>
                <w:iCs/>
                <w:sz w:val="20"/>
                <w:szCs w:val="20"/>
              </w:rPr>
            </w:pPr>
            <w:r w:rsidRPr="00AB34C7">
              <w:rPr>
                <w:rFonts w:ascii="Arial Narrow" w:hAnsi="Arial Narrow"/>
                <w:b/>
                <w:bCs/>
                <w:iCs/>
                <w:sz w:val="20"/>
                <w:szCs w:val="20"/>
              </w:rPr>
              <w:t xml:space="preserve">0.46 </w:t>
            </w:r>
          </w:p>
          <w:p w14:paraId="685F05D7" w14:textId="77777777" w:rsidR="008B4827" w:rsidRPr="00AB34C7" w:rsidRDefault="008B4827" w:rsidP="00507D72">
            <w:pPr>
              <w:keepNext/>
              <w:jc w:val="center"/>
              <w:rPr>
                <w:rFonts w:ascii="Arial Narrow" w:hAnsi="Arial Narrow"/>
                <w:b/>
                <w:bCs/>
                <w:iCs/>
                <w:sz w:val="20"/>
                <w:szCs w:val="20"/>
              </w:rPr>
            </w:pPr>
            <w:r w:rsidRPr="00AB34C7">
              <w:rPr>
                <w:rFonts w:ascii="Arial Narrow" w:hAnsi="Arial Narrow"/>
                <w:b/>
                <w:bCs/>
                <w:iCs/>
                <w:sz w:val="20"/>
                <w:szCs w:val="20"/>
              </w:rPr>
              <w:t>(0.26, 0.82)</w:t>
            </w:r>
          </w:p>
        </w:tc>
        <w:tc>
          <w:tcPr>
            <w:tcW w:w="515" w:type="pct"/>
            <w:tcBorders>
              <w:left w:val="single" w:sz="4" w:space="0" w:color="auto"/>
              <w:right w:val="single" w:sz="4" w:space="0" w:color="auto"/>
            </w:tcBorders>
            <w:shd w:val="clear" w:color="auto" w:fill="FFFFFF"/>
            <w:vAlign w:val="center"/>
          </w:tcPr>
          <w:p w14:paraId="20700019"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w:t>
            </w:r>
          </w:p>
        </w:tc>
        <w:tc>
          <w:tcPr>
            <w:tcW w:w="520" w:type="pct"/>
            <w:tcBorders>
              <w:left w:val="single" w:sz="4" w:space="0" w:color="auto"/>
              <w:right w:val="single" w:sz="4" w:space="0" w:color="auto"/>
            </w:tcBorders>
            <w:shd w:val="clear" w:color="auto" w:fill="FFFFFF"/>
            <w:vAlign w:val="center"/>
          </w:tcPr>
          <w:p w14:paraId="03C07449"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w:t>
            </w:r>
          </w:p>
        </w:tc>
        <w:tc>
          <w:tcPr>
            <w:tcW w:w="516" w:type="pct"/>
            <w:tcBorders>
              <w:left w:val="single" w:sz="4" w:space="0" w:color="auto"/>
              <w:right w:val="single" w:sz="4" w:space="0" w:color="auto"/>
            </w:tcBorders>
            <w:shd w:val="clear" w:color="auto" w:fill="FFFFFF"/>
            <w:vAlign w:val="center"/>
          </w:tcPr>
          <w:p w14:paraId="0939C6A6" w14:textId="77777777" w:rsidR="008B4827" w:rsidRPr="00AB34C7" w:rsidRDefault="008B4827" w:rsidP="00507D72">
            <w:pPr>
              <w:keepNext/>
              <w:jc w:val="center"/>
              <w:rPr>
                <w:rFonts w:ascii="Arial Narrow" w:hAnsi="Arial Narrow"/>
                <w:b/>
                <w:bCs/>
                <w:iCs/>
                <w:sz w:val="20"/>
                <w:szCs w:val="20"/>
              </w:rPr>
            </w:pPr>
            <w:r w:rsidRPr="00AB34C7">
              <w:rPr>
                <w:rFonts w:ascii="Arial Narrow" w:hAnsi="Arial Narrow"/>
                <w:b/>
                <w:bCs/>
                <w:iCs/>
                <w:sz w:val="20"/>
                <w:szCs w:val="20"/>
              </w:rPr>
              <w:t xml:space="preserve">0.69 </w:t>
            </w:r>
          </w:p>
          <w:p w14:paraId="088695A4" w14:textId="77777777" w:rsidR="008B4827" w:rsidRPr="00AB34C7" w:rsidRDefault="008B4827" w:rsidP="00507D72">
            <w:pPr>
              <w:keepNext/>
              <w:jc w:val="center"/>
              <w:rPr>
                <w:rFonts w:ascii="Arial Narrow" w:hAnsi="Arial Narrow"/>
                <w:b/>
                <w:bCs/>
                <w:iCs/>
                <w:sz w:val="20"/>
                <w:szCs w:val="20"/>
              </w:rPr>
            </w:pPr>
            <w:r w:rsidRPr="00AB34C7">
              <w:rPr>
                <w:rFonts w:ascii="Arial Narrow" w:hAnsi="Arial Narrow"/>
                <w:b/>
                <w:bCs/>
                <w:iCs/>
                <w:sz w:val="20"/>
                <w:szCs w:val="20"/>
              </w:rPr>
              <w:t>(0.48, 1.01)</w:t>
            </w:r>
          </w:p>
        </w:tc>
        <w:tc>
          <w:tcPr>
            <w:tcW w:w="516" w:type="pct"/>
            <w:tcBorders>
              <w:left w:val="single" w:sz="4" w:space="0" w:color="auto"/>
              <w:right w:val="single" w:sz="4" w:space="0" w:color="auto"/>
            </w:tcBorders>
            <w:shd w:val="clear" w:color="auto" w:fill="FFFFFF"/>
            <w:vAlign w:val="center"/>
          </w:tcPr>
          <w:p w14:paraId="2E27650F" w14:textId="77777777" w:rsidR="008B4827" w:rsidRPr="00AB34C7" w:rsidRDefault="008B4827" w:rsidP="00507D72">
            <w:pPr>
              <w:keepNext/>
              <w:jc w:val="center"/>
              <w:rPr>
                <w:rFonts w:ascii="Arial Narrow" w:hAnsi="Arial Narrow"/>
                <w:b/>
                <w:bCs/>
                <w:iCs/>
                <w:sz w:val="20"/>
                <w:szCs w:val="20"/>
              </w:rPr>
            </w:pPr>
            <w:r w:rsidRPr="00AB34C7">
              <w:rPr>
                <w:rFonts w:ascii="Arial Narrow" w:hAnsi="Arial Narrow"/>
                <w:iCs/>
                <w:sz w:val="20"/>
                <w:szCs w:val="20"/>
              </w:rPr>
              <w:t>-</w:t>
            </w:r>
          </w:p>
        </w:tc>
        <w:tc>
          <w:tcPr>
            <w:tcW w:w="516" w:type="pct"/>
            <w:tcBorders>
              <w:left w:val="single" w:sz="4" w:space="0" w:color="auto"/>
              <w:right w:val="single" w:sz="4" w:space="0" w:color="auto"/>
            </w:tcBorders>
            <w:shd w:val="clear" w:color="auto" w:fill="FFFFFF"/>
            <w:vAlign w:val="center"/>
          </w:tcPr>
          <w:p w14:paraId="385CB7EE" w14:textId="77777777" w:rsidR="008B4827" w:rsidRPr="00AB34C7" w:rsidRDefault="008B4827" w:rsidP="00507D72">
            <w:pPr>
              <w:keepNext/>
              <w:jc w:val="center"/>
              <w:rPr>
                <w:rFonts w:ascii="Arial Narrow" w:hAnsi="Arial Narrow"/>
                <w:b/>
                <w:bCs/>
                <w:iCs/>
                <w:sz w:val="20"/>
                <w:szCs w:val="20"/>
              </w:rPr>
            </w:pPr>
            <w:r w:rsidRPr="00AB34C7">
              <w:rPr>
                <w:rFonts w:ascii="Arial Narrow" w:hAnsi="Arial Narrow"/>
                <w:b/>
                <w:bCs/>
                <w:iCs/>
                <w:sz w:val="20"/>
                <w:szCs w:val="20"/>
              </w:rPr>
              <w:t>0.87</w:t>
            </w:r>
          </w:p>
          <w:p w14:paraId="58090A3D" w14:textId="77777777" w:rsidR="008B4827" w:rsidRPr="00AB34C7" w:rsidRDefault="008B4827" w:rsidP="00507D72">
            <w:pPr>
              <w:keepNext/>
              <w:jc w:val="center"/>
              <w:rPr>
                <w:rFonts w:ascii="Arial Narrow" w:hAnsi="Arial Narrow"/>
                <w:b/>
                <w:bCs/>
                <w:iCs/>
                <w:sz w:val="20"/>
                <w:szCs w:val="20"/>
              </w:rPr>
            </w:pPr>
            <w:r w:rsidRPr="00AB34C7">
              <w:rPr>
                <w:rFonts w:ascii="Arial Narrow" w:hAnsi="Arial Narrow"/>
                <w:b/>
                <w:bCs/>
                <w:iCs/>
                <w:sz w:val="20"/>
                <w:szCs w:val="20"/>
              </w:rPr>
              <w:t>(0.50, 1.48)</w:t>
            </w:r>
          </w:p>
        </w:tc>
        <w:tc>
          <w:tcPr>
            <w:tcW w:w="516" w:type="pct"/>
            <w:tcBorders>
              <w:left w:val="single" w:sz="4" w:space="0" w:color="auto"/>
              <w:right w:val="single" w:sz="4" w:space="0" w:color="auto"/>
            </w:tcBorders>
            <w:shd w:val="clear" w:color="auto" w:fill="FFFFFF"/>
            <w:vAlign w:val="center"/>
          </w:tcPr>
          <w:p w14:paraId="6DDAABC3" w14:textId="77777777" w:rsidR="008B4827" w:rsidRPr="00AB34C7" w:rsidRDefault="008B4827" w:rsidP="00507D72">
            <w:pPr>
              <w:keepNext/>
              <w:jc w:val="center"/>
              <w:rPr>
                <w:rFonts w:ascii="Arial Narrow" w:hAnsi="Arial Narrow"/>
                <w:b/>
                <w:bCs/>
                <w:iCs/>
                <w:sz w:val="20"/>
                <w:szCs w:val="20"/>
              </w:rPr>
            </w:pPr>
            <w:r w:rsidRPr="00AB34C7">
              <w:rPr>
                <w:rFonts w:ascii="Arial Narrow" w:hAnsi="Arial Narrow"/>
                <w:iCs/>
                <w:sz w:val="20"/>
                <w:szCs w:val="20"/>
              </w:rPr>
              <w:t>-</w:t>
            </w:r>
          </w:p>
        </w:tc>
        <w:tc>
          <w:tcPr>
            <w:tcW w:w="515" w:type="pct"/>
            <w:tcBorders>
              <w:left w:val="single" w:sz="4" w:space="0" w:color="auto"/>
              <w:right w:val="single" w:sz="4" w:space="0" w:color="auto"/>
            </w:tcBorders>
            <w:shd w:val="clear" w:color="auto" w:fill="FFFFFF"/>
            <w:vAlign w:val="center"/>
          </w:tcPr>
          <w:p w14:paraId="78FC3D5D" w14:textId="77777777" w:rsidR="008B4827" w:rsidRPr="00AB34C7" w:rsidRDefault="008B4827" w:rsidP="00507D72">
            <w:pPr>
              <w:keepNext/>
              <w:jc w:val="center"/>
              <w:rPr>
                <w:rFonts w:ascii="Arial Narrow" w:hAnsi="Arial Narrow"/>
                <w:b/>
                <w:bCs/>
                <w:iCs/>
                <w:sz w:val="20"/>
                <w:szCs w:val="20"/>
              </w:rPr>
            </w:pPr>
            <w:r w:rsidRPr="00AB34C7">
              <w:rPr>
                <w:rFonts w:ascii="Arial Narrow" w:hAnsi="Arial Narrow"/>
                <w:iCs/>
                <w:sz w:val="20"/>
                <w:szCs w:val="20"/>
              </w:rPr>
              <w:t>-</w:t>
            </w:r>
          </w:p>
        </w:tc>
      </w:tr>
      <w:tr w:rsidR="008B4827" w:rsidRPr="00AB34C7" w14:paraId="507F8D96" w14:textId="77777777" w:rsidTr="00507D72">
        <w:trPr>
          <w:trHeight w:val="814"/>
        </w:trPr>
        <w:tc>
          <w:tcPr>
            <w:tcW w:w="870" w:type="pct"/>
            <w:tcBorders>
              <w:right w:val="single" w:sz="4" w:space="0" w:color="auto"/>
            </w:tcBorders>
          </w:tcPr>
          <w:p w14:paraId="2E426B62" w14:textId="77777777" w:rsidR="008B4827" w:rsidRPr="00AB34C7" w:rsidRDefault="008B4827" w:rsidP="00507D72">
            <w:pPr>
              <w:keepNext/>
              <w:widowControl w:val="0"/>
              <w:jc w:val="left"/>
              <w:rPr>
                <w:rFonts w:ascii="Arial Narrow" w:hAnsi="Arial Narrow"/>
                <w:snapToGrid w:val="0"/>
                <w:sz w:val="20"/>
                <w:szCs w:val="20"/>
              </w:rPr>
            </w:pPr>
            <w:r w:rsidRPr="00AB34C7">
              <w:rPr>
                <w:rFonts w:ascii="Arial Narrow" w:hAnsi="Arial Narrow"/>
                <w:snapToGrid w:val="0"/>
                <w:sz w:val="20"/>
                <w:szCs w:val="20"/>
              </w:rPr>
              <w:t>KM estimate of OS</w:t>
            </w:r>
          </w:p>
          <w:p w14:paraId="451E4D77" w14:textId="77777777" w:rsidR="008B4827" w:rsidRPr="00AB34C7" w:rsidRDefault="008B4827" w:rsidP="00507D72">
            <w:pPr>
              <w:keepNext/>
              <w:jc w:val="left"/>
              <w:rPr>
                <w:rFonts w:ascii="Arial Narrow" w:hAnsi="Arial Narrow"/>
                <w:snapToGrid w:val="0"/>
                <w:sz w:val="20"/>
                <w:szCs w:val="20"/>
              </w:rPr>
            </w:pPr>
            <w:r w:rsidRPr="00AB34C7">
              <w:rPr>
                <w:rFonts w:ascii="Arial Narrow" w:hAnsi="Arial Narrow"/>
                <w:snapToGrid w:val="0"/>
                <w:sz w:val="20"/>
                <w:szCs w:val="20"/>
              </w:rPr>
              <w:t>- 42 months, %</w:t>
            </w:r>
          </w:p>
          <w:p w14:paraId="368EB748" w14:textId="77777777" w:rsidR="008B4827" w:rsidRPr="00AB34C7" w:rsidRDefault="008B4827" w:rsidP="00507D72">
            <w:pPr>
              <w:keepNext/>
              <w:jc w:val="left"/>
              <w:rPr>
                <w:rFonts w:ascii="Arial Narrow" w:hAnsi="Arial Narrow"/>
                <w:snapToGrid w:val="0"/>
                <w:sz w:val="20"/>
                <w:szCs w:val="20"/>
              </w:rPr>
            </w:pPr>
            <w:r w:rsidRPr="00AB34C7">
              <w:rPr>
                <w:rFonts w:ascii="Arial Narrow" w:hAnsi="Arial Narrow"/>
                <w:snapToGrid w:val="0"/>
                <w:sz w:val="20"/>
                <w:szCs w:val="20"/>
              </w:rPr>
              <w:t>(95% CI)</w:t>
            </w:r>
          </w:p>
          <w:p w14:paraId="1C1A11F6" w14:textId="77777777" w:rsidR="008B4827" w:rsidRPr="00AB34C7" w:rsidRDefault="008B4827" w:rsidP="00507D72">
            <w:pPr>
              <w:keepNext/>
              <w:jc w:val="left"/>
              <w:rPr>
                <w:rFonts w:ascii="Arial Narrow" w:hAnsi="Arial Narrow"/>
                <w:snapToGrid w:val="0"/>
                <w:sz w:val="20"/>
                <w:szCs w:val="20"/>
              </w:rPr>
            </w:pPr>
            <w:r w:rsidRPr="00AB34C7">
              <w:rPr>
                <w:rFonts w:ascii="Arial Narrow" w:hAnsi="Arial Narrow"/>
                <w:snapToGrid w:val="0"/>
                <w:sz w:val="20"/>
                <w:szCs w:val="20"/>
              </w:rPr>
              <w:t>- 48 months, % (95% CI)</w:t>
            </w:r>
          </w:p>
          <w:p w14:paraId="2F2FC4D0" w14:textId="77777777" w:rsidR="008B4827" w:rsidRPr="00AB34C7" w:rsidRDefault="008B4827" w:rsidP="00507D72">
            <w:pPr>
              <w:keepNext/>
              <w:jc w:val="left"/>
              <w:rPr>
                <w:rFonts w:ascii="Arial Narrow" w:hAnsi="Arial Narrow"/>
                <w:snapToGrid w:val="0"/>
                <w:sz w:val="20"/>
                <w:szCs w:val="20"/>
              </w:rPr>
            </w:pPr>
            <w:r w:rsidRPr="00AB34C7">
              <w:rPr>
                <w:rFonts w:ascii="Arial Narrow" w:hAnsi="Arial Narrow"/>
                <w:snapToGrid w:val="0"/>
                <w:sz w:val="20"/>
                <w:szCs w:val="20"/>
              </w:rPr>
              <w:t>- 54 months, %</w:t>
            </w:r>
          </w:p>
          <w:p w14:paraId="569E2D1D" w14:textId="77777777" w:rsidR="008B4827" w:rsidRPr="00AB34C7" w:rsidRDefault="008B4827" w:rsidP="00507D72">
            <w:pPr>
              <w:keepNext/>
              <w:jc w:val="left"/>
              <w:rPr>
                <w:rFonts w:ascii="Arial Narrow" w:hAnsi="Arial Narrow"/>
                <w:snapToGrid w:val="0"/>
                <w:sz w:val="20"/>
                <w:szCs w:val="20"/>
              </w:rPr>
            </w:pPr>
            <w:r w:rsidRPr="00AB34C7">
              <w:rPr>
                <w:rFonts w:ascii="Arial Narrow" w:hAnsi="Arial Narrow"/>
                <w:snapToGrid w:val="0"/>
                <w:sz w:val="20"/>
                <w:szCs w:val="20"/>
              </w:rPr>
              <w:t>(95% CI)</w:t>
            </w:r>
          </w:p>
          <w:p w14:paraId="0D358B4D" w14:textId="77777777" w:rsidR="008B4827" w:rsidRPr="00AB34C7" w:rsidRDefault="008B4827" w:rsidP="00507D72">
            <w:pPr>
              <w:keepNext/>
              <w:jc w:val="left"/>
              <w:rPr>
                <w:rFonts w:ascii="Arial Narrow" w:hAnsi="Arial Narrow"/>
                <w:snapToGrid w:val="0"/>
                <w:sz w:val="20"/>
                <w:szCs w:val="20"/>
              </w:rPr>
            </w:pPr>
            <w:r w:rsidRPr="00AB34C7">
              <w:rPr>
                <w:rFonts w:ascii="Arial Narrow" w:hAnsi="Arial Narrow"/>
                <w:snapToGrid w:val="0"/>
                <w:sz w:val="20"/>
                <w:szCs w:val="20"/>
              </w:rPr>
              <w:t>- 60 months, % (95% CI)</w:t>
            </w:r>
          </w:p>
          <w:p w14:paraId="5A2DD3AD" w14:textId="77777777" w:rsidR="008B4827" w:rsidRPr="00AB34C7" w:rsidRDefault="008B4827" w:rsidP="00507D72">
            <w:pPr>
              <w:keepNext/>
              <w:jc w:val="left"/>
              <w:rPr>
                <w:rFonts w:ascii="Arial Narrow" w:hAnsi="Arial Narrow"/>
                <w:snapToGrid w:val="0"/>
                <w:sz w:val="20"/>
                <w:szCs w:val="20"/>
              </w:rPr>
            </w:pPr>
            <w:r w:rsidRPr="00AB34C7">
              <w:rPr>
                <w:rFonts w:ascii="Arial Narrow" w:hAnsi="Arial Narrow"/>
                <w:snapToGrid w:val="0"/>
                <w:sz w:val="20"/>
                <w:szCs w:val="20"/>
              </w:rPr>
              <w:t>- 66 months, %</w:t>
            </w:r>
          </w:p>
          <w:p w14:paraId="2B1E715C" w14:textId="77777777" w:rsidR="008B4827" w:rsidRPr="00AB34C7" w:rsidRDefault="008B4827" w:rsidP="00507D72">
            <w:pPr>
              <w:keepNext/>
              <w:jc w:val="left"/>
              <w:rPr>
                <w:rFonts w:ascii="Arial Narrow" w:hAnsi="Arial Narrow"/>
                <w:snapToGrid w:val="0"/>
                <w:sz w:val="20"/>
                <w:szCs w:val="20"/>
              </w:rPr>
            </w:pPr>
            <w:r w:rsidRPr="00AB34C7">
              <w:rPr>
                <w:rFonts w:ascii="Arial Narrow" w:hAnsi="Arial Narrow"/>
                <w:snapToGrid w:val="0"/>
                <w:sz w:val="20"/>
                <w:szCs w:val="20"/>
              </w:rPr>
              <w:t>(95% CI)</w:t>
            </w:r>
          </w:p>
          <w:p w14:paraId="49EFA446" w14:textId="77777777" w:rsidR="008B4827" w:rsidRPr="00AB34C7" w:rsidRDefault="008B4827" w:rsidP="00507D72">
            <w:pPr>
              <w:keepNext/>
              <w:jc w:val="left"/>
              <w:rPr>
                <w:rFonts w:ascii="Arial Narrow" w:hAnsi="Arial Narrow"/>
                <w:snapToGrid w:val="0"/>
                <w:sz w:val="20"/>
                <w:szCs w:val="20"/>
              </w:rPr>
            </w:pPr>
            <w:r w:rsidRPr="00AB34C7">
              <w:rPr>
                <w:rFonts w:ascii="Arial Narrow" w:hAnsi="Arial Narrow"/>
                <w:snapToGrid w:val="0"/>
                <w:sz w:val="20"/>
                <w:szCs w:val="20"/>
              </w:rPr>
              <w:t>- 72 months, % (95% CI)</w:t>
            </w:r>
          </w:p>
        </w:tc>
        <w:tc>
          <w:tcPr>
            <w:tcW w:w="516" w:type="pct"/>
            <w:tcBorders>
              <w:left w:val="single" w:sz="4" w:space="0" w:color="auto"/>
              <w:right w:val="single" w:sz="4" w:space="0" w:color="auto"/>
            </w:tcBorders>
            <w:shd w:val="clear" w:color="auto" w:fill="FFFFFF"/>
          </w:tcPr>
          <w:p w14:paraId="097DE0B5" w14:textId="77777777" w:rsidR="008B4827" w:rsidRPr="00AB34C7" w:rsidRDefault="008B4827" w:rsidP="00507D72">
            <w:pPr>
              <w:keepNext/>
              <w:jc w:val="center"/>
              <w:rPr>
                <w:rFonts w:ascii="Arial Narrow" w:hAnsi="Arial Narrow"/>
                <w:iCs/>
                <w:sz w:val="20"/>
                <w:szCs w:val="20"/>
              </w:rPr>
            </w:pPr>
          </w:p>
          <w:p w14:paraId="3D2239F9"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87.5</w:t>
            </w:r>
          </w:p>
          <w:p w14:paraId="6516E477"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 xml:space="preserve">(79.4, 92.5) </w:t>
            </w:r>
          </w:p>
          <w:p w14:paraId="3A478F5C"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85.5</w:t>
            </w:r>
          </w:p>
          <w:p w14:paraId="66538600"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(77.1, 91.0)</w:t>
            </w:r>
          </w:p>
          <w:p w14:paraId="2D489614"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84.4</w:t>
            </w:r>
          </w:p>
          <w:p w14:paraId="54B23C34"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(75.8, 90.1)</w:t>
            </w:r>
          </w:p>
          <w:p w14:paraId="54BC86E8"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w:t>
            </w:r>
          </w:p>
          <w:p w14:paraId="5F906153" w14:textId="77777777" w:rsidR="008B4827" w:rsidRPr="00AB34C7" w:rsidRDefault="008B4827" w:rsidP="00507D72">
            <w:pPr>
              <w:keepNext/>
              <w:jc w:val="center"/>
              <w:rPr>
                <w:rFonts w:ascii="Arial Narrow" w:hAnsi="Arial Narrow"/>
                <w:iCs/>
                <w:sz w:val="20"/>
                <w:szCs w:val="20"/>
              </w:rPr>
            </w:pPr>
          </w:p>
          <w:p w14:paraId="40F28E56"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w:t>
            </w:r>
          </w:p>
          <w:p w14:paraId="344B4346" w14:textId="77777777" w:rsidR="008B4827" w:rsidRPr="00AB34C7" w:rsidRDefault="008B4827" w:rsidP="00507D72">
            <w:pPr>
              <w:keepNext/>
              <w:jc w:val="center"/>
              <w:rPr>
                <w:rFonts w:ascii="Arial Narrow" w:hAnsi="Arial Narrow"/>
                <w:iCs/>
                <w:sz w:val="20"/>
                <w:szCs w:val="20"/>
              </w:rPr>
            </w:pPr>
          </w:p>
          <w:p w14:paraId="46609997"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w:t>
            </w:r>
          </w:p>
        </w:tc>
        <w:tc>
          <w:tcPr>
            <w:tcW w:w="515" w:type="pct"/>
            <w:tcBorders>
              <w:left w:val="single" w:sz="4" w:space="0" w:color="auto"/>
              <w:right w:val="single" w:sz="4" w:space="0" w:color="auto"/>
            </w:tcBorders>
            <w:shd w:val="clear" w:color="auto" w:fill="FFFFFF"/>
          </w:tcPr>
          <w:p w14:paraId="02F10270" w14:textId="77777777" w:rsidR="008B4827" w:rsidRPr="00AB34C7" w:rsidRDefault="008B4827" w:rsidP="00507D72">
            <w:pPr>
              <w:keepNext/>
              <w:jc w:val="center"/>
              <w:rPr>
                <w:rFonts w:ascii="Arial Narrow" w:hAnsi="Arial Narrow"/>
                <w:iCs/>
                <w:sz w:val="20"/>
                <w:szCs w:val="20"/>
              </w:rPr>
            </w:pPr>
          </w:p>
          <w:p w14:paraId="72F72839"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77.6</w:t>
            </w:r>
          </w:p>
          <w:p w14:paraId="0ECF12FD"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(68.2, 84.5)</w:t>
            </w:r>
          </w:p>
          <w:p w14:paraId="39183D44"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68.8</w:t>
            </w:r>
          </w:p>
          <w:p w14:paraId="71F32CDF"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(58.8, 76.8)</w:t>
            </w:r>
          </w:p>
          <w:p w14:paraId="190D58AE"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63.0</w:t>
            </w:r>
          </w:p>
          <w:p w14:paraId="300FD3D1"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(52.0, 72.2)</w:t>
            </w:r>
          </w:p>
          <w:p w14:paraId="6A3DD323"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w:t>
            </w:r>
          </w:p>
          <w:p w14:paraId="60D9DA3A" w14:textId="77777777" w:rsidR="008B4827" w:rsidRPr="00AB34C7" w:rsidRDefault="008B4827" w:rsidP="00507D72">
            <w:pPr>
              <w:keepNext/>
              <w:jc w:val="center"/>
              <w:rPr>
                <w:rFonts w:ascii="Arial Narrow" w:hAnsi="Arial Narrow"/>
                <w:iCs/>
                <w:sz w:val="20"/>
                <w:szCs w:val="20"/>
              </w:rPr>
            </w:pPr>
          </w:p>
          <w:p w14:paraId="2095CE38"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w:t>
            </w:r>
          </w:p>
          <w:p w14:paraId="2E150A72" w14:textId="77777777" w:rsidR="008B4827" w:rsidRPr="00AB34C7" w:rsidRDefault="008B4827" w:rsidP="00507D72">
            <w:pPr>
              <w:keepNext/>
              <w:jc w:val="center"/>
              <w:rPr>
                <w:rFonts w:ascii="Arial Narrow" w:hAnsi="Arial Narrow"/>
                <w:iCs/>
                <w:sz w:val="20"/>
                <w:szCs w:val="20"/>
              </w:rPr>
            </w:pPr>
          </w:p>
          <w:p w14:paraId="783E718E"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w:t>
            </w:r>
          </w:p>
        </w:tc>
        <w:tc>
          <w:tcPr>
            <w:tcW w:w="520" w:type="pct"/>
            <w:tcBorders>
              <w:left w:val="single" w:sz="4" w:space="0" w:color="auto"/>
              <w:right w:val="single" w:sz="4" w:space="0" w:color="auto"/>
            </w:tcBorders>
            <w:shd w:val="clear" w:color="auto" w:fill="FFFFFF"/>
          </w:tcPr>
          <w:p w14:paraId="0E9752FE" w14:textId="77777777" w:rsidR="008B4827" w:rsidRPr="00AB34C7" w:rsidRDefault="008B4827" w:rsidP="00507D72">
            <w:pPr>
              <w:keepNext/>
              <w:jc w:val="center"/>
              <w:rPr>
                <w:rFonts w:ascii="Arial Narrow" w:hAnsi="Arial Narrow"/>
                <w:iCs/>
                <w:sz w:val="20"/>
                <w:szCs w:val="20"/>
              </w:rPr>
            </w:pPr>
          </w:p>
          <w:p w14:paraId="5E579E3B"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 xml:space="preserve">98.1 </w:t>
            </w:r>
          </w:p>
          <w:p w14:paraId="625E33F8"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(94.2, 99.4)</w:t>
            </w:r>
          </w:p>
          <w:p w14:paraId="52FC9892"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 xml:space="preserve">98.1 </w:t>
            </w:r>
          </w:p>
          <w:p w14:paraId="3F75ECF6"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(94.2, 99.4)</w:t>
            </w:r>
          </w:p>
          <w:p w14:paraId="2A105DA1"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 xml:space="preserve">97.4 </w:t>
            </w:r>
          </w:p>
          <w:p w14:paraId="50E4AF2C"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(93.3, 99.0)</w:t>
            </w:r>
          </w:p>
          <w:p w14:paraId="702101F9"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 xml:space="preserve">95.8 </w:t>
            </w:r>
          </w:p>
          <w:p w14:paraId="3D55A93D"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(90.8, 98.1)</w:t>
            </w:r>
          </w:p>
          <w:p w14:paraId="1A4A65B3"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w:t>
            </w:r>
          </w:p>
          <w:p w14:paraId="332C4404" w14:textId="77777777" w:rsidR="008B4827" w:rsidRPr="00AB34C7" w:rsidRDefault="008B4827" w:rsidP="00507D72">
            <w:pPr>
              <w:keepNext/>
              <w:jc w:val="center"/>
              <w:rPr>
                <w:rFonts w:ascii="Arial Narrow" w:hAnsi="Arial Narrow"/>
                <w:iCs/>
                <w:sz w:val="20"/>
                <w:szCs w:val="20"/>
              </w:rPr>
            </w:pPr>
          </w:p>
          <w:p w14:paraId="443A2BF0"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w:t>
            </w:r>
          </w:p>
        </w:tc>
        <w:tc>
          <w:tcPr>
            <w:tcW w:w="516" w:type="pct"/>
            <w:tcBorders>
              <w:left w:val="single" w:sz="4" w:space="0" w:color="auto"/>
              <w:right w:val="single" w:sz="4" w:space="0" w:color="auto"/>
            </w:tcBorders>
            <w:shd w:val="clear" w:color="auto" w:fill="FFFFFF"/>
          </w:tcPr>
          <w:p w14:paraId="06B471E7" w14:textId="77777777" w:rsidR="008B4827" w:rsidRPr="00AB34C7" w:rsidRDefault="008B4827" w:rsidP="00507D72">
            <w:pPr>
              <w:keepNext/>
              <w:jc w:val="center"/>
              <w:rPr>
                <w:rFonts w:ascii="Arial Narrow" w:hAnsi="Arial Narrow"/>
                <w:iCs/>
                <w:sz w:val="20"/>
                <w:szCs w:val="20"/>
              </w:rPr>
            </w:pPr>
          </w:p>
          <w:p w14:paraId="53826AFB"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NR</w:t>
            </w:r>
          </w:p>
          <w:p w14:paraId="4D4F04A3" w14:textId="77777777" w:rsidR="008B4827" w:rsidRPr="00AB34C7" w:rsidRDefault="008B4827" w:rsidP="00507D72">
            <w:pPr>
              <w:keepNext/>
              <w:jc w:val="center"/>
              <w:rPr>
                <w:rFonts w:ascii="Arial Narrow" w:hAnsi="Arial Narrow"/>
                <w:iCs/>
                <w:sz w:val="20"/>
                <w:szCs w:val="20"/>
              </w:rPr>
            </w:pPr>
          </w:p>
          <w:p w14:paraId="6B71B8CE" w14:textId="51B7A822" w:rsidR="008B4827" w:rsidRPr="00AB34C7" w:rsidRDefault="008B4827" w:rsidP="00507D72">
            <w:pPr>
              <w:keepNext/>
              <w:jc w:val="center"/>
              <w:rPr>
                <w:rFonts w:ascii="Arial Narrow" w:hAnsi="Arial Narrow"/>
                <w:iCs/>
                <w:sz w:val="20"/>
                <w:szCs w:val="20"/>
                <w:vertAlign w:val="superscript"/>
              </w:rPr>
            </w:pPr>
            <w:r w:rsidRPr="00AB34C7">
              <w:rPr>
                <w:rFonts w:ascii="Arial Narrow" w:hAnsi="Arial Narrow"/>
                <w:iCs/>
                <w:sz w:val="20"/>
                <w:szCs w:val="20"/>
              </w:rPr>
              <w:t>85.4 (NR)</w:t>
            </w:r>
            <w:r w:rsidRPr="00AB34C7">
              <w:rPr>
                <w:rFonts w:ascii="Arial Narrow" w:hAnsi="Arial Narrow"/>
                <w:iCs/>
                <w:sz w:val="20"/>
                <w:szCs w:val="20"/>
                <w:vertAlign w:val="superscript"/>
              </w:rPr>
              <w:t>a</w:t>
            </w:r>
          </w:p>
          <w:p w14:paraId="04CB9DA4" w14:textId="77777777" w:rsidR="008B4827" w:rsidRPr="00AB34C7" w:rsidRDefault="008B4827" w:rsidP="00507D72">
            <w:pPr>
              <w:keepNext/>
              <w:jc w:val="center"/>
              <w:rPr>
                <w:rFonts w:ascii="Arial Narrow" w:hAnsi="Arial Narrow"/>
                <w:iCs/>
                <w:sz w:val="20"/>
                <w:szCs w:val="20"/>
              </w:rPr>
            </w:pPr>
          </w:p>
          <w:p w14:paraId="126B5826"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NR</w:t>
            </w:r>
          </w:p>
          <w:p w14:paraId="3B216CCB" w14:textId="77777777" w:rsidR="008B4827" w:rsidRPr="00AB34C7" w:rsidRDefault="008B4827" w:rsidP="00507D72">
            <w:pPr>
              <w:keepNext/>
              <w:jc w:val="center"/>
              <w:rPr>
                <w:rFonts w:ascii="Arial Narrow" w:hAnsi="Arial Narrow"/>
                <w:iCs/>
                <w:sz w:val="20"/>
                <w:szCs w:val="20"/>
              </w:rPr>
            </w:pPr>
          </w:p>
          <w:p w14:paraId="0C576A10"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NR</w:t>
            </w:r>
          </w:p>
          <w:p w14:paraId="108C91C7" w14:textId="77777777" w:rsidR="008B4827" w:rsidRPr="00AB34C7" w:rsidRDefault="008B4827" w:rsidP="00507D72">
            <w:pPr>
              <w:keepNext/>
              <w:jc w:val="center"/>
              <w:rPr>
                <w:rFonts w:ascii="Arial Narrow" w:hAnsi="Arial Narrow"/>
                <w:iCs/>
                <w:sz w:val="20"/>
                <w:szCs w:val="20"/>
              </w:rPr>
            </w:pPr>
          </w:p>
          <w:p w14:paraId="7BC127FA"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NR</w:t>
            </w:r>
          </w:p>
          <w:p w14:paraId="3C2793DD" w14:textId="77777777" w:rsidR="008B4827" w:rsidRPr="00AB34C7" w:rsidRDefault="008B4827" w:rsidP="00507D72">
            <w:pPr>
              <w:keepNext/>
              <w:jc w:val="center"/>
              <w:rPr>
                <w:rFonts w:ascii="Arial Narrow" w:hAnsi="Arial Narrow"/>
                <w:iCs/>
                <w:sz w:val="20"/>
                <w:szCs w:val="20"/>
              </w:rPr>
            </w:pPr>
          </w:p>
          <w:p w14:paraId="55604A71"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 xml:space="preserve">78.7 </w:t>
            </w:r>
          </w:p>
          <w:p w14:paraId="6A14C3FD"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(NR)</w:t>
            </w:r>
          </w:p>
        </w:tc>
        <w:tc>
          <w:tcPr>
            <w:tcW w:w="516" w:type="pct"/>
            <w:tcBorders>
              <w:left w:val="single" w:sz="4" w:space="0" w:color="auto"/>
              <w:right w:val="single" w:sz="4" w:space="0" w:color="auto"/>
            </w:tcBorders>
            <w:shd w:val="clear" w:color="auto" w:fill="FFFFFF"/>
          </w:tcPr>
          <w:p w14:paraId="39AFB32D" w14:textId="77777777" w:rsidR="008B4827" w:rsidRPr="00AB34C7" w:rsidRDefault="008B4827" w:rsidP="00507D72">
            <w:pPr>
              <w:keepNext/>
              <w:jc w:val="center"/>
              <w:rPr>
                <w:rFonts w:ascii="Arial Narrow" w:hAnsi="Arial Narrow"/>
                <w:iCs/>
                <w:sz w:val="20"/>
                <w:szCs w:val="20"/>
              </w:rPr>
            </w:pPr>
          </w:p>
          <w:p w14:paraId="24799F43"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NR</w:t>
            </w:r>
          </w:p>
          <w:p w14:paraId="68DFA5FA" w14:textId="77777777" w:rsidR="008B4827" w:rsidRPr="00AB34C7" w:rsidRDefault="008B4827" w:rsidP="00507D72">
            <w:pPr>
              <w:keepNext/>
              <w:jc w:val="center"/>
              <w:rPr>
                <w:rFonts w:ascii="Arial Narrow" w:hAnsi="Arial Narrow"/>
                <w:iCs/>
                <w:sz w:val="20"/>
                <w:szCs w:val="20"/>
              </w:rPr>
            </w:pPr>
          </w:p>
          <w:p w14:paraId="66EF6373" w14:textId="0DB9FAA5" w:rsidR="008B4827" w:rsidRPr="00AB34C7" w:rsidRDefault="008B4827" w:rsidP="00507D72">
            <w:pPr>
              <w:keepNext/>
              <w:jc w:val="center"/>
              <w:rPr>
                <w:rFonts w:ascii="Arial Narrow" w:hAnsi="Arial Narrow"/>
                <w:iCs/>
                <w:sz w:val="20"/>
                <w:szCs w:val="20"/>
                <w:vertAlign w:val="superscript"/>
              </w:rPr>
            </w:pPr>
            <w:r w:rsidRPr="00AB34C7">
              <w:rPr>
                <w:rFonts w:ascii="Arial Narrow" w:hAnsi="Arial Narrow"/>
                <w:iCs/>
                <w:sz w:val="20"/>
                <w:szCs w:val="20"/>
              </w:rPr>
              <w:t>83.1 (NR)</w:t>
            </w:r>
            <w:r w:rsidRPr="00AB34C7">
              <w:rPr>
                <w:rFonts w:ascii="Arial Narrow" w:hAnsi="Arial Narrow"/>
                <w:iCs/>
                <w:sz w:val="20"/>
                <w:szCs w:val="20"/>
                <w:vertAlign w:val="superscript"/>
              </w:rPr>
              <w:t>a</w:t>
            </w:r>
          </w:p>
          <w:p w14:paraId="08C727BE" w14:textId="77777777" w:rsidR="008B4827" w:rsidRPr="00AB34C7" w:rsidRDefault="008B4827" w:rsidP="00507D72">
            <w:pPr>
              <w:keepNext/>
              <w:jc w:val="center"/>
              <w:rPr>
                <w:rFonts w:ascii="Arial Narrow" w:hAnsi="Arial Narrow"/>
                <w:iCs/>
                <w:sz w:val="20"/>
                <w:szCs w:val="20"/>
              </w:rPr>
            </w:pPr>
          </w:p>
          <w:p w14:paraId="5B4C6C41"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NR</w:t>
            </w:r>
          </w:p>
          <w:p w14:paraId="1DE1D75A" w14:textId="77777777" w:rsidR="008B4827" w:rsidRPr="00AB34C7" w:rsidRDefault="008B4827" w:rsidP="00507D72">
            <w:pPr>
              <w:keepNext/>
              <w:jc w:val="center"/>
              <w:rPr>
                <w:rFonts w:ascii="Arial Narrow" w:hAnsi="Arial Narrow"/>
                <w:iCs/>
                <w:sz w:val="20"/>
                <w:szCs w:val="20"/>
              </w:rPr>
            </w:pPr>
          </w:p>
          <w:p w14:paraId="7C0F5416"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NR</w:t>
            </w:r>
          </w:p>
          <w:p w14:paraId="7319B943" w14:textId="77777777" w:rsidR="008B4827" w:rsidRPr="00AB34C7" w:rsidRDefault="008B4827" w:rsidP="00507D72">
            <w:pPr>
              <w:keepNext/>
              <w:jc w:val="center"/>
              <w:rPr>
                <w:rFonts w:ascii="Arial Narrow" w:hAnsi="Arial Narrow"/>
                <w:iCs/>
                <w:sz w:val="20"/>
                <w:szCs w:val="20"/>
              </w:rPr>
            </w:pPr>
          </w:p>
          <w:p w14:paraId="3CE5477C"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NR</w:t>
            </w:r>
          </w:p>
          <w:p w14:paraId="42F43B89" w14:textId="77777777" w:rsidR="008B4827" w:rsidRPr="00AB34C7" w:rsidRDefault="008B4827" w:rsidP="00507D72">
            <w:pPr>
              <w:keepNext/>
              <w:jc w:val="center"/>
              <w:rPr>
                <w:rFonts w:ascii="Arial Narrow" w:hAnsi="Arial Narrow"/>
                <w:iCs/>
                <w:sz w:val="20"/>
                <w:szCs w:val="20"/>
              </w:rPr>
            </w:pPr>
          </w:p>
          <w:p w14:paraId="2E9CC84B"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69.2</w:t>
            </w:r>
          </w:p>
          <w:p w14:paraId="4FBCB0B3"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(NR)</w:t>
            </w:r>
          </w:p>
        </w:tc>
        <w:tc>
          <w:tcPr>
            <w:tcW w:w="516" w:type="pct"/>
            <w:tcBorders>
              <w:left w:val="single" w:sz="4" w:space="0" w:color="auto"/>
              <w:right w:val="single" w:sz="4" w:space="0" w:color="auto"/>
            </w:tcBorders>
            <w:shd w:val="clear" w:color="auto" w:fill="FFFFFF"/>
          </w:tcPr>
          <w:p w14:paraId="14D3997F" w14:textId="77777777" w:rsidR="008B4827" w:rsidRPr="00AB34C7" w:rsidRDefault="008B4827" w:rsidP="00507D72">
            <w:pPr>
              <w:keepNext/>
              <w:jc w:val="center"/>
              <w:rPr>
                <w:rFonts w:ascii="Arial Narrow" w:hAnsi="Arial Narrow"/>
                <w:iCs/>
                <w:sz w:val="20"/>
                <w:szCs w:val="20"/>
              </w:rPr>
            </w:pPr>
          </w:p>
          <w:p w14:paraId="14B46825"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89.4 (NR)</w:t>
            </w:r>
          </w:p>
          <w:p w14:paraId="680C0019" w14:textId="77777777" w:rsidR="008B4827" w:rsidRPr="00AB34C7" w:rsidRDefault="008B4827" w:rsidP="00507D72">
            <w:pPr>
              <w:keepNext/>
              <w:jc w:val="center"/>
              <w:rPr>
                <w:rFonts w:ascii="Arial Narrow" w:hAnsi="Arial Narrow"/>
                <w:iCs/>
                <w:sz w:val="20"/>
                <w:szCs w:val="20"/>
              </w:rPr>
            </w:pPr>
          </w:p>
          <w:p w14:paraId="2F6CA2D0"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w:t>
            </w:r>
          </w:p>
          <w:p w14:paraId="75AED655" w14:textId="77777777" w:rsidR="008B4827" w:rsidRPr="00AB34C7" w:rsidRDefault="008B4827" w:rsidP="00507D72">
            <w:pPr>
              <w:keepNext/>
              <w:jc w:val="center"/>
              <w:rPr>
                <w:rFonts w:ascii="Arial Narrow" w:hAnsi="Arial Narrow"/>
                <w:iCs/>
                <w:sz w:val="20"/>
                <w:szCs w:val="20"/>
              </w:rPr>
            </w:pPr>
          </w:p>
          <w:p w14:paraId="4F6173BD"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w:t>
            </w:r>
          </w:p>
          <w:p w14:paraId="68A1F30C" w14:textId="77777777" w:rsidR="008B4827" w:rsidRPr="00AB34C7" w:rsidRDefault="008B4827" w:rsidP="00507D72">
            <w:pPr>
              <w:keepNext/>
              <w:jc w:val="center"/>
              <w:rPr>
                <w:rFonts w:ascii="Arial Narrow" w:hAnsi="Arial Narrow"/>
                <w:iCs/>
                <w:sz w:val="20"/>
                <w:szCs w:val="20"/>
              </w:rPr>
            </w:pPr>
          </w:p>
          <w:p w14:paraId="27F607F3"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w:t>
            </w:r>
          </w:p>
          <w:p w14:paraId="249BC108" w14:textId="77777777" w:rsidR="008B4827" w:rsidRPr="00AB34C7" w:rsidRDefault="008B4827" w:rsidP="00507D72">
            <w:pPr>
              <w:keepNext/>
              <w:jc w:val="center"/>
              <w:rPr>
                <w:rFonts w:ascii="Arial Narrow" w:hAnsi="Arial Narrow"/>
                <w:iCs/>
                <w:sz w:val="20"/>
                <w:szCs w:val="20"/>
              </w:rPr>
            </w:pPr>
          </w:p>
          <w:p w14:paraId="06491BE3"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w:t>
            </w:r>
          </w:p>
          <w:p w14:paraId="3DBF8DFC" w14:textId="77777777" w:rsidR="008B4827" w:rsidRPr="00AB34C7" w:rsidRDefault="008B4827" w:rsidP="00507D72">
            <w:pPr>
              <w:keepNext/>
              <w:jc w:val="center"/>
              <w:rPr>
                <w:rFonts w:ascii="Arial Narrow" w:hAnsi="Arial Narrow"/>
                <w:iCs/>
                <w:sz w:val="20"/>
                <w:szCs w:val="20"/>
              </w:rPr>
            </w:pPr>
          </w:p>
          <w:p w14:paraId="78B6D110"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w:t>
            </w:r>
          </w:p>
        </w:tc>
        <w:tc>
          <w:tcPr>
            <w:tcW w:w="516" w:type="pct"/>
            <w:tcBorders>
              <w:left w:val="single" w:sz="4" w:space="0" w:color="auto"/>
              <w:right w:val="single" w:sz="4" w:space="0" w:color="auto"/>
            </w:tcBorders>
            <w:shd w:val="clear" w:color="auto" w:fill="FFFFFF"/>
          </w:tcPr>
          <w:p w14:paraId="187F4ED2" w14:textId="77777777" w:rsidR="008B4827" w:rsidRPr="00AB34C7" w:rsidRDefault="008B4827" w:rsidP="00507D72">
            <w:pPr>
              <w:keepNext/>
              <w:jc w:val="center"/>
              <w:rPr>
                <w:rFonts w:ascii="Arial Narrow" w:hAnsi="Arial Narrow"/>
                <w:iCs/>
                <w:sz w:val="20"/>
                <w:szCs w:val="20"/>
              </w:rPr>
            </w:pPr>
          </w:p>
          <w:p w14:paraId="66FF9971"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89.5 (NR)</w:t>
            </w:r>
          </w:p>
          <w:p w14:paraId="76AE6501" w14:textId="77777777" w:rsidR="008B4827" w:rsidRPr="00AB34C7" w:rsidRDefault="008B4827" w:rsidP="00507D72">
            <w:pPr>
              <w:keepNext/>
              <w:jc w:val="center"/>
              <w:rPr>
                <w:rFonts w:ascii="Arial Narrow" w:hAnsi="Arial Narrow"/>
                <w:iCs/>
                <w:sz w:val="20"/>
                <w:szCs w:val="20"/>
              </w:rPr>
            </w:pPr>
          </w:p>
          <w:p w14:paraId="1B65D937"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w:t>
            </w:r>
          </w:p>
          <w:p w14:paraId="2D4AE494" w14:textId="77777777" w:rsidR="008B4827" w:rsidRPr="00AB34C7" w:rsidRDefault="008B4827" w:rsidP="00507D72">
            <w:pPr>
              <w:keepNext/>
              <w:jc w:val="center"/>
              <w:rPr>
                <w:rFonts w:ascii="Arial Narrow" w:hAnsi="Arial Narrow"/>
                <w:iCs/>
                <w:sz w:val="20"/>
                <w:szCs w:val="20"/>
              </w:rPr>
            </w:pPr>
          </w:p>
          <w:p w14:paraId="2D2FD430"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w:t>
            </w:r>
          </w:p>
          <w:p w14:paraId="1EEC07C9" w14:textId="77777777" w:rsidR="008B4827" w:rsidRPr="00AB34C7" w:rsidRDefault="008B4827" w:rsidP="00507D72">
            <w:pPr>
              <w:keepNext/>
              <w:jc w:val="center"/>
              <w:rPr>
                <w:rFonts w:ascii="Arial Narrow" w:hAnsi="Arial Narrow"/>
                <w:iCs/>
                <w:sz w:val="20"/>
                <w:szCs w:val="20"/>
              </w:rPr>
            </w:pPr>
          </w:p>
          <w:p w14:paraId="5FF37565"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w:t>
            </w:r>
          </w:p>
          <w:p w14:paraId="19EB998E" w14:textId="77777777" w:rsidR="008B4827" w:rsidRPr="00AB34C7" w:rsidRDefault="008B4827" w:rsidP="00507D72">
            <w:pPr>
              <w:keepNext/>
              <w:jc w:val="center"/>
              <w:rPr>
                <w:rFonts w:ascii="Arial Narrow" w:hAnsi="Arial Narrow"/>
                <w:iCs/>
                <w:sz w:val="20"/>
                <w:szCs w:val="20"/>
              </w:rPr>
            </w:pPr>
          </w:p>
          <w:p w14:paraId="7E6EABB5"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w:t>
            </w:r>
          </w:p>
          <w:p w14:paraId="76BE37C3" w14:textId="77777777" w:rsidR="008B4827" w:rsidRPr="00AB34C7" w:rsidRDefault="008B4827" w:rsidP="00507D72">
            <w:pPr>
              <w:keepNext/>
              <w:jc w:val="center"/>
              <w:rPr>
                <w:rFonts w:ascii="Arial Narrow" w:hAnsi="Arial Narrow"/>
                <w:iCs/>
                <w:sz w:val="20"/>
                <w:szCs w:val="20"/>
              </w:rPr>
            </w:pPr>
          </w:p>
          <w:p w14:paraId="7A6E1B2A"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w:t>
            </w:r>
          </w:p>
        </w:tc>
        <w:tc>
          <w:tcPr>
            <w:tcW w:w="515" w:type="pct"/>
            <w:tcBorders>
              <w:left w:val="single" w:sz="4" w:space="0" w:color="auto"/>
              <w:right w:val="single" w:sz="4" w:space="0" w:color="auto"/>
            </w:tcBorders>
            <w:shd w:val="clear" w:color="auto" w:fill="FFFFFF"/>
          </w:tcPr>
          <w:p w14:paraId="6D1506AD" w14:textId="77777777" w:rsidR="008B4827" w:rsidRPr="00AB34C7" w:rsidRDefault="008B4827" w:rsidP="00507D72">
            <w:pPr>
              <w:keepNext/>
              <w:jc w:val="center"/>
              <w:rPr>
                <w:rFonts w:ascii="Arial Narrow" w:hAnsi="Arial Narrow"/>
                <w:iCs/>
                <w:sz w:val="20"/>
                <w:szCs w:val="20"/>
              </w:rPr>
            </w:pPr>
          </w:p>
          <w:p w14:paraId="5AAE14C1"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88.3 (NR)</w:t>
            </w:r>
          </w:p>
          <w:p w14:paraId="635F1E55" w14:textId="77777777" w:rsidR="008B4827" w:rsidRPr="00AB34C7" w:rsidRDefault="008B4827" w:rsidP="00507D72">
            <w:pPr>
              <w:keepNext/>
              <w:jc w:val="center"/>
              <w:rPr>
                <w:rFonts w:ascii="Arial Narrow" w:hAnsi="Arial Narrow"/>
                <w:iCs/>
                <w:sz w:val="20"/>
                <w:szCs w:val="20"/>
              </w:rPr>
            </w:pPr>
          </w:p>
          <w:p w14:paraId="531B8423"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w:t>
            </w:r>
          </w:p>
          <w:p w14:paraId="61A903B6" w14:textId="77777777" w:rsidR="008B4827" w:rsidRPr="00AB34C7" w:rsidRDefault="008B4827" w:rsidP="00507D72">
            <w:pPr>
              <w:keepNext/>
              <w:jc w:val="center"/>
              <w:rPr>
                <w:rFonts w:ascii="Arial Narrow" w:hAnsi="Arial Narrow"/>
                <w:iCs/>
                <w:sz w:val="20"/>
                <w:szCs w:val="20"/>
              </w:rPr>
            </w:pPr>
          </w:p>
          <w:p w14:paraId="2C004485"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w:t>
            </w:r>
          </w:p>
          <w:p w14:paraId="21516F45" w14:textId="77777777" w:rsidR="008B4827" w:rsidRPr="00AB34C7" w:rsidRDefault="008B4827" w:rsidP="00507D72">
            <w:pPr>
              <w:keepNext/>
              <w:jc w:val="center"/>
              <w:rPr>
                <w:rFonts w:ascii="Arial Narrow" w:hAnsi="Arial Narrow"/>
                <w:iCs/>
                <w:sz w:val="20"/>
                <w:szCs w:val="20"/>
              </w:rPr>
            </w:pPr>
          </w:p>
          <w:p w14:paraId="4C267272"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w:t>
            </w:r>
          </w:p>
          <w:p w14:paraId="7A016B15" w14:textId="77777777" w:rsidR="008B4827" w:rsidRPr="00AB34C7" w:rsidRDefault="008B4827" w:rsidP="00507D72">
            <w:pPr>
              <w:keepNext/>
              <w:jc w:val="center"/>
              <w:rPr>
                <w:rFonts w:ascii="Arial Narrow" w:hAnsi="Arial Narrow"/>
                <w:iCs/>
                <w:sz w:val="20"/>
                <w:szCs w:val="20"/>
              </w:rPr>
            </w:pPr>
          </w:p>
          <w:p w14:paraId="23760582"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w:t>
            </w:r>
          </w:p>
          <w:p w14:paraId="01BE0FE4" w14:textId="77777777" w:rsidR="008B4827" w:rsidRPr="00AB34C7" w:rsidRDefault="008B4827" w:rsidP="00507D72">
            <w:pPr>
              <w:keepNext/>
              <w:jc w:val="center"/>
              <w:rPr>
                <w:rFonts w:ascii="Arial Narrow" w:hAnsi="Arial Narrow"/>
                <w:iCs/>
                <w:sz w:val="20"/>
                <w:szCs w:val="20"/>
              </w:rPr>
            </w:pPr>
          </w:p>
          <w:p w14:paraId="73745220" w14:textId="77777777" w:rsidR="008B4827" w:rsidRPr="00AB34C7" w:rsidRDefault="008B4827" w:rsidP="00507D72">
            <w:pPr>
              <w:keepNext/>
              <w:jc w:val="center"/>
              <w:rPr>
                <w:rFonts w:ascii="Arial Narrow" w:hAnsi="Arial Narrow"/>
                <w:iCs/>
                <w:sz w:val="20"/>
                <w:szCs w:val="20"/>
              </w:rPr>
            </w:pPr>
            <w:r w:rsidRPr="00AB34C7">
              <w:rPr>
                <w:rFonts w:ascii="Arial Narrow" w:hAnsi="Arial Narrow"/>
                <w:iCs/>
                <w:sz w:val="20"/>
                <w:szCs w:val="20"/>
              </w:rPr>
              <w:t>-</w:t>
            </w:r>
          </w:p>
        </w:tc>
      </w:tr>
    </w:tbl>
    <w:p w14:paraId="48679CEB" w14:textId="77777777" w:rsidR="008B4827" w:rsidRPr="00AB34C7" w:rsidRDefault="008B4827" w:rsidP="008B4827">
      <w:pPr>
        <w:pStyle w:val="COMTablefooter"/>
      </w:pPr>
      <w:r w:rsidRPr="00AB34C7">
        <w:t>Source: Table 3, p15 of the GLOW clinical study report (February 2023 data cut); Table 5, p17 of the CAPTIVATE clinical study report (March 2023 data cut); Slide 18 of Al-Sawaf et al. (2023) conference slides; Munir et al. (2023).</w:t>
      </w:r>
    </w:p>
    <w:p w14:paraId="49FBACA7" w14:textId="77777777" w:rsidR="008B4827" w:rsidRPr="00AB34C7" w:rsidRDefault="008B4827" w:rsidP="008B4827">
      <w:pPr>
        <w:pStyle w:val="COMTablefooter"/>
      </w:pPr>
      <w:r w:rsidRPr="00AB34C7">
        <w:t>Abbreviations: CHL, chlorambucil; CI, confidence interval; HR, hazard ratio; IBR, ibrutinib; OBI, obinutuzumab; OS, overall survival; RIT, rituximab; VEN, venetoclax; ZAN, zanubrutinib.</w:t>
      </w:r>
    </w:p>
    <w:p w14:paraId="571B4EDE" w14:textId="77777777" w:rsidR="008B4827" w:rsidRPr="00AB34C7" w:rsidRDefault="008B4827" w:rsidP="008B4827">
      <w:pPr>
        <w:pStyle w:val="COMTablefooter"/>
      </w:pPr>
      <w:r w:rsidRPr="00AB34C7">
        <w:rPr>
          <w:vertAlign w:val="superscript"/>
        </w:rPr>
        <w:t>a</w:t>
      </w:r>
      <w:r w:rsidRPr="00AB34C7">
        <w:t xml:space="preserve"> Reported by Al-Sawaf et al. (2021) based on a median follow-up of 52.4 months.</w:t>
      </w:r>
    </w:p>
    <w:p w14:paraId="4DAD906F" w14:textId="77777777" w:rsidR="008B4827" w:rsidRPr="00AB34C7" w:rsidRDefault="008B4827" w:rsidP="00AA787B">
      <w:pPr>
        <w:pStyle w:val="COMexecsumnumberedpara"/>
        <w:ind w:hanging="720"/>
      </w:pPr>
      <w:r w:rsidRPr="00AB34C7">
        <w:t xml:space="preserve">Based on extended follow-up, median overall survival was not reached in either arm of the GLOW trial. Treatment with ibrutinib + venetoclax was associated with a statistically significant improvement in overall survival compared to treatment with chlorambucil + obinutuzumab (hazard ratio: 0.46; 95% CI: 0.26, 0.82). </w:t>
      </w:r>
    </w:p>
    <w:p w14:paraId="68E0953C" w14:textId="77777777" w:rsidR="008B4827" w:rsidRPr="00AB34C7" w:rsidRDefault="008B4827" w:rsidP="00AA787B">
      <w:pPr>
        <w:pStyle w:val="COMexecsumnumberedpara"/>
        <w:ind w:hanging="720"/>
      </w:pPr>
      <w:r w:rsidRPr="00AB34C7">
        <w:t>Based on extended follow-up, the median overall survival in the ibrutinib + venetoclax arm of the CAPTIVATE study was not reached.</w:t>
      </w:r>
    </w:p>
    <w:p w14:paraId="005287A4" w14:textId="29B43C39" w:rsidR="006B3273" w:rsidRPr="00AB34C7" w:rsidRDefault="008B4827" w:rsidP="00AA787B">
      <w:pPr>
        <w:pStyle w:val="COMexecsumnumberedpara"/>
        <w:ind w:hanging="720"/>
        <w:rPr>
          <w:i/>
          <w:iCs/>
        </w:rPr>
      </w:pPr>
      <w:r w:rsidRPr="00AB34C7">
        <w:t xml:space="preserve">Based on a naïve comparison of overall survival, the proportion of patients remaining alive at 48 months was 85.5% in the ibrutinib + venetoclax arm of the GLOW trial, 98.1% in the ibrutinib + venetoclax arm of the CAPTIVATE study and 85.4% in the venetoclax + obinutuzumab arm of the CLL-14 trial. </w:t>
      </w:r>
      <w:r w:rsidR="00B27945" w:rsidRPr="00AB34C7">
        <w:t>The PBAC noted h</w:t>
      </w:r>
      <w:r w:rsidR="00A15657" w:rsidRPr="00AB34C7">
        <w:t xml:space="preserve">owever, </w:t>
      </w:r>
      <w:r w:rsidR="00B27945" w:rsidRPr="00AB34C7">
        <w:t xml:space="preserve">that there was </w:t>
      </w:r>
      <w:r w:rsidR="00A15657" w:rsidRPr="00AB34C7">
        <w:t>a substantial</w:t>
      </w:r>
      <w:r w:rsidR="006B3273" w:rsidRPr="00AB34C7">
        <w:t xml:space="preserve"> difference in the Kaplan-Meier estimates of overall survival at 48 months in the common comparator arms of the GLOW and CLL-14 trials (68.8% versus 83.1%, respectively).</w:t>
      </w:r>
    </w:p>
    <w:p w14:paraId="03488063" w14:textId="4847AA06" w:rsidR="008B4827" w:rsidRPr="00AB34C7" w:rsidRDefault="008B4827" w:rsidP="00AA787B">
      <w:pPr>
        <w:pStyle w:val="COMexecsumnumberedpara"/>
        <w:ind w:hanging="720"/>
        <w:rPr>
          <w:i/>
          <w:iCs/>
        </w:rPr>
      </w:pPr>
      <w:r w:rsidRPr="00AB34C7">
        <w:t xml:space="preserve">The proportion of patients remaining alive at 42 months was 87.5% in the ibrutinib + venetoclax arm of the GLOW trial, 98.1% in the ibrutinib + venetoclax arm of the CAPTIVATE study and 89.4%/89.5% in the zanubrutinib arms of the SEQUOIA trial (without 17p deletion and with 17p deletion, respectively). </w:t>
      </w:r>
    </w:p>
    <w:p w14:paraId="1376E3CD" w14:textId="2F086E37" w:rsidR="0083377E" w:rsidRPr="00F0309A" w:rsidRDefault="0083377E" w:rsidP="001C30EF">
      <w:pPr>
        <w:pStyle w:val="Heading3"/>
        <w:spacing w:after="120"/>
        <w:rPr>
          <w:b/>
          <w:bCs/>
          <w:szCs w:val="22"/>
          <w:u w:val="none"/>
        </w:rPr>
      </w:pPr>
      <w:r w:rsidRPr="00F0309A">
        <w:rPr>
          <w:b/>
          <w:bCs/>
          <w:szCs w:val="22"/>
          <w:u w:val="none"/>
        </w:rPr>
        <w:lastRenderedPageBreak/>
        <w:t>Bucher method indirect comparison</w:t>
      </w:r>
    </w:p>
    <w:p w14:paraId="511A9DBF" w14:textId="77777777" w:rsidR="00721CE1" w:rsidRPr="00AB34C7" w:rsidRDefault="00721CE1" w:rsidP="00AA787B">
      <w:pPr>
        <w:pStyle w:val="COMexecsumnumberedpara"/>
        <w:ind w:hanging="720"/>
      </w:pPr>
      <w:r w:rsidRPr="00AB34C7">
        <w:t>The resubmission presented a Bucher method indirect comparison of ibrutinib + venetoclax (GLOW) versus venetoclax + obinutuzumab (CLL-14), using chlorambucil + obinutuzumab as the common reference.</w:t>
      </w:r>
    </w:p>
    <w:p w14:paraId="64750562" w14:textId="020C9D58" w:rsidR="00721CE1" w:rsidRPr="00AB34C7" w:rsidRDefault="00721CE1" w:rsidP="00AA787B">
      <w:pPr>
        <w:pStyle w:val="COMexecsumnumberedpara"/>
        <w:ind w:hanging="720"/>
      </w:pPr>
      <w:r w:rsidRPr="00AB34C7">
        <w:t xml:space="preserve">The resubmission noted the planned number of chlorambucil cycles administered in the CLL-14 trial (12 cycles) differed from the </w:t>
      </w:r>
      <w:r w:rsidR="007F45C2" w:rsidRPr="00AB34C7">
        <w:t xml:space="preserve">planned </w:t>
      </w:r>
      <w:r w:rsidRPr="00AB34C7">
        <w:t>number of chlorambucil cycles in the GLOW trial (6 cycles). The resubmission also noted that the PBAC previously considered, in the context of the November 2017 submission for ibrutinib, that variations in the chlorambucil dosing when used as a common comparator was not a significant issue (</w:t>
      </w:r>
      <w:r w:rsidR="008B07C1" w:rsidRPr="00AB34C7">
        <w:t xml:space="preserve">para </w:t>
      </w:r>
      <w:r w:rsidRPr="00AB34C7">
        <w:t xml:space="preserve">6.8, ibrutinib </w:t>
      </w:r>
      <w:r w:rsidR="00EC7E52" w:rsidRPr="00AB34C7">
        <w:t>PSD</w:t>
      </w:r>
      <w:r w:rsidRPr="00AB34C7">
        <w:t xml:space="preserve">, November 2017 PBAC meeting). The resubmission considered that the previous PBAC consideration may not necessarily apply in the context of the GLOW and CLL-14 trials, given that the median chlorambucil exposure in CLL-14 (11.1 months) was approximately twice the median exposure in the GLOW trial (5.1 months), and there were notable differences in the trajectories of the progression-free survival Kaplan-Meier curves for the chlorambucil + obinutuzumab arms of the trials. Based on these differences, the </w:t>
      </w:r>
      <w:r w:rsidR="00DB6A02" w:rsidRPr="00AB34C7">
        <w:t xml:space="preserve">evaluation considered the </w:t>
      </w:r>
      <w:r w:rsidRPr="00AB34C7">
        <w:t xml:space="preserve">use of chlorambucil + obinutuzumab as a common reference for an indirect comparison </w:t>
      </w:r>
      <w:r w:rsidR="00D95EAE" w:rsidRPr="00AB34C7">
        <w:t>d</w:t>
      </w:r>
      <w:r w:rsidR="00DB6A02" w:rsidRPr="00AB34C7">
        <w:t>id</w:t>
      </w:r>
      <w:r w:rsidRPr="00AB34C7">
        <w:t xml:space="preserve"> not appear to be appropriate, and is likely to favour ibrutinib + venetoclax given the shorter </w:t>
      </w:r>
      <w:r w:rsidR="00254E0A" w:rsidRPr="00AB34C7">
        <w:t xml:space="preserve">progression-free survival for the chlorambucil + obinutuzumab arm </w:t>
      </w:r>
      <w:r w:rsidRPr="00AB34C7">
        <w:t>in the GLOW trial.</w:t>
      </w:r>
    </w:p>
    <w:p w14:paraId="47D64361" w14:textId="079FC677" w:rsidR="0083377E" w:rsidRPr="00AB34C7" w:rsidRDefault="00721CE1" w:rsidP="00AA787B">
      <w:pPr>
        <w:pStyle w:val="COMexecsumnumberedpara"/>
        <w:ind w:hanging="720"/>
      </w:pPr>
      <w:r w:rsidRPr="00AB34C7">
        <w:t>Comparisons were presented for investigator-assessed progression-free survival, overall survival, time to next treatment, complete response and overall response. The comparisons for progression-free survival, overall survival and time to next treatment were based on results for the CLL-14 trial reported by Al-Sawaf et al. (2021; median follow-up 52.4 months). An additional comparison incorporating the most recent data reported for the CLL-14 trial (Al-Sawaf et al., 2023; median follow-up of 76.4-months) was presented as a sensitivity analysis.</w:t>
      </w:r>
      <w:r w:rsidR="00AB1CF9" w:rsidRPr="00AB34C7">
        <w:t xml:space="preserve"> Comparisons of complete and overall response were based on a median follow-up of 27.7 months for the GLOW trial and 28.1 months for CLL-14. An additional comparison incorporating GLOW </w:t>
      </w:r>
      <w:r w:rsidR="00254E0A" w:rsidRPr="00AB34C7">
        <w:t xml:space="preserve">trial </w:t>
      </w:r>
      <w:r w:rsidR="00AB1CF9" w:rsidRPr="00AB34C7">
        <w:t>data corresponding to a median follow-up of 46.1 months was included as a sensitivity analysis.</w:t>
      </w:r>
    </w:p>
    <w:p w14:paraId="51BD74FB" w14:textId="523B071E" w:rsidR="00551497" w:rsidRPr="00AB34C7" w:rsidRDefault="00AC4936" w:rsidP="00AA787B">
      <w:pPr>
        <w:pStyle w:val="COMexecsumnumberedpara"/>
        <w:ind w:hanging="720"/>
      </w:pPr>
      <w:r w:rsidRPr="00AB34C7">
        <w:fldChar w:fldCharType="begin" w:fldLock="1"/>
      </w:r>
      <w:r w:rsidRPr="00AB34C7">
        <w:instrText xml:space="preserve"> REF _Ref153195790 \h </w:instrText>
      </w:r>
      <w:r w:rsidRPr="00AB34C7">
        <w:fldChar w:fldCharType="separate"/>
      </w:r>
      <w:r w:rsidR="008A42E6" w:rsidRPr="00AB34C7">
        <w:t xml:space="preserve">Table </w:t>
      </w:r>
      <w:r w:rsidR="008A42E6" w:rsidRPr="00B95C74">
        <w:t>7</w:t>
      </w:r>
      <w:r w:rsidRPr="00AB34C7">
        <w:fldChar w:fldCharType="end"/>
      </w:r>
      <w:r w:rsidRPr="00AB34C7">
        <w:t xml:space="preserve"> </w:t>
      </w:r>
      <w:r w:rsidR="00551497" w:rsidRPr="00AB34C7">
        <w:t>presents the results for the indirect comparison of investigator-assessed progression-free survival.</w:t>
      </w:r>
    </w:p>
    <w:p w14:paraId="1442B1E7" w14:textId="218188DE" w:rsidR="00551497" w:rsidRPr="00AB34C7" w:rsidRDefault="00551497" w:rsidP="00551497">
      <w:pPr>
        <w:pStyle w:val="COMtablefigcaption"/>
        <w:rPr>
          <w:b w:val="0"/>
        </w:rPr>
      </w:pPr>
      <w:bookmarkStart w:id="29" w:name="_Ref153195790"/>
      <w:r w:rsidRPr="00AB34C7">
        <w:lastRenderedPageBreak/>
        <w:t xml:space="preserve">Table </w:t>
      </w:r>
      <w:fldSimple w:instr=" SEQ Table \* ARABIC " w:fldLock="1">
        <w:r w:rsidR="008A42E6" w:rsidRPr="00B95C74">
          <w:t>7</w:t>
        </w:r>
      </w:fldSimple>
      <w:bookmarkEnd w:id="29"/>
      <w:r w:rsidRPr="00AB34C7">
        <w:t xml:space="preserve">: Results for the indirect comparison of investigator-assessed progression-free survival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Results for the indirect comparison of investigator-assessed progression-free survival "/>
      </w:tblPr>
      <w:tblGrid>
        <w:gridCol w:w="1491"/>
        <w:gridCol w:w="1762"/>
        <w:gridCol w:w="1339"/>
        <w:gridCol w:w="1503"/>
        <w:gridCol w:w="1249"/>
        <w:gridCol w:w="1673"/>
      </w:tblGrid>
      <w:tr w:rsidR="00551497" w:rsidRPr="00AB34C7" w14:paraId="61D4B181" w14:textId="77777777" w:rsidTr="00507D72">
        <w:trPr>
          <w:tblHeader/>
        </w:trPr>
        <w:tc>
          <w:tcPr>
            <w:tcW w:w="1491" w:type="dxa"/>
            <w:vAlign w:val="center"/>
          </w:tcPr>
          <w:p w14:paraId="5DAFB4DF" w14:textId="77777777" w:rsidR="00551497" w:rsidRPr="00B95C74" w:rsidRDefault="00551497" w:rsidP="00507D72">
            <w:pPr>
              <w:pStyle w:val="COMTableheadingrow"/>
              <w:rPr>
                <w:lang w:val="en-AU"/>
              </w:rPr>
            </w:pPr>
            <w:r w:rsidRPr="00B95C74">
              <w:rPr>
                <w:lang w:val="en-AU"/>
              </w:rPr>
              <w:t>Trial</w:t>
            </w:r>
          </w:p>
        </w:tc>
        <w:tc>
          <w:tcPr>
            <w:tcW w:w="1762" w:type="dxa"/>
            <w:shd w:val="clear" w:color="auto" w:fill="auto"/>
            <w:vAlign w:val="center"/>
          </w:tcPr>
          <w:p w14:paraId="38BAB391" w14:textId="77777777" w:rsidR="00551497" w:rsidRPr="00B95C74" w:rsidRDefault="00551497" w:rsidP="00507D72">
            <w:pPr>
              <w:pStyle w:val="COMTableheadingrow"/>
              <w:jc w:val="center"/>
              <w:rPr>
                <w:lang w:val="en-AU"/>
              </w:rPr>
            </w:pPr>
            <w:r w:rsidRPr="00B95C74">
              <w:rPr>
                <w:lang w:val="en-AU"/>
              </w:rPr>
              <w:t>Outcome</w:t>
            </w:r>
          </w:p>
        </w:tc>
        <w:tc>
          <w:tcPr>
            <w:tcW w:w="1339" w:type="dxa"/>
            <w:shd w:val="clear" w:color="auto" w:fill="auto"/>
            <w:vAlign w:val="center"/>
          </w:tcPr>
          <w:p w14:paraId="6D87925F" w14:textId="77777777" w:rsidR="00551497" w:rsidRPr="00B95C74" w:rsidRDefault="00551497" w:rsidP="00507D72">
            <w:pPr>
              <w:pStyle w:val="COMTableheadingrow"/>
              <w:jc w:val="center"/>
              <w:rPr>
                <w:iCs/>
                <w:lang w:val="en-AU"/>
              </w:rPr>
            </w:pPr>
            <w:r w:rsidRPr="00B95C74">
              <w:rPr>
                <w:iCs/>
                <w:lang w:val="en-AU"/>
              </w:rPr>
              <w:t>IBR + VEN</w:t>
            </w:r>
          </w:p>
          <w:p w14:paraId="05073868" w14:textId="77777777" w:rsidR="00551497" w:rsidRPr="00B95C74" w:rsidRDefault="00551497" w:rsidP="00507D72">
            <w:pPr>
              <w:pStyle w:val="COMTableheadingrow"/>
              <w:jc w:val="center"/>
              <w:rPr>
                <w:lang w:val="en-AU"/>
              </w:rPr>
            </w:pPr>
            <w:r w:rsidRPr="00B95C74">
              <w:rPr>
                <w:iCs/>
                <w:lang w:val="en-AU"/>
              </w:rPr>
              <w:t>n/N (%)</w:t>
            </w:r>
          </w:p>
        </w:tc>
        <w:tc>
          <w:tcPr>
            <w:tcW w:w="1503" w:type="dxa"/>
            <w:shd w:val="clear" w:color="auto" w:fill="auto"/>
            <w:vAlign w:val="center"/>
          </w:tcPr>
          <w:p w14:paraId="010BA4DC" w14:textId="77777777" w:rsidR="00551497" w:rsidRPr="00B95C74" w:rsidRDefault="00551497" w:rsidP="00507D72">
            <w:pPr>
              <w:pStyle w:val="COMTableheadingrow"/>
              <w:jc w:val="center"/>
              <w:rPr>
                <w:lang w:val="en-AU"/>
              </w:rPr>
            </w:pPr>
            <w:r w:rsidRPr="00B95C74">
              <w:rPr>
                <w:lang w:val="en-AU"/>
              </w:rPr>
              <w:t>CHL + OBI</w:t>
            </w:r>
          </w:p>
          <w:p w14:paraId="36C02C71" w14:textId="77777777" w:rsidR="00551497" w:rsidRPr="00B95C74" w:rsidRDefault="00551497" w:rsidP="00507D72">
            <w:pPr>
              <w:pStyle w:val="COMTableheadingrow"/>
              <w:jc w:val="center"/>
              <w:rPr>
                <w:lang w:val="en-AU"/>
              </w:rPr>
            </w:pPr>
            <w:r w:rsidRPr="00B95C74">
              <w:rPr>
                <w:lang w:val="en-AU"/>
              </w:rPr>
              <w:t>n/N (%)</w:t>
            </w:r>
          </w:p>
        </w:tc>
        <w:tc>
          <w:tcPr>
            <w:tcW w:w="1249" w:type="dxa"/>
            <w:shd w:val="clear" w:color="auto" w:fill="auto"/>
            <w:vAlign w:val="center"/>
          </w:tcPr>
          <w:p w14:paraId="0575BE73" w14:textId="77777777" w:rsidR="00551497" w:rsidRPr="00B95C74" w:rsidRDefault="00551497" w:rsidP="00507D72">
            <w:pPr>
              <w:pStyle w:val="COMTableheadingrow"/>
              <w:jc w:val="center"/>
              <w:rPr>
                <w:lang w:val="en-AU"/>
              </w:rPr>
            </w:pPr>
            <w:r w:rsidRPr="00B95C74">
              <w:rPr>
                <w:lang w:val="en-AU"/>
              </w:rPr>
              <w:t>Absolute difference</w:t>
            </w:r>
          </w:p>
        </w:tc>
        <w:tc>
          <w:tcPr>
            <w:tcW w:w="1673" w:type="dxa"/>
            <w:shd w:val="clear" w:color="auto" w:fill="auto"/>
            <w:vAlign w:val="center"/>
          </w:tcPr>
          <w:p w14:paraId="11180717" w14:textId="77777777" w:rsidR="00551497" w:rsidRPr="00B95C74" w:rsidRDefault="00551497" w:rsidP="00507D72">
            <w:pPr>
              <w:pStyle w:val="COMTableheadingrow"/>
              <w:jc w:val="center"/>
              <w:rPr>
                <w:lang w:val="en-AU"/>
              </w:rPr>
            </w:pPr>
            <w:r w:rsidRPr="00B95C74">
              <w:rPr>
                <w:lang w:val="en-AU"/>
              </w:rPr>
              <w:t>HR (95% CI)</w:t>
            </w:r>
          </w:p>
        </w:tc>
      </w:tr>
      <w:tr w:rsidR="00551497" w:rsidRPr="00AB34C7" w14:paraId="2E017E56" w14:textId="77777777" w:rsidTr="00507D72">
        <w:tc>
          <w:tcPr>
            <w:tcW w:w="1491" w:type="dxa"/>
            <w:vMerge w:val="restart"/>
            <w:vAlign w:val="center"/>
          </w:tcPr>
          <w:p w14:paraId="37AA8BE3" w14:textId="77777777" w:rsidR="00551497" w:rsidRPr="00AB34C7" w:rsidRDefault="00551497" w:rsidP="00507D72">
            <w:pPr>
              <w:pStyle w:val="COMTabletext"/>
            </w:pPr>
            <w:r w:rsidRPr="00AB34C7">
              <w:t>GLOW</w:t>
            </w:r>
          </w:p>
        </w:tc>
        <w:tc>
          <w:tcPr>
            <w:tcW w:w="1762" w:type="dxa"/>
            <w:shd w:val="clear" w:color="auto" w:fill="auto"/>
            <w:vAlign w:val="center"/>
          </w:tcPr>
          <w:p w14:paraId="24C55E21" w14:textId="77777777" w:rsidR="00551497" w:rsidRPr="00AB34C7" w:rsidRDefault="00551497" w:rsidP="00507D72">
            <w:pPr>
              <w:pStyle w:val="COMTabletext"/>
            </w:pPr>
            <w:r w:rsidRPr="00AB34C7">
              <w:t>Progressed</w:t>
            </w:r>
          </w:p>
        </w:tc>
        <w:tc>
          <w:tcPr>
            <w:tcW w:w="1339" w:type="dxa"/>
            <w:shd w:val="clear" w:color="auto" w:fill="auto"/>
            <w:vAlign w:val="center"/>
          </w:tcPr>
          <w:p w14:paraId="42B8E996" w14:textId="77777777" w:rsidR="00551497" w:rsidRPr="00AB34C7" w:rsidRDefault="00551497" w:rsidP="00507D72">
            <w:pPr>
              <w:pStyle w:val="COMTabletext"/>
              <w:jc w:val="center"/>
              <w:rPr>
                <w:iCs/>
              </w:rPr>
            </w:pPr>
            <w:r w:rsidRPr="00AB34C7">
              <w:rPr>
                <w:iCs/>
              </w:rPr>
              <w:t>33/106 (31.1)</w:t>
            </w:r>
          </w:p>
        </w:tc>
        <w:tc>
          <w:tcPr>
            <w:tcW w:w="1503" w:type="dxa"/>
            <w:shd w:val="clear" w:color="auto" w:fill="auto"/>
            <w:vAlign w:val="center"/>
          </w:tcPr>
          <w:p w14:paraId="4AE5F1EA" w14:textId="77777777" w:rsidR="00551497" w:rsidRPr="00AB34C7" w:rsidRDefault="00551497" w:rsidP="00507D72">
            <w:pPr>
              <w:pStyle w:val="COMTabletext"/>
              <w:jc w:val="center"/>
              <w:rPr>
                <w:iCs/>
              </w:rPr>
            </w:pPr>
            <w:r w:rsidRPr="00AB34C7">
              <w:rPr>
                <w:iCs/>
              </w:rPr>
              <w:t>83/105 (79.0)</w:t>
            </w:r>
          </w:p>
        </w:tc>
        <w:tc>
          <w:tcPr>
            <w:tcW w:w="1249" w:type="dxa"/>
            <w:shd w:val="clear" w:color="auto" w:fill="auto"/>
            <w:vAlign w:val="center"/>
          </w:tcPr>
          <w:p w14:paraId="727E705A" w14:textId="77777777" w:rsidR="00551497" w:rsidRPr="00AB34C7" w:rsidRDefault="00551497" w:rsidP="00507D72">
            <w:pPr>
              <w:pStyle w:val="COMTabletext"/>
              <w:jc w:val="center"/>
            </w:pPr>
            <w:r w:rsidRPr="00AB34C7">
              <w:t>47.9%</w:t>
            </w:r>
          </w:p>
        </w:tc>
        <w:tc>
          <w:tcPr>
            <w:tcW w:w="1673" w:type="dxa"/>
            <w:vMerge w:val="restart"/>
            <w:shd w:val="clear" w:color="auto" w:fill="auto"/>
            <w:vAlign w:val="center"/>
          </w:tcPr>
          <w:p w14:paraId="77A91E6F" w14:textId="77777777" w:rsidR="00551497" w:rsidRPr="00AB34C7" w:rsidRDefault="00551497" w:rsidP="00507D72">
            <w:pPr>
              <w:pStyle w:val="COMTabletext"/>
              <w:jc w:val="center"/>
            </w:pPr>
            <w:r w:rsidRPr="00AB34C7">
              <w:rPr>
                <w:b/>
                <w:bCs w:val="0"/>
              </w:rPr>
              <w:t>0.23 (0.15, 0.35)</w:t>
            </w:r>
          </w:p>
        </w:tc>
      </w:tr>
      <w:tr w:rsidR="00551497" w:rsidRPr="00AB34C7" w14:paraId="6CCE9F41" w14:textId="77777777" w:rsidTr="00507D72">
        <w:tc>
          <w:tcPr>
            <w:tcW w:w="1491" w:type="dxa"/>
            <w:vMerge/>
            <w:tcBorders>
              <w:bottom w:val="double" w:sz="4" w:space="0" w:color="auto"/>
            </w:tcBorders>
            <w:vAlign w:val="center"/>
          </w:tcPr>
          <w:p w14:paraId="0A588662" w14:textId="77777777" w:rsidR="00551497" w:rsidRPr="00AB34C7" w:rsidRDefault="00551497" w:rsidP="00507D72">
            <w:pPr>
              <w:pStyle w:val="COMTabletext"/>
            </w:pPr>
          </w:p>
        </w:tc>
        <w:tc>
          <w:tcPr>
            <w:tcW w:w="1762" w:type="dxa"/>
            <w:tcBorders>
              <w:bottom w:val="double" w:sz="4" w:space="0" w:color="auto"/>
            </w:tcBorders>
            <w:shd w:val="clear" w:color="auto" w:fill="auto"/>
            <w:vAlign w:val="center"/>
          </w:tcPr>
          <w:p w14:paraId="0128089D" w14:textId="77777777" w:rsidR="00551497" w:rsidRPr="00AB34C7" w:rsidRDefault="00551497" w:rsidP="00507D72">
            <w:pPr>
              <w:pStyle w:val="COMTabletext"/>
            </w:pPr>
            <w:r w:rsidRPr="00AB34C7">
              <w:t>Median months PFS</w:t>
            </w:r>
          </w:p>
        </w:tc>
        <w:tc>
          <w:tcPr>
            <w:tcW w:w="1339" w:type="dxa"/>
            <w:tcBorders>
              <w:bottom w:val="double" w:sz="4" w:space="0" w:color="auto"/>
            </w:tcBorders>
            <w:shd w:val="clear" w:color="auto" w:fill="auto"/>
            <w:vAlign w:val="center"/>
          </w:tcPr>
          <w:p w14:paraId="77DF2C8C" w14:textId="77777777" w:rsidR="00551497" w:rsidRPr="00AB34C7" w:rsidRDefault="00551497" w:rsidP="00507D72">
            <w:pPr>
              <w:pStyle w:val="COMTabletext"/>
              <w:jc w:val="center"/>
              <w:rPr>
                <w:iCs/>
              </w:rPr>
            </w:pPr>
            <w:r w:rsidRPr="00AB34C7">
              <w:rPr>
                <w:iCs/>
              </w:rPr>
              <w:t>54.1 (54.1, NE)</w:t>
            </w:r>
          </w:p>
        </w:tc>
        <w:tc>
          <w:tcPr>
            <w:tcW w:w="1503" w:type="dxa"/>
            <w:tcBorders>
              <w:bottom w:val="double" w:sz="4" w:space="0" w:color="auto"/>
            </w:tcBorders>
            <w:shd w:val="clear" w:color="auto" w:fill="auto"/>
            <w:vAlign w:val="center"/>
          </w:tcPr>
          <w:p w14:paraId="47BCFBEF" w14:textId="77777777" w:rsidR="00551497" w:rsidRPr="00AB34C7" w:rsidRDefault="00551497" w:rsidP="00507D72">
            <w:pPr>
              <w:pStyle w:val="COMTabletext"/>
              <w:jc w:val="center"/>
              <w:rPr>
                <w:iCs/>
              </w:rPr>
            </w:pPr>
            <w:r w:rsidRPr="00AB34C7">
              <w:rPr>
                <w:iCs/>
              </w:rPr>
              <w:t>23.0 (16.9, 31.2)</w:t>
            </w:r>
          </w:p>
        </w:tc>
        <w:tc>
          <w:tcPr>
            <w:tcW w:w="1249" w:type="dxa"/>
            <w:tcBorders>
              <w:bottom w:val="double" w:sz="4" w:space="0" w:color="auto"/>
            </w:tcBorders>
            <w:shd w:val="clear" w:color="auto" w:fill="auto"/>
            <w:vAlign w:val="center"/>
          </w:tcPr>
          <w:p w14:paraId="3819D59E" w14:textId="77777777" w:rsidR="00551497" w:rsidRPr="00AB34C7" w:rsidRDefault="00551497" w:rsidP="00507D72">
            <w:pPr>
              <w:pStyle w:val="COMTabletext"/>
              <w:jc w:val="center"/>
            </w:pPr>
            <w:r w:rsidRPr="00AB34C7">
              <w:t>31.1 months</w:t>
            </w:r>
          </w:p>
        </w:tc>
        <w:tc>
          <w:tcPr>
            <w:tcW w:w="1673" w:type="dxa"/>
            <w:vMerge/>
            <w:tcBorders>
              <w:bottom w:val="double" w:sz="4" w:space="0" w:color="auto"/>
            </w:tcBorders>
            <w:shd w:val="clear" w:color="auto" w:fill="auto"/>
            <w:vAlign w:val="center"/>
          </w:tcPr>
          <w:p w14:paraId="5224E76A" w14:textId="77777777" w:rsidR="00551497" w:rsidRPr="00AB34C7" w:rsidRDefault="00551497" w:rsidP="00507D72">
            <w:pPr>
              <w:pStyle w:val="COMTabletext"/>
              <w:jc w:val="center"/>
              <w:rPr>
                <w:b/>
                <w:bCs w:val="0"/>
              </w:rPr>
            </w:pPr>
          </w:p>
        </w:tc>
      </w:tr>
      <w:tr w:rsidR="00551497" w:rsidRPr="00AB34C7" w14:paraId="7C5AF9A2" w14:textId="77777777" w:rsidTr="00507D72">
        <w:tc>
          <w:tcPr>
            <w:tcW w:w="1491" w:type="dxa"/>
            <w:tcBorders>
              <w:top w:val="double" w:sz="4" w:space="0" w:color="auto"/>
              <w:bottom w:val="single" w:sz="4" w:space="0" w:color="auto"/>
            </w:tcBorders>
            <w:vAlign w:val="center"/>
          </w:tcPr>
          <w:p w14:paraId="4DC060F8" w14:textId="77777777" w:rsidR="00551497" w:rsidRPr="00B95C74" w:rsidRDefault="00551497" w:rsidP="00507D72">
            <w:pPr>
              <w:pStyle w:val="COMTableheadingrow"/>
              <w:rPr>
                <w:lang w:val="en-AU"/>
              </w:rPr>
            </w:pPr>
            <w:r w:rsidRPr="00B95C74">
              <w:rPr>
                <w:lang w:val="en-AU"/>
              </w:rPr>
              <w:t>Comparator</w:t>
            </w:r>
          </w:p>
        </w:tc>
        <w:tc>
          <w:tcPr>
            <w:tcW w:w="1762" w:type="dxa"/>
            <w:tcBorders>
              <w:top w:val="double" w:sz="4" w:space="0" w:color="auto"/>
              <w:bottom w:val="single" w:sz="4" w:space="0" w:color="auto"/>
            </w:tcBorders>
            <w:shd w:val="clear" w:color="auto" w:fill="auto"/>
            <w:vAlign w:val="center"/>
          </w:tcPr>
          <w:p w14:paraId="6854FAB5" w14:textId="77777777" w:rsidR="00551497" w:rsidRPr="00B95C74" w:rsidRDefault="00551497" w:rsidP="00507D72">
            <w:pPr>
              <w:pStyle w:val="COMTableheadingrow"/>
              <w:jc w:val="center"/>
              <w:rPr>
                <w:lang w:val="en-AU"/>
              </w:rPr>
            </w:pPr>
          </w:p>
        </w:tc>
        <w:tc>
          <w:tcPr>
            <w:tcW w:w="1339" w:type="dxa"/>
            <w:tcBorders>
              <w:top w:val="double" w:sz="4" w:space="0" w:color="auto"/>
              <w:bottom w:val="single" w:sz="4" w:space="0" w:color="auto"/>
            </w:tcBorders>
            <w:shd w:val="clear" w:color="auto" w:fill="auto"/>
            <w:vAlign w:val="center"/>
          </w:tcPr>
          <w:p w14:paraId="1F22F22F" w14:textId="77777777" w:rsidR="00551497" w:rsidRPr="00B95C74" w:rsidRDefault="00551497" w:rsidP="00507D72">
            <w:pPr>
              <w:pStyle w:val="COMTableheadingrow"/>
              <w:jc w:val="center"/>
              <w:rPr>
                <w:lang w:val="en-AU"/>
              </w:rPr>
            </w:pPr>
            <w:r w:rsidRPr="00B95C74">
              <w:rPr>
                <w:lang w:val="en-AU"/>
              </w:rPr>
              <w:t>VEN + OBI</w:t>
            </w:r>
          </w:p>
          <w:p w14:paraId="1AB1B54A" w14:textId="77777777" w:rsidR="00551497" w:rsidRPr="00B95C74" w:rsidRDefault="00551497" w:rsidP="00507D72">
            <w:pPr>
              <w:pStyle w:val="COMTableheadingrow"/>
              <w:jc w:val="center"/>
              <w:rPr>
                <w:lang w:val="en-AU"/>
              </w:rPr>
            </w:pPr>
            <w:r w:rsidRPr="00B95C74">
              <w:rPr>
                <w:lang w:val="en-AU"/>
              </w:rPr>
              <w:t>n/N (%)</w:t>
            </w:r>
          </w:p>
        </w:tc>
        <w:tc>
          <w:tcPr>
            <w:tcW w:w="1503" w:type="dxa"/>
            <w:tcBorders>
              <w:top w:val="double" w:sz="4" w:space="0" w:color="auto"/>
              <w:bottom w:val="single" w:sz="4" w:space="0" w:color="auto"/>
            </w:tcBorders>
            <w:shd w:val="clear" w:color="auto" w:fill="auto"/>
            <w:vAlign w:val="center"/>
          </w:tcPr>
          <w:p w14:paraId="2E84A4E9" w14:textId="77777777" w:rsidR="00551497" w:rsidRPr="00B95C74" w:rsidRDefault="00551497" w:rsidP="00507D72">
            <w:pPr>
              <w:pStyle w:val="COMTableheadingrow"/>
              <w:jc w:val="center"/>
              <w:rPr>
                <w:lang w:val="en-AU"/>
              </w:rPr>
            </w:pPr>
            <w:r w:rsidRPr="00B95C74">
              <w:rPr>
                <w:lang w:val="en-AU"/>
              </w:rPr>
              <w:t>CHL + OBI</w:t>
            </w:r>
          </w:p>
          <w:p w14:paraId="31B74DFF" w14:textId="77777777" w:rsidR="00551497" w:rsidRPr="00B95C74" w:rsidRDefault="00551497" w:rsidP="00507D72">
            <w:pPr>
              <w:pStyle w:val="COMTableheadingrow"/>
              <w:jc w:val="center"/>
              <w:rPr>
                <w:lang w:val="en-AU"/>
              </w:rPr>
            </w:pPr>
            <w:r w:rsidRPr="00B95C74">
              <w:rPr>
                <w:lang w:val="en-AU"/>
              </w:rPr>
              <w:t>n/N (%)</w:t>
            </w:r>
          </w:p>
        </w:tc>
        <w:tc>
          <w:tcPr>
            <w:tcW w:w="1249" w:type="dxa"/>
            <w:tcBorders>
              <w:top w:val="double" w:sz="4" w:space="0" w:color="auto"/>
              <w:bottom w:val="single" w:sz="4" w:space="0" w:color="auto"/>
            </w:tcBorders>
            <w:shd w:val="clear" w:color="auto" w:fill="auto"/>
            <w:vAlign w:val="center"/>
          </w:tcPr>
          <w:p w14:paraId="6037F0D3" w14:textId="77777777" w:rsidR="00551497" w:rsidRPr="00B95C74" w:rsidRDefault="00551497" w:rsidP="00507D72">
            <w:pPr>
              <w:pStyle w:val="COMTableheadingrow"/>
              <w:jc w:val="center"/>
              <w:rPr>
                <w:lang w:val="en-AU"/>
              </w:rPr>
            </w:pPr>
            <w:r w:rsidRPr="00B95C74">
              <w:rPr>
                <w:lang w:val="en-AU"/>
              </w:rPr>
              <w:t>Absolute difference</w:t>
            </w:r>
          </w:p>
        </w:tc>
        <w:tc>
          <w:tcPr>
            <w:tcW w:w="1673" w:type="dxa"/>
            <w:tcBorders>
              <w:top w:val="double" w:sz="4" w:space="0" w:color="auto"/>
              <w:bottom w:val="single" w:sz="4" w:space="0" w:color="auto"/>
            </w:tcBorders>
            <w:shd w:val="clear" w:color="auto" w:fill="auto"/>
            <w:vAlign w:val="center"/>
          </w:tcPr>
          <w:p w14:paraId="5D1EA98A" w14:textId="77777777" w:rsidR="00551497" w:rsidRPr="00B95C74" w:rsidRDefault="00551497" w:rsidP="00507D72">
            <w:pPr>
              <w:pStyle w:val="COMTableheadingrow"/>
              <w:jc w:val="center"/>
              <w:rPr>
                <w:lang w:val="en-AU"/>
              </w:rPr>
            </w:pPr>
            <w:r w:rsidRPr="00B95C74">
              <w:rPr>
                <w:lang w:val="en-AU"/>
              </w:rPr>
              <w:t>HR (95% CI)</w:t>
            </w:r>
          </w:p>
        </w:tc>
      </w:tr>
      <w:tr w:rsidR="00551497" w:rsidRPr="00AB34C7" w14:paraId="3E0F2981" w14:textId="77777777" w:rsidTr="00507D72">
        <w:tc>
          <w:tcPr>
            <w:tcW w:w="1491" w:type="dxa"/>
            <w:vMerge w:val="restart"/>
            <w:tcBorders>
              <w:top w:val="single" w:sz="4" w:space="0" w:color="auto"/>
            </w:tcBorders>
            <w:vAlign w:val="center"/>
          </w:tcPr>
          <w:p w14:paraId="4927A846" w14:textId="77777777" w:rsidR="00551497" w:rsidRPr="00AB34C7" w:rsidRDefault="00551497" w:rsidP="00507D72">
            <w:pPr>
              <w:pStyle w:val="COMTabletext"/>
            </w:pPr>
            <w:r w:rsidRPr="00AB34C7">
              <w:t>CLL-14</w:t>
            </w:r>
          </w:p>
        </w:tc>
        <w:tc>
          <w:tcPr>
            <w:tcW w:w="1762" w:type="dxa"/>
            <w:tcBorders>
              <w:top w:val="single" w:sz="4" w:space="0" w:color="auto"/>
            </w:tcBorders>
            <w:shd w:val="clear" w:color="auto" w:fill="auto"/>
            <w:vAlign w:val="center"/>
          </w:tcPr>
          <w:p w14:paraId="116F58FA" w14:textId="77777777" w:rsidR="00551497" w:rsidRPr="00AB34C7" w:rsidRDefault="00551497" w:rsidP="00507D72">
            <w:pPr>
              <w:pStyle w:val="COMTabletext"/>
            </w:pPr>
            <w:r w:rsidRPr="00AB34C7">
              <w:t>Progressed</w:t>
            </w:r>
          </w:p>
        </w:tc>
        <w:tc>
          <w:tcPr>
            <w:tcW w:w="1339" w:type="dxa"/>
            <w:tcBorders>
              <w:top w:val="single" w:sz="4" w:space="0" w:color="auto"/>
            </w:tcBorders>
            <w:shd w:val="clear" w:color="auto" w:fill="auto"/>
            <w:vAlign w:val="center"/>
          </w:tcPr>
          <w:p w14:paraId="77B53699" w14:textId="77777777" w:rsidR="00551497" w:rsidRPr="00AB34C7" w:rsidRDefault="00551497" w:rsidP="00507D72">
            <w:pPr>
              <w:pStyle w:val="COMTabletext"/>
              <w:jc w:val="center"/>
            </w:pPr>
            <w:r w:rsidRPr="00AB34C7">
              <w:t>61 (28.2)</w:t>
            </w:r>
          </w:p>
        </w:tc>
        <w:tc>
          <w:tcPr>
            <w:tcW w:w="1503" w:type="dxa"/>
            <w:tcBorders>
              <w:top w:val="single" w:sz="4" w:space="0" w:color="auto"/>
            </w:tcBorders>
            <w:shd w:val="clear" w:color="auto" w:fill="auto"/>
            <w:vAlign w:val="center"/>
          </w:tcPr>
          <w:p w14:paraId="7DFC8C3B" w14:textId="77777777" w:rsidR="00551497" w:rsidRPr="00AB34C7" w:rsidRDefault="00551497" w:rsidP="00507D72">
            <w:pPr>
              <w:pStyle w:val="COMTabletext"/>
              <w:jc w:val="center"/>
            </w:pPr>
            <w:r w:rsidRPr="00AB34C7">
              <w:t>NR</w:t>
            </w:r>
          </w:p>
        </w:tc>
        <w:tc>
          <w:tcPr>
            <w:tcW w:w="1249" w:type="dxa"/>
            <w:tcBorders>
              <w:top w:val="single" w:sz="4" w:space="0" w:color="auto"/>
            </w:tcBorders>
            <w:shd w:val="clear" w:color="auto" w:fill="auto"/>
            <w:vAlign w:val="center"/>
          </w:tcPr>
          <w:p w14:paraId="5C9CAEFD" w14:textId="77777777" w:rsidR="00551497" w:rsidRPr="00AB34C7" w:rsidRDefault="00551497" w:rsidP="00507D72">
            <w:pPr>
              <w:pStyle w:val="COMTabletext"/>
              <w:jc w:val="center"/>
            </w:pPr>
            <w:r w:rsidRPr="00AB34C7">
              <w:t>NE</w:t>
            </w:r>
          </w:p>
        </w:tc>
        <w:tc>
          <w:tcPr>
            <w:tcW w:w="1673" w:type="dxa"/>
            <w:vMerge w:val="restart"/>
            <w:tcBorders>
              <w:top w:val="single" w:sz="4" w:space="0" w:color="auto"/>
            </w:tcBorders>
            <w:shd w:val="clear" w:color="auto" w:fill="auto"/>
            <w:vAlign w:val="center"/>
          </w:tcPr>
          <w:p w14:paraId="01F20DFC" w14:textId="77777777" w:rsidR="00551497" w:rsidRPr="00AB34C7" w:rsidRDefault="00551497" w:rsidP="00507D72">
            <w:pPr>
              <w:pStyle w:val="COMTabletext"/>
              <w:jc w:val="center"/>
            </w:pPr>
            <w:r w:rsidRPr="00AB34C7">
              <w:rPr>
                <w:b/>
                <w:bCs w:val="0"/>
              </w:rPr>
              <w:t>0.33 (0.25, 0.45)</w:t>
            </w:r>
          </w:p>
        </w:tc>
      </w:tr>
      <w:tr w:rsidR="00551497" w:rsidRPr="00AB34C7" w14:paraId="6A552FAE" w14:textId="77777777" w:rsidTr="00507D72">
        <w:tc>
          <w:tcPr>
            <w:tcW w:w="1491" w:type="dxa"/>
            <w:vMerge/>
            <w:vAlign w:val="center"/>
          </w:tcPr>
          <w:p w14:paraId="66B8131A" w14:textId="77777777" w:rsidR="00551497" w:rsidRPr="00AB34C7" w:rsidRDefault="00551497" w:rsidP="00507D72">
            <w:pPr>
              <w:pStyle w:val="COMTabletext"/>
              <w:jc w:val="center"/>
            </w:pPr>
          </w:p>
        </w:tc>
        <w:tc>
          <w:tcPr>
            <w:tcW w:w="1762" w:type="dxa"/>
            <w:shd w:val="clear" w:color="auto" w:fill="auto"/>
            <w:vAlign w:val="center"/>
          </w:tcPr>
          <w:p w14:paraId="3EC1CA1A" w14:textId="77777777" w:rsidR="00551497" w:rsidRPr="00AB34C7" w:rsidRDefault="00551497" w:rsidP="00507D72">
            <w:pPr>
              <w:pStyle w:val="COMTabletext"/>
            </w:pPr>
            <w:r w:rsidRPr="00AB34C7">
              <w:t>Median months PFS</w:t>
            </w:r>
          </w:p>
        </w:tc>
        <w:tc>
          <w:tcPr>
            <w:tcW w:w="1339" w:type="dxa"/>
            <w:shd w:val="clear" w:color="auto" w:fill="auto"/>
            <w:vAlign w:val="center"/>
          </w:tcPr>
          <w:p w14:paraId="2B731260" w14:textId="77777777" w:rsidR="00551497" w:rsidRPr="00AB34C7" w:rsidRDefault="00551497" w:rsidP="00507D72">
            <w:pPr>
              <w:pStyle w:val="COMTabletext"/>
              <w:jc w:val="center"/>
            </w:pPr>
            <w:r w:rsidRPr="00AB34C7">
              <w:t>NE (NE, NE)</w:t>
            </w:r>
          </w:p>
        </w:tc>
        <w:tc>
          <w:tcPr>
            <w:tcW w:w="1503" w:type="dxa"/>
            <w:shd w:val="clear" w:color="auto" w:fill="auto"/>
            <w:vAlign w:val="center"/>
          </w:tcPr>
          <w:p w14:paraId="7894B8ED" w14:textId="77777777" w:rsidR="00551497" w:rsidRPr="00AB34C7" w:rsidRDefault="00551497" w:rsidP="00507D72">
            <w:pPr>
              <w:pStyle w:val="COMTabletext"/>
              <w:jc w:val="center"/>
            </w:pPr>
            <w:r w:rsidRPr="00AB34C7">
              <w:t>36.4 (NR, NR)</w:t>
            </w:r>
          </w:p>
        </w:tc>
        <w:tc>
          <w:tcPr>
            <w:tcW w:w="1249" w:type="dxa"/>
            <w:shd w:val="clear" w:color="auto" w:fill="auto"/>
            <w:vAlign w:val="center"/>
          </w:tcPr>
          <w:p w14:paraId="7C8743F2" w14:textId="77777777" w:rsidR="00551497" w:rsidRPr="00AB34C7" w:rsidRDefault="00551497" w:rsidP="00507D72">
            <w:pPr>
              <w:pStyle w:val="COMTabletext"/>
              <w:jc w:val="center"/>
            </w:pPr>
            <w:r w:rsidRPr="00AB34C7">
              <w:t>NE</w:t>
            </w:r>
          </w:p>
        </w:tc>
        <w:tc>
          <w:tcPr>
            <w:tcW w:w="1673" w:type="dxa"/>
            <w:vMerge/>
            <w:shd w:val="clear" w:color="auto" w:fill="auto"/>
            <w:vAlign w:val="center"/>
          </w:tcPr>
          <w:p w14:paraId="6C4691D3" w14:textId="77777777" w:rsidR="00551497" w:rsidRPr="00AB34C7" w:rsidRDefault="00551497" w:rsidP="00507D72">
            <w:pPr>
              <w:pStyle w:val="COMTabletext"/>
              <w:jc w:val="center"/>
              <w:rPr>
                <w:b/>
                <w:bCs w:val="0"/>
              </w:rPr>
            </w:pPr>
          </w:p>
        </w:tc>
      </w:tr>
      <w:tr w:rsidR="00551497" w:rsidRPr="00AB34C7" w14:paraId="6CCC6C87" w14:textId="77777777" w:rsidTr="00507D72">
        <w:tc>
          <w:tcPr>
            <w:tcW w:w="7344" w:type="dxa"/>
            <w:gridSpan w:val="5"/>
            <w:vAlign w:val="center"/>
          </w:tcPr>
          <w:p w14:paraId="611312EE" w14:textId="77777777" w:rsidR="00551497" w:rsidRPr="00AB34C7" w:rsidRDefault="00551497" w:rsidP="00507D72">
            <w:pPr>
              <w:pStyle w:val="COMTabletext"/>
              <w:jc w:val="right"/>
              <w:rPr>
                <w:b/>
              </w:rPr>
            </w:pPr>
            <w:r w:rsidRPr="00AB34C7">
              <w:rPr>
                <w:b/>
              </w:rPr>
              <w:t>Indirect comparison IBR + VEN vs. VEN + OBI</w:t>
            </w:r>
          </w:p>
        </w:tc>
        <w:tc>
          <w:tcPr>
            <w:tcW w:w="1673" w:type="dxa"/>
            <w:shd w:val="clear" w:color="auto" w:fill="auto"/>
            <w:vAlign w:val="center"/>
          </w:tcPr>
          <w:p w14:paraId="33CA23CE" w14:textId="77777777" w:rsidR="00551497" w:rsidRPr="00AB34C7" w:rsidRDefault="00551497" w:rsidP="00507D72">
            <w:pPr>
              <w:pStyle w:val="COMTabletext"/>
              <w:jc w:val="center"/>
              <w:rPr>
                <w:bCs w:val="0"/>
              </w:rPr>
            </w:pPr>
            <w:r w:rsidRPr="00AB34C7">
              <w:rPr>
                <w:bCs w:val="0"/>
              </w:rPr>
              <w:t>0.69 (0.42, 1.16)</w:t>
            </w:r>
          </w:p>
        </w:tc>
      </w:tr>
      <w:tr w:rsidR="00551497" w:rsidRPr="00AB34C7" w14:paraId="4A7C698A" w14:textId="77777777" w:rsidTr="00507D72">
        <w:tc>
          <w:tcPr>
            <w:tcW w:w="7344" w:type="dxa"/>
            <w:gridSpan w:val="5"/>
            <w:vAlign w:val="center"/>
          </w:tcPr>
          <w:p w14:paraId="796C56F3" w14:textId="008B49DC" w:rsidR="00551497" w:rsidRPr="00AB34C7" w:rsidRDefault="00551497" w:rsidP="00507D72">
            <w:pPr>
              <w:pStyle w:val="COMTabletext"/>
              <w:jc w:val="right"/>
              <w:rPr>
                <w:b/>
              </w:rPr>
            </w:pPr>
            <w:r w:rsidRPr="00AB34C7">
              <w:rPr>
                <w:b/>
              </w:rPr>
              <w:t>Sensitivity analysis</w:t>
            </w:r>
            <w:r w:rsidRPr="00AB34C7">
              <w:rPr>
                <w:b/>
                <w:vertAlign w:val="superscript"/>
              </w:rPr>
              <w:t>a</w:t>
            </w:r>
          </w:p>
        </w:tc>
        <w:tc>
          <w:tcPr>
            <w:tcW w:w="1673" w:type="dxa"/>
            <w:shd w:val="clear" w:color="auto" w:fill="auto"/>
            <w:vAlign w:val="center"/>
          </w:tcPr>
          <w:p w14:paraId="4C50954C" w14:textId="77777777" w:rsidR="00551497" w:rsidRPr="00AB34C7" w:rsidRDefault="00551497" w:rsidP="00507D72">
            <w:pPr>
              <w:pStyle w:val="COMTabletext"/>
              <w:jc w:val="center"/>
              <w:rPr>
                <w:bCs w:val="0"/>
              </w:rPr>
            </w:pPr>
            <w:r w:rsidRPr="00AB34C7">
              <w:rPr>
                <w:b/>
              </w:rPr>
              <w:t>0.57 (0.35, 0.94)</w:t>
            </w:r>
          </w:p>
        </w:tc>
      </w:tr>
    </w:tbl>
    <w:p w14:paraId="21E9A050" w14:textId="1CA02E2C" w:rsidR="00551497" w:rsidRPr="00AB34C7" w:rsidRDefault="00551497" w:rsidP="00551497">
      <w:pPr>
        <w:pStyle w:val="COMTablefooter"/>
      </w:pPr>
      <w:r w:rsidRPr="00AB34C7">
        <w:t>Source: Table 2.85; Table 2.86 of the resubmission.</w:t>
      </w:r>
    </w:p>
    <w:p w14:paraId="1AB7D3FD" w14:textId="77777777" w:rsidR="00551497" w:rsidRPr="00AB34C7" w:rsidRDefault="00551497" w:rsidP="00551497">
      <w:pPr>
        <w:pStyle w:val="COMTablefooter"/>
      </w:pPr>
      <w:r w:rsidRPr="00AB34C7">
        <w:t>Abbreviations: CHL, chlorambucil; HR, hazard ratio; IBR, ibrutinib; NE, not estimable; NR, not reported; OBI, obinutuzumab; PFS, progression-free survival; VEN, venetoclax.</w:t>
      </w:r>
    </w:p>
    <w:p w14:paraId="194C49DC" w14:textId="77777777" w:rsidR="00551497" w:rsidRPr="00AB34C7" w:rsidRDefault="00551497" w:rsidP="00551497">
      <w:pPr>
        <w:pStyle w:val="COMTablefooter"/>
        <w:rPr>
          <w:sz w:val="20"/>
        </w:rPr>
      </w:pPr>
      <w:r w:rsidRPr="00AB34C7">
        <w:rPr>
          <w:vertAlign w:val="superscript"/>
        </w:rPr>
        <w:t>a</w:t>
      </w:r>
      <w:r w:rsidRPr="00AB34C7">
        <w:t xml:space="preserve"> Sensitivity analysis conducted using data from the CLL-14 trial corresponding to a median follow-up of 76.4 months.</w:t>
      </w:r>
    </w:p>
    <w:p w14:paraId="1EBA3233" w14:textId="77777777" w:rsidR="00551497" w:rsidRPr="00AB34C7" w:rsidRDefault="00551497" w:rsidP="00551497">
      <w:pPr>
        <w:pStyle w:val="COMTablefooter"/>
        <w:rPr>
          <w:sz w:val="20"/>
        </w:rPr>
      </w:pPr>
      <w:r w:rsidRPr="00AB34C7">
        <w:t>Bold indicates statistically significant results.</w:t>
      </w:r>
    </w:p>
    <w:p w14:paraId="6A0F5C9C" w14:textId="5B898139" w:rsidR="0083377E" w:rsidRPr="00AB34C7" w:rsidRDefault="00AC4936" w:rsidP="00AA787B">
      <w:pPr>
        <w:pStyle w:val="COMexecsumnumberedpara"/>
        <w:ind w:hanging="720"/>
      </w:pPr>
      <w:r w:rsidRPr="00AB34C7">
        <w:t>Based on the indirect comparison, treatment with ibrutinib + venetoclax was associated with improvement in progression-free survival compared to venetoclax + obinutuzumab, however, the difference was not statistically significant (hazard ratio: 0.69; 95% CI: 0.42, 1.16).</w:t>
      </w:r>
      <w:r w:rsidR="006B3273" w:rsidRPr="00AB34C7">
        <w:t xml:space="preserve"> </w:t>
      </w:r>
    </w:p>
    <w:p w14:paraId="77E6A583" w14:textId="13211F74" w:rsidR="00AC4936" w:rsidRPr="00AB34C7" w:rsidRDefault="00AC4936" w:rsidP="00AA787B">
      <w:pPr>
        <w:pStyle w:val="COMexecsumnumberedpara"/>
        <w:ind w:hanging="720"/>
      </w:pPr>
      <w:r w:rsidRPr="00AB34C7">
        <w:fldChar w:fldCharType="begin" w:fldLock="1"/>
      </w:r>
      <w:r w:rsidRPr="00AB34C7">
        <w:instrText xml:space="preserve"> REF _Ref153195879 \h </w:instrText>
      </w:r>
      <w:r w:rsidRPr="00AB34C7">
        <w:fldChar w:fldCharType="separate"/>
      </w:r>
      <w:r w:rsidR="008A42E6" w:rsidRPr="00AB34C7">
        <w:t xml:space="preserve">Table </w:t>
      </w:r>
      <w:r w:rsidR="008A42E6" w:rsidRPr="00B95C74">
        <w:t>8</w:t>
      </w:r>
      <w:r w:rsidRPr="00AB34C7">
        <w:fldChar w:fldCharType="end"/>
      </w:r>
      <w:r w:rsidRPr="00AB34C7">
        <w:t xml:space="preserve"> presents the results for the indirect comparison of overall survival.</w:t>
      </w:r>
    </w:p>
    <w:p w14:paraId="189C7C2C" w14:textId="438B4F0C" w:rsidR="00AC4936" w:rsidRPr="00AB34C7" w:rsidRDefault="00AC4936" w:rsidP="00AC4936">
      <w:pPr>
        <w:pStyle w:val="COMtablefigcaption"/>
        <w:rPr>
          <w:b w:val="0"/>
        </w:rPr>
      </w:pPr>
      <w:bookmarkStart w:id="30" w:name="_Ref153195879"/>
      <w:r w:rsidRPr="00AB34C7">
        <w:t xml:space="preserve">Table </w:t>
      </w:r>
      <w:fldSimple w:instr=" SEQ Table \* ARABIC " w:fldLock="1">
        <w:r w:rsidR="008A42E6" w:rsidRPr="00B95C74">
          <w:t>8</w:t>
        </w:r>
      </w:fldSimple>
      <w:bookmarkEnd w:id="30"/>
      <w:r w:rsidRPr="00AB34C7">
        <w:t xml:space="preserve">: Results for the indirect comparison of overall survival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Results for the indirect comparison of overall survival "/>
      </w:tblPr>
      <w:tblGrid>
        <w:gridCol w:w="1491"/>
        <w:gridCol w:w="1757"/>
        <w:gridCol w:w="1340"/>
        <w:gridCol w:w="1504"/>
        <w:gridCol w:w="1250"/>
        <w:gridCol w:w="1675"/>
      </w:tblGrid>
      <w:tr w:rsidR="00AC4936" w:rsidRPr="00AB34C7" w14:paraId="03279591" w14:textId="77777777" w:rsidTr="00507D72">
        <w:trPr>
          <w:tblHeader/>
        </w:trPr>
        <w:tc>
          <w:tcPr>
            <w:tcW w:w="1491" w:type="dxa"/>
            <w:vAlign w:val="center"/>
          </w:tcPr>
          <w:p w14:paraId="4654531D" w14:textId="77777777" w:rsidR="00AC4936" w:rsidRPr="00B95C74" w:rsidRDefault="00AC4936" w:rsidP="00507D72">
            <w:pPr>
              <w:pStyle w:val="COMTableheadingrow"/>
              <w:rPr>
                <w:lang w:val="en-AU"/>
              </w:rPr>
            </w:pPr>
            <w:r w:rsidRPr="00B95C74">
              <w:rPr>
                <w:lang w:val="en-AU"/>
              </w:rPr>
              <w:t>Trial</w:t>
            </w:r>
          </w:p>
        </w:tc>
        <w:tc>
          <w:tcPr>
            <w:tcW w:w="1757" w:type="dxa"/>
            <w:shd w:val="clear" w:color="auto" w:fill="auto"/>
            <w:vAlign w:val="center"/>
          </w:tcPr>
          <w:p w14:paraId="2C05630B" w14:textId="77777777" w:rsidR="00AC4936" w:rsidRPr="00B95C74" w:rsidRDefault="00AC4936" w:rsidP="00507D72">
            <w:pPr>
              <w:pStyle w:val="COMTableheadingrow"/>
              <w:jc w:val="center"/>
              <w:rPr>
                <w:lang w:val="en-AU"/>
              </w:rPr>
            </w:pPr>
            <w:r w:rsidRPr="00B95C74">
              <w:rPr>
                <w:lang w:val="en-AU"/>
              </w:rPr>
              <w:t>Outcome</w:t>
            </w:r>
          </w:p>
        </w:tc>
        <w:tc>
          <w:tcPr>
            <w:tcW w:w="1340" w:type="dxa"/>
            <w:shd w:val="clear" w:color="auto" w:fill="auto"/>
            <w:vAlign w:val="center"/>
          </w:tcPr>
          <w:p w14:paraId="65B558DD" w14:textId="77777777" w:rsidR="00AC4936" w:rsidRPr="00B95C74" w:rsidRDefault="00AC4936" w:rsidP="00507D72">
            <w:pPr>
              <w:pStyle w:val="COMTableheadingrow"/>
              <w:jc w:val="center"/>
              <w:rPr>
                <w:iCs/>
                <w:lang w:val="en-AU"/>
              </w:rPr>
            </w:pPr>
            <w:r w:rsidRPr="00B95C74">
              <w:rPr>
                <w:iCs/>
                <w:lang w:val="en-AU"/>
              </w:rPr>
              <w:t>IBR + VEN</w:t>
            </w:r>
          </w:p>
          <w:p w14:paraId="791EF524" w14:textId="77777777" w:rsidR="00AC4936" w:rsidRPr="00B95C74" w:rsidRDefault="00AC4936" w:rsidP="00507D72">
            <w:pPr>
              <w:pStyle w:val="COMTableheadingrow"/>
              <w:jc w:val="center"/>
              <w:rPr>
                <w:lang w:val="en-AU"/>
              </w:rPr>
            </w:pPr>
            <w:r w:rsidRPr="00B95C74">
              <w:rPr>
                <w:iCs/>
                <w:lang w:val="en-AU"/>
              </w:rPr>
              <w:t>n/N (%)</w:t>
            </w:r>
          </w:p>
        </w:tc>
        <w:tc>
          <w:tcPr>
            <w:tcW w:w="1504" w:type="dxa"/>
            <w:shd w:val="clear" w:color="auto" w:fill="auto"/>
            <w:vAlign w:val="center"/>
          </w:tcPr>
          <w:p w14:paraId="33AF64A2" w14:textId="77777777" w:rsidR="00AC4936" w:rsidRPr="00B95C74" w:rsidRDefault="00AC4936" w:rsidP="00507D72">
            <w:pPr>
              <w:pStyle w:val="COMTableheadingrow"/>
              <w:jc w:val="center"/>
              <w:rPr>
                <w:lang w:val="en-AU"/>
              </w:rPr>
            </w:pPr>
            <w:r w:rsidRPr="00B95C74">
              <w:rPr>
                <w:lang w:val="en-AU"/>
              </w:rPr>
              <w:t>CHL + OBI</w:t>
            </w:r>
          </w:p>
          <w:p w14:paraId="6AB46CBF" w14:textId="77777777" w:rsidR="00AC4936" w:rsidRPr="00B95C74" w:rsidRDefault="00AC4936" w:rsidP="00507D72">
            <w:pPr>
              <w:pStyle w:val="COMTableheadingrow"/>
              <w:jc w:val="center"/>
              <w:rPr>
                <w:lang w:val="en-AU"/>
              </w:rPr>
            </w:pPr>
            <w:r w:rsidRPr="00B95C74">
              <w:rPr>
                <w:lang w:val="en-AU"/>
              </w:rPr>
              <w:t>n/N (%)</w:t>
            </w:r>
          </w:p>
        </w:tc>
        <w:tc>
          <w:tcPr>
            <w:tcW w:w="1250" w:type="dxa"/>
            <w:shd w:val="clear" w:color="auto" w:fill="auto"/>
            <w:vAlign w:val="center"/>
          </w:tcPr>
          <w:p w14:paraId="26BCC9AF" w14:textId="77777777" w:rsidR="00AC4936" w:rsidRPr="00B95C74" w:rsidRDefault="00AC4936" w:rsidP="00507D72">
            <w:pPr>
              <w:pStyle w:val="COMTableheadingrow"/>
              <w:jc w:val="center"/>
              <w:rPr>
                <w:lang w:val="en-AU"/>
              </w:rPr>
            </w:pPr>
            <w:r w:rsidRPr="00B95C74">
              <w:rPr>
                <w:lang w:val="en-AU"/>
              </w:rPr>
              <w:t>Absolute difference</w:t>
            </w:r>
          </w:p>
        </w:tc>
        <w:tc>
          <w:tcPr>
            <w:tcW w:w="1675" w:type="dxa"/>
            <w:shd w:val="clear" w:color="auto" w:fill="auto"/>
            <w:vAlign w:val="center"/>
          </w:tcPr>
          <w:p w14:paraId="33920070" w14:textId="77777777" w:rsidR="00AC4936" w:rsidRPr="00B95C74" w:rsidRDefault="00AC4936" w:rsidP="00507D72">
            <w:pPr>
              <w:pStyle w:val="COMTableheadingrow"/>
              <w:jc w:val="center"/>
              <w:rPr>
                <w:lang w:val="en-AU"/>
              </w:rPr>
            </w:pPr>
            <w:r w:rsidRPr="00B95C74">
              <w:rPr>
                <w:lang w:val="en-AU"/>
              </w:rPr>
              <w:t>HR (95% CI)</w:t>
            </w:r>
          </w:p>
        </w:tc>
      </w:tr>
      <w:tr w:rsidR="00AC4936" w:rsidRPr="00AB34C7" w14:paraId="6804804E" w14:textId="77777777" w:rsidTr="00507D72">
        <w:tc>
          <w:tcPr>
            <w:tcW w:w="1491" w:type="dxa"/>
            <w:vMerge w:val="restart"/>
            <w:vAlign w:val="center"/>
          </w:tcPr>
          <w:p w14:paraId="20A19D17" w14:textId="77777777" w:rsidR="00AC4936" w:rsidRPr="00AB34C7" w:rsidRDefault="00AC4936" w:rsidP="00507D72">
            <w:pPr>
              <w:pStyle w:val="COMTabletext"/>
            </w:pPr>
            <w:r w:rsidRPr="00AB34C7">
              <w:t>GLOW</w:t>
            </w:r>
          </w:p>
        </w:tc>
        <w:tc>
          <w:tcPr>
            <w:tcW w:w="1757" w:type="dxa"/>
            <w:shd w:val="clear" w:color="auto" w:fill="auto"/>
            <w:vAlign w:val="center"/>
          </w:tcPr>
          <w:p w14:paraId="731444C9" w14:textId="77777777" w:rsidR="00AC4936" w:rsidRPr="00AB34C7" w:rsidRDefault="00AC4936" w:rsidP="00507D72">
            <w:pPr>
              <w:pStyle w:val="COMTabletext"/>
            </w:pPr>
            <w:r w:rsidRPr="00AB34C7">
              <w:t>Death</w:t>
            </w:r>
          </w:p>
        </w:tc>
        <w:tc>
          <w:tcPr>
            <w:tcW w:w="1340" w:type="dxa"/>
            <w:shd w:val="clear" w:color="auto" w:fill="auto"/>
            <w:vAlign w:val="center"/>
          </w:tcPr>
          <w:p w14:paraId="6B9FC429" w14:textId="77777777" w:rsidR="00AC4936" w:rsidRPr="00AB34C7" w:rsidRDefault="00AC4936" w:rsidP="00507D72">
            <w:pPr>
              <w:pStyle w:val="COMTabletext"/>
              <w:jc w:val="center"/>
              <w:rPr>
                <w:iCs/>
              </w:rPr>
            </w:pPr>
            <w:r w:rsidRPr="00AB34C7">
              <w:rPr>
                <w:iCs/>
              </w:rPr>
              <w:t>17/106 (16.0)</w:t>
            </w:r>
          </w:p>
        </w:tc>
        <w:tc>
          <w:tcPr>
            <w:tcW w:w="1504" w:type="dxa"/>
            <w:shd w:val="clear" w:color="auto" w:fill="auto"/>
            <w:vAlign w:val="center"/>
          </w:tcPr>
          <w:p w14:paraId="6B353D85" w14:textId="77777777" w:rsidR="00AC4936" w:rsidRPr="00AB34C7" w:rsidRDefault="00AC4936" w:rsidP="00507D72">
            <w:pPr>
              <w:pStyle w:val="COMTabletext"/>
              <w:jc w:val="center"/>
              <w:rPr>
                <w:iCs/>
              </w:rPr>
            </w:pPr>
            <w:r w:rsidRPr="00AB34C7">
              <w:rPr>
                <w:iCs/>
              </w:rPr>
              <w:t>36/105 (34.3)</w:t>
            </w:r>
          </w:p>
        </w:tc>
        <w:tc>
          <w:tcPr>
            <w:tcW w:w="1250" w:type="dxa"/>
            <w:shd w:val="clear" w:color="auto" w:fill="auto"/>
            <w:vAlign w:val="center"/>
          </w:tcPr>
          <w:p w14:paraId="7486156B" w14:textId="77777777" w:rsidR="00AC4936" w:rsidRPr="00AB34C7" w:rsidRDefault="00AC4936" w:rsidP="00507D72">
            <w:pPr>
              <w:pStyle w:val="COMTabletext"/>
              <w:jc w:val="center"/>
            </w:pPr>
            <w:r w:rsidRPr="00AB34C7">
              <w:t>18.3%</w:t>
            </w:r>
          </w:p>
        </w:tc>
        <w:tc>
          <w:tcPr>
            <w:tcW w:w="1675" w:type="dxa"/>
            <w:vMerge w:val="restart"/>
            <w:shd w:val="clear" w:color="auto" w:fill="auto"/>
            <w:vAlign w:val="center"/>
          </w:tcPr>
          <w:p w14:paraId="56F09EAF" w14:textId="77777777" w:rsidR="00AC4936" w:rsidRPr="00AB34C7" w:rsidRDefault="00AC4936" w:rsidP="00507D72">
            <w:pPr>
              <w:pStyle w:val="COMTabletext"/>
              <w:jc w:val="center"/>
            </w:pPr>
            <w:r w:rsidRPr="00AB34C7">
              <w:rPr>
                <w:b/>
                <w:bCs w:val="0"/>
              </w:rPr>
              <w:t>0.46 (0.26, 0.82)</w:t>
            </w:r>
          </w:p>
        </w:tc>
      </w:tr>
      <w:tr w:rsidR="00AC4936" w:rsidRPr="00AB34C7" w14:paraId="6C67FE06" w14:textId="77777777" w:rsidTr="00507D72">
        <w:tc>
          <w:tcPr>
            <w:tcW w:w="1491" w:type="dxa"/>
            <w:vMerge/>
            <w:tcBorders>
              <w:bottom w:val="double" w:sz="4" w:space="0" w:color="auto"/>
            </w:tcBorders>
            <w:vAlign w:val="center"/>
          </w:tcPr>
          <w:p w14:paraId="0FBB1D49" w14:textId="77777777" w:rsidR="00AC4936" w:rsidRPr="00AB34C7" w:rsidRDefault="00AC4936" w:rsidP="00507D72">
            <w:pPr>
              <w:pStyle w:val="COMTabletext"/>
            </w:pPr>
          </w:p>
        </w:tc>
        <w:tc>
          <w:tcPr>
            <w:tcW w:w="1757" w:type="dxa"/>
            <w:tcBorders>
              <w:bottom w:val="double" w:sz="4" w:space="0" w:color="auto"/>
            </w:tcBorders>
            <w:shd w:val="clear" w:color="auto" w:fill="auto"/>
            <w:vAlign w:val="center"/>
          </w:tcPr>
          <w:p w14:paraId="185F310B" w14:textId="77777777" w:rsidR="00AC4936" w:rsidRPr="00AB34C7" w:rsidRDefault="00AC4936" w:rsidP="00507D72">
            <w:pPr>
              <w:pStyle w:val="COMTabletext"/>
            </w:pPr>
            <w:r w:rsidRPr="00AB34C7">
              <w:t>Median months OS</w:t>
            </w:r>
          </w:p>
        </w:tc>
        <w:tc>
          <w:tcPr>
            <w:tcW w:w="1340" w:type="dxa"/>
            <w:tcBorders>
              <w:bottom w:val="double" w:sz="4" w:space="0" w:color="auto"/>
            </w:tcBorders>
            <w:shd w:val="clear" w:color="auto" w:fill="auto"/>
            <w:vAlign w:val="center"/>
          </w:tcPr>
          <w:p w14:paraId="16E93D54" w14:textId="77777777" w:rsidR="00AC4936" w:rsidRPr="00AB34C7" w:rsidRDefault="00AC4936" w:rsidP="00507D72">
            <w:pPr>
              <w:pStyle w:val="COMTabletext"/>
              <w:jc w:val="center"/>
              <w:rPr>
                <w:iCs/>
              </w:rPr>
            </w:pPr>
            <w:r w:rsidRPr="00AB34C7">
              <w:rPr>
                <w:iCs/>
              </w:rPr>
              <w:t>NE (NE, NE)</w:t>
            </w:r>
          </w:p>
        </w:tc>
        <w:tc>
          <w:tcPr>
            <w:tcW w:w="1504" w:type="dxa"/>
            <w:tcBorders>
              <w:bottom w:val="double" w:sz="4" w:space="0" w:color="auto"/>
            </w:tcBorders>
            <w:shd w:val="clear" w:color="auto" w:fill="auto"/>
            <w:vAlign w:val="center"/>
          </w:tcPr>
          <w:p w14:paraId="0CE27A30" w14:textId="77777777" w:rsidR="00AC4936" w:rsidRPr="00AB34C7" w:rsidRDefault="00AC4936" w:rsidP="00507D72">
            <w:pPr>
              <w:pStyle w:val="COMTabletext"/>
              <w:jc w:val="center"/>
              <w:rPr>
                <w:iCs/>
              </w:rPr>
            </w:pPr>
            <w:r w:rsidRPr="00AB34C7">
              <w:rPr>
                <w:iCs/>
              </w:rPr>
              <w:t>NE (NE, NE)</w:t>
            </w:r>
          </w:p>
        </w:tc>
        <w:tc>
          <w:tcPr>
            <w:tcW w:w="1250" w:type="dxa"/>
            <w:tcBorders>
              <w:bottom w:val="double" w:sz="4" w:space="0" w:color="auto"/>
            </w:tcBorders>
            <w:shd w:val="clear" w:color="auto" w:fill="auto"/>
            <w:vAlign w:val="center"/>
          </w:tcPr>
          <w:p w14:paraId="67763F87" w14:textId="77777777" w:rsidR="00AC4936" w:rsidRPr="00AB34C7" w:rsidRDefault="00AC4936" w:rsidP="00507D72">
            <w:pPr>
              <w:pStyle w:val="COMTabletext"/>
              <w:jc w:val="center"/>
            </w:pPr>
            <w:r w:rsidRPr="00AB34C7">
              <w:t>NE</w:t>
            </w:r>
          </w:p>
        </w:tc>
        <w:tc>
          <w:tcPr>
            <w:tcW w:w="1675" w:type="dxa"/>
            <w:vMerge/>
            <w:tcBorders>
              <w:bottom w:val="double" w:sz="4" w:space="0" w:color="auto"/>
            </w:tcBorders>
            <w:shd w:val="clear" w:color="auto" w:fill="auto"/>
            <w:vAlign w:val="center"/>
          </w:tcPr>
          <w:p w14:paraId="3E7011CF" w14:textId="77777777" w:rsidR="00AC4936" w:rsidRPr="00AB34C7" w:rsidRDefault="00AC4936" w:rsidP="00507D72">
            <w:pPr>
              <w:pStyle w:val="COMTabletext"/>
              <w:jc w:val="center"/>
              <w:rPr>
                <w:b/>
                <w:bCs w:val="0"/>
              </w:rPr>
            </w:pPr>
          </w:p>
        </w:tc>
      </w:tr>
      <w:tr w:rsidR="00AC4936" w:rsidRPr="00AB34C7" w14:paraId="3E9635E2" w14:textId="77777777" w:rsidTr="00507D72">
        <w:tc>
          <w:tcPr>
            <w:tcW w:w="1491" w:type="dxa"/>
            <w:tcBorders>
              <w:top w:val="double" w:sz="4" w:space="0" w:color="auto"/>
              <w:bottom w:val="single" w:sz="4" w:space="0" w:color="auto"/>
            </w:tcBorders>
            <w:vAlign w:val="center"/>
          </w:tcPr>
          <w:p w14:paraId="6C89257C" w14:textId="77777777" w:rsidR="00AC4936" w:rsidRPr="00B95C74" w:rsidRDefault="00AC4936" w:rsidP="00507D72">
            <w:pPr>
              <w:pStyle w:val="COMTableheadingrow"/>
              <w:rPr>
                <w:lang w:val="en-AU"/>
              </w:rPr>
            </w:pPr>
            <w:r w:rsidRPr="00B95C74">
              <w:rPr>
                <w:lang w:val="en-AU"/>
              </w:rPr>
              <w:t>Comparator</w:t>
            </w:r>
          </w:p>
        </w:tc>
        <w:tc>
          <w:tcPr>
            <w:tcW w:w="1757" w:type="dxa"/>
            <w:tcBorders>
              <w:top w:val="double" w:sz="4" w:space="0" w:color="auto"/>
              <w:bottom w:val="single" w:sz="4" w:space="0" w:color="auto"/>
            </w:tcBorders>
            <w:shd w:val="clear" w:color="auto" w:fill="auto"/>
            <w:vAlign w:val="center"/>
          </w:tcPr>
          <w:p w14:paraId="6470093F" w14:textId="77777777" w:rsidR="00AC4936" w:rsidRPr="00B95C74" w:rsidRDefault="00AC4936" w:rsidP="00507D72">
            <w:pPr>
              <w:pStyle w:val="COMTableheadingrow"/>
              <w:jc w:val="center"/>
              <w:rPr>
                <w:lang w:val="en-AU"/>
              </w:rPr>
            </w:pPr>
          </w:p>
        </w:tc>
        <w:tc>
          <w:tcPr>
            <w:tcW w:w="1340" w:type="dxa"/>
            <w:tcBorders>
              <w:top w:val="double" w:sz="4" w:space="0" w:color="auto"/>
              <w:bottom w:val="single" w:sz="4" w:space="0" w:color="auto"/>
            </w:tcBorders>
            <w:shd w:val="clear" w:color="auto" w:fill="auto"/>
            <w:vAlign w:val="center"/>
          </w:tcPr>
          <w:p w14:paraId="391F91D3" w14:textId="77777777" w:rsidR="00AC4936" w:rsidRPr="00B95C74" w:rsidRDefault="00AC4936" w:rsidP="00507D72">
            <w:pPr>
              <w:pStyle w:val="COMTableheadingrow"/>
              <w:jc w:val="center"/>
              <w:rPr>
                <w:lang w:val="en-AU"/>
              </w:rPr>
            </w:pPr>
            <w:r w:rsidRPr="00B95C74">
              <w:rPr>
                <w:lang w:val="en-AU"/>
              </w:rPr>
              <w:t>VEN + OBI</w:t>
            </w:r>
          </w:p>
          <w:p w14:paraId="0B2A20A0" w14:textId="77777777" w:rsidR="00AC4936" w:rsidRPr="00B95C74" w:rsidRDefault="00AC4936" w:rsidP="00507D72">
            <w:pPr>
              <w:pStyle w:val="COMTableheadingrow"/>
              <w:jc w:val="center"/>
              <w:rPr>
                <w:lang w:val="en-AU"/>
              </w:rPr>
            </w:pPr>
            <w:r w:rsidRPr="00B95C74">
              <w:rPr>
                <w:lang w:val="en-AU"/>
              </w:rPr>
              <w:t>n/N (%)</w:t>
            </w:r>
          </w:p>
        </w:tc>
        <w:tc>
          <w:tcPr>
            <w:tcW w:w="1504" w:type="dxa"/>
            <w:tcBorders>
              <w:top w:val="double" w:sz="4" w:space="0" w:color="auto"/>
              <w:bottom w:val="single" w:sz="4" w:space="0" w:color="auto"/>
            </w:tcBorders>
            <w:shd w:val="clear" w:color="auto" w:fill="auto"/>
            <w:vAlign w:val="center"/>
          </w:tcPr>
          <w:p w14:paraId="6A324CD9" w14:textId="77777777" w:rsidR="00AC4936" w:rsidRPr="00B95C74" w:rsidRDefault="00AC4936" w:rsidP="00507D72">
            <w:pPr>
              <w:pStyle w:val="COMTableheadingrow"/>
              <w:jc w:val="center"/>
              <w:rPr>
                <w:lang w:val="en-AU"/>
              </w:rPr>
            </w:pPr>
            <w:r w:rsidRPr="00B95C74">
              <w:rPr>
                <w:lang w:val="en-AU"/>
              </w:rPr>
              <w:t>CHL + OBI</w:t>
            </w:r>
          </w:p>
          <w:p w14:paraId="26BB1FEA" w14:textId="77777777" w:rsidR="00AC4936" w:rsidRPr="00B95C74" w:rsidRDefault="00AC4936" w:rsidP="00507D72">
            <w:pPr>
              <w:pStyle w:val="COMTableheadingrow"/>
              <w:jc w:val="center"/>
              <w:rPr>
                <w:lang w:val="en-AU"/>
              </w:rPr>
            </w:pPr>
            <w:r w:rsidRPr="00B95C74">
              <w:rPr>
                <w:lang w:val="en-AU"/>
              </w:rPr>
              <w:t>n/N (%)</w:t>
            </w:r>
          </w:p>
        </w:tc>
        <w:tc>
          <w:tcPr>
            <w:tcW w:w="1250" w:type="dxa"/>
            <w:tcBorders>
              <w:top w:val="double" w:sz="4" w:space="0" w:color="auto"/>
              <w:bottom w:val="single" w:sz="4" w:space="0" w:color="auto"/>
            </w:tcBorders>
            <w:shd w:val="clear" w:color="auto" w:fill="auto"/>
            <w:vAlign w:val="center"/>
          </w:tcPr>
          <w:p w14:paraId="73C409E1" w14:textId="77777777" w:rsidR="00AC4936" w:rsidRPr="00B95C74" w:rsidRDefault="00AC4936" w:rsidP="00507D72">
            <w:pPr>
              <w:pStyle w:val="COMTableheadingrow"/>
              <w:jc w:val="center"/>
              <w:rPr>
                <w:lang w:val="en-AU"/>
              </w:rPr>
            </w:pPr>
            <w:r w:rsidRPr="00B95C74">
              <w:rPr>
                <w:lang w:val="en-AU"/>
              </w:rPr>
              <w:t>Absolute difference</w:t>
            </w:r>
          </w:p>
        </w:tc>
        <w:tc>
          <w:tcPr>
            <w:tcW w:w="1675" w:type="dxa"/>
            <w:tcBorders>
              <w:top w:val="double" w:sz="4" w:space="0" w:color="auto"/>
              <w:bottom w:val="single" w:sz="4" w:space="0" w:color="auto"/>
            </w:tcBorders>
            <w:shd w:val="clear" w:color="auto" w:fill="auto"/>
            <w:vAlign w:val="center"/>
          </w:tcPr>
          <w:p w14:paraId="42BBED95" w14:textId="77777777" w:rsidR="00AC4936" w:rsidRPr="00B95C74" w:rsidRDefault="00AC4936" w:rsidP="00507D72">
            <w:pPr>
              <w:pStyle w:val="COMTableheadingrow"/>
              <w:jc w:val="center"/>
              <w:rPr>
                <w:lang w:val="en-AU"/>
              </w:rPr>
            </w:pPr>
            <w:r w:rsidRPr="00B95C74">
              <w:rPr>
                <w:lang w:val="en-AU"/>
              </w:rPr>
              <w:t>HR (95% CI)</w:t>
            </w:r>
          </w:p>
        </w:tc>
      </w:tr>
      <w:tr w:rsidR="00AC4936" w:rsidRPr="00AB34C7" w14:paraId="556B9390" w14:textId="77777777" w:rsidTr="00507D72">
        <w:tc>
          <w:tcPr>
            <w:tcW w:w="1491" w:type="dxa"/>
            <w:vMerge w:val="restart"/>
            <w:tcBorders>
              <w:top w:val="single" w:sz="4" w:space="0" w:color="auto"/>
            </w:tcBorders>
            <w:vAlign w:val="center"/>
          </w:tcPr>
          <w:p w14:paraId="239E0741" w14:textId="77777777" w:rsidR="00AC4936" w:rsidRPr="00AB34C7" w:rsidRDefault="00AC4936" w:rsidP="00507D72">
            <w:pPr>
              <w:pStyle w:val="COMTabletext"/>
            </w:pPr>
            <w:r w:rsidRPr="00AB34C7">
              <w:t>CLL-14</w:t>
            </w:r>
          </w:p>
        </w:tc>
        <w:tc>
          <w:tcPr>
            <w:tcW w:w="1757" w:type="dxa"/>
            <w:tcBorders>
              <w:top w:val="single" w:sz="4" w:space="0" w:color="auto"/>
            </w:tcBorders>
            <w:shd w:val="clear" w:color="auto" w:fill="auto"/>
            <w:vAlign w:val="center"/>
          </w:tcPr>
          <w:p w14:paraId="00890E87" w14:textId="77777777" w:rsidR="00AC4936" w:rsidRPr="00AB34C7" w:rsidRDefault="00AC4936" w:rsidP="00507D72">
            <w:pPr>
              <w:pStyle w:val="COMTabletext"/>
            </w:pPr>
            <w:r w:rsidRPr="00AB34C7">
              <w:t>Death</w:t>
            </w:r>
          </w:p>
        </w:tc>
        <w:tc>
          <w:tcPr>
            <w:tcW w:w="1340" w:type="dxa"/>
            <w:tcBorders>
              <w:top w:val="single" w:sz="4" w:space="0" w:color="auto"/>
            </w:tcBorders>
            <w:shd w:val="clear" w:color="auto" w:fill="auto"/>
            <w:vAlign w:val="center"/>
          </w:tcPr>
          <w:p w14:paraId="24FEF037" w14:textId="77777777" w:rsidR="00AC4936" w:rsidRPr="00AB34C7" w:rsidRDefault="00AC4936" w:rsidP="00507D72">
            <w:pPr>
              <w:pStyle w:val="COMTabletext"/>
              <w:jc w:val="center"/>
            </w:pPr>
            <w:r w:rsidRPr="00AB34C7">
              <w:t>34 (15.7)</w:t>
            </w:r>
          </w:p>
        </w:tc>
        <w:tc>
          <w:tcPr>
            <w:tcW w:w="1504" w:type="dxa"/>
            <w:tcBorders>
              <w:top w:val="single" w:sz="4" w:space="0" w:color="auto"/>
            </w:tcBorders>
            <w:shd w:val="clear" w:color="auto" w:fill="auto"/>
            <w:vAlign w:val="center"/>
          </w:tcPr>
          <w:p w14:paraId="63523709" w14:textId="77777777" w:rsidR="00AC4936" w:rsidRPr="00AB34C7" w:rsidRDefault="00AC4936" w:rsidP="00507D72">
            <w:pPr>
              <w:pStyle w:val="COMTabletext"/>
              <w:jc w:val="center"/>
            </w:pPr>
            <w:r w:rsidRPr="00AB34C7">
              <w:t>41 (19.0)</w:t>
            </w:r>
          </w:p>
        </w:tc>
        <w:tc>
          <w:tcPr>
            <w:tcW w:w="1250" w:type="dxa"/>
            <w:tcBorders>
              <w:top w:val="single" w:sz="4" w:space="0" w:color="auto"/>
            </w:tcBorders>
            <w:shd w:val="clear" w:color="auto" w:fill="auto"/>
            <w:vAlign w:val="center"/>
          </w:tcPr>
          <w:p w14:paraId="64163D6E" w14:textId="77777777" w:rsidR="00AC4936" w:rsidRPr="00AB34C7" w:rsidRDefault="00AC4936" w:rsidP="00507D72">
            <w:pPr>
              <w:pStyle w:val="COMTabletext"/>
              <w:jc w:val="center"/>
            </w:pPr>
            <w:r w:rsidRPr="00AB34C7">
              <w:t>NE</w:t>
            </w:r>
          </w:p>
        </w:tc>
        <w:tc>
          <w:tcPr>
            <w:tcW w:w="1675" w:type="dxa"/>
            <w:vMerge w:val="restart"/>
            <w:tcBorders>
              <w:top w:val="single" w:sz="4" w:space="0" w:color="auto"/>
            </w:tcBorders>
            <w:shd w:val="clear" w:color="auto" w:fill="auto"/>
            <w:vAlign w:val="center"/>
          </w:tcPr>
          <w:p w14:paraId="443F8F5C" w14:textId="77777777" w:rsidR="00AC4936" w:rsidRPr="00AB34C7" w:rsidRDefault="00AC4936" w:rsidP="00507D72">
            <w:pPr>
              <w:pStyle w:val="COMTabletext"/>
              <w:jc w:val="center"/>
            </w:pPr>
            <w:r w:rsidRPr="00AB34C7">
              <w:t>0.85 (0.54, 1.35)</w:t>
            </w:r>
          </w:p>
        </w:tc>
      </w:tr>
      <w:tr w:rsidR="00AC4936" w:rsidRPr="00AB34C7" w14:paraId="5D6DDCAB" w14:textId="77777777" w:rsidTr="00507D72">
        <w:tc>
          <w:tcPr>
            <w:tcW w:w="1491" w:type="dxa"/>
            <w:vMerge/>
            <w:vAlign w:val="center"/>
          </w:tcPr>
          <w:p w14:paraId="1B08DEAC" w14:textId="77777777" w:rsidR="00AC4936" w:rsidRPr="00AB34C7" w:rsidRDefault="00AC4936" w:rsidP="00507D72">
            <w:pPr>
              <w:pStyle w:val="COMTabletext"/>
              <w:jc w:val="center"/>
            </w:pPr>
          </w:p>
        </w:tc>
        <w:tc>
          <w:tcPr>
            <w:tcW w:w="1757" w:type="dxa"/>
            <w:shd w:val="clear" w:color="auto" w:fill="auto"/>
            <w:vAlign w:val="center"/>
          </w:tcPr>
          <w:p w14:paraId="3E531A6A" w14:textId="77777777" w:rsidR="00AC4936" w:rsidRPr="00AB34C7" w:rsidRDefault="00AC4936" w:rsidP="00507D72">
            <w:pPr>
              <w:pStyle w:val="COMTabletext"/>
            </w:pPr>
            <w:r w:rsidRPr="00AB34C7">
              <w:t>Median months OS</w:t>
            </w:r>
          </w:p>
        </w:tc>
        <w:tc>
          <w:tcPr>
            <w:tcW w:w="1340" w:type="dxa"/>
            <w:shd w:val="clear" w:color="auto" w:fill="auto"/>
            <w:vAlign w:val="center"/>
          </w:tcPr>
          <w:p w14:paraId="15293B9D" w14:textId="77777777" w:rsidR="00AC4936" w:rsidRPr="00AB34C7" w:rsidRDefault="00AC4936" w:rsidP="00507D72">
            <w:pPr>
              <w:pStyle w:val="COMTabletext"/>
              <w:jc w:val="center"/>
            </w:pPr>
            <w:r w:rsidRPr="00AB34C7">
              <w:rPr>
                <w:iCs/>
              </w:rPr>
              <w:t>NE (NE, NE)</w:t>
            </w:r>
          </w:p>
        </w:tc>
        <w:tc>
          <w:tcPr>
            <w:tcW w:w="1504" w:type="dxa"/>
            <w:shd w:val="clear" w:color="auto" w:fill="auto"/>
            <w:vAlign w:val="center"/>
          </w:tcPr>
          <w:p w14:paraId="69E0A71C" w14:textId="77777777" w:rsidR="00AC4936" w:rsidRPr="00AB34C7" w:rsidRDefault="00AC4936" w:rsidP="00507D72">
            <w:pPr>
              <w:pStyle w:val="COMTabletext"/>
              <w:jc w:val="center"/>
            </w:pPr>
            <w:r w:rsidRPr="00AB34C7">
              <w:rPr>
                <w:iCs/>
              </w:rPr>
              <w:t>NE (NE, NE)</w:t>
            </w:r>
          </w:p>
        </w:tc>
        <w:tc>
          <w:tcPr>
            <w:tcW w:w="1250" w:type="dxa"/>
            <w:shd w:val="clear" w:color="auto" w:fill="auto"/>
            <w:vAlign w:val="center"/>
          </w:tcPr>
          <w:p w14:paraId="6A77DC66" w14:textId="77777777" w:rsidR="00AC4936" w:rsidRPr="00AB34C7" w:rsidRDefault="00AC4936" w:rsidP="00507D72">
            <w:pPr>
              <w:pStyle w:val="COMTabletext"/>
              <w:jc w:val="center"/>
            </w:pPr>
            <w:r w:rsidRPr="00AB34C7">
              <w:t>NE</w:t>
            </w:r>
          </w:p>
        </w:tc>
        <w:tc>
          <w:tcPr>
            <w:tcW w:w="1675" w:type="dxa"/>
            <w:vMerge/>
            <w:shd w:val="clear" w:color="auto" w:fill="auto"/>
            <w:vAlign w:val="center"/>
          </w:tcPr>
          <w:p w14:paraId="134F1F3B" w14:textId="77777777" w:rsidR="00AC4936" w:rsidRPr="00AB34C7" w:rsidRDefault="00AC4936" w:rsidP="00507D72">
            <w:pPr>
              <w:pStyle w:val="COMTabletext"/>
              <w:jc w:val="center"/>
            </w:pPr>
          </w:p>
        </w:tc>
      </w:tr>
      <w:tr w:rsidR="00AC4936" w:rsidRPr="00AB34C7" w14:paraId="1EF50119" w14:textId="77777777" w:rsidTr="00507D72">
        <w:tc>
          <w:tcPr>
            <w:tcW w:w="7342" w:type="dxa"/>
            <w:gridSpan w:val="5"/>
            <w:vAlign w:val="center"/>
          </w:tcPr>
          <w:p w14:paraId="5AB77BD6" w14:textId="77777777" w:rsidR="00AC4936" w:rsidRPr="00AB34C7" w:rsidRDefault="00AC4936" w:rsidP="00507D72">
            <w:pPr>
              <w:pStyle w:val="COMTabletext"/>
              <w:jc w:val="right"/>
              <w:rPr>
                <w:b/>
              </w:rPr>
            </w:pPr>
            <w:r w:rsidRPr="00AB34C7">
              <w:rPr>
                <w:b/>
              </w:rPr>
              <w:t>Indirect comparison IBR + VEN vs. VEN + OBI</w:t>
            </w:r>
          </w:p>
        </w:tc>
        <w:tc>
          <w:tcPr>
            <w:tcW w:w="1675" w:type="dxa"/>
            <w:shd w:val="clear" w:color="auto" w:fill="auto"/>
            <w:vAlign w:val="center"/>
          </w:tcPr>
          <w:p w14:paraId="4C16BA47" w14:textId="77777777" w:rsidR="00AC4936" w:rsidRPr="00AB34C7" w:rsidRDefault="00AC4936" w:rsidP="00507D72">
            <w:pPr>
              <w:pStyle w:val="COMTabletext"/>
              <w:jc w:val="center"/>
              <w:rPr>
                <w:bCs w:val="0"/>
              </w:rPr>
            </w:pPr>
            <w:r w:rsidRPr="00AB34C7">
              <w:rPr>
                <w:bCs w:val="0"/>
              </w:rPr>
              <w:t>0.54 (0.26, 1.13)</w:t>
            </w:r>
          </w:p>
        </w:tc>
      </w:tr>
      <w:tr w:rsidR="00AC4936" w:rsidRPr="00AB34C7" w14:paraId="5FDE526D" w14:textId="77777777" w:rsidTr="00507D72">
        <w:tc>
          <w:tcPr>
            <w:tcW w:w="7342" w:type="dxa"/>
            <w:gridSpan w:val="5"/>
            <w:vAlign w:val="center"/>
          </w:tcPr>
          <w:p w14:paraId="3837E49D" w14:textId="7A9D283A" w:rsidR="00AC4936" w:rsidRPr="00AB34C7" w:rsidRDefault="00AC4936" w:rsidP="00507D72">
            <w:pPr>
              <w:pStyle w:val="COMTabletext"/>
              <w:jc w:val="right"/>
              <w:rPr>
                <w:b/>
              </w:rPr>
            </w:pPr>
            <w:r w:rsidRPr="00AB34C7">
              <w:rPr>
                <w:b/>
              </w:rPr>
              <w:t>Sensitivity analysis</w:t>
            </w:r>
            <w:r w:rsidRPr="00AB34C7">
              <w:rPr>
                <w:b/>
                <w:vertAlign w:val="superscript"/>
              </w:rPr>
              <w:t>a</w:t>
            </w:r>
          </w:p>
        </w:tc>
        <w:tc>
          <w:tcPr>
            <w:tcW w:w="1675" w:type="dxa"/>
            <w:shd w:val="clear" w:color="auto" w:fill="auto"/>
            <w:vAlign w:val="center"/>
          </w:tcPr>
          <w:p w14:paraId="534A2E48" w14:textId="77777777" w:rsidR="00AC4936" w:rsidRPr="00AB34C7" w:rsidRDefault="00AC4936" w:rsidP="00507D72">
            <w:pPr>
              <w:pStyle w:val="COMTabletext"/>
              <w:jc w:val="center"/>
              <w:rPr>
                <w:bCs w:val="0"/>
              </w:rPr>
            </w:pPr>
            <w:r w:rsidRPr="00AB34C7">
              <w:rPr>
                <w:bCs w:val="0"/>
              </w:rPr>
              <w:t>0.66 (0.33, 1.32)</w:t>
            </w:r>
          </w:p>
        </w:tc>
      </w:tr>
    </w:tbl>
    <w:p w14:paraId="6F0D0A5E" w14:textId="5F49F784" w:rsidR="00AC4936" w:rsidRPr="00AB34C7" w:rsidRDefault="00AC4936" w:rsidP="00AC4936">
      <w:pPr>
        <w:pStyle w:val="COMTablefooter"/>
      </w:pPr>
      <w:r w:rsidRPr="00AB34C7">
        <w:t>Source: Table 2.87; Table 2.88 of the resubmission.</w:t>
      </w:r>
    </w:p>
    <w:p w14:paraId="6253B221" w14:textId="77777777" w:rsidR="00AC4936" w:rsidRPr="00AB34C7" w:rsidRDefault="00AC4936" w:rsidP="00AC4936">
      <w:pPr>
        <w:pStyle w:val="COMTablefooter"/>
      </w:pPr>
      <w:r w:rsidRPr="00AB34C7">
        <w:t>Abbreviations: CHL, chlorambucil; HR, hazard ratio; IBR, ibrutinib; NE, not estimable; NR, not reported; OBI, obinutuzumab; OS, overall survival; VEN, venetoclax.</w:t>
      </w:r>
    </w:p>
    <w:p w14:paraId="3FE5911A" w14:textId="77777777" w:rsidR="00AC4936" w:rsidRPr="00AB34C7" w:rsidRDefault="00AC4936" w:rsidP="00AC4936">
      <w:pPr>
        <w:pStyle w:val="COMTablefooter"/>
        <w:rPr>
          <w:sz w:val="20"/>
        </w:rPr>
      </w:pPr>
      <w:r w:rsidRPr="00AB34C7">
        <w:rPr>
          <w:vertAlign w:val="superscript"/>
        </w:rPr>
        <w:t>a</w:t>
      </w:r>
      <w:r w:rsidRPr="00AB34C7">
        <w:t xml:space="preserve"> Sensitivity analysis conducted using data from the CLL-14 trial corresponding to a median follow-up of 76.4 months.</w:t>
      </w:r>
    </w:p>
    <w:p w14:paraId="64FC689C" w14:textId="77777777" w:rsidR="00AC4936" w:rsidRPr="00AB34C7" w:rsidRDefault="00AC4936" w:rsidP="00AC4936">
      <w:pPr>
        <w:pStyle w:val="COMTablefooter"/>
        <w:rPr>
          <w:sz w:val="20"/>
        </w:rPr>
      </w:pPr>
      <w:r w:rsidRPr="00AB34C7">
        <w:t>Bold indicates statistically significant results.</w:t>
      </w:r>
    </w:p>
    <w:p w14:paraId="676A0953" w14:textId="15BB9DB7" w:rsidR="00AC4936" w:rsidRPr="00AB34C7" w:rsidRDefault="00AC4936" w:rsidP="00AA787B">
      <w:pPr>
        <w:pStyle w:val="COMexecsumnumberedpara"/>
        <w:ind w:hanging="720"/>
      </w:pPr>
      <w:r w:rsidRPr="00AB34C7">
        <w:t>Based on the indirect comparison, treatment with ibrutinib + venetoclax was associated with improved overall survival compared to venetoclax + obinutuzumab, however, the difference was not statistically significant (hazard ratio: 0.54; 95% CI: 0.26, 1.13).</w:t>
      </w:r>
      <w:r w:rsidR="006B3273" w:rsidRPr="00AB34C7">
        <w:t xml:space="preserve"> </w:t>
      </w:r>
    </w:p>
    <w:p w14:paraId="664FBD1F" w14:textId="4407EFBE" w:rsidR="00617672" w:rsidRPr="00AB34C7" w:rsidRDefault="00AC4936" w:rsidP="00AA787B">
      <w:pPr>
        <w:pStyle w:val="COMexecsumnumberedpara"/>
        <w:ind w:hanging="720"/>
      </w:pPr>
      <w:r w:rsidRPr="00AB34C7">
        <w:t xml:space="preserve">Treatment with ibrutinib + venetoclax was associated with a longer time to next treatment compared to venetoclax + obinutuzumab, and the difference was statistically significant (hazard ratio: 0.36; 95% CI: 0.16, 0.78). Treatment with ibrutinib + venetoclax was associated with a higher complete response rate </w:t>
      </w:r>
      <w:r w:rsidR="00617672" w:rsidRPr="00AB34C7">
        <w:t>(odds ratio: 1.65; 95% CI: 0.74, 3.66) and a lower overall response rate (odds ratio: 0.78; 95% CI: 0.27, 2.19) compared to venetoclax + obinutuzumab, but the differences were not statistically significant.</w:t>
      </w:r>
    </w:p>
    <w:p w14:paraId="035C46AB" w14:textId="544C647F" w:rsidR="00193B61" w:rsidRPr="00F0309A" w:rsidRDefault="00193B61" w:rsidP="001C30EF">
      <w:pPr>
        <w:pStyle w:val="Heading3"/>
        <w:spacing w:after="120"/>
        <w:rPr>
          <w:b/>
          <w:bCs/>
          <w:szCs w:val="22"/>
          <w:u w:val="none"/>
        </w:rPr>
      </w:pPr>
      <w:r w:rsidRPr="00F0309A">
        <w:rPr>
          <w:b/>
          <w:bCs/>
          <w:szCs w:val="22"/>
          <w:u w:val="none"/>
        </w:rPr>
        <w:lastRenderedPageBreak/>
        <w:t>Matching adjusted indirect comparisons</w:t>
      </w:r>
    </w:p>
    <w:p w14:paraId="6725F983" w14:textId="67D4AF8E" w:rsidR="00193B61" w:rsidRPr="00AB34C7" w:rsidRDefault="00193B61" w:rsidP="00AA787B">
      <w:pPr>
        <w:pStyle w:val="COMexecsumnumberedpara"/>
        <w:ind w:hanging="720"/>
      </w:pPr>
      <w:r w:rsidRPr="00AB34C7">
        <w:t xml:space="preserve">The resubmission presented unanchored MAICs of ibrutinib + venetoclax versus venetoclax + obinutuzumab and </w:t>
      </w:r>
      <w:r w:rsidR="00617672" w:rsidRPr="00AB34C7">
        <w:t xml:space="preserve">ibrutinib + venetoclax versus </w:t>
      </w:r>
      <w:r w:rsidRPr="00AB34C7">
        <w:t>zanubrutinib</w:t>
      </w:r>
      <w:r w:rsidR="0075179E" w:rsidRPr="00AB34C7">
        <w:t>. The resubmission stated that the unanchored MAIC of ibrutinib + venetoclax versus venetoclax + obinutuzumab was included due to differences in the dosing schedule and exposure of chlorambucil in the chlorambucil + obinutuzumab arms of the GLOW and CLL-14 trials.</w:t>
      </w:r>
      <w:r w:rsidR="00D15080" w:rsidRPr="00AB34C7">
        <w:t xml:space="preserve"> </w:t>
      </w:r>
      <w:r w:rsidR="007376B8" w:rsidRPr="00AB34C7">
        <w:t xml:space="preserve">There was limited documentation describing the </w:t>
      </w:r>
      <w:r w:rsidR="00385857" w:rsidRPr="00AB34C7">
        <w:t xml:space="preserve">methodology used to conduct the </w:t>
      </w:r>
      <w:r w:rsidR="007376B8" w:rsidRPr="00AB34C7">
        <w:t>MAIC</w:t>
      </w:r>
      <w:r w:rsidR="00385857" w:rsidRPr="00AB34C7">
        <w:t>s</w:t>
      </w:r>
      <w:r w:rsidR="007376B8" w:rsidRPr="00AB34C7">
        <w:t xml:space="preserve">. </w:t>
      </w:r>
      <w:r w:rsidR="00D15080" w:rsidRPr="00AB34C7">
        <w:t>No technical document was provided</w:t>
      </w:r>
      <w:r w:rsidR="007376B8" w:rsidRPr="00AB34C7">
        <w:t>.</w:t>
      </w:r>
    </w:p>
    <w:p w14:paraId="2428DC56" w14:textId="2B0BDA9A" w:rsidR="005A1359" w:rsidRPr="00AB34C7" w:rsidRDefault="00D15080" w:rsidP="00AA787B">
      <w:pPr>
        <w:pStyle w:val="COMexecsumnumberedpara"/>
        <w:ind w:hanging="720"/>
      </w:pPr>
      <w:r w:rsidRPr="00AB34C7">
        <w:t>The resubmission stated that eight prognostic factors were selected for matching</w:t>
      </w:r>
      <w:r w:rsidR="007376B8" w:rsidRPr="00AB34C7">
        <w:t xml:space="preserve"> in the main analysis (</w:t>
      </w:r>
      <w:r w:rsidRPr="00AB34C7">
        <w:t>median age, TP53 mutation status, Binet Stage A or B, serum β2-microglobulin &gt;3.5</w:t>
      </w:r>
      <w:r w:rsidR="00DC6EBB" w:rsidRPr="00AB34C7">
        <w:t> mg</w:t>
      </w:r>
      <w:r w:rsidRPr="00AB34C7">
        <w:t>/L, IGHV mutation status, median time from diagnosis to randomisation, gender and ECOG status</w:t>
      </w:r>
      <w:r w:rsidR="007376B8" w:rsidRPr="00AB34C7">
        <w:t>)</w:t>
      </w:r>
      <w:r w:rsidRPr="00AB34C7">
        <w:t>. The resubmission stated that the first five variables (median age, TP53 mutation status, Binet Stage A or B, serum β2-microglobulin &gt;3.5</w:t>
      </w:r>
      <w:r w:rsidR="00DC6EBB" w:rsidRPr="00AB34C7">
        <w:t> mg</w:t>
      </w:r>
      <w:r w:rsidRPr="00AB34C7">
        <w:t>/L, IGHV mutation status) were identified and chosen based on international consensus on key prognostic factors (International CLL-IPI working group; 2016). The resubmission stated that other baseline characteristics (median time from diagnosis to randomisation, gender, and ECOG status) were included due to the consistent availability of these across the trials.</w:t>
      </w:r>
      <w:r w:rsidR="005A1359" w:rsidRPr="00AB34C7">
        <w:t xml:space="preserve"> The resubmission included an additional analysis in which only five of the selected variables were matched: median age, TP53 mutation status, Binet Stage A or B, serum β2-microglobulin &gt;3.5</w:t>
      </w:r>
      <w:r w:rsidR="00DC6EBB" w:rsidRPr="00AB34C7">
        <w:t> mg</w:t>
      </w:r>
      <w:r w:rsidR="005A1359" w:rsidRPr="00AB34C7">
        <w:t>/L, IGHV mutation status.</w:t>
      </w:r>
    </w:p>
    <w:p w14:paraId="38ED5423" w14:textId="01B8980F" w:rsidR="00723EBE" w:rsidRPr="00AB34C7" w:rsidRDefault="00723EBE" w:rsidP="00AA787B">
      <w:pPr>
        <w:pStyle w:val="COMexecsumnumberedpara"/>
        <w:ind w:hanging="720"/>
      </w:pPr>
      <w:r w:rsidRPr="00AB34C7">
        <w:t>Details of any literature searches to identify prognostic variables and treatment effect modifier variables were not presented. It is unclear whether all relevant prognostic and treatment effect modifier variables were identified and included for matching. The resubmission referred to the eight matched variables as eight ‘prognostic variables’. It is unclear whether the resubmission specifically included both prognostic variables and treatment effect modifiers in the MAIC. As the analysis (including the selection of variables for matching) was conducted post hoc, the results of the MAICs had a high risk of bias.</w:t>
      </w:r>
    </w:p>
    <w:p w14:paraId="2FA1F5E4" w14:textId="5B7DBA2E" w:rsidR="008358A1" w:rsidRPr="00AB34C7" w:rsidRDefault="008358A1" w:rsidP="00AA787B">
      <w:pPr>
        <w:pStyle w:val="COMexecsumnumberedpara"/>
        <w:ind w:hanging="720"/>
      </w:pPr>
      <w:r w:rsidRPr="00AB34C7">
        <w:t xml:space="preserve">The </w:t>
      </w:r>
      <w:r w:rsidR="003D7E4F" w:rsidRPr="00AB34C7">
        <w:t>P</w:t>
      </w:r>
      <w:r w:rsidRPr="00AB34C7">
        <w:t>SCR</w:t>
      </w:r>
      <w:r w:rsidR="00F17978">
        <w:t xml:space="preserve"> </w:t>
      </w:r>
      <w:r w:rsidRPr="00AB34C7">
        <w:t>noted the concerns raised in the commentary regarding the limited number of variables included for matching in the unanchored MAICs, and reiterated (i) the methodology used to identify the variable</w:t>
      </w:r>
      <w:r w:rsidR="00723EBE" w:rsidRPr="00AB34C7">
        <w:t>s</w:t>
      </w:r>
      <w:r w:rsidRPr="00AB34C7">
        <w:t xml:space="preserve">, (ii) the consistency of </w:t>
      </w:r>
      <w:r w:rsidR="00723EBE" w:rsidRPr="00AB34C7">
        <w:t xml:space="preserve">the </w:t>
      </w:r>
      <w:r w:rsidRPr="00AB34C7">
        <w:t>results when either 5 or 8 variables were used in the analysis, and (ii</w:t>
      </w:r>
      <w:r w:rsidR="00A214AB" w:rsidRPr="00AB34C7">
        <w:t>i</w:t>
      </w:r>
      <w:r w:rsidRPr="00AB34C7">
        <w:t>) the consistency of the MAIC approach used with the MAICs considered by the PBAC when it recommended zanubrutinib, and acalabrutinib, on a non-inferiority basis to V+O in March 2023 and July 2023. In addition, the PSCR argued that the inclusion of additional variables for matching would further reduce the effective sample size.</w:t>
      </w:r>
    </w:p>
    <w:p w14:paraId="1783630A" w14:textId="596E02F3" w:rsidR="008358A1" w:rsidRPr="00AB34C7" w:rsidRDefault="00723EBE" w:rsidP="00AA787B">
      <w:pPr>
        <w:pStyle w:val="COMexecsumnumberedpara"/>
        <w:ind w:hanging="720"/>
      </w:pPr>
      <w:r w:rsidRPr="00AB34C7">
        <w:t>The evaluation considered that,</w:t>
      </w:r>
      <w:r w:rsidR="008A3F7B" w:rsidRPr="00AB34C7">
        <w:t xml:space="preserve"> </w:t>
      </w:r>
      <w:r w:rsidRPr="00AB34C7">
        <w:t>i</w:t>
      </w:r>
      <w:r w:rsidR="008358A1" w:rsidRPr="00AB34C7">
        <w:t>deally, an unanchored MAIC should adjust for all relevant treatment effect modifier and prognostic variables to reliably predict outcomes</w:t>
      </w:r>
      <w:r w:rsidR="00D96010" w:rsidRPr="00AB34C7">
        <w:t xml:space="preserve"> and that t</w:t>
      </w:r>
      <w:r w:rsidR="008358A1" w:rsidRPr="00AB34C7">
        <w:t xml:space="preserve">he small effective sample size after matching likely reflects </w:t>
      </w:r>
      <w:r w:rsidR="008358A1" w:rsidRPr="00AB34C7">
        <w:lastRenderedPageBreak/>
        <w:t>differences in patient populations between the trials, as well as the relatively small number of patients in the ibrutinib + venetoclax arm of the GLOW trial (N=106).</w:t>
      </w:r>
    </w:p>
    <w:p w14:paraId="7C57D7D3" w14:textId="475E564E" w:rsidR="005A1359" w:rsidRPr="00AB34C7" w:rsidRDefault="005A1359" w:rsidP="00AA787B">
      <w:pPr>
        <w:pStyle w:val="COMexecsumnumberedpara"/>
        <w:ind w:hanging="720"/>
      </w:pPr>
      <w:r w:rsidRPr="00AB34C7">
        <w:t xml:space="preserve">The main analysis for each outcome was based on the restricted mean survival time. The resubmission stated that restricted mean survival time was used on the basis that the proportional hazard assumption was violated in each of the comparisons. Details of the assessment of </w:t>
      </w:r>
      <w:r w:rsidR="002E1979" w:rsidRPr="00AB34C7">
        <w:t xml:space="preserve">the </w:t>
      </w:r>
      <w:r w:rsidRPr="00AB34C7">
        <w:t>proportion</w:t>
      </w:r>
      <w:r w:rsidR="002E1979" w:rsidRPr="00AB34C7">
        <w:t>al</w:t>
      </w:r>
      <w:r w:rsidRPr="00AB34C7">
        <w:t xml:space="preserve"> hazards assumption were not presented in the resubmission. Results derived based on hazard ratio estimates were also </w:t>
      </w:r>
      <w:r w:rsidR="003D0E9B" w:rsidRPr="00AB34C7">
        <w:t>included</w:t>
      </w:r>
      <w:r w:rsidRPr="00AB34C7">
        <w:t xml:space="preserve"> in the resubmission.</w:t>
      </w:r>
    </w:p>
    <w:p w14:paraId="3C817537" w14:textId="37D96D39" w:rsidR="005A1359" w:rsidRPr="00F0309A" w:rsidRDefault="00723EBE" w:rsidP="001C30EF">
      <w:pPr>
        <w:pStyle w:val="Heading3"/>
        <w:spacing w:after="120"/>
        <w:rPr>
          <w:b/>
          <w:bCs/>
          <w:szCs w:val="22"/>
          <w:u w:val="none"/>
        </w:rPr>
      </w:pPr>
      <w:r w:rsidRPr="00F0309A">
        <w:rPr>
          <w:b/>
          <w:bCs/>
          <w:szCs w:val="22"/>
          <w:u w:val="none"/>
        </w:rPr>
        <w:t>I</w:t>
      </w:r>
      <w:r w:rsidR="005A1359" w:rsidRPr="00F0309A">
        <w:rPr>
          <w:b/>
          <w:bCs/>
          <w:szCs w:val="22"/>
          <w:u w:val="none"/>
        </w:rPr>
        <w:t>brutinib + venetoclax versus venetoclax + obinutuzumab</w:t>
      </w:r>
    </w:p>
    <w:p w14:paraId="74B2AA36" w14:textId="4E22F5BC" w:rsidR="007B6DAB" w:rsidRPr="00AB34C7" w:rsidRDefault="007B6DAB" w:rsidP="00AA787B">
      <w:pPr>
        <w:pStyle w:val="COMexecsumnumberedpara"/>
        <w:ind w:hanging="720"/>
      </w:pPr>
      <w:r w:rsidRPr="00AB34C7">
        <w:t xml:space="preserve">Data for the ibrutinib + venetoclax arm of the GLOW trial included in the </w:t>
      </w:r>
      <w:r w:rsidR="00BF1665" w:rsidRPr="00AB34C7">
        <w:t xml:space="preserve">unanchored </w:t>
      </w:r>
      <w:r w:rsidRPr="00AB34C7">
        <w:t xml:space="preserve">MAIC </w:t>
      </w:r>
      <w:r w:rsidR="00723EBE" w:rsidRPr="00AB34C7">
        <w:t xml:space="preserve">were </w:t>
      </w:r>
      <w:r w:rsidRPr="00AB34C7">
        <w:t xml:space="preserve">based on the February 2023 data cut, </w:t>
      </w:r>
      <w:r w:rsidR="00723EBE" w:rsidRPr="00AB34C7">
        <w:t>with</w:t>
      </w:r>
      <w:r w:rsidRPr="00AB34C7">
        <w:t xml:space="preserve"> a median follow-up of 52.1 months. Data for the venetoclax + obinutuzumab arm of the CLL-14 trial was based on Al-Sawaf et al. (2021), corresponding to a median duration of follow-up of 52.4 months.</w:t>
      </w:r>
    </w:p>
    <w:p w14:paraId="04D441C1" w14:textId="4B3A04E5" w:rsidR="005A1359" w:rsidRPr="00AB34C7" w:rsidRDefault="00F26FCC" w:rsidP="00AA787B">
      <w:pPr>
        <w:pStyle w:val="COMexecsumnumberedpara"/>
        <w:ind w:hanging="720"/>
      </w:pPr>
      <w:r w:rsidRPr="00AB34C7">
        <w:t xml:space="preserve">Results of the unanchored MAIC of progression-free survival </w:t>
      </w:r>
      <w:r w:rsidR="00976D0F" w:rsidRPr="00AB34C7">
        <w:t xml:space="preserve">and overall survival </w:t>
      </w:r>
      <w:r w:rsidRPr="00AB34C7">
        <w:t xml:space="preserve">for ibrutinib + venetoclax versus venetoclax + obinutuzumab are presented in </w:t>
      </w:r>
      <w:r w:rsidR="00737D02" w:rsidRPr="00AB34C7">
        <w:fldChar w:fldCharType="begin" w:fldLock="1"/>
      </w:r>
      <w:r w:rsidR="00737D02" w:rsidRPr="00AB34C7">
        <w:instrText xml:space="preserve"> REF _Ref153196983 \h </w:instrText>
      </w:r>
      <w:r w:rsidR="00737D02" w:rsidRPr="00AB34C7">
        <w:fldChar w:fldCharType="separate"/>
      </w:r>
      <w:r w:rsidR="008A42E6" w:rsidRPr="00AB34C7">
        <w:t xml:space="preserve">Table </w:t>
      </w:r>
      <w:r w:rsidR="008A42E6" w:rsidRPr="00B95C74">
        <w:t>9</w:t>
      </w:r>
      <w:r w:rsidR="00737D02" w:rsidRPr="00AB34C7">
        <w:fldChar w:fldCharType="end"/>
      </w:r>
      <w:r w:rsidRPr="00AB34C7">
        <w:t>.</w:t>
      </w:r>
    </w:p>
    <w:p w14:paraId="16B6A104" w14:textId="1ECC81B6" w:rsidR="00F26FCC" w:rsidRPr="00AB34C7" w:rsidRDefault="00737D02" w:rsidP="00F26FCC">
      <w:pPr>
        <w:pStyle w:val="COMtablefigcaption"/>
        <w:rPr>
          <w:b w:val="0"/>
        </w:rPr>
      </w:pPr>
      <w:bookmarkStart w:id="31" w:name="_Ref153196983"/>
      <w:r w:rsidRPr="00AB34C7">
        <w:t xml:space="preserve">Table </w:t>
      </w:r>
      <w:fldSimple w:instr=" SEQ Table \* ARABIC " w:fldLock="1">
        <w:r w:rsidR="008A42E6" w:rsidRPr="00B95C74">
          <w:t>9</w:t>
        </w:r>
      </w:fldSimple>
      <w:bookmarkEnd w:id="31"/>
      <w:r w:rsidR="00F26FCC" w:rsidRPr="00AB34C7">
        <w:t>: Results of the unanchored MAIC</w:t>
      </w:r>
      <w:r w:rsidR="00B75919" w:rsidRPr="00AB34C7">
        <w:t xml:space="preserve">s for </w:t>
      </w:r>
      <w:r w:rsidR="00F26FCC" w:rsidRPr="00AB34C7">
        <w:t>ibrutinib + venetoclax versus venetoclax + obinutuzumab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9: Results of the unanchored MAICs for ibrutinib + venetoclax versus venetoclax + obinutuzumab"/>
      </w:tblPr>
      <w:tblGrid>
        <w:gridCol w:w="5875"/>
        <w:gridCol w:w="1800"/>
        <w:gridCol w:w="1342"/>
      </w:tblGrid>
      <w:tr w:rsidR="00F26FCC" w:rsidRPr="00AB34C7" w14:paraId="5FDDB3EB" w14:textId="77777777" w:rsidTr="00A214AB">
        <w:trPr>
          <w:tblHeader/>
        </w:trPr>
        <w:tc>
          <w:tcPr>
            <w:tcW w:w="3258" w:type="pct"/>
            <w:vAlign w:val="center"/>
          </w:tcPr>
          <w:p w14:paraId="774BC67B" w14:textId="0620B703" w:rsidR="00F26FCC" w:rsidRPr="00B95C74" w:rsidRDefault="00F26FCC" w:rsidP="00507D72">
            <w:pPr>
              <w:pStyle w:val="COMTableheadingrow"/>
              <w:rPr>
                <w:lang w:val="en-AU"/>
              </w:rPr>
            </w:pPr>
            <w:r w:rsidRPr="00B95C74">
              <w:rPr>
                <w:lang w:val="en-AU"/>
              </w:rPr>
              <w:t>Analysis</w:t>
            </w:r>
          </w:p>
        </w:tc>
        <w:tc>
          <w:tcPr>
            <w:tcW w:w="998" w:type="pct"/>
            <w:shd w:val="clear" w:color="auto" w:fill="auto"/>
            <w:vAlign w:val="center"/>
          </w:tcPr>
          <w:p w14:paraId="2E1D0F0E" w14:textId="77777777" w:rsidR="00974286" w:rsidRPr="00B95C74" w:rsidRDefault="00974286" w:rsidP="00974286">
            <w:pPr>
              <w:pStyle w:val="COMTableheadingrow"/>
              <w:jc w:val="center"/>
              <w:rPr>
                <w:lang w:val="en-AU"/>
              </w:rPr>
            </w:pPr>
            <w:r w:rsidRPr="00B95C74">
              <w:rPr>
                <w:lang w:val="en-AU"/>
              </w:rPr>
              <w:t xml:space="preserve">RMST difference </w:t>
            </w:r>
          </w:p>
          <w:p w14:paraId="310A4715" w14:textId="227B533C" w:rsidR="00F26FCC" w:rsidRPr="00B95C74" w:rsidRDefault="00F26FCC" w:rsidP="00507D72">
            <w:pPr>
              <w:pStyle w:val="COMTableheadingrow"/>
              <w:jc w:val="center"/>
              <w:rPr>
                <w:lang w:val="en-AU"/>
              </w:rPr>
            </w:pPr>
            <w:r w:rsidRPr="00B95C74">
              <w:rPr>
                <w:lang w:val="en-AU"/>
              </w:rPr>
              <w:t>(95% CI)</w:t>
            </w:r>
          </w:p>
        </w:tc>
        <w:tc>
          <w:tcPr>
            <w:tcW w:w="744" w:type="pct"/>
            <w:vAlign w:val="center"/>
          </w:tcPr>
          <w:p w14:paraId="7255C7C5" w14:textId="77777777" w:rsidR="00F26FCC" w:rsidRPr="00B95C74" w:rsidRDefault="00F26FCC" w:rsidP="007B6DAB">
            <w:pPr>
              <w:pStyle w:val="COMTableheadingrow"/>
              <w:jc w:val="center"/>
              <w:rPr>
                <w:lang w:val="en-AU"/>
              </w:rPr>
            </w:pPr>
            <w:r w:rsidRPr="00B95C74">
              <w:rPr>
                <w:lang w:val="en-AU"/>
              </w:rPr>
              <w:t>p-value</w:t>
            </w:r>
          </w:p>
        </w:tc>
      </w:tr>
      <w:tr w:rsidR="00F26FCC" w:rsidRPr="00AB34C7" w14:paraId="223A6863" w14:textId="77777777" w:rsidTr="00507D72">
        <w:trPr>
          <w:trHeight w:val="53"/>
        </w:trPr>
        <w:tc>
          <w:tcPr>
            <w:tcW w:w="5000" w:type="pct"/>
            <w:gridSpan w:val="3"/>
          </w:tcPr>
          <w:p w14:paraId="574C392D" w14:textId="6A28569F" w:rsidR="00F26FCC" w:rsidRPr="00AB34C7" w:rsidRDefault="00524C54" w:rsidP="00507D72">
            <w:pPr>
              <w:pStyle w:val="COMTabletext"/>
              <w:rPr>
                <w:b/>
                <w:bCs w:val="0"/>
              </w:rPr>
            </w:pPr>
            <w:r w:rsidRPr="00AB34C7">
              <w:rPr>
                <w:b/>
                <w:bCs w:val="0"/>
              </w:rPr>
              <w:t>Investigator-assessed progression-free survival</w:t>
            </w:r>
          </w:p>
        </w:tc>
      </w:tr>
      <w:tr w:rsidR="00F26FCC" w:rsidRPr="00AB34C7" w14:paraId="2B0D05D5" w14:textId="77777777" w:rsidTr="00A214AB">
        <w:trPr>
          <w:trHeight w:val="53"/>
        </w:trPr>
        <w:tc>
          <w:tcPr>
            <w:tcW w:w="3258" w:type="pct"/>
          </w:tcPr>
          <w:p w14:paraId="35C36D2A" w14:textId="62907DBE" w:rsidR="00F26FCC" w:rsidRPr="00AB34C7" w:rsidRDefault="00F26FCC" w:rsidP="00507D72">
            <w:pPr>
              <w:pStyle w:val="COMTabletext"/>
            </w:pPr>
            <w:r w:rsidRPr="00AB34C7">
              <w:t>Unadjusted</w:t>
            </w:r>
            <w:r w:rsidR="00524C54" w:rsidRPr="00AB34C7">
              <w:t xml:space="preserve"> </w:t>
            </w:r>
            <w:r w:rsidR="00371C87" w:rsidRPr="00AB34C7">
              <w:t xml:space="preserve">RMST </w:t>
            </w:r>
            <w:r w:rsidR="00524C54" w:rsidRPr="00AB34C7">
              <w:t>(N=106)</w:t>
            </w:r>
          </w:p>
        </w:tc>
        <w:tc>
          <w:tcPr>
            <w:tcW w:w="998" w:type="pct"/>
            <w:shd w:val="clear" w:color="auto" w:fill="auto"/>
          </w:tcPr>
          <w:p w14:paraId="253FBDE0" w14:textId="77777777" w:rsidR="00F26FCC" w:rsidRPr="00AB34C7" w:rsidRDefault="00F26FCC" w:rsidP="00507D72">
            <w:pPr>
              <w:pStyle w:val="COMTabletext"/>
              <w:jc w:val="center"/>
            </w:pPr>
            <w:r w:rsidRPr="00AB34C7">
              <w:t>-2.71 (-6.84,1.42)</w:t>
            </w:r>
          </w:p>
        </w:tc>
        <w:tc>
          <w:tcPr>
            <w:tcW w:w="744" w:type="pct"/>
          </w:tcPr>
          <w:p w14:paraId="1963F725" w14:textId="77777777" w:rsidR="00F26FCC" w:rsidRPr="00AB34C7" w:rsidRDefault="00F26FCC" w:rsidP="00507D72">
            <w:pPr>
              <w:pStyle w:val="COMTabletext"/>
              <w:jc w:val="center"/>
            </w:pPr>
            <w:r w:rsidRPr="00AB34C7">
              <w:t>0.198</w:t>
            </w:r>
          </w:p>
        </w:tc>
      </w:tr>
      <w:tr w:rsidR="00F26FCC" w:rsidRPr="00AB34C7" w14:paraId="573FA839" w14:textId="77777777" w:rsidTr="00A214AB">
        <w:trPr>
          <w:trHeight w:val="53"/>
        </w:trPr>
        <w:tc>
          <w:tcPr>
            <w:tcW w:w="3258" w:type="pct"/>
          </w:tcPr>
          <w:p w14:paraId="2DA5897B" w14:textId="6077E3EA" w:rsidR="00F26FCC" w:rsidRPr="00AB34C7" w:rsidRDefault="00F26FCC" w:rsidP="00507D72">
            <w:pPr>
              <w:pStyle w:val="COMTabletext"/>
            </w:pPr>
            <w:r w:rsidRPr="00AB34C7">
              <w:t>Adjustment based on 8 prognostic variables (primary analysis</w:t>
            </w:r>
            <w:r w:rsidR="00524C54" w:rsidRPr="00AB34C7">
              <w:t>; ESS=53)</w:t>
            </w:r>
          </w:p>
        </w:tc>
        <w:tc>
          <w:tcPr>
            <w:tcW w:w="998" w:type="pct"/>
            <w:shd w:val="clear" w:color="auto" w:fill="auto"/>
          </w:tcPr>
          <w:p w14:paraId="42980A00" w14:textId="77777777" w:rsidR="00F26FCC" w:rsidRPr="00AB34C7" w:rsidRDefault="00F26FCC" w:rsidP="00507D72">
            <w:pPr>
              <w:pStyle w:val="COMTabletext"/>
              <w:jc w:val="center"/>
            </w:pPr>
            <w:r w:rsidRPr="00AB34C7">
              <w:t>-0.81 (-5.80, 4.18)</w:t>
            </w:r>
          </w:p>
        </w:tc>
        <w:tc>
          <w:tcPr>
            <w:tcW w:w="744" w:type="pct"/>
          </w:tcPr>
          <w:p w14:paraId="5DC4856E" w14:textId="77777777" w:rsidR="00F26FCC" w:rsidRPr="00AB34C7" w:rsidRDefault="00F26FCC" w:rsidP="00507D72">
            <w:pPr>
              <w:pStyle w:val="COMTabletext"/>
              <w:jc w:val="center"/>
            </w:pPr>
            <w:r w:rsidRPr="00AB34C7">
              <w:t>0.750</w:t>
            </w:r>
          </w:p>
        </w:tc>
      </w:tr>
      <w:tr w:rsidR="00F26FCC" w:rsidRPr="00AB34C7" w14:paraId="6D77F325" w14:textId="77777777" w:rsidTr="00A214AB">
        <w:trPr>
          <w:trHeight w:val="53"/>
        </w:trPr>
        <w:tc>
          <w:tcPr>
            <w:tcW w:w="3258" w:type="pct"/>
          </w:tcPr>
          <w:p w14:paraId="402575B0" w14:textId="3A32DC16" w:rsidR="00F26FCC" w:rsidRPr="00AB34C7" w:rsidRDefault="00F26FCC" w:rsidP="00507D72">
            <w:pPr>
              <w:pStyle w:val="COMTabletext"/>
            </w:pPr>
            <w:r w:rsidRPr="00AB34C7">
              <w:t>Adjustment based on 5 prognostic variables</w:t>
            </w:r>
            <w:r w:rsidR="00524C54" w:rsidRPr="00AB34C7">
              <w:t xml:space="preserve"> (sensitivity analysis</w:t>
            </w:r>
            <w:r w:rsidR="00974286" w:rsidRPr="00AB34C7">
              <w:t>;</w:t>
            </w:r>
            <w:r w:rsidR="00524C54" w:rsidRPr="00AB34C7">
              <w:t xml:space="preserve"> ESS=62)</w:t>
            </w:r>
          </w:p>
        </w:tc>
        <w:tc>
          <w:tcPr>
            <w:tcW w:w="998" w:type="pct"/>
            <w:shd w:val="clear" w:color="auto" w:fill="auto"/>
          </w:tcPr>
          <w:p w14:paraId="7820B8C0" w14:textId="77777777" w:rsidR="00F26FCC" w:rsidRPr="00AB34C7" w:rsidRDefault="00F26FCC" w:rsidP="00507D72">
            <w:pPr>
              <w:pStyle w:val="COMTabletext"/>
              <w:jc w:val="center"/>
            </w:pPr>
            <w:r w:rsidRPr="00AB34C7">
              <w:t>-0.98 (-5.80, 3.84)</w:t>
            </w:r>
          </w:p>
        </w:tc>
        <w:tc>
          <w:tcPr>
            <w:tcW w:w="744" w:type="pct"/>
          </w:tcPr>
          <w:p w14:paraId="1A5C9976" w14:textId="77777777" w:rsidR="00F26FCC" w:rsidRPr="00AB34C7" w:rsidRDefault="00F26FCC" w:rsidP="00507D72">
            <w:pPr>
              <w:pStyle w:val="COMTabletext"/>
              <w:jc w:val="center"/>
            </w:pPr>
            <w:r w:rsidRPr="00AB34C7">
              <w:t>0.690</w:t>
            </w:r>
          </w:p>
        </w:tc>
      </w:tr>
      <w:tr w:rsidR="00F26FCC" w:rsidRPr="00AB34C7" w14:paraId="7DE28F3D" w14:textId="77777777" w:rsidTr="00507D72">
        <w:trPr>
          <w:trHeight w:val="53"/>
        </w:trPr>
        <w:tc>
          <w:tcPr>
            <w:tcW w:w="5000" w:type="pct"/>
            <w:gridSpan w:val="3"/>
          </w:tcPr>
          <w:p w14:paraId="2DB7C3E2" w14:textId="38E6D1D2" w:rsidR="00F26FCC" w:rsidRPr="00AB34C7" w:rsidRDefault="00524C54" w:rsidP="00507D72">
            <w:pPr>
              <w:pStyle w:val="COMTabletext"/>
              <w:rPr>
                <w:b/>
                <w:bCs w:val="0"/>
              </w:rPr>
            </w:pPr>
            <w:r w:rsidRPr="00AB34C7">
              <w:rPr>
                <w:b/>
                <w:bCs w:val="0"/>
              </w:rPr>
              <w:t>Overall survival</w:t>
            </w:r>
          </w:p>
        </w:tc>
      </w:tr>
      <w:tr w:rsidR="00974286" w:rsidRPr="00AB34C7" w14:paraId="73810994" w14:textId="77777777" w:rsidTr="00A214AB">
        <w:trPr>
          <w:trHeight w:val="53"/>
        </w:trPr>
        <w:tc>
          <w:tcPr>
            <w:tcW w:w="3258" w:type="pct"/>
          </w:tcPr>
          <w:p w14:paraId="779E04B4" w14:textId="7609A02F" w:rsidR="00974286" w:rsidRPr="00AB34C7" w:rsidRDefault="00974286" w:rsidP="00974286">
            <w:pPr>
              <w:pStyle w:val="COMTabletext"/>
            </w:pPr>
            <w:r w:rsidRPr="00AB34C7">
              <w:t xml:space="preserve">Unadjusted </w:t>
            </w:r>
            <w:r w:rsidR="00371C87" w:rsidRPr="00AB34C7">
              <w:t xml:space="preserve">RMST </w:t>
            </w:r>
            <w:r w:rsidRPr="00AB34C7">
              <w:t>(N=106)</w:t>
            </w:r>
          </w:p>
        </w:tc>
        <w:tc>
          <w:tcPr>
            <w:tcW w:w="998" w:type="pct"/>
            <w:shd w:val="clear" w:color="auto" w:fill="auto"/>
          </w:tcPr>
          <w:p w14:paraId="04275CD0" w14:textId="51349CA8" w:rsidR="00974286" w:rsidRPr="00AB34C7" w:rsidRDefault="00974286" w:rsidP="00974286">
            <w:pPr>
              <w:pStyle w:val="COMTabletext"/>
              <w:jc w:val="center"/>
            </w:pPr>
            <w:r w:rsidRPr="00AB34C7">
              <w:t>-1.04 (-4.43, 2.35)</w:t>
            </w:r>
          </w:p>
        </w:tc>
        <w:tc>
          <w:tcPr>
            <w:tcW w:w="744" w:type="pct"/>
          </w:tcPr>
          <w:p w14:paraId="75204EEE" w14:textId="1A00EAD3" w:rsidR="00974286" w:rsidRPr="00AB34C7" w:rsidRDefault="00974286" w:rsidP="00974286">
            <w:pPr>
              <w:pStyle w:val="COMTabletext"/>
              <w:jc w:val="center"/>
            </w:pPr>
            <w:r w:rsidRPr="00AB34C7">
              <w:t>0.549</w:t>
            </w:r>
          </w:p>
        </w:tc>
      </w:tr>
      <w:tr w:rsidR="00974286" w:rsidRPr="00AB34C7" w14:paraId="37CD66B2" w14:textId="77777777" w:rsidTr="00A214AB">
        <w:trPr>
          <w:trHeight w:val="53"/>
        </w:trPr>
        <w:tc>
          <w:tcPr>
            <w:tcW w:w="3258" w:type="pct"/>
          </w:tcPr>
          <w:p w14:paraId="38595C31" w14:textId="6DBEDBF5" w:rsidR="00974286" w:rsidRPr="00AB34C7" w:rsidRDefault="00974286" w:rsidP="00974286">
            <w:pPr>
              <w:pStyle w:val="COMTabletext"/>
            </w:pPr>
            <w:r w:rsidRPr="00AB34C7">
              <w:t>Adjustment based on 8 prognostic variables (primary analysis; ESS=53)</w:t>
            </w:r>
          </w:p>
        </w:tc>
        <w:tc>
          <w:tcPr>
            <w:tcW w:w="998" w:type="pct"/>
            <w:shd w:val="clear" w:color="auto" w:fill="auto"/>
          </w:tcPr>
          <w:p w14:paraId="57328D28" w14:textId="6348F472" w:rsidR="00974286" w:rsidRPr="00AB34C7" w:rsidRDefault="00974286" w:rsidP="00974286">
            <w:pPr>
              <w:pStyle w:val="COMTabletext"/>
              <w:jc w:val="center"/>
            </w:pPr>
            <w:r w:rsidRPr="00AB34C7">
              <w:t xml:space="preserve">0.26 (-3.84, 4.35) </w:t>
            </w:r>
          </w:p>
        </w:tc>
        <w:tc>
          <w:tcPr>
            <w:tcW w:w="744" w:type="pct"/>
          </w:tcPr>
          <w:p w14:paraId="495E0AB4" w14:textId="466E0D29" w:rsidR="00974286" w:rsidRPr="00AB34C7" w:rsidRDefault="00974286" w:rsidP="00974286">
            <w:pPr>
              <w:pStyle w:val="COMTabletext"/>
              <w:jc w:val="center"/>
            </w:pPr>
            <w:r w:rsidRPr="00AB34C7">
              <w:t>0.903</w:t>
            </w:r>
          </w:p>
        </w:tc>
      </w:tr>
      <w:tr w:rsidR="00974286" w:rsidRPr="00AB34C7" w14:paraId="20388B48" w14:textId="77777777" w:rsidTr="00A214AB">
        <w:trPr>
          <w:trHeight w:val="53"/>
        </w:trPr>
        <w:tc>
          <w:tcPr>
            <w:tcW w:w="3258" w:type="pct"/>
          </w:tcPr>
          <w:p w14:paraId="5DE98331" w14:textId="5BF4141A" w:rsidR="00974286" w:rsidRPr="00AB34C7" w:rsidRDefault="00974286" w:rsidP="00974286">
            <w:pPr>
              <w:pStyle w:val="COMTabletext"/>
            </w:pPr>
            <w:r w:rsidRPr="00AB34C7">
              <w:t>Adjustment based on 5 prognostic variables (sensitivity analysis; ESS=62)</w:t>
            </w:r>
          </w:p>
        </w:tc>
        <w:tc>
          <w:tcPr>
            <w:tcW w:w="998" w:type="pct"/>
            <w:shd w:val="clear" w:color="auto" w:fill="auto"/>
          </w:tcPr>
          <w:p w14:paraId="625AE868" w14:textId="267069B4" w:rsidR="00974286" w:rsidRPr="00AB34C7" w:rsidRDefault="00974286" w:rsidP="00974286">
            <w:pPr>
              <w:pStyle w:val="COMTabletext"/>
              <w:jc w:val="center"/>
            </w:pPr>
            <w:r w:rsidRPr="00AB34C7">
              <w:t xml:space="preserve">-0.27 (-4.27, 3.74) </w:t>
            </w:r>
          </w:p>
        </w:tc>
        <w:tc>
          <w:tcPr>
            <w:tcW w:w="744" w:type="pct"/>
          </w:tcPr>
          <w:p w14:paraId="5492D66A" w14:textId="61CDFAE3" w:rsidR="00974286" w:rsidRPr="00AB34C7" w:rsidRDefault="00974286" w:rsidP="00974286">
            <w:pPr>
              <w:pStyle w:val="COMTabletext"/>
              <w:jc w:val="center"/>
            </w:pPr>
            <w:r w:rsidRPr="00AB34C7">
              <w:t>0.896</w:t>
            </w:r>
          </w:p>
        </w:tc>
      </w:tr>
    </w:tbl>
    <w:p w14:paraId="34441CC7" w14:textId="4D152832" w:rsidR="00F26FCC" w:rsidRPr="00AB34C7" w:rsidRDefault="00F26FCC" w:rsidP="00F26FCC">
      <w:pPr>
        <w:pStyle w:val="COMTablefooter"/>
      </w:pPr>
      <w:r w:rsidRPr="00AB34C7">
        <w:t>Source: Table 2.94</w:t>
      </w:r>
      <w:r w:rsidR="00B75919" w:rsidRPr="00AB34C7">
        <w:t>;</w:t>
      </w:r>
      <w:r w:rsidRPr="00AB34C7">
        <w:t xml:space="preserve"> </w:t>
      </w:r>
      <w:r w:rsidR="00B75919" w:rsidRPr="00AB34C7">
        <w:t xml:space="preserve">Table 2.95 </w:t>
      </w:r>
      <w:r w:rsidRPr="00AB34C7">
        <w:t>of the resubmission.</w:t>
      </w:r>
    </w:p>
    <w:p w14:paraId="3410CD0B" w14:textId="11A363CC" w:rsidR="00F26FCC" w:rsidRPr="00AB34C7" w:rsidRDefault="00F26FCC" w:rsidP="00F26FCC">
      <w:pPr>
        <w:pStyle w:val="COMTablefooter"/>
      </w:pPr>
      <w:r w:rsidRPr="00AB34C7">
        <w:t>Abbreviations: CI, confidence interval</w:t>
      </w:r>
      <w:r w:rsidR="00B75919" w:rsidRPr="00AB34C7">
        <w:t xml:space="preserve">; </w:t>
      </w:r>
      <w:r w:rsidR="00371C87" w:rsidRPr="00AB34C7">
        <w:t xml:space="preserve">ESS, effective sample size; </w:t>
      </w:r>
      <w:r w:rsidR="00B75919" w:rsidRPr="00AB34C7">
        <w:t>RMST, restricted mean survival time.</w:t>
      </w:r>
    </w:p>
    <w:p w14:paraId="0396F52B" w14:textId="640735F2" w:rsidR="00F26FCC" w:rsidRPr="00AB34C7" w:rsidRDefault="00F26FCC" w:rsidP="00F26FCC">
      <w:pPr>
        <w:pStyle w:val="COMTablefooter"/>
      </w:pPr>
      <w:r w:rsidRPr="00AB34C7">
        <w:t>A restricted mean survival time greater than zero favours ibrutinib + venetoclax.</w:t>
      </w:r>
    </w:p>
    <w:p w14:paraId="75399BA1" w14:textId="4D416476" w:rsidR="00F26FCC" w:rsidRPr="00AB34C7" w:rsidRDefault="00B75919" w:rsidP="00AA787B">
      <w:pPr>
        <w:pStyle w:val="COMexecsumnumberedpara"/>
        <w:ind w:hanging="720"/>
      </w:pPr>
      <w:r w:rsidRPr="00AB34C7">
        <w:t>Prior to MAIC adjustment (i.e., based on a naïve comparison of ibrutinib + venetoclax and venetoclax + obinutuzumab), the comparison of progression-free survival favoured venetoclax + obinutuzumab, but was not statistically significant (restricted mean survival time: -2.71; 95% CI: -6.84, 1.42). After MAIC adjustment for 8 prognostic variables, the difference in progression-free survival between ibrutinib + venetoclax and venetoclax + obinutuzumab remained not statistically significant (restricted mean survival time: -0.81; 95% CI: -5.80, 4.18</w:t>
      </w:r>
      <w:r w:rsidRPr="00AB34C7">
        <w:rPr>
          <w:i/>
          <w:iCs/>
        </w:rPr>
        <w:t>).</w:t>
      </w:r>
      <w:r w:rsidR="00723EBE" w:rsidRPr="00AB34C7">
        <w:rPr>
          <w:i/>
          <w:iCs/>
        </w:rPr>
        <w:t xml:space="preserve"> </w:t>
      </w:r>
      <w:r w:rsidR="00723EBE" w:rsidRPr="00AB34C7">
        <w:t xml:space="preserve">A similar result was seen after adjustment for only 5 </w:t>
      </w:r>
      <w:r w:rsidR="003A308C" w:rsidRPr="00AB34C7">
        <w:t xml:space="preserve">prognostic </w:t>
      </w:r>
      <w:r w:rsidR="00723EBE" w:rsidRPr="00AB34C7">
        <w:t>variables</w:t>
      </w:r>
      <w:r w:rsidR="003A308C" w:rsidRPr="00AB34C7">
        <w:t xml:space="preserve"> (restricted mean survival time: -0.98; 95% CI: -5.80, 3.84)</w:t>
      </w:r>
      <w:r w:rsidR="00723EBE" w:rsidRPr="00AB34C7">
        <w:t xml:space="preserve">. </w:t>
      </w:r>
    </w:p>
    <w:p w14:paraId="3F02163C" w14:textId="78D7FCA1" w:rsidR="00B75919" w:rsidRPr="00AB34C7" w:rsidRDefault="00B75919" w:rsidP="00AA787B">
      <w:pPr>
        <w:pStyle w:val="COMexecsumnumberedpara"/>
        <w:ind w:hanging="720"/>
      </w:pPr>
      <w:r w:rsidRPr="00AB34C7">
        <w:t xml:space="preserve">Prior to MAIC adjustment (i.e., based on a naïve comparison of ibrutinib + venetoclax and venetoclax + obinutuzumab), the comparison of overall survival favoured venetoclax + obinutuzumab, but was not statistically significant (restricted mean survival time: -1.04; 95% CI: -4.45, 2.35). After MAIC adjustment for 8 prognostic variables, the difference in overall survival between ibrutinib + venetoclax and </w:t>
      </w:r>
      <w:r w:rsidRPr="00AB34C7">
        <w:lastRenderedPageBreak/>
        <w:t>venetoclax + obinutuzumab favoured ibrutinib + venetoclax, but remained not statistically significant (restricted mean survival time: 0.26; 95% CI: -3.84, 4.35).</w:t>
      </w:r>
      <w:r w:rsidR="003A308C" w:rsidRPr="00AB34C7">
        <w:t xml:space="preserve"> A similar result was seen after adjustment for only 5 prognostic variables (restricted mean survival time: -0.27; 95% CI: -4.27, 3.74).</w:t>
      </w:r>
    </w:p>
    <w:p w14:paraId="03E0A168" w14:textId="3FB3EF11" w:rsidR="003F5851" w:rsidRPr="00AB34C7" w:rsidRDefault="003F5851" w:rsidP="00AA787B">
      <w:pPr>
        <w:pStyle w:val="COMexecsumnumberedpara"/>
        <w:ind w:hanging="720"/>
        <w:rPr>
          <w:i/>
          <w:iCs/>
        </w:rPr>
      </w:pPr>
      <w:r w:rsidRPr="00AB34C7">
        <w:t>The results of the MAICs were considered uncertain due to the</w:t>
      </w:r>
      <w:r w:rsidR="004666E9" w:rsidRPr="00AB34C7">
        <w:t xml:space="preserve"> limited number of </w:t>
      </w:r>
      <w:r w:rsidRPr="00AB34C7">
        <w:t xml:space="preserve">prognostic and treatment effect modifier variables </w:t>
      </w:r>
      <w:r w:rsidR="00F50228" w:rsidRPr="00AB34C7">
        <w:t>included for matching</w:t>
      </w:r>
      <w:r w:rsidRPr="00AB34C7">
        <w:t>, limited documentation regarding the methodology used, differences in trial eligibility</w:t>
      </w:r>
      <w:r w:rsidR="006B54DF" w:rsidRPr="00AB34C7">
        <w:t xml:space="preserve"> (patients with SLL; patients with 17p deletion)</w:t>
      </w:r>
      <w:r w:rsidRPr="00AB34C7">
        <w:t>, missing data for some patients in the CLL-14 trial</w:t>
      </w:r>
      <w:r w:rsidR="006B54DF" w:rsidRPr="00AB34C7">
        <w:t xml:space="preserve"> (TP53 status)</w:t>
      </w:r>
      <w:r w:rsidRPr="00AB34C7">
        <w:t xml:space="preserve">, and the very low effective sample size after matching. Additionally, the </w:t>
      </w:r>
      <w:r w:rsidR="00052877" w:rsidRPr="00AB34C7">
        <w:t>re</w:t>
      </w:r>
      <w:r w:rsidRPr="00AB34C7">
        <w:t>submission did not propose non-inferiority margins for progression-free survival or overall survival</w:t>
      </w:r>
      <w:r w:rsidR="00D64462" w:rsidRPr="00AB34C7">
        <w:t xml:space="preserve">. </w:t>
      </w:r>
      <w:r w:rsidR="004F41B8" w:rsidRPr="00AB34C7">
        <w:t>The lack of a statistically significant difference may not</w:t>
      </w:r>
      <w:r w:rsidR="004F41B8" w:rsidRPr="00AB34C7">
        <w:rPr>
          <w:i/>
          <w:iCs/>
        </w:rPr>
        <w:t xml:space="preserve"> </w:t>
      </w:r>
      <w:r w:rsidR="004F41B8" w:rsidRPr="00AB34C7">
        <w:t xml:space="preserve">be sufficient to establish non-inferiority, as the 95% confidence intervals may include clinically important differences. </w:t>
      </w:r>
      <w:r w:rsidR="00D64462" w:rsidRPr="00AB34C7">
        <w:t xml:space="preserve">The resubmission argued that there are no accepted non-inferiority margins for these outcomes, and </w:t>
      </w:r>
      <w:r w:rsidR="00CD1369" w:rsidRPr="00AB34C7">
        <w:t xml:space="preserve">that a similar approach was accepted by the PBAC in the </w:t>
      </w:r>
      <w:r w:rsidR="00D64462" w:rsidRPr="00AB34C7">
        <w:t xml:space="preserve">consideration of </w:t>
      </w:r>
      <w:r w:rsidR="00CD1369" w:rsidRPr="00AB34C7">
        <w:t>zan</w:t>
      </w:r>
      <w:r w:rsidR="004F41B8" w:rsidRPr="00AB34C7">
        <w:t>u</w:t>
      </w:r>
      <w:r w:rsidR="00CD1369" w:rsidRPr="00AB34C7">
        <w:t xml:space="preserve">brutinib </w:t>
      </w:r>
      <w:r w:rsidR="004F41B8" w:rsidRPr="00AB34C7">
        <w:t xml:space="preserve">at the </w:t>
      </w:r>
      <w:r w:rsidR="00CD1369" w:rsidRPr="00AB34C7">
        <w:t>March</w:t>
      </w:r>
      <w:r w:rsidR="00434371">
        <w:t> </w:t>
      </w:r>
      <w:r w:rsidR="00CD1369" w:rsidRPr="00AB34C7">
        <w:t xml:space="preserve">2023 </w:t>
      </w:r>
      <w:r w:rsidR="004F41B8" w:rsidRPr="00AB34C7">
        <w:t>PBAC meeting</w:t>
      </w:r>
      <w:r w:rsidR="00AB34C7">
        <w:t xml:space="preserve">. </w:t>
      </w:r>
    </w:p>
    <w:p w14:paraId="4180AE71" w14:textId="3F36E419" w:rsidR="00737D02" w:rsidRPr="00F0309A" w:rsidRDefault="003A308C" w:rsidP="001C30EF">
      <w:pPr>
        <w:pStyle w:val="Heading3"/>
        <w:spacing w:after="120"/>
        <w:rPr>
          <w:b/>
          <w:bCs/>
          <w:szCs w:val="22"/>
          <w:u w:val="none"/>
        </w:rPr>
      </w:pPr>
      <w:r w:rsidRPr="00F0309A">
        <w:rPr>
          <w:b/>
          <w:bCs/>
          <w:szCs w:val="22"/>
          <w:u w:val="none"/>
        </w:rPr>
        <w:t>I</w:t>
      </w:r>
      <w:r w:rsidR="00737D02" w:rsidRPr="00F0309A">
        <w:rPr>
          <w:b/>
          <w:bCs/>
          <w:szCs w:val="22"/>
          <w:u w:val="none"/>
        </w:rPr>
        <w:t>brutinib + venetoclax versus zanubrutinib</w:t>
      </w:r>
    </w:p>
    <w:p w14:paraId="7438E900" w14:textId="080CCC2A" w:rsidR="007B6DAB" w:rsidRPr="00AB34C7" w:rsidRDefault="007B6DAB" w:rsidP="00AA787B">
      <w:pPr>
        <w:pStyle w:val="COMexecsumnumberedpara"/>
        <w:ind w:hanging="720"/>
        <w:rPr>
          <w:i/>
          <w:iCs/>
        </w:rPr>
      </w:pPr>
      <w:r w:rsidRPr="00AB34C7">
        <w:t>Data for the ibrutinib + venetoclax arm of the GLOW trial included in the MAIC was based on the February 2023 data cut (based on a median follow-up of 52.1 months). Data for the zanubrutinib arm of the SEQUOIA trial was based on Tam et al. (2022), corresponding to a median duration of follow-up of 26.2 months. Additional results for the SEQUOIA trial, based on a median follow-up of 43.7 months)</w:t>
      </w:r>
      <w:r w:rsidR="003B0B3A" w:rsidRPr="00AB34C7">
        <w:t xml:space="preserve"> were recently published by</w:t>
      </w:r>
      <w:r w:rsidRPr="00AB34C7">
        <w:t xml:space="preserve"> Munir et al. (2023). It would have been preferable to include data from Munir et al. (2023) in the MAIC.</w:t>
      </w:r>
    </w:p>
    <w:p w14:paraId="764C4BF2" w14:textId="31346298" w:rsidR="00737D02" w:rsidRPr="00AB34C7" w:rsidRDefault="00737D02" w:rsidP="00AA787B">
      <w:pPr>
        <w:pStyle w:val="COMexecsumnumberedpara"/>
        <w:ind w:hanging="720"/>
        <w:rPr>
          <w:i/>
          <w:iCs/>
        </w:rPr>
      </w:pPr>
      <w:r w:rsidRPr="00AB34C7">
        <w:t xml:space="preserve">Results of the unanchored MAIC of progression-free survival </w:t>
      </w:r>
      <w:r w:rsidR="000B5DEC" w:rsidRPr="00AB34C7">
        <w:t xml:space="preserve">and overall survival </w:t>
      </w:r>
      <w:r w:rsidRPr="00AB34C7">
        <w:t xml:space="preserve">for ibrutinib + venetoclax versus zanubrutinib are presented in </w:t>
      </w:r>
      <w:r w:rsidR="003B0B3A" w:rsidRPr="00AB34C7">
        <w:fldChar w:fldCharType="begin" w:fldLock="1"/>
      </w:r>
      <w:r w:rsidR="003B0B3A" w:rsidRPr="00AB34C7">
        <w:instrText xml:space="preserve"> REF _Ref153197232 \h </w:instrText>
      </w:r>
      <w:r w:rsidR="003B0B3A" w:rsidRPr="00AB34C7">
        <w:fldChar w:fldCharType="separate"/>
      </w:r>
      <w:r w:rsidR="008A42E6" w:rsidRPr="00AB34C7">
        <w:t xml:space="preserve">Table </w:t>
      </w:r>
      <w:r w:rsidR="008A42E6" w:rsidRPr="00B95C74">
        <w:t>10</w:t>
      </w:r>
      <w:r w:rsidR="003B0B3A" w:rsidRPr="00AB34C7">
        <w:fldChar w:fldCharType="end"/>
      </w:r>
      <w:r w:rsidRPr="00AB34C7">
        <w:t>.</w:t>
      </w:r>
    </w:p>
    <w:p w14:paraId="2088AA60" w14:textId="763040E4" w:rsidR="00737D02" w:rsidRPr="00AB34C7" w:rsidRDefault="00737D02" w:rsidP="00737D02">
      <w:pPr>
        <w:pStyle w:val="COMtablefigcaption"/>
        <w:rPr>
          <w:b w:val="0"/>
        </w:rPr>
      </w:pPr>
      <w:bookmarkStart w:id="32" w:name="_Ref153197232"/>
      <w:r w:rsidRPr="00AB34C7">
        <w:t xml:space="preserve">Table </w:t>
      </w:r>
      <w:fldSimple w:instr=" SEQ Table \* ARABIC " w:fldLock="1">
        <w:r w:rsidR="008A42E6" w:rsidRPr="00B95C74">
          <w:t>10</w:t>
        </w:r>
      </w:fldSimple>
      <w:bookmarkEnd w:id="32"/>
      <w:r w:rsidRPr="00AB34C7">
        <w:t xml:space="preserve">: Results of the unanchored MAICs for ibrutinib + venetoclax versus </w:t>
      </w:r>
      <w:r w:rsidR="007B6DAB" w:rsidRPr="00AB34C7">
        <w:t>zanubrutinib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10: Results of the unanchored MAICs for ibrutinib + venetoclax versus zanubrutinib"/>
      </w:tblPr>
      <w:tblGrid>
        <w:gridCol w:w="5754"/>
        <w:gridCol w:w="1921"/>
        <w:gridCol w:w="1342"/>
      </w:tblGrid>
      <w:tr w:rsidR="00737D02" w:rsidRPr="00AB34C7" w14:paraId="1AE057C6" w14:textId="77777777" w:rsidTr="00A214AB">
        <w:trPr>
          <w:tblHeader/>
        </w:trPr>
        <w:tc>
          <w:tcPr>
            <w:tcW w:w="3191" w:type="pct"/>
            <w:vAlign w:val="center"/>
          </w:tcPr>
          <w:p w14:paraId="35FCE850" w14:textId="77777777" w:rsidR="00737D02" w:rsidRPr="00B95C74" w:rsidRDefault="00737D02" w:rsidP="00507D72">
            <w:pPr>
              <w:pStyle w:val="COMTableheadingrow"/>
              <w:rPr>
                <w:lang w:val="en-AU"/>
              </w:rPr>
            </w:pPr>
            <w:r w:rsidRPr="00B95C74">
              <w:rPr>
                <w:lang w:val="en-AU"/>
              </w:rPr>
              <w:t>Analysis</w:t>
            </w:r>
          </w:p>
        </w:tc>
        <w:tc>
          <w:tcPr>
            <w:tcW w:w="1065" w:type="pct"/>
            <w:shd w:val="clear" w:color="auto" w:fill="auto"/>
            <w:vAlign w:val="center"/>
          </w:tcPr>
          <w:p w14:paraId="42690AD2" w14:textId="7790832D" w:rsidR="00737D02" w:rsidRPr="00B95C74" w:rsidRDefault="00737D02" w:rsidP="00507D72">
            <w:pPr>
              <w:pStyle w:val="COMTableheadingrow"/>
              <w:jc w:val="center"/>
              <w:rPr>
                <w:lang w:val="en-AU"/>
              </w:rPr>
            </w:pPr>
            <w:r w:rsidRPr="00B95C74">
              <w:rPr>
                <w:lang w:val="en-AU"/>
              </w:rPr>
              <w:t xml:space="preserve">RMST </w:t>
            </w:r>
            <w:r w:rsidR="00974286" w:rsidRPr="00B95C74">
              <w:rPr>
                <w:lang w:val="en-AU"/>
              </w:rPr>
              <w:t>difference</w:t>
            </w:r>
            <w:r w:rsidRPr="00B95C74">
              <w:rPr>
                <w:lang w:val="en-AU"/>
              </w:rPr>
              <w:t xml:space="preserve"> </w:t>
            </w:r>
          </w:p>
          <w:p w14:paraId="52D0F840" w14:textId="77777777" w:rsidR="00737D02" w:rsidRPr="00B95C74" w:rsidRDefault="00737D02" w:rsidP="00507D72">
            <w:pPr>
              <w:pStyle w:val="COMTableheadingrow"/>
              <w:jc w:val="center"/>
              <w:rPr>
                <w:lang w:val="en-AU"/>
              </w:rPr>
            </w:pPr>
            <w:r w:rsidRPr="00B95C74">
              <w:rPr>
                <w:lang w:val="en-AU"/>
              </w:rPr>
              <w:t>(95% CI)</w:t>
            </w:r>
          </w:p>
        </w:tc>
        <w:tc>
          <w:tcPr>
            <w:tcW w:w="744" w:type="pct"/>
            <w:vAlign w:val="center"/>
          </w:tcPr>
          <w:p w14:paraId="35D0808C" w14:textId="77777777" w:rsidR="00737D02" w:rsidRPr="00B95C74" w:rsidRDefault="00737D02" w:rsidP="007B6DAB">
            <w:pPr>
              <w:pStyle w:val="COMTableheadingrow"/>
              <w:jc w:val="center"/>
              <w:rPr>
                <w:lang w:val="en-AU"/>
              </w:rPr>
            </w:pPr>
            <w:r w:rsidRPr="00B95C74">
              <w:rPr>
                <w:lang w:val="en-AU"/>
              </w:rPr>
              <w:t>p-value</w:t>
            </w:r>
          </w:p>
        </w:tc>
      </w:tr>
      <w:tr w:rsidR="00737D02" w:rsidRPr="00AB34C7" w14:paraId="685329EF" w14:textId="77777777" w:rsidTr="00507D72">
        <w:trPr>
          <w:trHeight w:val="53"/>
        </w:trPr>
        <w:tc>
          <w:tcPr>
            <w:tcW w:w="5000" w:type="pct"/>
            <w:gridSpan w:val="3"/>
          </w:tcPr>
          <w:p w14:paraId="2B940366" w14:textId="77777777" w:rsidR="00737D02" w:rsidRPr="00AB34C7" w:rsidRDefault="00737D02" w:rsidP="00507D72">
            <w:pPr>
              <w:pStyle w:val="COMTabletext"/>
              <w:rPr>
                <w:b/>
                <w:bCs w:val="0"/>
              </w:rPr>
            </w:pPr>
            <w:r w:rsidRPr="00AB34C7">
              <w:rPr>
                <w:b/>
                <w:bCs w:val="0"/>
              </w:rPr>
              <w:t>Investigator-assessed progression-free survival</w:t>
            </w:r>
          </w:p>
        </w:tc>
      </w:tr>
      <w:tr w:rsidR="000013FC" w:rsidRPr="00AB34C7" w14:paraId="6BDE840E" w14:textId="77777777" w:rsidTr="00A214AB">
        <w:trPr>
          <w:trHeight w:val="53"/>
        </w:trPr>
        <w:tc>
          <w:tcPr>
            <w:tcW w:w="3191" w:type="pct"/>
          </w:tcPr>
          <w:p w14:paraId="597C9369" w14:textId="72577FA4" w:rsidR="000013FC" w:rsidRPr="00AB34C7" w:rsidRDefault="000013FC" w:rsidP="000013FC">
            <w:pPr>
              <w:pStyle w:val="COMTabletext"/>
            </w:pPr>
            <w:r w:rsidRPr="00AB34C7">
              <w:t>Unadjusted</w:t>
            </w:r>
            <w:r w:rsidR="00371C87" w:rsidRPr="00AB34C7">
              <w:t xml:space="preserve"> RMST</w:t>
            </w:r>
            <w:r w:rsidRPr="00AB34C7">
              <w:t xml:space="preserve"> (N=106)</w:t>
            </w:r>
          </w:p>
        </w:tc>
        <w:tc>
          <w:tcPr>
            <w:tcW w:w="1065" w:type="pct"/>
            <w:shd w:val="clear" w:color="auto" w:fill="auto"/>
          </w:tcPr>
          <w:p w14:paraId="1B2FF7F7" w14:textId="446F7566" w:rsidR="000013FC" w:rsidRPr="00AB34C7" w:rsidRDefault="000013FC" w:rsidP="000013FC">
            <w:pPr>
              <w:pStyle w:val="COMTabletext"/>
              <w:jc w:val="center"/>
            </w:pPr>
            <w:r w:rsidRPr="00AB34C7">
              <w:t>-1.00 (-3.54, 1.54)</w:t>
            </w:r>
          </w:p>
        </w:tc>
        <w:tc>
          <w:tcPr>
            <w:tcW w:w="744" w:type="pct"/>
          </w:tcPr>
          <w:p w14:paraId="1A4889E3" w14:textId="02F79510" w:rsidR="000013FC" w:rsidRPr="00AB34C7" w:rsidRDefault="000013FC" w:rsidP="000013FC">
            <w:pPr>
              <w:pStyle w:val="COMTabletext"/>
              <w:jc w:val="center"/>
            </w:pPr>
            <w:r w:rsidRPr="00AB34C7">
              <w:t>0.440</w:t>
            </w:r>
          </w:p>
        </w:tc>
      </w:tr>
      <w:tr w:rsidR="000013FC" w:rsidRPr="00AB34C7" w14:paraId="47D39C66" w14:textId="77777777" w:rsidTr="00A214AB">
        <w:trPr>
          <w:trHeight w:val="53"/>
        </w:trPr>
        <w:tc>
          <w:tcPr>
            <w:tcW w:w="3191" w:type="pct"/>
          </w:tcPr>
          <w:p w14:paraId="527D0EF0" w14:textId="55BE5CAA" w:rsidR="000013FC" w:rsidRPr="00AB34C7" w:rsidRDefault="000013FC" w:rsidP="000013FC">
            <w:pPr>
              <w:pStyle w:val="COMTabletext"/>
            </w:pPr>
            <w:r w:rsidRPr="00AB34C7">
              <w:t>Adjustment based on 8 prognostic variables (primary analysis; ESS=46)</w:t>
            </w:r>
          </w:p>
        </w:tc>
        <w:tc>
          <w:tcPr>
            <w:tcW w:w="1065" w:type="pct"/>
            <w:shd w:val="clear" w:color="auto" w:fill="auto"/>
          </w:tcPr>
          <w:p w14:paraId="22B2DEC9" w14:textId="74A96653" w:rsidR="000013FC" w:rsidRPr="00AB34C7" w:rsidRDefault="000013FC" w:rsidP="000013FC">
            <w:pPr>
              <w:pStyle w:val="COMTabletext"/>
              <w:jc w:val="center"/>
            </w:pPr>
            <w:r w:rsidRPr="00AB34C7">
              <w:t>0.37 (-2.84, 3.58)</w:t>
            </w:r>
          </w:p>
        </w:tc>
        <w:tc>
          <w:tcPr>
            <w:tcW w:w="744" w:type="pct"/>
          </w:tcPr>
          <w:p w14:paraId="43199771" w14:textId="21C765EE" w:rsidR="000013FC" w:rsidRPr="00AB34C7" w:rsidRDefault="000013FC" w:rsidP="000013FC">
            <w:pPr>
              <w:pStyle w:val="COMTabletext"/>
              <w:jc w:val="center"/>
            </w:pPr>
            <w:r w:rsidRPr="00AB34C7">
              <w:t>0.821</w:t>
            </w:r>
          </w:p>
        </w:tc>
      </w:tr>
      <w:tr w:rsidR="000013FC" w:rsidRPr="00AB34C7" w14:paraId="22B9B6F1" w14:textId="77777777" w:rsidTr="00A214AB">
        <w:trPr>
          <w:trHeight w:val="53"/>
        </w:trPr>
        <w:tc>
          <w:tcPr>
            <w:tcW w:w="3191" w:type="pct"/>
          </w:tcPr>
          <w:p w14:paraId="1C23C06F" w14:textId="44C1BF55" w:rsidR="000013FC" w:rsidRPr="00AB34C7" w:rsidRDefault="000013FC" w:rsidP="000013FC">
            <w:pPr>
              <w:pStyle w:val="COMTabletext"/>
            </w:pPr>
            <w:r w:rsidRPr="00AB34C7">
              <w:t>Adjustment based on 5 prognostic variables (ESS=56)</w:t>
            </w:r>
          </w:p>
        </w:tc>
        <w:tc>
          <w:tcPr>
            <w:tcW w:w="1065" w:type="pct"/>
            <w:shd w:val="clear" w:color="auto" w:fill="auto"/>
          </w:tcPr>
          <w:p w14:paraId="229A31D3" w14:textId="42FCF8D6" w:rsidR="000013FC" w:rsidRPr="00AB34C7" w:rsidRDefault="000013FC" w:rsidP="000013FC">
            <w:pPr>
              <w:pStyle w:val="COMTabletext"/>
              <w:jc w:val="center"/>
            </w:pPr>
            <w:r w:rsidRPr="00AB34C7">
              <w:t>0.04 (-3.05, 3.13)</w:t>
            </w:r>
          </w:p>
        </w:tc>
        <w:tc>
          <w:tcPr>
            <w:tcW w:w="744" w:type="pct"/>
          </w:tcPr>
          <w:p w14:paraId="10763AC8" w14:textId="7DE3132A" w:rsidR="000013FC" w:rsidRPr="00AB34C7" w:rsidRDefault="000013FC" w:rsidP="000013FC">
            <w:pPr>
              <w:pStyle w:val="COMTabletext"/>
              <w:jc w:val="center"/>
            </w:pPr>
            <w:r w:rsidRPr="00AB34C7">
              <w:t>0.980</w:t>
            </w:r>
          </w:p>
        </w:tc>
      </w:tr>
      <w:tr w:rsidR="00737D02" w:rsidRPr="00AB34C7" w14:paraId="66003A10" w14:textId="77777777" w:rsidTr="00507D72">
        <w:trPr>
          <w:trHeight w:val="53"/>
        </w:trPr>
        <w:tc>
          <w:tcPr>
            <w:tcW w:w="5000" w:type="pct"/>
            <w:gridSpan w:val="3"/>
          </w:tcPr>
          <w:p w14:paraId="49ABFC70" w14:textId="77777777" w:rsidR="00737D02" w:rsidRPr="00AB34C7" w:rsidRDefault="00737D02" w:rsidP="00507D72">
            <w:pPr>
              <w:pStyle w:val="COMTabletext"/>
              <w:rPr>
                <w:b/>
                <w:bCs w:val="0"/>
              </w:rPr>
            </w:pPr>
            <w:r w:rsidRPr="00AB34C7">
              <w:rPr>
                <w:b/>
                <w:bCs w:val="0"/>
              </w:rPr>
              <w:t>Overall survival</w:t>
            </w:r>
          </w:p>
        </w:tc>
      </w:tr>
      <w:tr w:rsidR="00371C87" w:rsidRPr="00AB34C7" w14:paraId="32542ABD" w14:textId="77777777" w:rsidTr="00A214AB">
        <w:trPr>
          <w:trHeight w:val="53"/>
        </w:trPr>
        <w:tc>
          <w:tcPr>
            <w:tcW w:w="3191" w:type="pct"/>
          </w:tcPr>
          <w:p w14:paraId="31C06ECD" w14:textId="4F692E46" w:rsidR="00371C87" w:rsidRPr="00AB34C7" w:rsidRDefault="00371C87" w:rsidP="00371C87">
            <w:pPr>
              <w:pStyle w:val="COMTabletext"/>
            </w:pPr>
            <w:r w:rsidRPr="00AB34C7">
              <w:t>Unadjusted RMST (N=106)</w:t>
            </w:r>
          </w:p>
        </w:tc>
        <w:tc>
          <w:tcPr>
            <w:tcW w:w="1065" w:type="pct"/>
            <w:shd w:val="clear" w:color="auto" w:fill="auto"/>
          </w:tcPr>
          <w:p w14:paraId="3E677308" w14:textId="551CF3D7" w:rsidR="00371C87" w:rsidRPr="00AB34C7" w:rsidRDefault="00371C87" w:rsidP="00371C87">
            <w:pPr>
              <w:pStyle w:val="COMTabletext"/>
              <w:jc w:val="center"/>
            </w:pPr>
            <w:r w:rsidRPr="00AB34C7">
              <w:t>-1.59 (-3.66, 0.48)</w:t>
            </w:r>
          </w:p>
        </w:tc>
        <w:tc>
          <w:tcPr>
            <w:tcW w:w="744" w:type="pct"/>
          </w:tcPr>
          <w:p w14:paraId="21B4DB77" w14:textId="2E122CBD" w:rsidR="00371C87" w:rsidRPr="00AB34C7" w:rsidRDefault="00371C87" w:rsidP="00371C87">
            <w:pPr>
              <w:pStyle w:val="COMTabletext"/>
              <w:jc w:val="center"/>
            </w:pPr>
            <w:r w:rsidRPr="00AB34C7">
              <w:t>0.132</w:t>
            </w:r>
          </w:p>
        </w:tc>
      </w:tr>
      <w:tr w:rsidR="00371C87" w:rsidRPr="00AB34C7" w14:paraId="693B2C31" w14:textId="77777777" w:rsidTr="00A214AB">
        <w:trPr>
          <w:trHeight w:val="53"/>
        </w:trPr>
        <w:tc>
          <w:tcPr>
            <w:tcW w:w="3191" w:type="pct"/>
          </w:tcPr>
          <w:p w14:paraId="61F86B93" w14:textId="2A7CFE11" w:rsidR="00371C87" w:rsidRPr="00AB34C7" w:rsidRDefault="00371C87" w:rsidP="00371C87">
            <w:pPr>
              <w:pStyle w:val="COMTabletext"/>
            </w:pPr>
            <w:r w:rsidRPr="00AB34C7">
              <w:t>Adjustment based on 8 prognostic variables (primary analysis; ESS=46)</w:t>
            </w:r>
          </w:p>
        </w:tc>
        <w:tc>
          <w:tcPr>
            <w:tcW w:w="1065" w:type="pct"/>
            <w:shd w:val="clear" w:color="auto" w:fill="auto"/>
          </w:tcPr>
          <w:p w14:paraId="1243DB38" w14:textId="7EA89BD3" w:rsidR="00371C87" w:rsidRPr="00AB34C7" w:rsidRDefault="00371C87" w:rsidP="00371C87">
            <w:pPr>
              <w:pStyle w:val="COMTabletext"/>
              <w:jc w:val="center"/>
            </w:pPr>
            <w:r w:rsidRPr="00AB34C7">
              <w:t>-0.95 (-3.69, 1.78)</w:t>
            </w:r>
          </w:p>
        </w:tc>
        <w:tc>
          <w:tcPr>
            <w:tcW w:w="744" w:type="pct"/>
          </w:tcPr>
          <w:p w14:paraId="503DADA3" w14:textId="2D79675B" w:rsidR="00371C87" w:rsidRPr="00AB34C7" w:rsidRDefault="00371C87" w:rsidP="00371C87">
            <w:pPr>
              <w:pStyle w:val="COMTabletext"/>
              <w:jc w:val="center"/>
            </w:pPr>
            <w:r w:rsidRPr="00AB34C7">
              <w:t>0.495</w:t>
            </w:r>
          </w:p>
        </w:tc>
      </w:tr>
      <w:tr w:rsidR="00371C87" w:rsidRPr="00AB34C7" w14:paraId="5E0765E7" w14:textId="77777777" w:rsidTr="00A214AB">
        <w:trPr>
          <w:trHeight w:val="53"/>
        </w:trPr>
        <w:tc>
          <w:tcPr>
            <w:tcW w:w="3191" w:type="pct"/>
          </w:tcPr>
          <w:p w14:paraId="1E1B35CF" w14:textId="03690A09" w:rsidR="00371C87" w:rsidRPr="00AB34C7" w:rsidRDefault="00371C87" w:rsidP="00371C87">
            <w:pPr>
              <w:pStyle w:val="COMTabletext"/>
            </w:pPr>
            <w:r w:rsidRPr="00AB34C7">
              <w:t>Adjustment based on 5 prognostic variables (ESS=56)</w:t>
            </w:r>
          </w:p>
        </w:tc>
        <w:tc>
          <w:tcPr>
            <w:tcW w:w="1065" w:type="pct"/>
            <w:shd w:val="clear" w:color="auto" w:fill="auto"/>
          </w:tcPr>
          <w:p w14:paraId="14EC1028" w14:textId="0F3D239F" w:rsidR="00371C87" w:rsidRPr="00AB34C7" w:rsidRDefault="00371C87" w:rsidP="00371C87">
            <w:pPr>
              <w:pStyle w:val="COMTabletext"/>
              <w:jc w:val="center"/>
            </w:pPr>
            <w:r w:rsidRPr="00AB34C7">
              <w:t>-1.31 (-3.98, 1.36)</w:t>
            </w:r>
          </w:p>
        </w:tc>
        <w:tc>
          <w:tcPr>
            <w:tcW w:w="744" w:type="pct"/>
          </w:tcPr>
          <w:p w14:paraId="3F348CB9" w14:textId="18EC2AF7" w:rsidR="00371C87" w:rsidRPr="00AB34C7" w:rsidRDefault="00371C87" w:rsidP="00371C87">
            <w:pPr>
              <w:pStyle w:val="COMTabletext"/>
              <w:jc w:val="center"/>
            </w:pPr>
            <w:r w:rsidRPr="00AB34C7">
              <w:t>0.338</w:t>
            </w:r>
          </w:p>
        </w:tc>
      </w:tr>
    </w:tbl>
    <w:p w14:paraId="5CDD40CF" w14:textId="63301AE5" w:rsidR="00737D02" w:rsidRPr="00AB34C7" w:rsidRDefault="00737D02" w:rsidP="00737D02">
      <w:pPr>
        <w:pStyle w:val="COMTablefooter"/>
      </w:pPr>
      <w:r w:rsidRPr="00AB34C7">
        <w:t xml:space="preserve">Source: </w:t>
      </w:r>
      <w:r w:rsidR="00100F36" w:rsidRPr="00AB34C7">
        <w:t>Table 2.96; Table 2.97 of the resubmission.</w:t>
      </w:r>
    </w:p>
    <w:p w14:paraId="2F0C22A3" w14:textId="745E1696" w:rsidR="00737D02" w:rsidRPr="00AB34C7" w:rsidRDefault="00737D02" w:rsidP="00737D02">
      <w:pPr>
        <w:pStyle w:val="COMTablefooter"/>
      </w:pPr>
      <w:r w:rsidRPr="00AB34C7">
        <w:t xml:space="preserve">Abbreviations: CI, confidence interval; </w:t>
      </w:r>
      <w:r w:rsidR="00371C87" w:rsidRPr="00AB34C7">
        <w:t xml:space="preserve">ESS, effective sample size; </w:t>
      </w:r>
      <w:r w:rsidRPr="00AB34C7">
        <w:t>RMST, restricted mean survival time.</w:t>
      </w:r>
    </w:p>
    <w:p w14:paraId="7F998E18" w14:textId="77777777" w:rsidR="00737D02" w:rsidRPr="00AB34C7" w:rsidRDefault="00737D02" w:rsidP="00737D02">
      <w:pPr>
        <w:pStyle w:val="COMTablefooter"/>
      </w:pPr>
      <w:r w:rsidRPr="00AB34C7">
        <w:t>A restricted mean survival time greater than zero favours ibrutinib + venetoclax.</w:t>
      </w:r>
    </w:p>
    <w:p w14:paraId="0E3B45EC" w14:textId="61CBB88F" w:rsidR="00737D02" w:rsidRPr="00AB34C7" w:rsidRDefault="00371C87" w:rsidP="00AA787B">
      <w:pPr>
        <w:pStyle w:val="COMexecsumnumberedpara"/>
        <w:ind w:hanging="720"/>
      </w:pPr>
      <w:r w:rsidRPr="00AB34C7">
        <w:t>Prior to MAIC adjustment (i.e., based on a naïve comparison of ibrutinib + venetoclax and zanubrutinib), the comparison of progression-free survival favoured zanubrutinib, but was not statistically significant (restricted mean survival time: -1.00; 95% CI: -3.54, 1.54). After MAIC adjustment for 8 prognostic variables, the difference in progression-</w:t>
      </w:r>
      <w:r w:rsidRPr="00AB34C7">
        <w:lastRenderedPageBreak/>
        <w:t>free survival favoured ibrutinib + venetoclax, but remained not statistically significant (restricted mean survival time: 0.37; 95% CI: -2.84, 3.58).</w:t>
      </w:r>
      <w:r w:rsidR="003A308C" w:rsidRPr="00AB34C7">
        <w:t xml:space="preserve"> A similar result was seen after adjustment for only 5 prognostic variables (restricted mean survival time: 0.04; 95% CI: -3.05, 3.13).</w:t>
      </w:r>
    </w:p>
    <w:p w14:paraId="38FB87E2" w14:textId="7321B44A" w:rsidR="00371C87" w:rsidRPr="00AB34C7" w:rsidRDefault="00371C87" w:rsidP="00AA787B">
      <w:pPr>
        <w:pStyle w:val="COMexecsumnumberedpara"/>
        <w:ind w:hanging="720"/>
      </w:pPr>
      <w:r w:rsidRPr="00AB34C7">
        <w:t>Prior to MAIC adjustment (i.e., based on a naïve comparison of ibrutinib + venetoclax and zanubrutinib), the comparison of overall survival favoured zanubrutinib, but was not statistically significant (restricted mean survival time: -1.59; 95% CI: -3.66, 0.48). After MAIC adjustment for 8 prognostic variables, the difference in overall survival favoured zanubrutinib, but remained not statistically significant (restricted mean survival time: -0.95; 95% CI: -3.69, 1.78).</w:t>
      </w:r>
      <w:r w:rsidR="003A308C" w:rsidRPr="00AB34C7">
        <w:t xml:space="preserve"> A similar result was seen after adjustment for only 5 prognostic variables (restricted mean survival time: -1.31; 95% CI: -3.98, 1.36).</w:t>
      </w:r>
    </w:p>
    <w:p w14:paraId="45E07894" w14:textId="56BB1C57" w:rsidR="00371C87" w:rsidRPr="00AB34C7" w:rsidRDefault="00371C87" w:rsidP="00AA787B">
      <w:pPr>
        <w:pStyle w:val="COMexecsumnumberedpara"/>
        <w:ind w:hanging="720"/>
      </w:pPr>
      <w:r w:rsidRPr="00AB34C7">
        <w:t xml:space="preserve">The results of the </w:t>
      </w:r>
      <w:r w:rsidR="00D76419" w:rsidRPr="00AB34C7">
        <w:t xml:space="preserve">MAICs were considered uncertain due </w:t>
      </w:r>
      <w:r w:rsidR="003660D3" w:rsidRPr="00AB34C7">
        <w:t>to the limited number of prognostic and treatment effect modifier variables included for matching</w:t>
      </w:r>
      <w:r w:rsidR="00FB524E" w:rsidRPr="00AB34C7">
        <w:t>, limited documentation regarding the methodology</w:t>
      </w:r>
      <w:r w:rsidR="003F5851" w:rsidRPr="00AB34C7">
        <w:t xml:space="preserve"> used,</w:t>
      </w:r>
      <w:r w:rsidR="00FB524E" w:rsidRPr="00AB34C7">
        <w:t xml:space="preserve"> </w:t>
      </w:r>
      <w:r w:rsidR="006B54DF" w:rsidRPr="00AB34C7">
        <w:t xml:space="preserve">the relative immaturity of data for the SEQUOIA trial used in the analysis, </w:t>
      </w:r>
      <w:r w:rsidR="00FB524E" w:rsidRPr="00AB34C7">
        <w:t xml:space="preserve">and </w:t>
      </w:r>
      <w:r w:rsidR="003F5851" w:rsidRPr="00AB34C7">
        <w:t xml:space="preserve">the </w:t>
      </w:r>
      <w:r w:rsidR="00FB524E" w:rsidRPr="00AB34C7">
        <w:t>very low effective sample size</w:t>
      </w:r>
      <w:r w:rsidR="003F5851" w:rsidRPr="00AB34C7">
        <w:t xml:space="preserve"> after matching. Additionally, the submission did not propose </w:t>
      </w:r>
      <w:r w:rsidRPr="00AB34C7">
        <w:t>non-inferiority margin</w:t>
      </w:r>
      <w:r w:rsidR="003F5851" w:rsidRPr="00AB34C7">
        <w:t>s</w:t>
      </w:r>
      <w:r w:rsidRPr="00AB34C7">
        <w:t xml:space="preserve"> for progression-free survival or overall survival. The lack of a statistically significant difference may not be sufficient to establish non-inferiority, as the 95% confidence intervals may include clinically important differences.</w:t>
      </w:r>
      <w:r w:rsidR="003A308C" w:rsidRPr="00AB34C7">
        <w:t xml:space="preserve"> As noted above, the resubmission argued that there are no accepted non-inferiority margins for these outcomes, and that a similar approach was accepted by the PBAC in the consideration of zanubrutinib at the March 2023 PBAC meeting.</w:t>
      </w:r>
    </w:p>
    <w:p w14:paraId="70CC0030" w14:textId="5C074678" w:rsidR="00E20B3E" w:rsidRPr="00F0309A" w:rsidRDefault="00E20B3E" w:rsidP="001C30EF">
      <w:pPr>
        <w:pStyle w:val="Heading3"/>
        <w:spacing w:after="120"/>
        <w:rPr>
          <w:b/>
          <w:bCs/>
          <w:szCs w:val="22"/>
          <w:u w:val="none"/>
        </w:rPr>
      </w:pPr>
      <w:r w:rsidRPr="00F0309A">
        <w:rPr>
          <w:b/>
          <w:bCs/>
          <w:szCs w:val="22"/>
          <w:u w:val="none"/>
        </w:rPr>
        <w:t>Outcomes associated with ibrutinib retreatment</w:t>
      </w:r>
    </w:p>
    <w:p w14:paraId="66CB4326" w14:textId="449B1540" w:rsidR="00E20B3E" w:rsidRPr="00AB34C7" w:rsidRDefault="007F0D19" w:rsidP="00AA787B">
      <w:pPr>
        <w:pStyle w:val="COMexecsumnumberedpara"/>
        <w:ind w:hanging="720"/>
      </w:pPr>
      <w:bookmarkStart w:id="33" w:name="_Hlk155891553"/>
      <w:r w:rsidRPr="00AB34C7">
        <w:t xml:space="preserve">To support the request to allow patients who experience disease progression following treatment with ibrutinib + venetoclax to </w:t>
      </w:r>
      <w:r w:rsidR="00396A25" w:rsidRPr="00AB34C7">
        <w:t>receive</w:t>
      </w:r>
      <w:r w:rsidRPr="00AB34C7">
        <w:t xml:space="preserve"> retreat</w:t>
      </w:r>
      <w:r w:rsidR="00396A25" w:rsidRPr="00AB34C7">
        <w:t xml:space="preserve">ment </w:t>
      </w:r>
      <w:r w:rsidRPr="00AB34C7">
        <w:t>with ibrutinib</w:t>
      </w:r>
      <w:r w:rsidR="00656254" w:rsidRPr="00AB34C7">
        <w:t xml:space="preserve"> monotherapy</w:t>
      </w:r>
      <w:r w:rsidR="00396A25" w:rsidRPr="00AB34C7">
        <w:t>, t</w:t>
      </w:r>
      <w:r w:rsidRPr="00AB34C7">
        <w:t xml:space="preserve">he resubmission presented </w:t>
      </w:r>
      <w:r w:rsidR="00977892" w:rsidRPr="00AB34C7">
        <w:t xml:space="preserve">updated </w:t>
      </w:r>
      <w:r w:rsidRPr="00AB34C7">
        <w:t xml:space="preserve">data </w:t>
      </w:r>
      <w:r w:rsidR="00977892" w:rsidRPr="00AB34C7">
        <w:t xml:space="preserve">on outcomes </w:t>
      </w:r>
      <w:r w:rsidR="00962691" w:rsidRPr="00AB34C7">
        <w:t xml:space="preserve">among </w:t>
      </w:r>
      <w:r w:rsidR="00977892" w:rsidRPr="00AB34C7">
        <w:t xml:space="preserve">patients </w:t>
      </w:r>
      <w:r w:rsidR="00962691" w:rsidRPr="00AB34C7">
        <w:t xml:space="preserve">who received </w:t>
      </w:r>
      <w:r w:rsidR="005B4BC4" w:rsidRPr="00AB34C7">
        <w:t xml:space="preserve">post-progression </w:t>
      </w:r>
      <w:r w:rsidR="00962691" w:rsidRPr="00AB34C7">
        <w:t xml:space="preserve">retreatment with ibrutinib </w:t>
      </w:r>
      <w:r w:rsidR="00977892" w:rsidRPr="00AB34C7">
        <w:t xml:space="preserve">in the CAPTIVATE </w:t>
      </w:r>
      <w:r w:rsidR="00656254" w:rsidRPr="00AB34C7">
        <w:t>study.</w:t>
      </w:r>
      <w:r w:rsidRPr="00AB34C7">
        <w:t xml:space="preserve"> </w:t>
      </w:r>
      <w:bookmarkEnd w:id="33"/>
      <w:r w:rsidR="00A12630" w:rsidRPr="00AB34C7">
        <w:t xml:space="preserve">Data corresponding to a median follow-up of 38.7 months </w:t>
      </w:r>
      <w:r w:rsidR="008A743A" w:rsidRPr="00AB34C7">
        <w:t>were</w:t>
      </w:r>
      <w:r w:rsidR="00A12630" w:rsidRPr="00AB34C7">
        <w:t xml:space="preserve"> presented in the November 2022 submission.</w:t>
      </w:r>
      <w:r w:rsidR="00204A31" w:rsidRPr="00AB34C7">
        <w:t xml:space="preserve"> The resubmission included additional data based on the most recent data cut for the CAPTIVATE study</w:t>
      </w:r>
      <w:r w:rsidR="00BC6C0E" w:rsidRPr="00AB34C7">
        <w:t xml:space="preserve"> (median follow-up 55.7 months).</w:t>
      </w:r>
    </w:p>
    <w:p w14:paraId="6EEA506C" w14:textId="467A38F1" w:rsidR="00A12630" w:rsidRPr="00AB34C7" w:rsidRDefault="00BC6C0E" w:rsidP="00AA787B">
      <w:pPr>
        <w:pStyle w:val="COMexecsumnumberedpara"/>
        <w:ind w:hanging="720"/>
      </w:pPr>
      <w:r w:rsidRPr="00AB34C7">
        <w:t xml:space="preserve">Of the 202 patients treated with ibrutinib + venetoclax in either the fixed duration cohort (n=159) or the MRD cohort (n=43), 53 had experienced progressive disease, with a median time to disease progression of 3.2 years (range: 1.0-5.5). Twenty-two of the patients who experienced disease progression received retreatment with ibrutinib monotherapy. With a median time on ibrutinib retreatment of 16.6 months (range: 0-45.0), the overall response rate in 21 evaluable patients was 86%, with best response of complete response in 1 patient, partial response in 17 patients, partial response with lymphocytosis in 1 patient, stable disease in 1 patient, and progressive disease in 1 patient. The resubmission stated that an additional 6 patients have started retreatment with ibrutinib + venetoclax, 7 patients have initiated other subsequent therapies, and 18 patients have received no subsequent treatment. The resubmission </w:t>
      </w:r>
      <w:r w:rsidRPr="00AB34C7">
        <w:lastRenderedPageBreak/>
        <w:t>argued that these data support that patients continue to respond with BTK inhibitor therapy after fixed duration ibrutinib + venetoclax, and in particular respond to ibrutinib monotherapy after having had fixed duration ibrutinib + venetoclax.</w:t>
      </w:r>
    </w:p>
    <w:p w14:paraId="69DCA006" w14:textId="7E69338A" w:rsidR="00BC6C0E" w:rsidRPr="00AB34C7" w:rsidRDefault="00BC6C0E" w:rsidP="00AA787B">
      <w:pPr>
        <w:pStyle w:val="COMexecsumnumberedpara"/>
        <w:ind w:hanging="720"/>
      </w:pPr>
      <w:r w:rsidRPr="00AB34C7">
        <w:t xml:space="preserve">The resubmission stated that, based on available data, few patients who received fixed duration treatment with ibrutinib + venetoclax in the GLOW trial have </w:t>
      </w:r>
      <w:r w:rsidR="008A743A" w:rsidRPr="00AB34C7">
        <w:t xml:space="preserve">so far </w:t>
      </w:r>
      <w:r w:rsidRPr="00AB34C7">
        <w:t>receive</w:t>
      </w:r>
      <w:r w:rsidR="008A743A" w:rsidRPr="00AB34C7">
        <w:t>d</w:t>
      </w:r>
      <w:r w:rsidRPr="00AB34C7">
        <w:t xml:space="preserve"> second-line therapy. Based on a median follow-up of 55 months in the ibrutinib + venetoclax arm, 4 patients (3.8%) received ibrutinib monotherapy as subsequent therapy as part of the study</w:t>
      </w:r>
      <w:r w:rsidR="008A743A" w:rsidRPr="00AB34C7">
        <w:t>. The best response was complete response for 1 patient, partial response for two patients</w:t>
      </w:r>
      <w:r w:rsidR="00240B82" w:rsidRPr="00AB34C7">
        <w:t xml:space="preserve"> (one patients </w:t>
      </w:r>
      <w:r w:rsidRPr="00AB34C7">
        <w:t>had not yet had a disease assessment</w:t>
      </w:r>
      <w:r w:rsidR="00240B82" w:rsidRPr="00AB34C7">
        <w:t>).</w:t>
      </w:r>
      <w:r w:rsidRPr="00AB34C7">
        <w:t xml:space="preserve"> </w:t>
      </w:r>
    </w:p>
    <w:p w14:paraId="7F1AF8FE" w14:textId="5990848D" w:rsidR="003A308C" w:rsidRPr="00AB34C7" w:rsidRDefault="003A308C" w:rsidP="00AA787B">
      <w:pPr>
        <w:pStyle w:val="COMexecsumnumberedpara"/>
        <w:ind w:hanging="720"/>
      </w:pPr>
      <w:r w:rsidRPr="00AB34C7">
        <w:t xml:space="preserve">The ESC </w:t>
      </w:r>
      <w:r w:rsidR="009C19C7" w:rsidRPr="00AB34C7">
        <w:t xml:space="preserve">considered that the data to support </w:t>
      </w:r>
      <w:r w:rsidR="008A3F7B" w:rsidRPr="00AB34C7">
        <w:t>retreatment following</w:t>
      </w:r>
      <w:r w:rsidRPr="00AB34C7">
        <w:t xml:space="preserve"> </w:t>
      </w:r>
      <w:r w:rsidR="008A3F7B" w:rsidRPr="00AB34C7">
        <w:t>ibrutinib + venetoclax</w:t>
      </w:r>
      <w:r w:rsidR="009C19C7" w:rsidRPr="00AB34C7">
        <w:t xml:space="preserve"> was limited</w:t>
      </w:r>
      <w:r w:rsidR="008A3F7B" w:rsidRPr="00AB34C7">
        <w:t xml:space="preserve"> and </w:t>
      </w:r>
      <w:r w:rsidR="009C19C7" w:rsidRPr="00AB34C7">
        <w:t xml:space="preserve">noted </w:t>
      </w:r>
      <w:r w:rsidR="008A3F7B" w:rsidRPr="00AB34C7">
        <w:t xml:space="preserve">there are </w:t>
      </w:r>
      <w:r w:rsidR="009C19C7" w:rsidRPr="00AB34C7">
        <w:t xml:space="preserve">alternative </w:t>
      </w:r>
      <w:r w:rsidR="008A3F7B" w:rsidRPr="00AB34C7">
        <w:t xml:space="preserve">BTK inhibitor therapies available </w:t>
      </w:r>
      <w:r w:rsidR="009C19C7" w:rsidRPr="00AB34C7">
        <w:t>for patients who relapse or experience refractory disease following first-line treatment with ibrutinib</w:t>
      </w:r>
      <w:r w:rsidR="008A3F7B" w:rsidRPr="00AB34C7">
        <w:t xml:space="preserve">. </w:t>
      </w:r>
    </w:p>
    <w:p w14:paraId="1452C351" w14:textId="0D19F1B0" w:rsidR="00B60939" w:rsidRPr="00AB34C7" w:rsidRDefault="00B60939" w:rsidP="00AA787B">
      <w:pPr>
        <w:pStyle w:val="COMH2-non-numbered"/>
        <w:ind w:left="720" w:hanging="720"/>
      </w:pPr>
      <w:bookmarkStart w:id="34" w:name="_Toc22897642"/>
      <w:bookmarkStart w:id="35" w:name="_Toc156912602"/>
      <w:r w:rsidRPr="00AB34C7">
        <w:t>Comparative harms</w:t>
      </w:r>
      <w:bookmarkEnd w:id="34"/>
      <w:bookmarkEnd w:id="35"/>
    </w:p>
    <w:p w14:paraId="004BC8ED" w14:textId="37B1ECB7" w:rsidR="005E2349" w:rsidRPr="00AB34C7" w:rsidRDefault="00486E5D" w:rsidP="005E2349">
      <w:pPr>
        <w:pStyle w:val="COMexecsumnumberedpara"/>
        <w:ind w:hanging="720"/>
      </w:pPr>
      <w:r w:rsidRPr="00AB34C7">
        <w:fldChar w:fldCharType="begin" w:fldLock="1"/>
      </w:r>
      <w:r w:rsidRPr="00AB34C7">
        <w:instrText xml:space="preserve"> REF _Ref153200501 \h </w:instrText>
      </w:r>
      <w:r w:rsidRPr="00AB34C7">
        <w:fldChar w:fldCharType="separate"/>
      </w:r>
      <w:r w:rsidR="008A42E6" w:rsidRPr="00AB34C7">
        <w:t xml:space="preserve">Table </w:t>
      </w:r>
      <w:r w:rsidR="008A42E6" w:rsidRPr="00B95C74">
        <w:t>11</w:t>
      </w:r>
      <w:r w:rsidRPr="00AB34C7">
        <w:fldChar w:fldCharType="end"/>
      </w:r>
      <w:r w:rsidRPr="00AB34C7">
        <w:t xml:space="preserve"> </w:t>
      </w:r>
      <w:r w:rsidR="005E2349" w:rsidRPr="00AB34C7">
        <w:t>presents a summary of safety outcomes for the GLOW, CAPTIVATE, CLL-14 and SEQUOIA trials at the time of the primary analysis for each trial.</w:t>
      </w:r>
    </w:p>
    <w:p w14:paraId="7667E62A" w14:textId="193C12C0" w:rsidR="005E2349" w:rsidRPr="00AB34C7" w:rsidRDefault="00486E5D" w:rsidP="001C30EF">
      <w:pPr>
        <w:pStyle w:val="COMtablefigcaption"/>
        <w:keepLines/>
        <w:rPr>
          <w:snapToGrid w:val="0"/>
        </w:rPr>
      </w:pPr>
      <w:bookmarkStart w:id="36" w:name="_Ref153200501"/>
      <w:r w:rsidRPr="00AB34C7">
        <w:t xml:space="preserve">Table </w:t>
      </w:r>
      <w:fldSimple w:instr=" SEQ Table \* ARABIC " w:fldLock="1">
        <w:r w:rsidR="008A42E6" w:rsidRPr="00B95C74">
          <w:t>11</w:t>
        </w:r>
      </w:fldSimple>
      <w:bookmarkEnd w:id="36"/>
      <w:r w:rsidRPr="00AB34C7">
        <w:t xml:space="preserve">: </w:t>
      </w:r>
      <w:r w:rsidR="005E2349" w:rsidRPr="00AB34C7">
        <w:rPr>
          <w:snapToGrid w:val="0"/>
        </w:rPr>
        <w:t>Comparison of adverse events for the GLOW, CAPTIVATE, CLL-14 and SEQUOIA trials</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Caption w:val="Table 11: Comparison of adverse events for the GLOW, CAPTIVATE, CLL-14 and SEQUOIA trials"/>
      </w:tblPr>
      <w:tblGrid>
        <w:gridCol w:w="1840"/>
        <w:gridCol w:w="850"/>
        <w:gridCol w:w="849"/>
        <w:gridCol w:w="856"/>
        <w:gridCol w:w="862"/>
        <w:gridCol w:w="922"/>
        <w:gridCol w:w="922"/>
        <w:gridCol w:w="922"/>
        <w:gridCol w:w="915"/>
      </w:tblGrid>
      <w:tr w:rsidR="005E2349" w:rsidRPr="00AB34C7" w14:paraId="34C1E20B" w14:textId="77777777" w:rsidTr="00507D72">
        <w:trPr>
          <w:trHeight w:val="70"/>
          <w:tblHeader/>
        </w:trPr>
        <w:tc>
          <w:tcPr>
            <w:tcW w:w="1029" w:type="pct"/>
            <w:vMerge w:val="restart"/>
            <w:tcBorders>
              <w:top w:val="single" w:sz="4" w:space="0" w:color="auto"/>
              <w:left w:val="single" w:sz="4" w:space="0" w:color="auto"/>
              <w:right w:val="single" w:sz="4" w:space="0" w:color="auto"/>
            </w:tcBorders>
            <w:shd w:val="clear" w:color="auto" w:fill="FFFFFF"/>
            <w:vAlign w:val="center"/>
          </w:tcPr>
          <w:p w14:paraId="0AF5D0B3" w14:textId="77777777" w:rsidR="005E2349" w:rsidRPr="00AB34C7" w:rsidRDefault="005E2349" w:rsidP="001C30EF">
            <w:pPr>
              <w:pStyle w:val="COMTabletext"/>
              <w:keepLines/>
            </w:pPr>
          </w:p>
        </w:tc>
        <w:tc>
          <w:tcPr>
            <w:tcW w:w="950" w:type="pct"/>
            <w:gridSpan w:val="2"/>
            <w:tcBorders>
              <w:top w:val="single" w:sz="4" w:space="0" w:color="auto"/>
              <w:left w:val="single" w:sz="4" w:space="0" w:color="auto"/>
              <w:right w:val="single" w:sz="4" w:space="0" w:color="auto"/>
            </w:tcBorders>
            <w:shd w:val="clear" w:color="auto" w:fill="FFFFFF"/>
            <w:vAlign w:val="center"/>
          </w:tcPr>
          <w:p w14:paraId="1354130F" w14:textId="77777777" w:rsidR="005E2349" w:rsidRPr="00AB34C7" w:rsidRDefault="005E2349" w:rsidP="001C30EF">
            <w:pPr>
              <w:pStyle w:val="COMTabletext"/>
              <w:keepLines/>
              <w:jc w:val="center"/>
              <w:rPr>
                <w:b/>
                <w:bCs w:val="0"/>
              </w:rPr>
            </w:pPr>
            <w:r w:rsidRPr="00AB34C7">
              <w:rPr>
                <w:b/>
                <w:bCs w:val="0"/>
              </w:rPr>
              <w:t>GLOW</w:t>
            </w:r>
          </w:p>
        </w:tc>
        <w:tc>
          <w:tcPr>
            <w:tcW w:w="479" w:type="pct"/>
            <w:tcBorders>
              <w:top w:val="single" w:sz="4" w:space="0" w:color="auto"/>
              <w:left w:val="single" w:sz="4" w:space="0" w:color="auto"/>
              <w:right w:val="single" w:sz="4" w:space="0" w:color="auto"/>
            </w:tcBorders>
            <w:shd w:val="clear" w:color="auto" w:fill="FFFFFF"/>
          </w:tcPr>
          <w:p w14:paraId="1B6BEA7D" w14:textId="77777777" w:rsidR="005E2349" w:rsidRPr="00AB34C7" w:rsidRDefault="005E2349" w:rsidP="001C30EF">
            <w:pPr>
              <w:pStyle w:val="COMTabletext"/>
              <w:keepLines/>
              <w:jc w:val="center"/>
              <w:rPr>
                <w:b/>
                <w:bCs w:val="0"/>
              </w:rPr>
            </w:pPr>
            <w:r w:rsidRPr="00AB34C7">
              <w:rPr>
                <w:b/>
                <w:bCs w:val="0"/>
              </w:rPr>
              <w:t>CAPTI-VATE</w:t>
            </w:r>
          </w:p>
        </w:tc>
        <w:tc>
          <w:tcPr>
            <w:tcW w:w="998" w:type="pct"/>
            <w:gridSpan w:val="2"/>
            <w:tcBorders>
              <w:top w:val="single" w:sz="4" w:space="0" w:color="auto"/>
              <w:left w:val="single" w:sz="4" w:space="0" w:color="auto"/>
              <w:right w:val="single" w:sz="4" w:space="0" w:color="auto"/>
            </w:tcBorders>
            <w:shd w:val="clear" w:color="auto" w:fill="FFFFFF"/>
            <w:vAlign w:val="center"/>
          </w:tcPr>
          <w:p w14:paraId="160F6E31" w14:textId="77777777" w:rsidR="005E2349" w:rsidRPr="00AB34C7" w:rsidRDefault="005E2349" w:rsidP="001C30EF">
            <w:pPr>
              <w:pStyle w:val="COMTabletext"/>
              <w:keepLines/>
              <w:jc w:val="center"/>
              <w:rPr>
                <w:b/>
                <w:bCs w:val="0"/>
              </w:rPr>
            </w:pPr>
            <w:r w:rsidRPr="00AB34C7">
              <w:rPr>
                <w:b/>
                <w:bCs w:val="0"/>
              </w:rPr>
              <w:t>CLL-14</w:t>
            </w:r>
          </w:p>
        </w:tc>
        <w:tc>
          <w:tcPr>
            <w:tcW w:w="1543" w:type="pct"/>
            <w:gridSpan w:val="3"/>
            <w:tcBorders>
              <w:top w:val="single" w:sz="4" w:space="0" w:color="auto"/>
              <w:left w:val="single" w:sz="4" w:space="0" w:color="auto"/>
              <w:right w:val="single" w:sz="4" w:space="0" w:color="auto"/>
            </w:tcBorders>
            <w:shd w:val="clear" w:color="auto" w:fill="FFFFFF"/>
            <w:vAlign w:val="center"/>
          </w:tcPr>
          <w:p w14:paraId="69030ACA" w14:textId="77777777" w:rsidR="005E2349" w:rsidRPr="00AB34C7" w:rsidRDefault="005E2349" w:rsidP="001C30EF">
            <w:pPr>
              <w:pStyle w:val="COMTabletext"/>
              <w:keepLines/>
              <w:jc w:val="center"/>
              <w:rPr>
                <w:b/>
                <w:bCs w:val="0"/>
              </w:rPr>
            </w:pPr>
            <w:r w:rsidRPr="00AB34C7">
              <w:rPr>
                <w:b/>
                <w:bCs w:val="0"/>
              </w:rPr>
              <w:t>SEQUOIA</w:t>
            </w:r>
          </w:p>
        </w:tc>
      </w:tr>
      <w:tr w:rsidR="005E2349" w:rsidRPr="00AB34C7" w14:paraId="57780C8D" w14:textId="77777777" w:rsidTr="00507D72">
        <w:trPr>
          <w:trHeight w:val="401"/>
          <w:tblHeader/>
        </w:trPr>
        <w:tc>
          <w:tcPr>
            <w:tcW w:w="1029" w:type="pct"/>
            <w:vMerge/>
            <w:tcBorders>
              <w:left w:val="single" w:sz="4" w:space="0" w:color="auto"/>
              <w:right w:val="single" w:sz="4" w:space="0" w:color="auto"/>
            </w:tcBorders>
            <w:shd w:val="clear" w:color="auto" w:fill="FFFFFF"/>
            <w:vAlign w:val="center"/>
          </w:tcPr>
          <w:p w14:paraId="0D0980BD" w14:textId="77777777" w:rsidR="005E2349" w:rsidRPr="00AB34C7" w:rsidRDefault="005E2349" w:rsidP="001C30EF">
            <w:pPr>
              <w:pStyle w:val="COMTabletext"/>
              <w:keepLines/>
            </w:pPr>
          </w:p>
        </w:tc>
        <w:tc>
          <w:tcPr>
            <w:tcW w:w="475" w:type="pct"/>
            <w:tcBorders>
              <w:left w:val="single" w:sz="4" w:space="0" w:color="auto"/>
              <w:bottom w:val="single" w:sz="4" w:space="0" w:color="FFFFFF" w:themeColor="background1"/>
              <w:right w:val="single" w:sz="4" w:space="0" w:color="auto"/>
            </w:tcBorders>
            <w:shd w:val="clear" w:color="auto" w:fill="FFFFFF"/>
            <w:vAlign w:val="center"/>
          </w:tcPr>
          <w:p w14:paraId="409C83BD" w14:textId="77777777" w:rsidR="005E2349" w:rsidRPr="00AB34C7" w:rsidRDefault="005E2349" w:rsidP="001C30EF">
            <w:pPr>
              <w:pStyle w:val="COMTabletext"/>
              <w:keepLines/>
              <w:jc w:val="center"/>
              <w:rPr>
                <w:b/>
                <w:bCs w:val="0"/>
              </w:rPr>
            </w:pPr>
            <w:r w:rsidRPr="00AB34C7">
              <w:rPr>
                <w:b/>
                <w:bCs w:val="0"/>
              </w:rPr>
              <w:t>IBR + VEN</w:t>
            </w:r>
          </w:p>
        </w:tc>
        <w:tc>
          <w:tcPr>
            <w:tcW w:w="475" w:type="pct"/>
            <w:tcBorders>
              <w:left w:val="single" w:sz="4" w:space="0" w:color="auto"/>
              <w:bottom w:val="single" w:sz="4" w:space="0" w:color="FFFFFF" w:themeColor="background1"/>
              <w:right w:val="single" w:sz="4" w:space="0" w:color="auto"/>
            </w:tcBorders>
            <w:shd w:val="clear" w:color="auto" w:fill="FFFFFF"/>
            <w:vAlign w:val="center"/>
          </w:tcPr>
          <w:p w14:paraId="4F76C286" w14:textId="77777777" w:rsidR="005E2349" w:rsidRPr="00AB34C7" w:rsidRDefault="005E2349" w:rsidP="001C30EF">
            <w:pPr>
              <w:pStyle w:val="COMTabletext"/>
              <w:keepLines/>
              <w:jc w:val="center"/>
              <w:rPr>
                <w:b/>
                <w:bCs w:val="0"/>
              </w:rPr>
            </w:pPr>
            <w:r w:rsidRPr="00AB34C7">
              <w:rPr>
                <w:b/>
                <w:bCs w:val="0"/>
              </w:rPr>
              <w:t>CHL + OBI</w:t>
            </w:r>
          </w:p>
        </w:tc>
        <w:tc>
          <w:tcPr>
            <w:tcW w:w="479" w:type="pct"/>
            <w:tcBorders>
              <w:left w:val="single" w:sz="4" w:space="0" w:color="auto"/>
              <w:bottom w:val="single" w:sz="4" w:space="0" w:color="FFFFFF" w:themeColor="background1"/>
              <w:right w:val="single" w:sz="4" w:space="0" w:color="auto"/>
            </w:tcBorders>
            <w:shd w:val="clear" w:color="auto" w:fill="FFFFFF"/>
            <w:vAlign w:val="center"/>
          </w:tcPr>
          <w:p w14:paraId="1A1178DB" w14:textId="77777777" w:rsidR="005E2349" w:rsidRPr="00AB34C7" w:rsidRDefault="005E2349" w:rsidP="001C30EF">
            <w:pPr>
              <w:pStyle w:val="COMTabletext"/>
              <w:keepLines/>
              <w:jc w:val="center"/>
              <w:rPr>
                <w:b/>
                <w:bCs w:val="0"/>
              </w:rPr>
            </w:pPr>
            <w:r w:rsidRPr="00AB34C7">
              <w:rPr>
                <w:b/>
                <w:bCs w:val="0"/>
              </w:rPr>
              <w:t>IBR + VEN</w:t>
            </w:r>
          </w:p>
        </w:tc>
        <w:tc>
          <w:tcPr>
            <w:tcW w:w="482" w:type="pct"/>
            <w:tcBorders>
              <w:left w:val="single" w:sz="4" w:space="0" w:color="auto"/>
              <w:bottom w:val="single" w:sz="4" w:space="0" w:color="FFFFFF" w:themeColor="background1"/>
              <w:right w:val="single" w:sz="4" w:space="0" w:color="auto"/>
            </w:tcBorders>
            <w:shd w:val="clear" w:color="auto" w:fill="FFFFFF"/>
            <w:vAlign w:val="center"/>
          </w:tcPr>
          <w:p w14:paraId="2B562BCC" w14:textId="77777777" w:rsidR="005E2349" w:rsidRPr="00AB34C7" w:rsidRDefault="005E2349" w:rsidP="001C30EF">
            <w:pPr>
              <w:pStyle w:val="COMTabletext"/>
              <w:keepLines/>
              <w:jc w:val="center"/>
              <w:rPr>
                <w:b/>
                <w:bCs w:val="0"/>
              </w:rPr>
            </w:pPr>
            <w:r w:rsidRPr="00AB34C7">
              <w:rPr>
                <w:b/>
                <w:bCs w:val="0"/>
              </w:rPr>
              <w:t>VEN + OBI</w:t>
            </w:r>
          </w:p>
        </w:tc>
        <w:tc>
          <w:tcPr>
            <w:tcW w:w="516" w:type="pct"/>
            <w:tcBorders>
              <w:left w:val="single" w:sz="4" w:space="0" w:color="auto"/>
              <w:bottom w:val="single" w:sz="4" w:space="0" w:color="FFFFFF" w:themeColor="background1"/>
              <w:right w:val="single" w:sz="4" w:space="0" w:color="auto"/>
            </w:tcBorders>
            <w:shd w:val="clear" w:color="auto" w:fill="FFFFFF"/>
            <w:vAlign w:val="center"/>
          </w:tcPr>
          <w:p w14:paraId="23DAFA77" w14:textId="77777777" w:rsidR="005E2349" w:rsidRPr="00AB34C7" w:rsidRDefault="005E2349" w:rsidP="001C30EF">
            <w:pPr>
              <w:pStyle w:val="COMTabletext"/>
              <w:keepLines/>
              <w:jc w:val="center"/>
              <w:rPr>
                <w:b/>
                <w:bCs w:val="0"/>
              </w:rPr>
            </w:pPr>
            <w:r w:rsidRPr="00AB34C7">
              <w:rPr>
                <w:b/>
                <w:bCs w:val="0"/>
              </w:rPr>
              <w:t>CHL + OBI</w:t>
            </w:r>
          </w:p>
        </w:tc>
        <w:tc>
          <w:tcPr>
            <w:tcW w:w="516" w:type="pct"/>
            <w:tcBorders>
              <w:left w:val="single" w:sz="4" w:space="0" w:color="auto"/>
              <w:bottom w:val="single" w:sz="4" w:space="0" w:color="FFFFFF" w:themeColor="background1"/>
              <w:right w:val="single" w:sz="4" w:space="0" w:color="auto"/>
            </w:tcBorders>
            <w:shd w:val="clear" w:color="auto" w:fill="FFFFFF"/>
            <w:vAlign w:val="center"/>
          </w:tcPr>
          <w:p w14:paraId="22C77A67" w14:textId="77777777" w:rsidR="005E2349" w:rsidRPr="00AB34C7" w:rsidRDefault="005E2349" w:rsidP="001C30EF">
            <w:pPr>
              <w:pStyle w:val="COMTabletext"/>
              <w:keepLines/>
              <w:jc w:val="center"/>
              <w:rPr>
                <w:b/>
                <w:bCs w:val="0"/>
              </w:rPr>
            </w:pPr>
            <w:r w:rsidRPr="00AB34C7">
              <w:rPr>
                <w:b/>
                <w:bCs w:val="0"/>
              </w:rPr>
              <w:t>ZAN</w:t>
            </w:r>
          </w:p>
        </w:tc>
        <w:tc>
          <w:tcPr>
            <w:tcW w:w="516" w:type="pct"/>
            <w:tcBorders>
              <w:left w:val="single" w:sz="4" w:space="0" w:color="auto"/>
              <w:bottom w:val="single" w:sz="4" w:space="0" w:color="FFFFFF" w:themeColor="background1"/>
              <w:right w:val="single" w:sz="4" w:space="0" w:color="auto"/>
            </w:tcBorders>
            <w:shd w:val="clear" w:color="auto" w:fill="FFFFFF"/>
            <w:vAlign w:val="center"/>
          </w:tcPr>
          <w:p w14:paraId="59AF8CB8" w14:textId="77777777" w:rsidR="005E2349" w:rsidRPr="00AB34C7" w:rsidRDefault="005E2349" w:rsidP="001C30EF">
            <w:pPr>
              <w:pStyle w:val="COMTabletext"/>
              <w:keepLines/>
              <w:jc w:val="center"/>
              <w:rPr>
                <w:b/>
                <w:bCs w:val="0"/>
              </w:rPr>
            </w:pPr>
            <w:r w:rsidRPr="00AB34C7">
              <w:rPr>
                <w:b/>
                <w:bCs w:val="0"/>
              </w:rPr>
              <w:t>BEN + RIT</w:t>
            </w:r>
          </w:p>
        </w:tc>
        <w:tc>
          <w:tcPr>
            <w:tcW w:w="512" w:type="pct"/>
            <w:tcBorders>
              <w:left w:val="single" w:sz="4" w:space="0" w:color="auto"/>
              <w:bottom w:val="single" w:sz="4" w:space="0" w:color="FFFFFF" w:themeColor="background1"/>
              <w:right w:val="single" w:sz="4" w:space="0" w:color="auto"/>
            </w:tcBorders>
            <w:shd w:val="clear" w:color="auto" w:fill="FFFFFF"/>
          </w:tcPr>
          <w:p w14:paraId="3EB65DBD" w14:textId="77777777" w:rsidR="005E2349" w:rsidRPr="00AB34C7" w:rsidRDefault="005E2349" w:rsidP="001C30EF">
            <w:pPr>
              <w:pStyle w:val="COMTabletext"/>
              <w:keepLines/>
              <w:jc w:val="center"/>
              <w:rPr>
                <w:b/>
                <w:bCs w:val="0"/>
              </w:rPr>
            </w:pPr>
            <w:r w:rsidRPr="00AB34C7">
              <w:rPr>
                <w:b/>
                <w:bCs w:val="0"/>
              </w:rPr>
              <w:t>ZAN</w:t>
            </w:r>
          </w:p>
          <w:p w14:paraId="7536EEE7" w14:textId="77777777" w:rsidR="005E2349" w:rsidRPr="00AB34C7" w:rsidRDefault="005E2349" w:rsidP="001C30EF">
            <w:pPr>
              <w:pStyle w:val="COMTabletext"/>
              <w:keepLines/>
              <w:jc w:val="center"/>
              <w:rPr>
                <w:b/>
                <w:bCs w:val="0"/>
              </w:rPr>
            </w:pPr>
            <w:r w:rsidRPr="00AB34C7">
              <w:rPr>
                <w:b/>
                <w:bCs w:val="0"/>
              </w:rPr>
              <w:t>(del 17p)</w:t>
            </w:r>
          </w:p>
        </w:tc>
      </w:tr>
      <w:tr w:rsidR="005E2349" w:rsidRPr="00AB34C7" w14:paraId="1223BDB9" w14:textId="77777777" w:rsidTr="00507D72">
        <w:trPr>
          <w:trHeight w:val="277"/>
          <w:tblHeader/>
        </w:trPr>
        <w:tc>
          <w:tcPr>
            <w:tcW w:w="1029" w:type="pct"/>
            <w:vMerge/>
            <w:tcBorders>
              <w:left w:val="single" w:sz="4" w:space="0" w:color="auto"/>
              <w:bottom w:val="single" w:sz="4" w:space="0" w:color="auto"/>
              <w:right w:val="single" w:sz="4" w:space="0" w:color="auto"/>
            </w:tcBorders>
            <w:shd w:val="clear" w:color="auto" w:fill="FFFFFF"/>
            <w:vAlign w:val="center"/>
          </w:tcPr>
          <w:p w14:paraId="33866825" w14:textId="77777777" w:rsidR="005E2349" w:rsidRPr="00AB34C7" w:rsidRDefault="005E2349" w:rsidP="001C30EF">
            <w:pPr>
              <w:pStyle w:val="COMTabletext"/>
              <w:keepLines/>
            </w:pPr>
          </w:p>
        </w:tc>
        <w:tc>
          <w:tcPr>
            <w:tcW w:w="475" w:type="pct"/>
            <w:tcBorders>
              <w:top w:val="single" w:sz="4" w:space="0" w:color="FFFFFF" w:themeColor="background1"/>
              <w:left w:val="single" w:sz="4" w:space="0" w:color="auto"/>
              <w:right w:val="single" w:sz="4" w:space="0" w:color="auto"/>
            </w:tcBorders>
            <w:shd w:val="clear" w:color="auto" w:fill="FFFFFF"/>
          </w:tcPr>
          <w:p w14:paraId="465634FF" w14:textId="77777777" w:rsidR="005E2349" w:rsidRPr="00AB34C7" w:rsidRDefault="005E2349" w:rsidP="001C30EF">
            <w:pPr>
              <w:pStyle w:val="COMTabletext"/>
              <w:keepLines/>
              <w:jc w:val="center"/>
              <w:rPr>
                <w:b/>
                <w:bCs w:val="0"/>
              </w:rPr>
            </w:pPr>
            <w:r w:rsidRPr="00AB34C7">
              <w:rPr>
                <w:b/>
                <w:bCs w:val="0"/>
              </w:rPr>
              <w:t>N=106</w:t>
            </w:r>
          </w:p>
        </w:tc>
        <w:tc>
          <w:tcPr>
            <w:tcW w:w="475" w:type="pct"/>
            <w:tcBorders>
              <w:top w:val="single" w:sz="4" w:space="0" w:color="FFFFFF" w:themeColor="background1"/>
              <w:left w:val="single" w:sz="4" w:space="0" w:color="auto"/>
              <w:right w:val="single" w:sz="4" w:space="0" w:color="auto"/>
            </w:tcBorders>
            <w:shd w:val="clear" w:color="auto" w:fill="FFFFFF"/>
          </w:tcPr>
          <w:p w14:paraId="743C0781" w14:textId="77777777" w:rsidR="005E2349" w:rsidRPr="00AB34C7" w:rsidRDefault="005E2349" w:rsidP="001C30EF">
            <w:pPr>
              <w:pStyle w:val="COMTabletext"/>
              <w:keepLines/>
              <w:jc w:val="center"/>
              <w:rPr>
                <w:b/>
                <w:bCs w:val="0"/>
              </w:rPr>
            </w:pPr>
            <w:r w:rsidRPr="00AB34C7">
              <w:rPr>
                <w:b/>
                <w:bCs w:val="0"/>
              </w:rPr>
              <w:t>N=105</w:t>
            </w:r>
          </w:p>
        </w:tc>
        <w:tc>
          <w:tcPr>
            <w:tcW w:w="479" w:type="pct"/>
            <w:tcBorders>
              <w:top w:val="single" w:sz="4" w:space="0" w:color="FFFFFF" w:themeColor="background1"/>
              <w:left w:val="single" w:sz="4" w:space="0" w:color="auto"/>
              <w:right w:val="single" w:sz="4" w:space="0" w:color="auto"/>
            </w:tcBorders>
            <w:shd w:val="clear" w:color="auto" w:fill="FFFFFF"/>
          </w:tcPr>
          <w:p w14:paraId="3DF8DD25" w14:textId="77777777" w:rsidR="005E2349" w:rsidRPr="00AB34C7" w:rsidRDefault="005E2349" w:rsidP="001C30EF">
            <w:pPr>
              <w:pStyle w:val="COMTabletext"/>
              <w:keepLines/>
              <w:jc w:val="center"/>
              <w:rPr>
                <w:b/>
                <w:bCs w:val="0"/>
              </w:rPr>
            </w:pPr>
            <w:r w:rsidRPr="00AB34C7">
              <w:rPr>
                <w:b/>
                <w:bCs w:val="0"/>
              </w:rPr>
              <w:t>N=159</w:t>
            </w:r>
          </w:p>
        </w:tc>
        <w:tc>
          <w:tcPr>
            <w:tcW w:w="482" w:type="pct"/>
            <w:tcBorders>
              <w:top w:val="single" w:sz="4" w:space="0" w:color="FFFFFF" w:themeColor="background1"/>
              <w:left w:val="single" w:sz="4" w:space="0" w:color="auto"/>
              <w:right w:val="single" w:sz="4" w:space="0" w:color="auto"/>
            </w:tcBorders>
            <w:shd w:val="clear" w:color="auto" w:fill="FFFFFF"/>
          </w:tcPr>
          <w:p w14:paraId="0F48A2E5" w14:textId="77777777" w:rsidR="005E2349" w:rsidRPr="00AB34C7" w:rsidRDefault="005E2349" w:rsidP="001C30EF">
            <w:pPr>
              <w:pStyle w:val="COMTabletext"/>
              <w:keepLines/>
              <w:jc w:val="center"/>
              <w:rPr>
                <w:b/>
                <w:bCs w:val="0"/>
              </w:rPr>
            </w:pPr>
            <w:r w:rsidRPr="00AB34C7">
              <w:rPr>
                <w:b/>
                <w:bCs w:val="0"/>
              </w:rPr>
              <w:t>N=212</w:t>
            </w:r>
          </w:p>
        </w:tc>
        <w:tc>
          <w:tcPr>
            <w:tcW w:w="516" w:type="pct"/>
            <w:tcBorders>
              <w:top w:val="single" w:sz="4" w:space="0" w:color="FFFFFF" w:themeColor="background1"/>
              <w:left w:val="single" w:sz="4" w:space="0" w:color="auto"/>
              <w:right w:val="single" w:sz="4" w:space="0" w:color="auto"/>
            </w:tcBorders>
            <w:shd w:val="clear" w:color="auto" w:fill="FFFFFF"/>
          </w:tcPr>
          <w:p w14:paraId="709DE57C" w14:textId="77777777" w:rsidR="005E2349" w:rsidRPr="00AB34C7" w:rsidRDefault="005E2349" w:rsidP="001C30EF">
            <w:pPr>
              <w:pStyle w:val="COMTabletext"/>
              <w:keepLines/>
              <w:jc w:val="center"/>
              <w:rPr>
                <w:b/>
                <w:bCs w:val="0"/>
              </w:rPr>
            </w:pPr>
            <w:r w:rsidRPr="00AB34C7">
              <w:rPr>
                <w:b/>
                <w:bCs w:val="0"/>
              </w:rPr>
              <w:t>N=214</w:t>
            </w:r>
          </w:p>
        </w:tc>
        <w:tc>
          <w:tcPr>
            <w:tcW w:w="516" w:type="pct"/>
            <w:tcBorders>
              <w:top w:val="single" w:sz="4" w:space="0" w:color="FFFFFF" w:themeColor="background1"/>
              <w:left w:val="single" w:sz="4" w:space="0" w:color="auto"/>
              <w:right w:val="single" w:sz="4" w:space="0" w:color="auto"/>
            </w:tcBorders>
            <w:shd w:val="clear" w:color="auto" w:fill="FFFFFF"/>
          </w:tcPr>
          <w:p w14:paraId="7479AC05" w14:textId="77777777" w:rsidR="005E2349" w:rsidRPr="00AB34C7" w:rsidRDefault="005E2349" w:rsidP="001C30EF">
            <w:pPr>
              <w:pStyle w:val="COMTabletext"/>
              <w:keepLines/>
              <w:jc w:val="center"/>
              <w:rPr>
                <w:b/>
                <w:bCs w:val="0"/>
              </w:rPr>
            </w:pPr>
            <w:r w:rsidRPr="00AB34C7">
              <w:rPr>
                <w:b/>
                <w:bCs w:val="0"/>
              </w:rPr>
              <w:t>N=240</w:t>
            </w:r>
          </w:p>
        </w:tc>
        <w:tc>
          <w:tcPr>
            <w:tcW w:w="516" w:type="pct"/>
            <w:tcBorders>
              <w:top w:val="single" w:sz="4" w:space="0" w:color="FFFFFF" w:themeColor="background1"/>
              <w:left w:val="single" w:sz="4" w:space="0" w:color="auto"/>
              <w:right w:val="single" w:sz="4" w:space="0" w:color="auto"/>
            </w:tcBorders>
            <w:shd w:val="clear" w:color="auto" w:fill="FFFFFF"/>
          </w:tcPr>
          <w:p w14:paraId="7AC94442" w14:textId="77777777" w:rsidR="005E2349" w:rsidRPr="00AB34C7" w:rsidRDefault="005E2349" w:rsidP="001C30EF">
            <w:pPr>
              <w:pStyle w:val="COMTabletext"/>
              <w:keepLines/>
              <w:jc w:val="center"/>
              <w:rPr>
                <w:b/>
                <w:bCs w:val="0"/>
              </w:rPr>
            </w:pPr>
            <w:r w:rsidRPr="00AB34C7">
              <w:rPr>
                <w:b/>
                <w:bCs w:val="0"/>
              </w:rPr>
              <w:t>N=227</w:t>
            </w:r>
          </w:p>
        </w:tc>
        <w:tc>
          <w:tcPr>
            <w:tcW w:w="512" w:type="pct"/>
            <w:tcBorders>
              <w:top w:val="single" w:sz="4" w:space="0" w:color="FFFFFF" w:themeColor="background1"/>
              <w:left w:val="single" w:sz="4" w:space="0" w:color="auto"/>
              <w:right w:val="single" w:sz="4" w:space="0" w:color="auto"/>
            </w:tcBorders>
            <w:shd w:val="clear" w:color="auto" w:fill="FFFFFF"/>
          </w:tcPr>
          <w:p w14:paraId="164C8F57" w14:textId="77777777" w:rsidR="005E2349" w:rsidRPr="00AB34C7" w:rsidRDefault="005E2349" w:rsidP="001C30EF">
            <w:pPr>
              <w:pStyle w:val="COMTabletext"/>
              <w:keepLines/>
              <w:jc w:val="center"/>
              <w:rPr>
                <w:b/>
                <w:bCs w:val="0"/>
              </w:rPr>
            </w:pPr>
            <w:r w:rsidRPr="00AB34C7">
              <w:rPr>
                <w:b/>
                <w:bCs w:val="0"/>
              </w:rPr>
              <w:t>N=111</w:t>
            </w:r>
          </w:p>
        </w:tc>
      </w:tr>
      <w:tr w:rsidR="00091AF2" w:rsidRPr="00AB34C7" w14:paraId="01B63314" w14:textId="77777777" w:rsidTr="003341C3">
        <w:tc>
          <w:tcPr>
            <w:tcW w:w="1029" w:type="pct"/>
            <w:tcBorders>
              <w:top w:val="single" w:sz="4" w:space="0" w:color="auto"/>
              <w:bottom w:val="single" w:sz="4" w:space="0" w:color="auto"/>
              <w:right w:val="single" w:sz="4" w:space="0" w:color="auto"/>
            </w:tcBorders>
            <w:vAlign w:val="center"/>
          </w:tcPr>
          <w:p w14:paraId="00320FC5" w14:textId="77777777" w:rsidR="00091AF2" w:rsidRPr="00AB34C7" w:rsidRDefault="00091AF2" w:rsidP="001C30EF">
            <w:pPr>
              <w:pStyle w:val="COMTabletext"/>
              <w:keepLines/>
            </w:pPr>
            <w:r w:rsidRPr="00AB34C7">
              <w:rPr>
                <w:szCs w:val="20"/>
              </w:rPr>
              <w:t>Median follow-up, months (range)</w:t>
            </w:r>
          </w:p>
        </w:tc>
        <w:tc>
          <w:tcPr>
            <w:tcW w:w="475" w:type="pct"/>
            <w:tcBorders>
              <w:left w:val="single" w:sz="4" w:space="0" w:color="auto"/>
              <w:right w:val="single" w:sz="4" w:space="0" w:color="auto"/>
            </w:tcBorders>
            <w:shd w:val="clear" w:color="auto" w:fill="FFFFFF"/>
          </w:tcPr>
          <w:p w14:paraId="1B939677" w14:textId="77777777" w:rsidR="00091AF2" w:rsidRPr="00AB34C7" w:rsidRDefault="00091AF2" w:rsidP="001C30EF">
            <w:pPr>
              <w:keepNext/>
              <w:keepLines/>
              <w:jc w:val="center"/>
              <w:rPr>
                <w:rFonts w:ascii="Arial Narrow" w:hAnsi="Arial Narrow"/>
                <w:iCs/>
                <w:sz w:val="20"/>
                <w:szCs w:val="20"/>
              </w:rPr>
            </w:pPr>
            <w:r w:rsidRPr="00AB34C7">
              <w:rPr>
                <w:rFonts w:ascii="Arial Narrow" w:hAnsi="Arial Narrow"/>
                <w:iCs/>
                <w:sz w:val="20"/>
                <w:szCs w:val="20"/>
              </w:rPr>
              <w:t>27.7</w:t>
            </w:r>
          </w:p>
          <w:p w14:paraId="080018EB" w14:textId="77777777" w:rsidR="00091AF2" w:rsidRPr="00AB34C7" w:rsidRDefault="00091AF2" w:rsidP="001C30EF">
            <w:pPr>
              <w:pStyle w:val="COMTabletext"/>
              <w:keepLines/>
              <w:jc w:val="center"/>
            </w:pPr>
            <w:r w:rsidRPr="00AB34C7">
              <w:rPr>
                <w:iCs/>
                <w:szCs w:val="20"/>
              </w:rPr>
              <w:t>(1.7-32.8)</w:t>
            </w:r>
          </w:p>
        </w:tc>
        <w:tc>
          <w:tcPr>
            <w:tcW w:w="475" w:type="pct"/>
            <w:tcBorders>
              <w:left w:val="single" w:sz="4" w:space="0" w:color="auto"/>
              <w:right w:val="single" w:sz="4" w:space="0" w:color="auto"/>
            </w:tcBorders>
            <w:shd w:val="clear" w:color="auto" w:fill="FFFFFF"/>
          </w:tcPr>
          <w:p w14:paraId="06C8AE64" w14:textId="77777777" w:rsidR="00091AF2" w:rsidRPr="00AB34C7" w:rsidRDefault="00091AF2" w:rsidP="001C30EF">
            <w:pPr>
              <w:keepNext/>
              <w:keepLines/>
              <w:jc w:val="center"/>
              <w:rPr>
                <w:rFonts w:ascii="Arial Narrow" w:hAnsi="Arial Narrow"/>
                <w:iCs/>
                <w:sz w:val="20"/>
                <w:szCs w:val="20"/>
              </w:rPr>
            </w:pPr>
            <w:r w:rsidRPr="00AB34C7">
              <w:rPr>
                <w:rFonts w:ascii="Arial Narrow" w:hAnsi="Arial Narrow"/>
                <w:iCs/>
                <w:sz w:val="20"/>
                <w:szCs w:val="20"/>
              </w:rPr>
              <w:t>27.9</w:t>
            </w:r>
          </w:p>
          <w:p w14:paraId="5BD6DC96" w14:textId="77777777" w:rsidR="00091AF2" w:rsidRPr="00AB34C7" w:rsidRDefault="00091AF2" w:rsidP="001C30EF">
            <w:pPr>
              <w:pStyle w:val="COMTabletext"/>
              <w:keepLines/>
              <w:jc w:val="center"/>
            </w:pPr>
            <w:r w:rsidRPr="00AB34C7">
              <w:rPr>
                <w:iCs/>
                <w:szCs w:val="20"/>
              </w:rPr>
              <w:t>(5.1-33.8)</w:t>
            </w:r>
          </w:p>
        </w:tc>
        <w:tc>
          <w:tcPr>
            <w:tcW w:w="479" w:type="pct"/>
            <w:tcBorders>
              <w:left w:val="single" w:sz="4" w:space="0" w:color="auto"/>
              <w:right w:val="single" w:sz="4" w:space="0" w:color="auto"/>
            </w:tcBorders>
            <w:shd w:val="clear" w:color="auto" w:fill="FFFFFF"/>
          </w:tcPr>
          <w:p w14:paraId="5CD9516A" w14:textId="77777777" w:rsidR="00091AF2" w:rsidRPr="00AB34C7" w:rsidRDefault="00091AF2" w:rsidP="001C30EF">
            <w:pPr>
              <w:keepNext/>
              <w:keepLines/>
              <w:jc w:val="center"/>
              <w:rPr>
                <w:rFonts w:ascii="Arial Narrow" w:hAnsi="Arial Narrow"/>
                <w:iCs/>
                <w:sz w:val="20"/>
                <w:szCs w:val="20"/>
              </w:rPr>
            </w:pPr>
            <w:r w:rsidRPr="00AB34C7">
              <w:rPr>
                <w:rFonts w:ascii="Arial Narrow" w:hAnsi="Arial Narrow"/>
                <w:iCs/>
                <w:sz w:val="20"/>
                <w:szCs w:val="20"/>
              </w:rPr>
              <w:t>27.9</w:t>
            </w:r>
          </w:p>
          <w:p w14:paraId="18153111" w14:textId="77777777" w:rsidR="00091AF2" w:rsidRPr="00AB34C7" w:rsidRDefault="00091AF2" w:rsidP="001C30EF">
            <w:pPr>
              <w:pStyle w:val="COMTabletext"/>
              <w:keepLines/>
              <w:jc w:val="center"/>
            </w:pPr>
            <w:r w:rsidRPr="00AB34C7">
              <w:rPr>
                <w:iCs/>
                <w:szCs w:val="20"/>
              </w:rPr>
              <w:t>(0.8-33.2)</w:t>
            </w:r>
          </w:p>
        </w:tc>
        <w:tc>
          <w:tcPr>
            <w:tcW w:w="998" w:type="pct"/>
            <w:gridSpan w:val="2"/>
            <w:tcBorders>
              <w:left w:val="single" w:sz="4" w:space="0" w:color="auto"/>
              <w:right w:val="single" w:sz="4" w:space="0" w:color="auto"/>
            </w:tcBorders>
            <w:shd w:val="clear" w:color="auto" w:fill="FFFFFF"/>
          </w:tcPr>
          <w:p w14:paraId="00081FB0" w14:textId="77777777" w:rsidR="00091AF2" w:rsidRPr="00AB34C7" w:rsidRDefault="00091AF2" w:rsidP="001C30EF">
            <w:pPr>
              <w:keepNext/>
              <w:keepLines/>
              <w:jc w:val="center"/>
              <w:rPr>
                <w:rFonts w:ascii="Arial Narrow" w:hAnsi="Arial Narrow"/>
                <w:iCs/>
                <w:sz w:val="20"/>
                <w:szCs w:val="20"/>
              </w:rPr>
            </w:pPr>
            <w:r w:rsidRPr="00AB34C7">
              <w:rPr>
                <w:rFonts w:ascii="Arial Narrow" w:hAnsi="Arial Narrow"/>
                <w:iCs/>
                <w:sz w:val="20"/>
                <w:szCs w:val="20"/>
              </w:rPr>
              <w:t>28.1</w:t>
            </w:r>
          </w:p>
          <w:p w14:paraId="52B4537D" w14:textId="77777777" w:rsidR="00091AF2" w:rsidRPr="00AB34C7" w:rsidRDefault="00091AF2" w:rsidP="001C30EF">
            <w:pPr>
              <w:pStyle w:val="COMTabletext"/>
              <w:keepLines/>
              <w:jc w:val="center"/>
            </w:pPr>
            <w:r w:rsidRPr="00AB34C7">
              <w:rPr>
                <w:iCs/>
                <w:szCs w:val="20"/>
              </w:rPr>
              <w:t>(0.0-35.9)</w:t>
            </w:r>
          </w:p>
        </w:tc>
        <w:tc>
          <w:tcPr>
            <w:tcW w:w="516" w:type="pct"/>
            <w:tcBorders>
              <w:left w:val="single" w:sz="4" w:space="0" w:color="auto"/>
              <w:right w:val="single" w:sz="4" w:space="0" w:color="auto"/>
            </w:tcBorders>
            <w:shd w:val="clear" w:color="auto" w:fill="FFFFFF"/>
          </w:tcPr>
          <w:p w14:paraId="18D153EE" w14:textId="77777777" w:rsidR="003341C3" w:rsidRPr="00AB34C7" w:rsidRDefault="003341C3" w:rsidP="001C30EF">
            <w:pPr>
              <w:keepNext/>
              <w:keepLines/>
              <w:jc w:val="center"/>
              <w:rPr>
                <w:rFonts w:ascii="Arial Narrow" w:hAnsi="Arial Narrow"/>
                <w:iCs/>
                <w:sz w:val="20"/>
                <w:szCs w:val="20"/>
              </w:rPr>
            </w:pPr>
            <w:r w:rsidRPr="00AB34C7">
              <w:rPr>
                <w:rFonts w:ascii="Arial Narrow" w:hAnsi="Arial Narrow"/>
                <w:iCs/>
                <w:sz w:val="20"/>
                <w:szCs w:val="20"/>
              </w:rPr>
              <w:t>26.4</w:t>
            </w:r>
          </w:p>
          <w:p w14:paraId="27949401" w14:textId="78796862" w:rsidR="00091AF2" w:rsidRPr="00AB34C7" w:rsidRDefault="003341C3" w:rsidP="001C30EF">
            <w:pPr>
              <w:pStyle w:val="COMTabletext"/>
              <w:keepLines/>
              <w:jc w:val="center"/>
              <w:rPr>
                <w:szCs w:val="20"/>
              </w:rPr>
            </w:pPr>
            <w:r w:rsidRPr="00AB34C7">
              <w:rPr>
                <w:iCs/>
                <w:szCs w:val="20"/>
              </w:rPr>
              <w:t>(0.3-42.2)</w:t>
            </w:r>
          </w:p>
        </w:tc>
        <w:tc>
          <w:tcPr>
            <w:tcW w:w="516" w:type="pct"/>
            <w:tcBorders>
              <w:left w:val="single" w:sz="4" w:space="0" w:color="auto"/>
              <w:right w:val="single" w:sz="4" w:space="0" w:color="auto"/>
            </w:tcBorders>
            <w:shd w:val="clear" w:color="auto" w:fill="FFFFFF"/>
          </w:tcPr>
          <w:p w14:paraId="06F30EA6" w14:textId="77777777" w:rsidR="003341C3" w:rsidRPr="00AB34C7" w:rsidRDefault="003341C3" w:rsidP="001C30EF">
            <w:pPr>
              <w:keepNext/>
              <w:keepLines/>
              <w:jc w:val="center"/>
              <w:rPr>
                <w:rFonts w:ascii="Arial Narrow" w:hAnsi="Arial Narrow"/>
                <w:iCs/>
                <w:sz w:val="20"/>
                <w:szCs w:val="20"/>
              </w:rPr>
            </w:pPr>
            <w:r w:rsidRPr="00AB34C7">
              <w:rPr>
                <w:rFonts w:ascii="Arial Narrow" w:hAnsi="Arial Narrow"/>
                <w:iCs/>
                <w:sz w:val="20"/>
                <w:szCs w:val="20"/>
              </w:rPr>
              <w:t>25.9</w:t>
            </w:r>
          </w:p>
          <w:p w14:paraId="0A21F9F3" w14:textId="792FC1B7" w:rsidR="00091AF2" w:rsidRPr="00AB34C7" w:rsidRDefault="003341C3" w:rsidP="001C30EF">
            <w:pPr>
              <w:pStyle w:val="COMTabletext"/>
              <w:keepLines/>
              <w:jc w:val="center"/>
              <w:rPr>
                <w:szCs w:val="20"/>
              </w:rPr>
            </w:pPr>
            <w:r w:rsidRPr="00AB34C7">
              <w:rPr>
                <w:iCs/>
                <w:szCs w:val="20"/>
              </w:rPr>
              <w:t>(0.0-38.9)</w:t>
            </w:r>
          </w:p>
        </w:tc>
        <w:tc>
          <w:tcPr>
            <w:tcW w:w="512" w:type="pct"/>
            <w:tcBorders>
              <w:left w:val="single" w:sz="4" w:space="0" w:color="auto"/>
              <w:right w:val="single" w:sz="4" w:space="0" w:color="auto"/>
            </w:tcBorders>
            <w:shd w:val="clear" w:color="auto" w:fill="FFFFFF"/>
          </w:tcPr>
          <w:p w14:paraId="19745358" w14:textId="77777777" w:rsidR="003341C3" w:rsidRPr="00AB34C7" w:rsidRDefault="003341C3" w:rsidP="001C30EF">
            <w:pPr>
              <w:keepNext/>
              <w:keepLines/>
              <w:jc w:val="center"/>
              <w:rPr>
                <w:rFonts w:ascii="Arial Narrow" w:hAnsi="Arial Narrow"/>
                <w:iCs/>
                <w:sz w:val="20"/>
                <w:szCs w:val="20"/>
              </w:rPr>
            </w:pPr>
            <w:r w:rsidRPr="00AB34C7">
              <w:rPr>
                <w:rFonts w:ascii="Arial Narrow" w:hAnsi="Arial Narrow"/>
                <w:iCs/>
                <w:sz w:val="20"/>
                <w:szCs w:val="20"/>
              </w:rPr>
              <w:t>30.5</w:t>
            </w:r>
          </w:p>
          <w:p w14:paraId="18E76FBC" w14:textId="14C7F1E2" w:rsidR="00091AF2" w:rsidRPr="00AB34C7" w:rsidRDefault="003341C3" w:rsidP="001C30EF">
            <w:pPr>
              <w:pStyle w:val="COMTabletext"/>
              <w:keepLines/>
              <w:jc w:val="center"/>
              <w:rPr>
                <w:szCs w:val="20"/>
              </w:rPr>
            </w:pPr>
            <w:r w:rsidRPr="00AB34C7">
              <w:rPr>
                <w:iCs/>
                <w:szCs w:val="20"/>
              </w:rPr>
              <w:t>(5.0-39.1)</w:t>
            </w:r>
          </w:p>
        </w:tc>
      </w:tr>
      <w:tr w:rsidR="005E2349" w:rsidRPr="00AB34C7" w14:paraId="2A323FE7" w14:textId="77777777" w:rsidTr="00507D72">
        <w:tc>
          <w:tcPr>
            <w:tcW w:w="5000" w:type="pct"/>
            <w:gridSpan w:val="9"/>
            <w:tcBorders>
              <w:top w:val="single" w:sz="4" w:space="0" w:color="auto"/>
              <w:right w:val="single" w:sz="4" w:space="0" w:color="auto"/>
            </w:tcBorders>
          </w:tcPr>
          <w:p w14:paraId="45D22716" w14:textId="77777777" w:rsidR="005E2349" w:rsidRPr="00AB34C7" w:rsidRDefault="005E2349" w:rsidP="001C30EF">
            <w:pPr>
              <w:pStyle w:val="COMTabletext"/>
              <w:keepLines/>
              <w:rPr>
                <w:b/>
                <w:bCs w:val="0"/>
              </w:rPr>
            </w:pPr>
            <w:r w:rsidRPr="00AB34C7">
              <w:rPr>
                <w:b/>
                <w:bCs w:val="0"/>
              </w:rPr>
              <w:t>Adverse event category, n %</w:t>
            </w:r>
          </w:p>
        </w:tc>
      </w:tr>
      <w:tr w:rsidR="005E2349" w:rsidRPr="00AB34C7" w14:paraId="1B52E42C" w14:textId="77777777" w:rsidTr="00507D72">
        <w:tc>
          <w:tcPr>
            <w:tcW w:w="1029" w:type="pct"/>
            <w:tcBorders>
              <w:top w:val="single" w:sz="4" w:space="0" w:color="auto"/>
              <w:right w:val="single" w:sz="4" w:space="0" w:color="auto"/>
            </w:tcBorders>
          </w:tcPr>
          <w:p w14:paraId="64CA4148" w14:textId="77777777" w:rsidR="005E2349" w:rsidRPr="00AB34C7" w:rsidRDefault="005E2349" w:rsidP="001C30EF">
            <w:pPr>
              <w:pStyle w:val="COMTabletext"/>
              <w:keepLines/>
            </w:pPr>
            <w:r w:rsidRPr="00AB34C7">
              <w:t>Any AE</w:t>
            </w:r>
          </w:p>
        </w:tc>
        <w:tc>
          <w:tcPr>
            <w:tcW w:w="475" w:type="pct"/>
            <w:tcBorders>
              <w:left w:val="single" w:sz="4" w:space="0" w:color="auto"/>
              <w:right w:val="single" w:sz="4" w:space="0" w:color="auto"/>
            </w:tcBorders>
            <w:shd w:val="clear" w:color="auto" w:fill="FFFFFF"/>
            <w:vAlign w:val="center"/>
          </w:tcPr>
          <w:p w14:paraId="3E37421F" w14:textId="77777777" w:rsidR="005E2349" w:rsidRPr="00AB34C7" w:rsidRDefault="005E2349" w:rsidP="001C30EF">
            <w:pPr>
              <w:pStyle w:val="COMTabletext"/>
              <w:keepLines/>
              <w:jc w:val="center"/>
            </w:pPr>
            <w:r w:rsidRPr="00AB34C7">
              <w:t>105 (99.1)</w:t>
            </w:r>
          </w:p>
        </w:tc>
        <w:tc>
          <w:tcPr>
            <w:tcW w:w="475" w:type="pct"/>
            <w:tcBorders>
              <w:left w:val="single" w:sz="4" w:space="0" w:color="auto"/>
              <w:right w:val="single" w:sz="4" w:space="0" w:color="auto"/>
            </w:tcBorders>
            <w:shd w:val="clear" w:color="auto" w:fill="FFFFFF"/>
            <w:vAlign w:val="center"/>
          </w:tcPr>
          <w:p w14:paraId="68F0665E" w14:textId="77777777" w:rsidR="005E2349" w:rsidRPr="00AB34C7" w:rsidRDefault="005E2349" w:rsidP="001C30EF">
            <w:pPr>
              <w:pStyle w:val="COMTabletext"/>
              <w:keepLines/>
              <w:jc w:val="center"/>
            </w:pPr>
            <w:r w:rsidRPr="00AB34C7">
              <w:t>99 (94.3)</w:t>
            </w:r>
          </w:p>
        </w:tc>
        <w:tc>
          <w:tcPr>
            <w:tcW w:w="479" w:type="pct"/>
            <w:tcBorders>
              <w:left w:val="single" w:sz="4" w:space="0" w:color="auto"/>
              <w:right w:val="single" w:sz="4" w:space="0" w:color="auto"/>
            </w:tcBorders>
            <w:shd w:val="clear" w:color="auto" w:fill="FFFFFF"/>
          </w:tcPr>
          <w:p w14:paraId="69940C72" w14:textId="77777777" w:rsidR="005E2349" w:rsidRPr="00AB34C7" w:rsidRDefault="005E2349" w:rsidP="001C30EF">
            <w:pPr>
              <w:pStyle w:val="COMTabletext"/>
              <w:keepLines/>
              <w:jc w:val="center"/>
            </w:pPr>
            <w:r w:rsidRPr="00AB34C7">
              <w:t>158 (99.4)</w:t>
            </w:r>
          </w:p>
        </w:tc>
        <w:tc>
          <w:tcPr>
            <w:tcW w:w="482" w:type="pct"/>
            <w:tcBorders>
              <w:left w:val="single" w:sz="4" w:space="0" w:color="auto"/>
              <w:right w:val="single" w:sz="4" w:space="0" w:color="auto"/>
            </w:tcBorders>
            <w:shd w:val="clear" w:color="auto" w:fill="FFFFFF"/>
            <w:vAlign w:val="center"/>
          </w:tcPr>
          <w:p w14:paraId="6FAE6B9F" w14:textId="77777777" w:rsidR="005E2349" w:rsidRPr="00AB34C7" w:rsidRDefault="005E2349" w:rsidP="001C30EF">
            <w:pPr>
              <w:pStyle w:val="COMTabletext"/>
              <w:keepLines/>
              <w:jc w:val="center"/>
            </w:pPr>
            <w:r w:rsidRPr="00AB34C7">
              <w:t>200 (94.3)</w:t>
            </w:r>
          </w:p>
        </w:tc>
        <w:tc>
          <w:tcPr>
            <w:tcW w:w="516" w:type="pct"/>
            <w:tcBorders>
              <w:left w:val="single" w:sz="4" w:space="0" w:color="auto"/>
              <w:right w:val="single" w:sz="4" w:space="0" w:color="auto"/>
            </w:tcBorders>
            <w:shd w:val="clear" w:color="auto" w:fill="FFFFFF"/>
            <w:vAlign w:val="center"/>
          </w:tcPr>
          <w:p w14:paraId="1163966B" w14:textId="77777777" w:rsidR="005E2349" w:rsidRPr="00AB34C7" w:rsidRDefault="005E2349" w:rsidP="001C30EF">
            <w:pPr>
              <w:pStyle w:val="COMTabletext"/>
              <w:keepLines/>
              <w:jc w:val="center"/>
            </w:pPr>
            <w:r w:rsidRPr="00AB34C7">
              <w:t>213 (99.5)</w:t>
            </w:r>
          </w:p>
        </w:tc>
        <w:tc>
          <w:tcPr>
            <w:tcW w:w="516" w:type="pct"/>
            <w:tcBorders>
              <w:left w:val="single" w:sz="4" w:space="0" w:color="auto"/>
              <w:right w:val="single" w:sz="4" w:space="0" w:color="auto"/>
            </w:tcBorders>
            <w:shd w:val="clear" w:color="auto" w:fill="FFFFFF"/>
            <w:vAlign w:val="center"/>
          </w:tcPr>
          <w:p w14:paraId="348E50D4" w14:textId="77777777" w:rsidR="005E2349" w:rsidRPr="00AB34C7" w:rsidRDefault="005E2349" w:rsidP="001C30EF">
            <w:pPr>
              <w:pStyle w:val="COMTabletext"/>
              <w:keepLines/>
              <w:jc w:val="center"/>
            </w:pPr>
            <w:r w:rsidRPr="00AB34C7">
              <w:t>224 (93.3)</w:t>
            </w:r>
          </w:p>
        </w:tc>
        <w:tc>
          <w:tcPr>
            <w:tcW w:w="516" w:type="pct"/>
            <w:tcBorders>
              <w:left w:val="single" w:sz="4" w:space="0" w:color="auto"/>
              <w:right w:val="single" w:sz="4" w:space="0" w:color="auto"/>
            </w:tcBorders>
            <w:shd w:val="clear" w:color="auto" w:fill="FFFFFF"/>
            <w:vAlign w:val="center"/>
          </w:tcPr>
          <w:p w14:paraId="52BF9335" w14:textId="77777777" w:rsidR="005E2349" w:rsidRPr="00AB34C7" w:rsidRDefault="005E2349" w:rsidP="001C30EF">
            <w:pPr>
              <w:pStyle w:val="COMTabletext"/>
              <w:keepLines/>
              <w:jc w:val="center"/>
            </w:pPr>
            <w:r w:rsidRPr="00AB34C7">
              <w:t>218 (96.0)</w:t>
            </w:r>
          </w:p>
        </w:tc>
        <w:tc>
          <w:tcPr>
            <w:tcW w:w="512" w:type="pct"/>
            <w:tcBorders>
              <w:left w:val="single" w:sz="4" w:space="0" w:color="auto"/>
              <w:right w:val="single" w:sz="4" w:space="0" w:color="auto"/>
            </w:tcBorders>
            <w:shd w:val="clear" w:color="auto" w:fill="FFFFFF"/>
            <w:vAlign w:val="center"/>
          </w:tcPr>
          <w:p w14:paraId="1A7F28F4" w14:textId="77777777" w:rsidR="005E2349" w:rsidRPr="00AB34C7" w:rsidRDefault="005E2349" w:rsidP="001C30EF">
            <w:pPr>
              <w:pStyle w:val="COMTabletext"/>
              <w:keepLines/>
              <w:jc w:val="center"/>
            </w:pPr>
            <w:r w:rsidRPr="00AB34C7">
              <w:t>109 (98.2)</w:t>
            </w:r>
          </w:p>
        </w:tc>
      </w:tr>
      <w:tr w:rsidR="005E2349" w:rsidRPr="00AB34C7" w14:paraId="7B2CEF7A" w14:textId="77777777" w:rsidTr="00507D72">
        <w:tc>
          <w:tcPr>
            <w:tcW w:w="1029" w:type="pct"/>
            <w:tcBorders>
              <w:right w:val="single" w:sz="4" w:space="0" w:color="auto"/>
            </w:tcBorders>
          </w:tcPr>
          <w:p w14:paraId="5608230E" w14:textId="7A1D38D2" w:rsidR="005E2349" w:rsidRPr="00AB34C7" w:rsidRDefault="005E2349" w:rsidP="001C30EF">
            <w:pPr>
              <w:pStyle w:val="COMTabletext"/>
              <w:keepLines/>
              <w:rPr>
                <w:vertAlign w:val="superscript"/>
              </w:rPr>
            </w:pPr>
            <w:r w:rsidRPr="00AB34C7">
              <w:t>Grade ≥3 AE</w:t>
            </w:r>
            <w:r w:rsidR="004B2DA2" w:rsidRPr="00AB34C7">
              <w:rPr>
                <w:vertAlign w:val="superscript"/>
              </w:rPr>
              <w:t>a</w:t>
            </w:r>
          </w:p>
        </w:tc>
        <w:tc>
          <w:tcPr>
            <w:tcW w:w="475" w:type="pct"/>
            <w:tcBorders>
              <w:left w:val="single" w:sz="4" w:space="0" w:color="auto"/>
              <w:right w:val="single" w:sz="4" w:space="0" w:color="auto"/>
            </w:tcBorders>
            <w:shd w:val="clear" w:color="auto" w:fill="FFFFFF"/>
            <w:vAlign w:val="center"/>
          </w:tcPr>
          <w:p w14:paraId="1135BD56" w14:textId="77777777" w:rsidR="005E2349" w:rsidRPr="00AB34C7" w:rsidRDefault="005E2349" w:rsidP="001C30EF">
            <w:pPr>
              <w:pStyle w:val="COMTabletext"/>
              <w:keepLines/>
              <w:jc w:val="center"/>
            </w:pPr>
            <w:r w:rsidRPr="00AB34C7">
              <w:t>80 (75.5)</w:t>
            </w:r>
          </w:p>
        </w:tc>
        <w:tc>
          <w:tcPr>
            <w:tcW w:w="475" w:type="pct"/>
            <w:tcBorders>
              <w:left w:val="single" w:sz="4" w:space="0" w:color="auto"/>
              <w:right w:val="single" w:sz="4" w:space="0" w:color="auto"/>
            </w:tcBorders>
            <w:shd w:val="clear" w:color="auto" w:fill="FFFFFF"/>
            <w:vAlign w:val="center"/>
          </w:tcPr>
          <w:p w14:paraId="55AD3946" w14:textId="77777777" w:rsidR="005E2349" w:rsidRPr="00AB34C7" w:rsidRDefault="005E2349" w:rsidP="001C30EF">
            <w:pPr>
              <w:pStyle w:val="COMTabletext"/>
              <w:keepLines/>
              <w:jc w:val="center"/>
            </w:pPr>
            <w:r w:rsidRPr="00AB34C7">
              <w:t>73 (69.5)</w:t>
            </w:r>
          </w:p>
        </w:tc>
        <w:tc>
          <w:tcPr>
            <w:tcW w:w="479" w:type="pct"/>
            <w:tcBorders>
              <w:left w:val="single" w:sz="4" w:space="0" w:color="auto"/>
              <w:right w:val="single" w:sz="4" w:space="0" w:color="auto"/>
            </w:tcBorders>
            <w:shd w:val="clear" w:color="auto" w:fill="FFFFFF"/>
          </w:tcPr>
          <w:p w14:paraId="717B12A3" w14:textId="77777777" w:rsidR="005E2349" w:rsidRPr="00AB34C7" w:rsidRDefault="005E2349" w:rsidP="001C30EF">
            <w:pPr>
              <w:pStyle w:val="COMTabletext"/>
              <w:keepLines/>
              <w:jc w:val="center"/>
            </w:pPr>
            <w:r w:rsidRPr="00AB34C7">
              <w:t>99 (62.3)</w:t>
            </w:r>
          </w:p>
        </w:tc>
        <w:tc>
          <w:tcPr>
            <w:tcW w:w="482" w:type="pct"/>
            <w:tcBorders>
              <w:left w:val="single" w:sz="4" w:space="0" w:color="auto"/>
              <w:right w:val="single" w:sz="4" w:space="0" w:color="auto"/>
            </w:tcBorders>
            <w:shd w:val="clear" w:color="auto" w:fill="FFFFFF"/>
            <w:vAlign w:val="center"/>
          </w:tcPr>
          <w:p w14:paraId="1986D9C0" w14:textId="71B2C74A" w:rsidR="005E2349" w:rsidRPr="00AB34C7" w:rsidRDefault="00D430FB" w:rsidP="001C30EF">
            <w:pPr>
              <w:pStyle w:val="COMTabletext"/>
              <w:keepLines/>
              <w:jc w:val="center"/>
            </w:pPr>
            <w:r w:rsidRPr="00AB34C7">
              <w:t xml:space="preserve">167 </w:t>
            </w:r>
            <w:r w:rsidR="005E2349" w:rsidRPr="00AB34C7">
              <w:t>(</w:t>
            </w:r>
            <w:r w:rsidRPr="00AB34C7">
              <w:t>78.8</w:t>
            </w:r>
            <w:r w:rsidR="005E2349" w:rsidRPr="00AB34C7">
              <w:t>)</w:t>
            </w:r>
          </w:p>
        </w:tc>
        <w:tc>
          <w:tcPr>
            <w:tcW w:w="516" w:type="pct"/>
            <w:tcBorders>
              <w:left w:val="single" w:sz="4" w:space="0" w:color="auto"/>
              <w:right w:val="single" w:sz="4" w:space="0" w:color="auto"/>
            </w:tcBorders>
            <w:shd w:val="clear" w:color="auto" w:fill="FFFFFF"/>
            <w:vAlign w:val="center"/>
          </w:tcPr>
          <w:p w14:paraId="655C48D4" w14:textId="156E995F" w:rsidR="005E2349" w:rsidRPr="00AB34C7" w:rsidRDefault="00D430FB" w:rsidP="001C30EF">
            <w:pPr>
              <w:pStyle w:val="COMTabletext"/>
              <w:keepLines/>
              <w:jc w:val="center"/>
            </w:pPr>
            <w:r w:rsidRPr="00AB34C7">
              <w:t>164</w:t>
            </w:r>
            <w:r w:rsidR="005E2349" w:rsidRPr="00AB34C7">
              <w:t xml:space="preserve"> (</w:t>
            </w:r>
            <w:r w:rsidRPr="00AB34C7">
              <w:t>76.6</w:t>
            </w:r>
            <w:r w:rsidR="005E2349" w:rsidRPr="00AB34C7">
              <w:t>)</w:t>
            </w:r>
          </w:p>
        </w:tc>
        <w:tc>
          <w:tcPr>
            <w:tcW w:w="516" w:type="pct"/>
            <w:tcBorders>
              <w:left w:val="single" w:sz="4" w:space="0" w:color="auto"/>
              <w:right w:val="single" w:sz="4" w:space="0" w:color="auto"/>
            </w:tcBorders>
            <w:shd w:val="clear" w:color="auto" w:fill="FFFFFF"/>
            <w:vAlign w:val="center"/>
          </w:tcPr>
          <w:p w14:paraId="2062E20E" w14:textId="77777777" w:rsidR="005E2349" w:rsidRPr="00AB34C7" w:rsidRDefault="005E2349" w:rsidP="001C30EF">
            <w:pPr>
              <w:pStyle w:val="COMTabletext"/>
              <w:keepLines/>
              <w:jc w:val="center"/>
            </w:pPr>
            <w:r w:rsidRPr="00AB34C7">
              <w:t>126 (52.5)</w:t>
            </w:r>
          </w:p>
        </w:tc>
        <w:tc>
          <w:tcPr>
            <w:tcW w:w="516" w:type="pct"/>
            <w:tcBorders>
              <w:left w:val="single" w:sz="4" w:space="0" w:color="auto"/>
              <w:right w:val="single" w:sz="4" w:space="0" w:color="auto"/>
            </w:tcBorders>
            <w:shd w:val="clear" w:color="auto" w:fill="FFFFFF"/>
            <w:vAlign w:val="center"/>
          </w:tcPr>
          <w:p w14:paraId="0C87024A" w14:textId="77777777" w:rsidR="005E2349" w:rsidRPr="00AB34C7" w:rsidRDefault="005E2349" w:rsidP="001C30EF">
            <w:pPr>
              <w:pStyle w:val="COMTabletext"/>
              <w:keepLines/>
              <w:jc w:val="center"/>
            </w:pPr>
            <w:r w:rsidRPr="00AB34C7">
              <w:t>169 (74.4)</w:t>
            </w:r>
          </w:p>
        </w:tc>
        <w:tc>
          <w:tcPr>
            <w:tcW w:w="512" w:type="pct"/>
            <w:tcBorders>
              <w:left w:val="single" w:sz="4" w:space="0" w:color="auto"/>
              <w:right w:val="single" w:sz="4" w:space="0" w:color="auto"/>
            </w:tcBorders>
            <w:shd w:val="clear" w:color="auto" w:fill="FFFFFF"/>
            <w:vAlign w:val="center"/>
          </w:tcPr>
          <w:p w14:paraId="326F8423" w14:textId="77777777" w:rsidR="005E2349" w:rsidRPr="00AB34C7" w:rsidRDefault="005E2349" w:rsidP="001C30EF">
            <w:pPr>
              <w:pStyle w:val="COMTabletext"/>
              <w:keepLines/>
              <w:jc w:val="center"/>
            </w:pPr>
            <w:r w:rsidRPr="00AB34C7">
              <w:t>61 (55.0)</w:t>
            </w:r>
          </w:p>
        </w:tc>
      </w:tr>
      <w:tr w:rsidR="005E2349" w:rsidRPr="00AB34C7" w14:paraId="18EBCD17" w14:textId="77777777" w:rsidTr="00507D72">
        <w:tc>
          <w:tcPr>
            <w:tcW w:w="1029" w:type="pct"/>
            <w:tcBorders>
              <w:right w:val="single" w:sz="4" w:space="0" w:color="auto"/>
            </w:tcBorders>
          </w:tcPr>
          <w:p w14:paraId="05EC2771" w14:textId="77777777" w:rsidR="005E2349" w:rsidRPr="00AB34C7" w:rsidRDefault="005E2349" w:rsidP="001C30EF">
            <w:pPr>
              <w:pStyle w:val="COMTabletext"/>
              <w:keepLines/>
            </w:pPr>
            <w:r w:rsidRPr="00AB34C7">
              <w:t>SAE</w:t>
            </w:r>
          </w:p>
        </w:tc>
        <w:tc>
          <w:tcPr>
            <w:tcW w:w="475" w:type="pct"/>
            <w:tcBorders>
              <w:left w:val="single" w:sz="4" w:space="0" w:color="auto"/>
              <w:right w:val="single" w:sz="4" w:space="0" w:color="auto"/>
            </w:tcBorders>
            <w:shd w:val="clear" w:color="auto" w:fill="FFFFFF"/>
            <w:vAlign w:val="center"/>
          </w:tcPr>
          <w:p w14:paraId="4FB1C0F0" w14:textId="77777777" w:rsidR="005E2349" w:rsidRPr="00AB34C7" w:rsidRDefault="005E2349" w:rsidP="001C30EF">
            <w:pPr>
              <w:pStyle w:val="COMTabletext"/>
              <w:keepLines/>
              <w:jc w:val="center"/>
            </w:pPr>
            <w:r w:rsidRPr="00AB34C7">
              <w:t>49 (46.2)</w:t>
            </w:r>
          </w:p>
        </w:tc>
        <w:tc>
          <w:tcPr>
            <w:tcW w:w="475" w:type="pct"/>
            <w:tcBorders>
              <w:left w:val="single" w:sz="4" w:space="0" w:color="auto"/>
              <w:right w:val="single" w:sz="4" w:space="0" w:color="auto"/>
            </w:tcBorders>
            <w:shd w:val="clear" w:color="auto" w:fill="FFFFFF"/>
            <w:vAlign w:val="center"/>
          </w:tcPr>
          <w:p w14:paraId="71439B70" w14:textId="77777777" w:rsidR="005E2349" w:rsidRPr="00AB34C7" w:rsidRDefault="005E2349" w:rsidP="001C30EF">
            <w:pPr>
              <w:pStyle w:val="COMTabletext"/>
              <w:keepLines/>
              <w:jc w:val="center"/>
            </w:pPr>
            <w:r w:rsidRPr="00AB34C7">
              <w:t>29 (27.6)</w:t>
            </w:r>
          </w:p>
        </w:tc>
        <w:tc>
          <w:tcPr>
            <w:tcW w:w="479" w:type="pct"/>
            <w:tcBorders>
              <w:left w:val="single" w:sz="4" w:space="0" w:color="auto"/>
              <w:right w:val="single" w:sz="4" w:space="0" w:color="auto"/>
            </w:tcBorders>
            <w:shd w:val="clear" w:color="auto" w:fill="FFFFFF"/>
            <w:vAlign w:val="center"/>
          </w:tcPr>
          <w:p w14:paraId="49AF193D" w14:textId="77777777" w:rsidR="005E2349" w:rsidRPr="00AB34C7" w:rsidRDefault="005E2349" w:rsidP="001C30EF">
            <w:pPr>
              <w:pStyle w:val="COMTabletext"/>
              <w:keepLines/>
              <w:jc w:val="center"/>
            </w:pPr>
            <w:r w:rsidRPr="00AB34C7">
              <w:t>36 (22.6)</w:t>
            </w:r>
          </w:p>
        </w:tc>
        <w:tc>
          <w:tcPr>
            <w:tcW w:w="482" w:type="pct"/>
            <w:tcBorders>
              <w:left w:val="single" w:sz="4" w:space="0" w:color="auto"/>
              <w:right w:val="single" w:sz="4" w:space="0" w:color="auto"/>
            </w:tcBorders>
            <w:shd w:val="clear" w:color="auto" w:fill="FFFFFF"/>
            <w:vAlign w:val="center"/>
          </w:tcPr>
          <w:p w14:paraId="5D68153F" w14:textId="77777777" w:rsidR="005E2349" w:rsidRPr="00AB34C7" w:rsidRDefault="005E2349" w:rsidP="001C30EF">
            <w:pPr>
              <w:pStyle w:val="COMTabletext"/>
              <w:keepLines/>
              <w:jc w:val="center"/>
            </w:pPr>
            <w:r w:rsidRPr="00AB34C7">
              <w:t>104 (49.1)</w:t>
            </w:r>
          </w:p>
        </w:tc>
        <w:tc>
          <w:tcPr>
            <w:tcW w:w="516" w:type="pct"/>
            <w:tcBorders>
              <w:left w:val="single" w:sz="4" w:space="0" w:color="auto"/>
              <w:right w:val="single" w:sz="4" w:space="0" w:color="auto"/>
            </w:tcBorders>
            <w:shd w:val="clear" w:color="auto" w:fill="FFFFFF"/>
            <w:vAlign w:val="center"/>
          </w:tcPr>
          <w:p w14:paraId="7D03F4CA" w14:textId="77777777" w:rsidR="005E2349" w:rsidRPr="00AB34C7" w:rsidRDefault="005E2349" w:rsidP="001C30EF">
            <w:pPr>
              <w:pStyle w:val="COMTabletext"/>
              <w:keepLines/>
              <w:jc w:val="center"/>
            </w:pPr>
            <w:r w:rsidRPr="00AB34C7">
              <w:t>90 (42.1)</w:t>
            </w:r>
          </w:p>
        </w:tc>
        <w:tc>
          <w:tcPr>
            <w:tcW w:w="516" w:type="pct"/>
            <w:tcBorders>
              <w:left w:val="single" w:sz="4" w:space="0" w:color="auto"/>
              <w:right w:val="single" w:sz="4" w:space="0" w:color="auto"/>
            </w:tcBorders>
            <w:shd w:val="clear" w:color="auto" w:fill="FFFFFF"/>
            <w:vAlign w:val="center"/>
          </w:tcPr>
          <w:p w14:paraId="1BD2E099" w14:textId="77777777" w:rsidR="005E2349" w:rsidRPr="00AB34C7" w:rsidRDefault="005E2349" w:rsidP="001C30EF">
            <w:pPr>
              <w:pStyle w:val="COMTabletext"/>
              <w:keepLines/>
              <w:jc w:val="center"/>
            </w:pPr>
            <w:r w:rsidRPr="00AB34C7">
              <w:t>88 (36.7)</w:t>
            </w:r>
          </w:p>
        </w:tc>
        <w:tc>
          <w:tcPr>
            <w:tcW w:w="516" w:type="pct"/>
            <w:tcBorders>
              <w:left w:val="single" w:sz="4" w:space="0" w:color="auto"/>
              <w:right w:val="single" w:sz="4" w:space="0" w:color="auto"/>
            </w:tcBorders>
            <w:shd w:val="clear" w:color="auto" w:fill="FFFFFF"/>
            <w:vAlign w:val="center"/>
          </w:tcPr>
          <w:p w14:paraId="03FF00C3" w14:textId="77777777" w:rsidR="005E2349" w:rsidRPr="00AB34C7" w:rsidRDefault="005E2349" w:rsidP="001C30EF">
            <w:pPr>
              <w:pStyle w:val="COMTabletext"/>
              <w:keepLines/>
              <w:jc w:val="center"/>
            </w:pPr>
            <w:r w:rsidRPr="00AB34C7">
              <w:t>113 (49.8)</w:t>
            </w:r>
          </w:p>
        </w:tc>
        <w:tc>
          <w:tcPr>
            <w:tcW w:w="512" w:type="pct"/>
            <w:tcBorders>
              <w:left w:val="single" w:sz="4" w:space="0" w:color="auto"/>
              <w:right w:val="single" w:sz="4" w:space="0" w:color="auto"/>
            </w:tcBorders>
            <w:shd w:val="clear" w:color="auto" w:fill="FFFFFF"/>
            <w:vAlign w:val="center"/>
          </w:tcPr>
          <w:p w14:paraId="68CCEEA3" w14:textId="77777777" w:rsidR="005E2349" w:rsidRPr="00AB34C7" w:rsidRDefault="005E2349" w:rsidP="001C30EF">
            <w:pPr>
              <w:pStyle w:val="COMTabletext"/>
              <w:keepLines/>
              <w:jc w:val="center"/>
            </w:pPr>
            <w:r w:rsidRPr="00AB34C7">
              <w:t>45 (40.5)</w:t>
            </w:r>
          </w:p>
        </w:tc>
      </w:tr>
      <w:tr w:rsidR="005E2349" w:rsidRPr="00AB34C7" w14:paraId="572E0733" w14:textId="77777777" w:rsidTr="00507D72">
        <w:trPr>
          <w:trHeight w:val="47"/>
        </w:trPr>
        <w:tc>
          <w:tcPr>
            <w:tcW w:w="1029" w:type="pct"/>
            <w:tcBorders>
              <w:right w:val="single" w:sz="4" w:space="0" w:color="auto"/>
            </w:tcBorders>
          </w:tcPr>
          <w:p w14:paraId="2927B815" w14:textId="77777777" w:rsidR="005E2349" w:rsidRPr="00AB34C7" w:rsidRDefault="005E2349" w:rsidP="001C30EF">
            <w:pPr>
              <w:pStyle w:val="COMTabletext"/>
              <w:keepLines/>
            </w:pPr>
            <w:r w:rsidRPr="00AB34C7">
              <w:t>Treatment-related SAE</w:t>
            </w:r>
          </w:p>
        </w:tc>
        <w:tc>
          <w:tcPr>
            <w:tcW w:w="475" w:type="pct"/>
            <w:tcBorders>
              <w:left w:val="single" w:sz="4" w:space="0" w:color="auto"/>
              <w:right w:val="single" w:sz="4" w:space="0" w:color="auto"/>
            </w:tcBorders>
            <w:shd w:val="clear" w:color="auto" w:fill="FFFFFF"/>
            <w:vAlign w:val="center"/>
          </w:tcPr>
          <w:p w14:paraId="73CDD777" w14:textId="77777777" w:rsidR="005E2349" w:rsidRPr="00AB34C7" w:rsidRDefault="005E2349" w:rsidP="001C30EF">
            <w:pPr>
              <w:pStyle w:val="COMTabletext"/>
              <w:keepLines/>
              <w:jc w:val="center"/>
            </w:pPr>
            <w:r w:rsidRPr="00AB34C7">
              <w:t>26 (24.5)</w:t>
            </w:r>
          </w:p>
        </w:tc>
        <w:tc>
          <w:tcPr>
            <w:tcW w:w="475" w:type="pct"/>
            <w:tcBorders>
              <w:left w:val="single" w:sz="4" w:space="0" w:color="auto"/>
              <w:right w:val="single" w:sz="4" w:space="0" w:color="auto"/>
            </w:tcBorders>
            <w:shd w:val="clear" w:color="auto" w:fill="FFFFFF"/>
            <w:vAlign w:val="center"/>
          </w:tcPr>
          <w:p w14:paraId="3ACFE844" w14:textId="77777777" w:rsidR="005E2349" w:rsidRPr="00AB34C7" w:rsidRDefault="005E2349" w:rsidP="001C30EF">
            <w:pPr>
              <w:pStyle w:val="COMTabletext"/>
              <w:keepLines/>
              <w:jc w:val="center"/>
            </w:pPr>
            <w:r w:rsidRPr="00AB34C7">
              <w:t>20 (19.0)</w:t>
            </w:r>
          </w:p>
        </w:tc>
        <w:tc>
          <w:tcPr>
            <w:tcW w:w="479" w:type="pct"/>
            <w:tcBorders>
              <w:left w:val="single" w:sz="4" w:space="0" w:color="auto"/>
              <w:right w:val="single" w:sz="4" w:space="0" w:color="auto"/>
            </w:tcBorders>
            <w:shd w:val="clear" w:color="auto" w:fill="FFFFFF"/>
            <w:vAlign w:val="center"/>
          </w:tcPr>
          <w:p w14:paraId="550E523E" w14:textId="77777777" w:rsidR="005E2349" w:rsidRPr="00AB34C7" w:rsidRDefault="005E2349" w:rsidP="001C30EF">
            <w:pPr>
              <w:pStyle w:val="COMTabletext"/>
              <w:keepLines/>
              <w:jc w:val="center"/>
            </w:pPr>
            <w:r w:rsidRPr="00AB34C7">
              <w:t>21 (13.2)</w:t>
            </w:r>
          </w:p>
        </w:tc>
        <w:tc>
          <w:tcPr>
            <w:tcW w:w="482" w:type="pct"/>
            <w:tcBorders>
              <w:left w:val="single" w:sz="4" w:space="0" w:color="auto"/>
              <w:right w:val="single" w:sz="4" w:space="0" w:color="auto"/>
            </w:tcBorders>
            <w:shd w:val="clear" w:color="auto" w:fill="FFFFFF"/>
            <w:vAlign w:val="center"/>
          </w:tcPr>
          <w:p w14:paraId="2175F0B0" w14:textId="77777777" w:rsidR="005E2349" w:rsidRPr="00AB34C7" w:rsidRDefault="005E2349" w:rsidP="001C30EF">
            <w:pPr>
              <w:pStyle w:val="COMTabletext"/>
              <w:keepLines/>
              <w:jc w:val="center"/>
            </w:pPr>
            <w:r w:rsidRPr="00AB34C7">
              <w:t>NR</w:t>
            </w:r>
          </w:p>
        </w:tc>
        <w:tc>
          <w:tcPr>
            <w:tcW w:w="516" w:type="pct"/>
            <w:tcBorders>
              <w:left w:val="single" w:sz="4" w:space="0" w:color="auto"/>
              <w:right w:val="single" w:sz="4" w:space="0" w:color="auto"/>
            </w:tcBorders>
            <w:shd w:val="clear" w:color="auto" w:fill="FFFFFF"/>
            <w:vAlign w:val="center"/>
          </w:tcPr>
          <w:p w14:paraId="449F5373" w14:textId="77777777" w:rsidR="005E2349" w:rsidRPr="00AB34C7" w:rsidRDefault="005E2349" w:rsidP="001C30EF">
            <w:pPr>
              <w:pStyle w:val="COMTabletext"/>
              <w:keepLines/>
              <w:jc w:val="center"/>
            </w:pPr>
            <w:r w:rsidRPr="00AB34C7">
              <w:t>NR</w:t>
            </w:r>
          </w:p>
        </w:tc>
        <w:tc>
          <w:tcPr>
            <w:tcW w:w="516" w:type="pct"/>
            <w:tcBorders>
              <w:left w:val="single" w:sz="4" w:space="0" w:color="auto"/>
              <w:right w:val="single" w:sz="4" w:space="0" w:color="auto"/>
            </w:tcBorders>
            <w:shd w:val="clear" w:color="auto" w:fill="FFFFFF"/>
            <w:vAlign w:val="center"/>
          </w:tcPr>
          <w:p w14:paraId="2F512F81" w14:textId="77777777" w:rsidR="005E2349" w:rsidRPr="00AB34C7" w:rsidRDefault="005E2349" w:rsidP="001C30EF">
            <w:pPr>
              <w:pStyle w:val="COMTabletext"/>
              <w:keepLines/>
              <w:jc w:val="center"/>
            </w:pPr>
            <w:r w:rsidRPr="00AB34C7">
              <w:t>NR</w:t>
            </w:r>
          </w:p>
        </w:tc>
        <w:tc>
          <w:tcPr>
            <w:tcW w:w="516" w:type="pct"/>
            <w:tcBorders>
              <w:left w:val="single" w:sz="4" w:space="0" w:color="auto"/>
              <w:right w:val="single" w:sz="4" w:space="0" w:color="auto"/>
            </w:tcBorders>
            <w:shd w:val="clear" w:color="auto" w:fill="FFFFFF"/>
            <w:vAlign w:val="center"/>
          </w:tcPr>
          <w:p w14:paraId="589841B3" w14:textId="77777777" w:rsidR="005E2349" w:rsidRPr="00AB34C7" w:rsidRDefault="005E2349" w:rsidP="001C30EF">
            <w:pPr>
              <w:pStyle w:val="COMTabletext"/>
              <w:keepLines/>
              <w:jc w:val="center"/>
            </w:pPr>
            <w:r w:rsidRPr="00AB34C7">
              <w:t>NR</w:t>
            </w:r>
          </w:p>
        </w:tc>
        <w:tc>
          <w:tcPr>
            <w:tcW w:w="512" w:type="pct"/>
            <w:tcBorders>
              <w:left w:val="single" w:sz="4" w:space="0" w:color="auto"/>
              <w:right w:val="single" w:sz="4" w:space="0" w:color="auto"/>
            </w:tcBorders>
            <w:shd w:val="clear" w:color="auto" w:fill="FFFFFF"/>
            <w:vAlign w:val="center"/>
          </w:tcPr>
          <w:p w14:paraId="641D6810" w14:textId="77777777" w:rsidR="005E2349" w:rsidRPr="00AB34C7" w:rsidRDefault="005E2349" w:rsidP="001C30EF">
            <w:pPr>
              <w:pStyle w:val="COMTabletext"/>
              <w:keepLines/>
              <w:jc w:val="center"/>
            </w:pPr>
            <w:r w:rsidRPr="00AB34C7">
              <w:t>NR</w:t>
            </w:r>
          </w:p>
        </w:tc>
      </w:tr>
      <w:tr w:rsidR="005E2349" w:rsidRPr="00AB34C7" w14:paraId="50BBDD4C" w14:textId="77777777" w:rsidTr="00507D72">
        <w:trPr>
          <w:trHeight w:val="47"/>
        </w:trPr>
        <w:tc>
          <w:tcPr>
            <w:tcW w:w="1029" w:type="pct"/>
            <w:tcBorders>
              <w:right w:val="single" w:sz="4" w:space="0" w:color="auto"/>
            </w:tcBorders>
          </w:tcPr>
          <w:p w14:paraId="1BD7241E" w14:textId="77777777" w:rsidR="005E2349" w:rsidRPr="00AB34C7" w:rsidRDefault="005E2349" w:rsidP="001C30EF">
            <w:pPr>
              <w:pStyle w:val="COMTabletext"/>
              <w:keepLines/>
              <w:rPr>
                <w:snapToGrid w:val="0"/>
              </w:rPr>
            </w:pPr>
            <w:r w:rsidRPr="00AB34C7">
              <w:t>AE leading to death</w:t>
            </w:r>
          </w:p>
        </w:tc>
        <w:tc>
          <w:tcPr>
            <w:tcW w:w="475" w:type="pct"/>
            <w:tcBorders>
              <w:left w:val="single" w:sz="4" w:space="0" w:color="auto"/>
              <w:right w:val="single" w:sz="4" w:space="0" w:color="auto"/>
            </w:tcBorders>
            <w:shd w:val="clear" w:color="auto" w:fill="FFFFFF"/>
            <w:vAlign w:val="center"/>
          </w:tcPr>
          <w:p w14:paraId="27915EA7" w14:textId="77777777" w:rsidR="005E2349" w:rsidRPr="00AB34C7" w:rsidRDefault="005E2349" w:rsidP="001C30EF">
            <w:pPr>
              <w:pStyle w:val="COMTabletext"/>
              <w:keepLines/>
              <w:jc w:val="center"/>
            </w:pPr>
            <w:r w:rsidRPr="00AB34C7">
              <w:t>7 (6.6)</w:t>
            </w:r>
          </w:p>
        </w:tc>
        <w:tc>
          <w:tcPr>
            <w:tcW w:w="475" w:type="pct"/>
            <w:tcBorders>
              <w:left w:val="single" w:sz="4" w:space="0" w:color="auto"/>
              <w:right w:val="single" w:sz="4" w:space="0" w:color="auto"/>
            </w:tcBorders>
            <w:shd w:val="clear" w:color="auto" w:fill="FFFFFF"/>
            <w:vAlign w:val="center"/>
          </w:tcPr>
          <w:p w14:paraId="0EE8F8A6" w14:textId="77777777" w:rsidR="005E2349" w:rsidRPr="00AB34C7" w:rsidRDefault="005E2349" w:rsidP="001C30EF">
            <w:pPr>
              <w:pStyle w:val="COMTabletext"/>
              <w:keepLines/>
              <w:jc w:val="center"/>
            </w:pPr>
            <w:r w:rsidRPr="00AB34C7">
              <w:t>2 (1.9)</w:t>
            </w:r>
          </w:p>
        </w:tc>
        <w:tc>
          <w:tcPr>
            <w:tcW w:w="479" w:type="pct"/>
            <w:tcBorders>
              <w:left w:val="single" w:sz="4" w:space="0" w:color="auto"/>
              <w:right w:val="single" w:sz="4" w:space="0" w:color="auto"/>
            </w:tcBorders>
            <w:shd w:val="clear" w:color="auto" w:fill="FFFFFF"/>
            <w:vAlign w:val="center"/>
          </w:tcPr>
          <w:p w14:paraId="1A97B2D4" w14:textId="77777777" w:rsidR="005E2349" w:rsidRPr="00AB34C7" w:rsidRDefault="005E2349" w:rsidP="001C30EF">
            <w:pPr>
              <w:pStyle w:val="COMTabletext"/>
              <w:keepLines/>
              <w:jc w:val="center"/>
            </w:pPr>
            <w:r w:rsidRPr="00AB34C7">
              <w:t>1 (0.6)</w:t>
            </w:r>
          </w:p>
        </w:tc>
        <w:tc>
          <w:tcPr>
            <w:tcW w:w="482" w:type="pct"/>
            <w:tcBorders>
              <w:left w:val="single" w:sz="4" w:space="0" w:color="auto"/>
              <w:right w:val="single" w:sz="4" w:space="0" w:color="auto"/>
            </w:tcBorders>
            <w:shd w:val="clear" w:color="auto" w:fill="FFFFFF"/>
            <w:vAlign w:val="center"/>
          </w:tcPr>
          <w:p w14:paraId="48B41D2C" w14:textId="3B0B25AD" w:rsidR="005E2349" w:rsidRPr="00AB34C7" w:rsidRDefault="005E2349" w:rsidP="001C30EF">
            <w:pPr>
              <w:pStyle w:val="COMTabletext"/>
              <w:keepLines/>
              <w:jc w:val="center"/>
              <w:rPr>
                <w:vertAlign w:val="superscript"/>
              </w:rPr>
            </w:pPr>
            <w:r w:rsidRPr="00AB34C7">
              <w:t>16 (7.5)</w:t>
            </w:r>
            <w:r w:rsidR="00270A0F" w:rsidRPr="00AB34C7">
              <w:rPr>
                <w:vertAlign w:val="superscript"/>
              </w:rPr>
              <w:t>b</w:t>
            </w:r>
          </w:p>
        </w:tc>
        <w:tc>
          <w:tcPr>
            <w:tcW w:w="516" w:type="pct"/>
            <w:tcBorders>
              <w:left w:val="single" w:sz="4" w:space="0" w:color="auto"/>
              <w:right w:val="single" w:sz="4" w:space="0" w:color="auto"/>
            </w:tcBorders>
            <w:shd w:val="clear" w:color="auto" w:fill="FFFFFF"/>
            <w:vAlign w:val="center"/>
          </w:tcPr>
          <w:p w14:paraId="40CFF6A1" w14:textId="35B127F4" w:rsidR="005E2349" w:rsidRPr="00AB34C7" w:rsidRDefault="005E2349" w:rsidP="001C30EF">
            <w:pPr>
              <w:pStyle w:val="COMTabletext"/>
              <w:keepLines/>
              <w:jc w:val="center"/>
              <w:rPr>
                <w:vertAlign w:val="superscript"/>
              </w:rPr>
            </w:pPr>
            <w:r w:rsidRPr="00AB34C7">
              <w:t>8 (3.7)</w:t>
            </w:r>
            <w:r w:rsidR="00270A0F" w:rsidRPr="00AB34C7">
              <w:rPr>
                <w:vertAlign w:val="superscript"/>
              </w:rPr>
              <w:t>c</w:t>
            </w:r>
          </w:p>
        </w:tc>
        <w:tc>
          <w:tcPr>
            <w:tcW w:w="516" w:type="pct"/>
            <w:tcBorders>
              <w:left w:val="single" w:sz="4" w:space="0" w:color="auto"/>
              <w:right w:val="single" w:sz="4" w:space="0" w:color="auto"/>
            </w:tcBorders>
            <w:shd w:val="clear" w:color="auto" w:fill="FFFFFF"/>
            <w:vAlign w:val="center"/>
          </w:tcPr>
          <w:p w14:paraId="05354992" w14:textId="77777777" w:rsidR="005E2349" w:rsidRPr="00AB34C7" w:rsidRDefault="005E2349" w:rsidP="001C30EF">
            <w:pPr>
              <w:pStyle w:val="COMTabletext"/>
              <w:keepLines/>
              <w:jc w:val="center"/>
            </w:pPr>
            <w:r w:rsidRPr="00AB34C7">
              <w:t>11 (4.6)</w:t>
            </w:r>
          </w:p>
        </w:tc>
        <w:tc>
          <w:tcPr>
            <w:tcW w:w="516" w:type="pct"/>
            <w:tcBorders>
              <w:left w:val="single" w:sz="4" w:space="0" w:color="auto"/>
              <w:right w:val="single" w:sz="4" w:space="0" w:color="auto"/>
            </w:tcBorders>
            <w:shd w:val="clear" w:color="auto" w:fill="FFFFFF"/>
            <w:vAlign w:val="center"/>
          </w:tcPr>
          <w:p w14:paraId="685419AA" w14:textId="7F3D67EF" w:rsidR="005E2349" w:rsidRPr="00AB34C7" w:rsidRDefault="005E2349" w:rsidP="001C30EF">
            <w:pPr>
              <w:pStyle w:val="COMTabletext"/>
              <w:keepLines/>
              <w:jc w:val="center"/>
            </w:pPr>
            <w:r w:rsidRPr="00AB34C7">
              <w:t>1</w:t>
            </w:r>
            <w:r w:rsidR="00C6193C" w:rsidRPr="00AB34C7">
              <w:t>2</w:t>
            </w:r>
            <w:r w:rsidRPr="00AB34C7">
              <w:t xml:space="preserve"> (</w:t>
            </w:r>
            <w:r w:rsidR="00C6193C" w:rsidRPr="00AB34C7">
              <w:t>5</w:t>
            </w:r>
            <w:r w:rsidRPr="00AB34C7">
              <w:t>.</w:t>
            </w:r>
            <w:r w:rsidR="00C6193C" w:rsidRPr="00AB34C7">
              <w:t>3</w:t>
            </w:r>
            <w:r w:rsidRPr="00AB34C7">
              <w:t>)</w:t>
            </w:r>
          </w:p>
        </w:tc>
        <w:tc>
          <w:tcPr>
            <w:tcW w:w="512" w:type="pct"/>
            <w:tcBorders>
              <w:left w:val="single" w:sz="4" w:space="0" w:color="auto"/>
              <w:right w:val="single" w:sz="4" w:space="0" w:color="auto"/>
            </w:tcBorders>
            <w:shd w:val="clear" w:color="auto" w:fill="FFFFFF"/>
            <w:vAlign w:val="center"/>
          </w:tcPr>
          <w:p w14:paraId="7D696E5D" w14:textId="77777777" w:rsidR="005E2349" w:rsidRPr="00AB34C7" w:rsidRDefault="005E2349" w:rsidP="001C30EF">
            <w:pPr>
              <w:pStyle w:val="COMTabletext"/>
              <w:keepLines/>
              <w:jc w:val="center"/>
            </w:pPr>
            <w:r w:rsidRPr="00AB34C7">
              <w:t>3 (2.7)</w:t>
            </w:r>
          </w:p>
        </w:tc>
      </w:tr>
      <w:tr w:rsidR="005E2349" w:rsidRPr="00AB34C7" w14:paraId="71757AA5" w14:textId="77777777" w:rsidTr="00507D72">
        <w:trPr>
          <w:trHeight w:val="47"/>
        </w:trPr>
        <w:tc>
          <w:tcPr>
            <w:tcW w:w="1029" w:type="pct"/>
            <w:tcBorders>
              <w:right w:val="single" w:sz="4" w:space="0" w:color="auto"/>
            </w:tcBorders>
          </w:tcPr>
          <w:p w14:paraId="52257BA8" w14:textId="4E19D07E" w:rsidR="005E2349" w:rsidRPr="00AB34C7" w:rsidRDefault="005E2349" w:rsidP="001C30EF">
            <w:pPr>
              <w:pStyle w:val="COMTabletext"/>
              <w:keepLines/>
              <w:rPr>
                <w:snapToGrid w:val="0"/>
                <w:vertAlign w:val="superscript"/>
              </w:rPr>
            </w:pPr>
            <w:r w:rsidRPr="00AB34C7">
              <w:t>Discontinue due to AE</w:t>
            </w:r>
            <w:r w:rsidR="00270A0F" w:rsidRPr="00AB34C7">
              <w:rPr>
                <w:vertAlign w:val="superscript"/>
              </w:rPr>
              <w:t>d</w:t>
            </w:r>
          </w:p>
        </w:tc>
        <w:tc>
          <w:tcPr>
            <w:tcW w:w="475" w:type="pct"/>
            <w:tcBorders>
              <w:left w:val="single" w:sz="4" w:space="0" w:color="auto"/>
              <w:right w:val="single" w:sz="4" w:space="0" w:color="auto"/>
            </w:tcBorders>
            <w:shd w:val="clear" w:color="auto" w:fill="FFFFFF"/>
            <w:vAlign w:val="center"/>
          </w:tcPr>
          <w:p w14:paraId="0305CE13" w14:textId="77777777" w:rsidR="005E2349" w:rsidRPr="00AB34C7" w:rsidRDefault="005E2349" w:rsidP="001C30EF">
            <w:pPr>
              <w:pStyle w:val="COMTabletext"/>
              <w:keepLines/>
              <w:jc w:val="center"/>
            </w:pPr>
            <w:r w:rsidRPr="00AB34C7">
              <w:t>22 (20.8)</w:t>
            </w:r>
          </w:p>
        </w:tc>
        <w:tc>
          <w:tcPr>
            <w:tcW w:w="475" w:type="pct"/>
            <w:tcBorders>
              <w:left w:val="single" w:sz="4" w:space="0" w:color="auto"/>
              <w:right w:val="single" w:sz="4" w:space="0" w:color="auto"/>
            </w:tcBorders>
            <w:shd w:val="clear" w:color="auto" w:fill="FFFFFF"/>
            <w:vAlign w:val="center"/>
          </w:tcPr>
          <w:p w14:paraId="10BF73EA" w14:textId="77777777" w:rsidR="005E2349" w:rsidRPr="00AB34C7" w:rsidRDefault="005E2349" w:rsidP="001C30EF">
            <w:pPr>
              <w:pStyle w:val="COMTabletext"/>
              <w:keepLines/>
              <w:jc w:val="center"/>
            </w:pPr>
            <w:r w:rsidRPr="00AB34C7">
              <w:t>8 (7.6)</w:t>
            </w:r>
          </w:p>
        </w:tc>
        <w:tc>
          <w:tcPr>
            <w:tcW w:w="479" w:type="pct"/>
            <w:tcBorders>
              <w:left w:val="single" w:sz="4" w:space="0" w:color="auto"/>
              <w:right w:val="single" w:sz="4" w:space="0" w:color="auto"/>
            </w:tcBorders>
            <w:shd w:val="clear" w:color="auto" w:fill="FFFFFF"/>
            <w:vAlign w:val="center"/>
          </w:tcPr>
          <w:p w14:paraId="1BCE96A7" w14:textId="77777777" w:rsidR="005E2349" w:rsidRPr="00AB34C7" w:rsidRDefault="005E2349" w:rsidP="001C30EF">
            <w:pPr>
              <w:pStyle w:val="COMTabletext"/>
              <w:keepLines/>
              <w:jc w:val="center"/>
            </w:pPr>
            <w:r w:rsidRPr="00AB34C7">
              <w:t>8 (5.0)</w:t>
            </w:r>
          </w:p>
        </w:tc>
        <w:tc>
          <w:tcPr>
            <w:tcW w:w="482" w:type="pct"/>
            <w:tcBorders>
              <w:left w:val="single" w:sz="4" w:space="0" w:color="auto"/>
              <w:right w:val="single" w:sz="4" w:space="0" w:color="auto"/>
            </w:tcBorders>
            <w:shd w:val="clear" w:color="auto" w:fill="FFFFFF"/>
            <w:vAlign w:val="center"/>
          </w:tcPr>
          <w:p w14:paraId="5F764973" w14:textId="77777777" w:rsidR="005E2349" w:rsidRPr="00AB34C7" w:rsidRDefault="005E2349" w:rsidP="001C30EF">
            <w:pPr>
              <w:pStyle w:val="COMTabletext"/>
              <w:keepLines/>
              <w:jc w:val="center"/>
            </w:pPr>
            <w:r w:rsidRPr="00AB34C7">
              <w:t>34 (16.0)</w:t>
            </w:r>
          </w:p>
        </w:tc>
        <w:tc>
          <w:tcPr>
            <w:tcW w:w="516" w:type="pct"/>
            <w:tcBorders>
              <w:left w:val="single" w:sz="4" w:space="0" w:color="auto"/>
              <w:right w:val="single" w:sz="4" w:space="0" w:color="auto"/>
            </w:tcBorders>
            <w:shd w:val="clear" w:color="auto" w:fill="FFFFFF"/>
            <w:vAlign w:val="center"/>
          </w:tcPr>
          <w:p w14:paraId="57ECB73D" w14:textId="77777777" w:rsidR="005E2349" w:rsidRPr="00AB34C7" w:rsidRDefault="005E2349" w:rsidP="001C30EF">
            <w:pPr>
              <w:pStyle w:val="COMTabletext"/>
              <w:keepLines/>
              <w:jc w:val="center"/>
            </w:pPr>
            <w:r w:rsidRPr="00AB34C7">
              <w:t>33 (15.4)</w:t>
            </w:r>
          </w:p>
        </w:tc>
        <w:tc>
          <w:tcPr>
            <w:tcW w:w="516" w:type="pct"/>
            <w:tcBorders>
              <w:left w:val="single" w:sz="4" w:space="0" w:color="auto"/>
              <w:right w:val="single" w:sz="4" w:space="0" w:color="auto"/>
            </w:tcBorders>
            <w:shd w:val="clear" w:color="auto" w:fill="FFFFFF"/>
            <w:vAlign w:val="center"/>
          </w:tcPr>
          <w:p w14:paraId="2F3E7FAB" w14:textId="77777777" w:rsidR="005E2349" w:rsidRPr="00AB34C7" w:rsidRDefault="005E2349" w:rsidP="001C30EF">
            <w:pPr>
              <w:pStyle w:val="COMTabletext"/>
              <w:keepLines/>
              <w:jc w:val="center"/>
            </w:pPr>
            <w:r w:rsidRPr="00AB34C7">
              <w:t>20 (8.3)</w:t>
            </w:r>
          </w:p>
        </w:tc>
        <w:tc>
          <w:tcPr>
            <w:tcW w:w="516" w:type="pct"/>
            <w:tcBorders>
              <w:left w:val="single" w:sz="4" w:space="0" w:color="auto"/>
              <w:right w:val="single" w:sz="4" w:space="0" w:color="auto"/>
            </w:tcBorders>
            <w:shd w:val="clear" w:color="auto" w:fill="FFFFFF"/>
            <w:vAlign w:val="center"/>
          </w:tcPr>
          <w:p w14:paraId="0BB49B2A" w14:textId="77777777" w:rsidR="005E2349" w:rsidRPr="00AB34C7" w:rsidRDefault="005E2349" w:rsidP="001C30EF">
            <w:pPr>
              <w:pStyle w:val="COMTabletext"/>
              <w:keepLines/>
              <w:jc w:val="center"/>
            </w:pPr>
            <w:r w:rsidRPr="00AB34C7">
              <w:t>31 (13.7)</w:t>
            </w:r>
          </w:p>
        </w:tc>
        <w:tc>
          <w:tcPr>
            <w:tcW w:w="512" w:type="pct"/>
            <w:tcBorders>
              <w:left w:val="single" w:sz="4" w:space="0" w:color="auto"/>
              <w:right w:val="single" w:sz="4" w:space="0" w:color="auto"/>
            </w:tcBorders>
            <w:shd w:val="clear" w:color="auto" w:fill="FFFFFF"/>
            <w:vAlign w:val="center"/>
          </w:tcPr>
          <w:p w14:paraId="2AB15E25" w14:textId="77777777" w:rsidR="005E2349" w:rsidRPr="00AB34C7" w:rsidRDefault="005E2349" w:rsidP="001C30EF">
            <w:pPr>
              <w:pStyle w:val="COMTabletext"/>
              <w:keepLines/>
              <w:jc w:val="center"/>
            </w:pPr>
            <w:r w:rsidRPr="00AB34C7">
              <w:t>6 (5.4)</w:t>
            </w:r>
          </w:p>
        </w:tc>
      </w:tr>
      <w:tr w:rsidR="005E2349" w:rsidRPr="00AB34C7" w14:paraId="2547AB16" w14:textId="77777777" w:rsidTr="00507D72">
        <w:trPr>
          <w:trHeight w:val="47"/>
        </w:trPr>
        <w:tc>
          <w:tcPr>
            <w:tcW w:w="1029" w:type="pct"/>
            <w:tcBorders>
              <w:right w:val="single" w:sz="4" w:space="0" w:color="auto"/>
            </w:tcBorders>
          </w:tcPr>
          <w:p w14:paraId="42EEF78A" w14:textId="4F604385" w:rsidR="005E2349" w:rsidRPr="00AB34C7" w:rsidRDefault="005E2349" w:rsidP="001C30EF">
            <w:pPr>
              <w:pStyle w:val="COMTabletext"/>
              <w:keepLines/>
              <w:rPr>
                <w:vertAlign w:val="superscript"/>
              </w:rPr>
            </w:pPr>
            <w:r w:rsidRPr="00AB34C7">
              <w:t>Dose reduction due to AE</w:t>
            </w:r>
            <w:r w:rsidR="00270A0F" w:rsidRPr="00AB34C7">
              <w:rPr>
                <w:vertAlign w:val="superscript"/>
              </w:rPr>
              <w:t>d</w:t>
            </w:r>
          </w:p>
        </w:tc>
        <w:tc>
          <w:tcPr>
            <w:tcW w:w="475" w:type="pct"/>
            <w:tcBorders>
              <w:left w:val="single" w:sz="4" w:space="0" w:color="auto"/>
              <w:right w:val="single" w:sz="4" w:space="0" w:color="auto"/>
            </w:tcBorders>
            <w:shd w:val="clear" w:color="auto" w:fill="FFFFFF"/>
            <w:vAlign w:val="center"/>
          </w:tcPr>
          <w:p w14:paraId="649B3CAD" w14:textId="77777777" w:rsidR="005E2349" w:rsidRPr="00AB34C7" w:rsidRDefault="005E2349" w:rsidP="001C30EF">
            <w:pPr>
              <w:pStyle w:val="COMTabletext"/>
              <w:keepLines/>
              <w:jc w:val="center"/>
            </w:pPr>
            <w:r w:rsidRPr="00AB34C7">
              <w:t>28 (26.4)</w:t>
            </w:r>
          </w:p>
        </w:tc>
        <w:tc>
          <w:tcPr>
            <w:tcW w:w="475" w:type="pct"/>
            <w:tcBorders>
              <w:left w:val="single" w:sz="4" w:space="0" w:color="auto"/>
              <w:right w:val="single" w:sz="4" w:space="0" w:color="auto"/>
            </w:tcBorders>
            <w:shd w:val="clear" w:color="auto" w:fill="FFFFFF"/>
            <w:vAlign w:val="center"/>
          </w:tcPr>
          <w:p w14:paraId="3273A6FE" w14:textId="695F4B69" w:rsidR="005E2349" w:rsidRPr="00AB34C7" w:rsidRDefault="00C6193C" w:rsidP="001C30EF">
            <w:pPr>
              <w:pStyle w:val="COMTabletext"/>
              <w:keepLines/>
              <w:jc w:val="center"/>
            </w:pPr>
            <w:r w:rsidRPr="00AB34C7">
              <w:t>22</w:t>
            </w:r>
            <w:r w:rsidR="005E2349" w:rsidRPr="00AB34C7">
              <w:t xml:space="preserve"> (</w:t>
            </w:r>
            <w:r w:rsidRPr="00AB34C7">
              <w:t>21</w:t>
            </w:r>
            <w:r w:rsidR="005E2349" w:rsidRPr="00AB34C7">
              <w:t>.</w:t>
            </w:r>
            <w:r w:rsidRPr="00AB34C7">
              <w:t>0</w:t>
            </w:r>
            <w:r w:rsidR="005E2349" w:rsidRPr="00AB34C7">
              <w:t>)</w:t>
            </w:r>
          </w:p>
        </w:tc>
        <w:tc>
          <w:tcPr>
            <w:tcW w:w="479" w:type="pct"/>
            <w:tcBorders>
              <w:left w:val="single" w:sz="4" w:space="0" w:color="auto"/>
              <w:right w:val="single" w:sz="4" w:space="0" w:color="auto"/>
            </w:tcBorders>
            <w:shd w:val="clear" w:color="auto" w:fill="FFFFFF"/>
            <w:vAlign w:val="center"/>
          </w:tcPr>
          <w:p w14:paraId="19DA3891" w14:textId="77777777" w:rsidR="005E2349" w:rsidRPr="00AB34C7" w:rsidRDefault="005E2349" w:rsidP="001C30EF">
            <w:pPr>
              <w:pStyle w:val="COMTabletext"/>
              <w:keepLines/>
              <w:jc w:val="center"/>
            </w:pPr>
            <w:r w:rsidRPr="00AB34C7">
              <w:t>33 (20.8)</w:t>
            </w:r>
          </w:p>
        </w:tc>
        <w:tc>
          <w:tcPr>
            <w:tcW w:w="482" w:type="pct"/>
            <w:tcBorders>
              <w:left w:val="single" w:sz="4" w:space="0" w:color="auto"/>
              <w:right w:val="single" w:sz="4" w:space="0" w:color="auto"/>
            </w:tcBorders>
            <w:shd w:val="clear" w:color="auto" w:fill="FFFFFF"/>
            <w:vAlign w:val="center"/>
          </w:tcPr>
          <w:p w14:paraId="63B8C16E" w14:textId="77777777" w:rsidR="005E2349" w:rsidRPr="00AB34C7" w:rsidRDefault="005E2349" w:rsidP="001C30EF">
            <w:pPr>
              <w:pStyle w:val="COMTabletext"/>
              <w:keepLines/>
              <w:jc w:val="center"/>
            </w:pPr>
            <w:r w:rsidRPr="00AB34C7">
              <w:t>NR</w:t>
            </w:r>
          </w:p>
        </w:tc>
        <w:tc>
          <w:tcPr>
            <w:tcW w:w="516" w:type="pct"/>
            <w:tcBorders>
              <w:left w:val="single" w:sz="4" w:space="0" w:color="auto"/>
              <w:right w:val="single" w:sz="4" w:space="0" w:color="auto"/>
            </w:tcBorders>
            <w:shd w:val="clear" w:color="auto" w:fill="FFFFFF"/>
            <w:vAlign w:val="center"/>
          </w:tcPr>
          <w:p w14:paraId="41E17FFD" w14:textId="77777777" w:rsidR="005E2349" w:rsidRPr="00AB34C7" w:rsidRDefault="005E2349" w:rsidP="001C30EF">
            <w:pPr>
              <w:pStyle w:val="COMTabletext"/>
              <w:keepLines/>
              <w:jc w:val="center"/>
            </w:pPr>
            <w:r w:rsidRPr="00AB34C7">
              <w:t>NR</w:t>
            </w:r>
          </w:p>
        </w:tc>
        <w:tc>
          <w:tcPr>
            <w:tcW w:w="516" w:type="pct"/>
            <w:tcBorders>
              <w:left w:val="single" w:sz="4" w:space="0" w:color="auto"/>
              <w:right w:val="single" w:sz="4" w:space="0" w:color="auto"/>
            </w:tcBorders>
            <w:shd w:val="clear" w:color="auto" w:fill="FFFFFF"/>
            <w:vAlign w:val="center"/>
          </w:tcPr>
          <w:p w14:paraId="02F7DD63" w14:textId="77777777" w:rsidR="005E2349" w:rsidRPr="00AB34C7" w:rsidRDefault="005E2349" w:rsidP="001C30EF">
            <w:pPr>
              <w:pStyle w:val="COMTabletext"/>
              <w:keepLines/>
              <w:jc w:val="center"/>
            </w:pPr>
            <w:r w:rsidRPr="00AB34C7">
              <w:t>NR</w:t>
            </w:r>
          </w:p>
        </w:tc>
        <w:tc>
          <w:tcPr>
            <w:tcW w:w="516" w:type="pct"/>
            <w:tcBorders>
              <w:left w:val="single" w:sz="4" w:space="0" w:color="auto"/>
              <w:right w:val="single" w:sz="4" w:space="0" w:color="auto"/>
            </w:tcBorders>
            <w:shd w:val="clear" w:color="auto" w:fill="FFFFFF"/>
            <w:vAlign w:val="center"/>
          </w:tcPr>
          <w:p w14:paraId="79F4D596" w14:textId="77777777" w:rsidR="005E2349" w:rsidRPr="00AB34C7" w:rsidRDefault="005E2349" w:rsidP="001C30EF">
            <w:pPr>
              <w:pStyle w:val="COMTabletext"/>
              <w:keepLines/>
              <w:jc w:val="center"/>
            </w:pPr>
            <w:r w:rsidRPr="00AB34C7">
              <w:t>NR</w:t>
            </w:r>
          </w:p>
        </w:tc>
        <w:tc>
          <w:tcPr>
            <w:tcW w:w="512" w:type="pct"/>
            <w:tcBorders>
              <w:left w:val="single" w:sz="4" w:space="0" w:color="auto"/>
              <w:right w:val="single" w:sz="4" w:space="0" w:color="auto"/>
            </w:tcBorders>
            <w:shd w:val="clear" w:color="auto" w:fill="FFFFFF"/>
            <w:vAlign w:val="center"/>
          </w:tcPr>
          <w:p w14:paraId="40B2C54B" w14:textId="77777777" w:rsidR="005E2349" w:rsidRPr="00AB34C7" w:rsidRDefault="005E2349" w:rsidP="001C30EF">
            <w:pPr>
              <w:pStyle w:val="COMTabletext"/>
              <w:keepLines/>
              <w:jc w:val="center"/>
            </w:pPr>
            <w:r w:rsidRPr="00AB34C7">
              <w:t>NR</w:t>
            </w:r>
          </w:p>
        </w:tc>
      </w:tr>
      <w:tr w:rsidR="005E2349" w:rsidRPr="00AB34C7" w14:paraId="52AA061B" w14:textId="77777777" w:rsidTr="00507D72">
        <w:trPr>
          <w:trHeight w:val="47"/>
        </w:trPr>
        <w:tc>
          <w:tcPr>
            <w:tcW w:w="1029" w:type="pct"/>
            <w:tcBorders>
              <w:right w:val="single" w:sz="4" w:space="0" w:color="auto"/>
            </w:tcBorders>
          </w:tcPr>
          <w:p w14:paraId="497B207E" w14:textId="77777777" w:rsidR="005E2349" w:rsidRPr="00AB34C7" w:rsidRDefault="005E2349" w:rsidP="001C30EF">
            <w:pPr>
              <w:pStyle w:val="COMTabletext"/>
              <w:keepLines/>
              <w:rPr>
                <w:snapToGrid w:val="0"/>
              </w:rPr>
            </w:pPr>
            <w:r w:rsidRPr="00AB34C7">
              <w:t>Treatment-related AE</w:t>
            </w:r>
          </w:p>
        </w:tc>
        <w:tc>
          <w:tcPr>
            <w:tcW w:w="475" w:type="pct"/>
            <w:tcBorders>
              <w:left w:val="single" w:sz="4" w:space="0" w:color="auto"/>
              <w:right w:val="single" w:sz="4" w:space="0" w:color="auto"/>
            </w:tcBorders>
            <w:shd w:val="clear" w:color="auto" w:fill="FFFFFF"/>
            <w:vAlign w:val="center"/>
          </w:tcPr>
          <w:p w14:paraId="139A4FC7" w14:textId="77777777" w:rsidR="005E2349" w:rsidRPr="00AB34C7" w:rsidRDefault="005E2349" w:rsidP="001C30EF">
            <w:pPr>
              <w:pStyle w:val="COMTabletext"/>
              <w:keepLines/>
              <w:jc w:val="center"/>
            </w:pPr>
            <w:r w:rsidRPr="00AB34C7">
              <w:t>89 (84.0)</w:t>
            </w:r>
          </w:p>
        </w:tc>
        <w:tc>
          <w:tcPr>
            <w:tcW w:w="475" w:type="pct"/>
            <w:tcBorders>
              <w:left w:val="single" w:sz="4" w:space="0" w:color="auto"/>
              <w:right w:val="single" w:sz="4" w:space="0" w:color="auto"/>
            </w:tcBorders>
            <w:shd w:val="clear" w:color="auto" w:fill="FFFFFF"/>
            <w:vAlign w:val="center"/>
          </w:tcPr>
          <w:p w14:paraId="21F33C25" w14:textId="77777777" w:rsidR="005E2349" w:rsidRPr="00AB34C7" w:rsidRDefault="005E2349" w:rsidP="001C30EF">
            <w:pPr>
              <w:pStyle w:val="COMTabletext"/>
              <w:keepLines/>
              <w:jc w:val="center"/>
            </w:pPr>
            <w:r w:rsidRPr="00AB34C7">
              <w:t>97 (92.4)</w:t>
            </w:r>
          </w:p>
        </w:tc>
        <w:tc>
          <w:tcPr>
            <w:tcW w:w="479" w:type="pct"/>
            <w:tcBorders>
              <w:left w:val="single" w:sz="4" w:space="0" w:color="auto"/>
              <w:right w:val="single" w:sz="4" w:space="0" w:color="auto"/>
            </w:tcBorders>
            <w:shd w:val="clear" w:color="auto" w:fill="FFFFFF"/>
            <w:vAlign w:val="center"/>
          </w:tcPr>
          <w:p w14:paraId="0B57096C" w14:textId="77777777" w:rsidR="005E2349" w:rsidRPr="00AB34C7" w:rsidRDefault="005E2349" w:rsidP="001C30EF">
            <w:pPr>
              <w:pStyle w:val="COMTabletext"/>
              <w:keepLines/>
              <w:jc w:val="center"/>
            </w:pPr>
            <w:r w:rsidRPr="00AB34C7">
              <w:t>NR</w:t>
            </w:r>
          </w:p>
        </w:tc>
        <w:tc>
          <w:tcPr>
            <w:tcW w:w="482" w:type="pct"/>
            <w:tcBorders>
              <w:left w:val="single" w:sz="4" w:space="0" w:color="auto"/>
              <w:right w:val="single" w:sz="4" w:space="0" w:color="auto"/>
            </w:tcBorders>
            <w:shd w:val="clear" w:color="auto" w:fill="FFFFFF"/>
            <w:vAlign w:val="center"/>
          </w:tcPr>
          <w:p w14:paraId="25112DA2" w14:textId="77777777" w:rsidR="005E2349" w:rsidRPr="00AB34C7" w:rsidRDefault="005E2349" w:rsidP="001C30EF">
            <w:pPr>
              <w:pStyle w:val="COMTabletext"/>
              <w:keepLines/>
              <w:jc w:val="center"/>
            </w:pPr>
            <w:r w:rsidRPr="00AB34C7">
              <w:t>NR</w:t>
            </w:r>
          </w:p>
        </w:tc>
        <w:tc>
          <w:tcPr>
            <w:tcW w:w="516" w:type="pct"/>
            <w:tcBorders>
              <w:left w:val="single" w:sz="4" w:space="0" w:color="auto"/>
              <w:right w:val="single" w:sz="4" w:space="0" w:color="auto"/>
            </w:tcBorders>
            <w:shd w:val="clear" w:color="auto" w:fill="FFFFFF"/>
            <w:vAlign w:val="center"/>
          </w:tcPr>
          <w:p w14:paraId="1F105893" w14:textId="77777777" w:rsidR="005E2349" w:rsidRPr="00AB34C7" w:rsidRDefault="005E2349" w:rsidP="001C30EF">
            <w:pPr>
              <w:pStyle w:val="COMTabletext"/>
              <w:keepLines/>
              <w:jc w:val="center"/>
            </w:pPr>
            <w:r w:rsidRPr="00AB34C7">
              <w:t>NR</w:t>
            </w:r>
          </w:p>
        </w:tc>
        <w:tc>
          <w:tcPr>
            <w:tcW w:w="516" w:type="pct"/>
            <w:tcBorders>
              <w:left w:val="single" w:sz="4" w:space="0" w:color="auto"/>
              <w:right w:val="single" w:sz="4" w:space="0" w:color="auto"/>
            </w:tcBorders>
            <w:shd w:val="clear" w:color="auto" w:fill="FFFFFF"/>
            <w:vAlign w:val="center"/>
          </w:tcPr>
          <w:p w14:paraId="5122C622" w14:textId="77777777" w:rsidR="005E2349" w:rsidRPr="00AB34C7" w:rsidRDefault="005E2349" w:rsidP="001C30EF">
            <w:pPr>
              <w:pStyle w:val="COMTabletext"/>
              <w:keepLines/>
              <w:jc w:val="center"/>
            </w:pPr>
            <w:r w:rsidRPr="00AB34C7">
              <w:t>NR</w:t>
            </w:r>
          </w:p>
        </w:tc>
        <w:tc>
          <w:tcPr>
            <w:tcW w:w="516" w:type="pct"/>
            <w:tcBorders>
              <w:left w:val="single" w:sz="4" w:space="0" w:color="auto"/>
              <w:right w:val="single" w:sz="4" w:space="0" w:color="auto"/>
            </w:tcBorders>
            <w:shd w:val="clear" w:color="auto" w:fill="FFFFFF"/>
            <w:vAlign w:val="center"/>
          </w:tcPr>
          <w:p w14:paraId="3E17F22C" w14:textId="77777777" w:rsidR="005E2349" w:rsidRPr="00AB34C7" w:rsidRDefault="005E2349" w:rsidP="001C30EF">
            <w:pPr>
              <w:pStyle w:val="COMTabletext"/>
              <w:keepLines/>
              <w:jc w:val="center"/>
            </w:pPr>
            <w:r w:rsidRPr="00AB34C7">
              <w:t>NR</w:t>
            </w:r>
          </w:p>
        </w:tc>
        <w:tc>
          <w:tcPr>
            <w:tcW w:w="512" w:type="pct"/>
            <w:tcBorders>
              <w:left w:val="single" w:sz="4" w:space="0" w:color="auto"/>
              <w:right w:val="single" w:sz="4" w:space="0" w:color="auto"/>
            </w:tcBorders>
            <w:shd w:val="clear" w:color="auto" w:fill="FFFFFF"/>
            <w:vAlign w:val="center"/>
          </w:tcPr>
          <w:p w14:paraId="37B26A6F" w14:textId="77777777" w:rsidR="005E2349" w:rsidRPr="00AB34C7" w:rsidRDefault="005E2349" w:rsidP="001C30EF">
            <w:pPr>
              <w:pStyle w:val="COMTabletext"/>
              <w:keepLines/>
              <w:jc w:val="center"/>
            </w:pPr>
            <w:r w:rsidRPr="00AB34C7">
              <w:t>NR</w:t>
            </w:r>
          </w:p>
        </w:tc>
      </w:tr>
    </w:tbl>
    <w:p w14:paraId="18E967C0" w14:textId="1DC8E967" w:rsidR="005E2349" w:rsidRPr="00AB34C7" w:rsidRDefault="005E2349" w:rsidP="001C30EF">
      <w:pPr>
        <w:pStyle w:val="COMTablefooter"/>
        <w:keepNext/>
        <w:keepLines/>
      </w:pPr>
      <w:r w:rsidRPr="00AB34C7">
        <w:t>Source: Table 17, p85</w:t>
      </w:r>
      <w:r w:rsidR="007C10D4" w:rsidRPr="00AB34C7">
        <w:t xml:space="preserve"> </w:t>
      </w:r>
      <w:r w:rsidRPr="00AB34C7">
        <w:t>of the GLOW clinical study report (primary analysis); Table 14.3.1.1.1, pp672-673</w:t>
      </w:r>
      <w:r w:rsidR="007C10D4" w:rsidRPr="00AB34C7">
        <w:t xml:space="preserve"> </w:t>
      </w:r>
      <w:r w:rsidRPr="00AB34C7">
        <w:t xml:space="preserve">of the CAPTIVATE clinical study report (primary analysis); Table 2, pp2232-2233; p2230; p2234 of Fischer et al. (2019); </w:t>
      </w:r>
      <w:r w:rsidR="004B2DA2" w:rsidRPr="00AB34C7">
        <w:t xml:space="preserve">Table S6, p50; </w:t>
      </w:r>
      <w:r w:rsidRPr="00AB34C7">
        <w:t xml:space="preserve">Table S7, p51 of Fischer et al. (2019) supplementary appendix; </w:t>
      </w:r>
      <w:r w:rsidR="003341C3" w:rsidRPr="00AB34C7">
        <w:t>p1038 of Tam et al. (2022); Table S7 and Table S8 of Tam et al. (2022) supplementary appendix.</w:t>
      </w:r>
    </w:p>
    <w:p w14:paraId="4D3DF0D0" w14:textId="1FE9A91D" w:rsidR="005E2349" w:rsidRPr="00AB34C7" w:rsidRDefault="005E2349" w:rsidP="001C30EF">
      <w:pPr>
        <w:pStyle w:val="COMTablefooter"/>
        <w:keepNext/>
        <w:keepLines/>
      </w:pPr>
      <w:r w:rsidRPr="00AB34C7">
        <w:t>Abbreviations: AE, adverse event; BEN, bendamustine; CHL, chlorambucil; IBR, ibrutinib; OBI, obinutuzumab; NR, not reported; RIT, rituximab; SAE, serious adverse event; VEN, venetoclax; ZAN, zanubrutinib.</w:t>
      </w:r>
    </w:p>
    <w:p w14:paraId="1545FC87" w14:textId="408EC244" w:rsidR="004B2DA2" w:rsidRPr="00AB34C7" w:rsidRDefault="004B2DA2" w:rsidP="001C30EF">
      <w:pPr>
        <w:pStyle w:val="COMTablefooter"/>
        <w:keepNext/>
        <w:keepLines/>
      </w:pPr>
      <w:r w:rsidRPr="00AB34C7">
        <w:rPr>
          <w:vertAlign w:val="superscript"/>
        </w:rPr>
        <w:t>a</w:t>
      </w:r>
      <w:r w:rsidRPr="00AB34C7">
        <w:t xml:space="preserve"> Grade 3 or 4 for the CLL-14 trial.</w:t>
      </w:r>
    </w:p>
    <w:p w14:paraId="6E2B19CA" w14:textId="77777777" w:rsidR="00270A0F" w:rsidRPr="00AB34C7" w:rsidRDefault="00270A0F" w:rsidP="001C30EF">
      <w:pPr>
        <w:pStyle w:val="COMTablefooter"/>
        <w:keepNext/>
        <w:keepLines/>
      </w:pPr>
      <w:r w:rsidRPr="00AB34C7">
        <w:rPr>
          <w:vertAlign w:val="superscript"/>
        </w:rPr>
        <w:t>b</w:t>
      </w:r>
      <w:r w:rsidRPr="00AB34C7">
        <w:t xml:space="preserve"> Includes 5 events during treatment and 11 events after completion of treatment.</w:t>
      </w:r>
    </w:p>
    <w:p w14:paraId="1FCBD835" w14:textId="73A7245E" w:rsidR="00270A0F" w:rsidRPr="00AB34C7" w:rsidRDefault="00270A0F" w:rsidP="001C30EF">
      <w:pPr>
        <w:pStyle w:val="COMTablefooter"/>
        <w:keepNext/>
        <w:keepLines/>
      </w:pPr>
      <w:r w:rsidRPr="00AB34C7">
        <w:rPr>
          <w:vertAlign w:val="superscript"/>
        </w:rPr>
        <w:t>c</w:t>
      </w:r>
      <w:r w:rsidRPr="00AB34C7">
        <w:t xml:space="preserve"> Includes 4 events during treatment and 4 events after completion of treatment. </w:t>
      </w:r>
    </w:p>
    <w:p w14:paraId="5C4C4104" w14:textId="3920127E" w:rsidR="005E2349" w:rsidRPr="00AB34C7" w:rsidRDefault="007214C3" w:rsidP="005E2349">
      <w:pPr>
        <w:pStyle w:val="COMTablefooter"/>
      </w:pPr>
      <w:r w:rsidRPr="00AB34C7">
        <w:rPr>
          <w:vertAlign w:val="superscript"/>
        </w:rPr>
        <w:t>d</w:t>
      </w:r>
      <w:r w:rsidR="005E2349" w:rsidRPr="00AB34C7">
        <w:t xml:space="preserve"> Discontinuation of any drug.</w:t>
      </w:r>
    </w:p>
    <w:p w14:paraId="5F4BA313" w14:textId="0567FED2" w:rsidR="00A364C2" w:rsidRPr="00AB34C7" w:rsidRDefault="00252DBE" w:rsidP="00AA787B">
      <w:pPr>
        <w:pStyle w:val="COMexecsumnumberedpara"/>
        <w:ind w:hanging="720"/>
      </w:pPr>
      <w:r w:rsidRPr="00AB34C7">
        <w:t>The most commonly reported adverse events (of any grade) in the ibrutinib + venetoclax arm of the GLOW trial</w:t>
      </w:r>
      <w:r w:rsidR="00041EF1" w:rsidRPr="00AB34C7">
        <w:t xml:space="preserve"> were diarrhoea (50.9%), neutropenia (34.0%), </w:t>
      </w:r>
      <w:r w:rsidR="00041EF1" w:rsidRPr="00AB34C7">
        <w:lastRenderedPageBreak/>
        <w:t>nausea (26.4%), anaemia (17.9%), rash (17.0%), urinary tract infection (16.0%), peripheral oedema (15.1%) and fatigue (15.1%).</w:t>
      </w:r>
      <w:r w:rsidR="005B27C1" w:rsidRPr="00AB34C7">
        <w:t xml:space="preserve"> The most commonly reported Grade </w:t>
      </w:r>
      <w:r w:rsidR="005B27C1" w:rsidRPr="00AB34C7">
        <w:rPr>
          <w:rFonts w:cstheme="minorHAnsi"/>
        </w:rPr>
        <w:t>≥</w:t>
      </w:r>
      <w:r w:rsidR="005B27C1" w:rsidRPr="00AB34C7">
        <w:t>3 adverse events were neutropenia (2</w:t>
      </w:r>
      <w:r w:rsidR="00C955E9" w:rsidRPr="00AB34C7">
        <w:t>8</w:t>
      </w:r>
      <w:r w:rsidR="005B27C1" w:rsidRPr="00AB34C7">
        <w:t>.</w:t>
      </w:r>
      <w:r w:rsidR="00C955E9" w:rsidRPr="00AB34C7">
        <w:t>3</w:t>
      </w:r>
      <w:r w:rsidR="005B27C1" w:rsidRPr="00AB34C7">
        <w:t>%), diarrhoea (10.4%), neutrophil decreased (8.5%), hypertension (</w:t>
      </w:r>
      <w:r w:rsidR="00C955E9" w:rsidRPr="00AB34C7">
        <w:t>7.5</w:t>
      </w:r>
      <w:r w:rsidR="005B27C1" w:rsidRPr="00AB34C7">
        <w:t>%), atrial fibrillation (6.6%) and thrombocytopenia (5.7%).</w:t>
      </w:r>
    </w:p>
    <w:p w14:paraId="63DA29C6" w14:textId="77777777" w:rsidR="00A364C2" w:rsidRPr="00AB34C7" w:rsidRDefault="00A364C2" w:rsidP="00AA787B">
      <w:pPr>
        <w:pStyle w:val="COMexecsumnumberedpara"/>
        <w:ind w:hanging="720"/>
      </w:pPr>
      <w:r w:rsidRPr="00AB34C7">
        <w:t>Fatal treatment emergent adverse events occurred in 7 patients (6.6%) in the ibrutinib + venetoclax arm and 2 patients (1.9%) in the chlorambucil + obinutuzumab arm in the GLOW trial. Among the 7 treatment-emergent deaths in the ibrutinib + venetoclax arm, 4 occurred during lead-in treatment with ibrutinib. The fatal events included pneumonia, malignant neoplasm, and cardiac arrest. In one case, 3 fatal treatment emergent adverse events were reported (cardiac failure, pneumonia, and sinus node dysfunction). The remaining 3 deaths occurred during concomitant treatment with ibrutinib and venetoclax and included ischemic stroke (one patient) and sudden death (2 patients). In 6 of the 7 death cases, the investigator considered the fatal event was not related to study treatment. For the death case with 3 fatal treatment emergent adverse events, the events were reported as related to the study drug (ibrutinib).</w:t>
      </w:r>
    </w:p>
    <w:p w14:paraId="0F6A2F92" w14:textId="24EB423A" w:rsidR="009B3E57" w:rsidRPr="00AB34C7" w:rsidRDefault="00A364C2" w:rsidP="00AA787B">
      <w:pPr>
        <w:pStyle w:val="COMexecsumnumberedpara"/>
        <w:ind w:hanging="720"/>
      </w:pPr>
      <w:r w:rsidRPr="00AB34C7">
        <w:t xml:space="preserve">The proportion of patients with atrial fibrillation was higher in the ibrutinib + venetoclax arm (14.2%) compared with the chlorambucil + obinutuzumab arm (1.9%). Grade 3 or 4 treatment-emergent adverse events of atrial fibrillation were reported in 7 patients (6.6%) in the ibrutinib + venetoclax arm and no patients in the chlorambucil + obinutuzumab arm. There were no fatal atrial fibrillation events. </w:t>
      </w:r>
    </w:p>
    <w:p w14:paraId="15F79CC7" w14:textId="7A304CA1" w:rsidR="009B3E57" w:rsidRPr="00AB34C7" w:rsidRDefault="009B3E57" w:rsidP="00AA787B">
      <w:pPr>
        <w:pStyle w:val="COMexecsumnumberedpara"/>
        <w:ind w:hanging="720"/>
      </w:pPr>
      <w:r w:rsidRPr="00AB34C7">
        <w:t xml:space="preserve">Based on a naïve comparison with the venetoclax + obinutuzumab arm of the CLL-14 trial, a higher proportion of patients </w:t>
      </w:r>
      <w:r w:rsidRPr="00AB34C7">
        <w:rPr>
          <w:rFonts w:cs="Calibri"/>
        </w:rPr>
        <w:t xml:space="preserve">in the ibrutinib + venetoclax arm of the GLOW trial experienced </w:t>
      </w:r>
      <w:r w:rsidRPr="00AB34C7">
        <w:t xml:space="preserve">Grade </w:t>
      </w:r>
      <w:r w:rsidRPr="00AB34C7">
        <w:rPr>
          <w:rFonts w:cs="Calibri"/>
        </w:rPr>
        <w:t>≥3 (Grade 3-4 for the CLL-14 trial) diarrhoea (10.4% versus 4.2%) and neutrophil decrease (8.5% versus 4.2%), and a lower proportion experienced Grade ≥3 neutropenia (2</w:t>
      </w:r>
      <w:r w:rsidR="001174DE" w:rsidRPr="00AB34C7">
        <w:rPr>
          <w:rFonts w:cs="Calibri"/>
        </w:rPr>
        <w:t>8</w:t>
      </w:r>
      <w:r w:rsidRPr="00AB34C7">
        <w:rPr>
          <w:rFonts w:cs="Calibri"/>
        </w:rPr>
        <w:t>.</w:t>
      </w:r>
      <w:r w:rsidR="001174DE" w:rsidRPr="00AB34C7">
        <w:rPr>
          <w:rFonts w:cs="Calibri"/>
        </w:rPr>
        <w:t>3</w:t>
      </w:r>
      <w:r w:rsidRPr="00AB34C7">
        <w:rPr>
          <w:rFonts w:cs="Calibri"/>
        </w:rPr>
        <w:t>% versus 52.8%), thrombocytopenia (5.7%</w:t>
      </w:r>
      <w:r w:rsidR="00ED6CA4" w:rsidRPr="00AB34C7">
        <w:rPr>
          <w:rFonts w:cs="Calibri"/>
        </w:rPr>
        <w:t xml:space="preserve"> </w:t>
      </w:r>
      <w:r w:rsidRPr="00AB34C7">
        <w:rPr>
          <w:rFonts w:cs="Calibri"/>
        </w:rPr>
        <w:t>ver</w:t>
      </w:r>
      <w:r w:rsidR="00ED6CA4" w:rsidRPr="00AB34C7">
        <w:rPr>
          <w:rFonts w:cs="Calibri"/>
        </w:rPr>
        <w:t>s</w:t>
      </w:r>
      <w:r w:rsidRPr="00AB34C7">
        <w:rPr>
          <w:rFonts w:cs="Calibri"/>
        </w:rPr>
        <w:t xml:space="preserve">us 13.7%), anaemia (2.8% versus 8.0%), febrile neutropenia (1.9% versus 5.2%) and infusion-related reactions (0% versus 9.0%). </w:t>
      </w:r>
    </w:p>
    <w:p w14:paraId="02D7258D" w14:textId="5A591049" w:rsidR="00A364C2" w:rsidRPr="00AB34C7" w:rsidRDefault="009B3E57" w:rsidP="00AA787B">
      <w:pPr>
        <w:pStyle w:val="COMexecsumnumberedpara"/>
        <w:ind w:hanging="720"/>
      </w:pPr>
      <w:r w:rsidRPr="00AB34C7">
        <w:t xml:space="preserve">The resubmission argued that a high and broadly similar proportion of patients experienced an adverse event (of any grade), and a broadly similar proportion of patients experienced a Grade ≥3 adverse event, serious adverse event and adverse event leading </w:t>
      </w:r>
      <w:r w:rsidR="00800613" w:rsidRPr="00AB34C7">
        <w:t>to</w:t>
      </w:r>
      <w:r w:rsidRPr="00AB34C7">
        <w:t xml:space="preserve"> treatment discontinuation or death. The resubmission noted that infusion-related reactions occurred in almost half of venetoclax + obinutuzumab patients, whereas no patients treated with ibrutinib + venetoclax experienced an infusion-related reaction due to </w:t>
      </w:r>
      <w:r w:rsidR="00240B82" w:rsidRPr="00AB34C7">
        <w:t>ibrutinib + venetoclax representing an</w:t>
      </w:r>
      <w:r w:rsidR="00076CA1" w:rsidRPr="00AB34C7">
        <w:t xml:space="preserve"> all-</w:t>
      </w:r>
      <w:r w:rsidR="00240B82" w:rsidRPr="00AB34C7">
        <w:t>oral</w:t>
      </w:r>
      <w:r w:rsidRPr="00AB34C7">
        <w:t xml:space="preserve"> treatment. The resubmission noted that atrial fibrillation was observed more frequently with ibrutinib + venetoclax. </w:t>
      </w:r>
      <w:r w:rsidR="00BE3A45" w:rsidRPr="00AB34C7">
        <w:t>Comparisons were impacted by incomplete publishing of adverse event results for the comparator trials</w:t>
      </w:r>
      <w:r w:rsidRPr="00AB34C7">
        <w:t>.</w:t>
      </w:r>
    </w:p>
    <w:p w14:paraId="55DC270B" w14:textId="5805EFCF" w:rsidR="009B3E57" w:rsidRPr="00AB34C7" w:rsidRDefault="009B3E57" w:rsidP="00AA787B">
      <w:pPr>
        <w:pStyle w:val="COMexecsumnumberedpara"/>
        <w:ind w:hanging="720"/>
      </w:pPr>
      <w:r w:rsidRPr="00AB34C7">
        <w:t>Based on a naïve comparison with the zanubrutinib arms of the SEQUOIA trial (non 17p deletion and 17p deletion arms, respectively), a higher proportion of patients in the ibrutinib + venetoclax arm of the GLOW trial experienced Grade ≥3 neutropenia (</w:t>
      </w:r>
      <w:r w:rsidR="00D31FCE" w:rsidRPr="00AB34C7">
        <w:t>2</w:t>
      </w:r>
      <w:r w:rsidR="001174DE" w:rsidRPr="00AB34C7">
        <w:t>8</w:t>
      </w:r>
      <w:r w:rsidRPr="00AB34C7">
        <w:t>.</w:t>
      </w:r>
      <w:r w:rsidR="001174DE" w:rsidRPr="00AB34C7">
        <w:t>3</w:t>
      </w:r>
      <w:r w:rsidRPr="00AB34C7">
        <w:t xml:space="preserve">% versus 9.2%/10.8%), diarrhoea (10.4% versus 0.8%/0.9%), neutrophil decrease </w:t>
      </w:r>
      <w:r w:rsidRPr="00AB34C7">
        <w:lastRenderedPageBreak/>
        <w:t>(8.5% versus 2.1%/4.5%) and thrombocytopenia (5.7% versus 1.7%/0.9%). The resubmission noted that ibrutinib + venetoclax was associated with numerically higher Grade ≥3 adverse events</w:t>
      </w:r>
      <w:r w:rsidR="00EA6484" w:rsidRPr="00AB34C7">
        <w:t xml:space="preserve"> (75.5% versus 52.5%/55.0%)</w:t>
      </w:r>
      <w:r w:rsidRPr="00AB34C7">
        <w:t>, serious adverse events</w:t>
      </w:r>
      <w:r w:rsidR="00EA6484" w:rsidRPr="00AB34C7">
        <w:t xml:space="preserve"> (46.2% versus 36.7%/40.5%)</w:t>
      </w:r>
      <w:r w:rsidRPr="00AB34C7">
        <w:t>, adverse events leading to treatment discontinuation</w:t>
      </w:r>
      <w:r w:rsidR="00EA6484" w:rsidRPr="00AB34C7">
        <w:t xml:space="preserve"> (20.8% versus 8.3%/5.4%)</w:t>
      </w:r>
      <w:r w:rsidRPr="00AB34C7">
        <w:t>, and slightly more adverse events leading to death</w:t>
      </w:r>
      <w:r w:rsidR="003525D0" w:rsidRPr="00AB34C7">
        <w:t xml:space="preserve"> </w:t>
      </w:r>
      <w:r w:rsidR="00EA6484" w:rsidRPr="00AB34C7">
        <w:t xml:space="preserve">(6.6% versus 4.6%/2.7%) </w:t>
      </w:r>
      <w:r w:rsidR="003525D0" w:rsidRPr="00AB34C7">
        <w:t>than zanubrutinib</w:t>
      </w:r>
      <w:r w:rsidR="00AB34C7">
        <w:t xml:space="preserve">. </w:t>
      </w:r>
      <w:r w:rsidRPr="00AB34C7">
        <w:t>However, the resubmission argued that the 26-month adverse event data from SEQUOIA is likely to have underestimated the true incidence of zanubrutinib adverse events, given that zanubrutinib treatment is ongoing for many patients.</w:t>
      </w:r>
    </w:p>
    <w:p w14:paraId="61108A6D" w14:textId="585651B7" w:rsidR="00F03DC9" w:rsidRPr="00AB34C7" w:rsidRDefault="00B10415" w:rsidP="00AA787B">
      <w:pPr>
        <w:pStyle w:val="COMexecsumnumberedpara"/>
        <w:ind w:hanging="720"/>
      </w:pPr>
      <w:r w:rsidRPr="00AB34C7">
        <w:t xml:space="preserve">The ESC considered that safety was broadly similar across the treatments. While it was noted that there were more AEs leading to death (Grade 5) in the ibrutinib + venetoclax arm (6.6%; and venetoclax + obinutuzumab arm [7.5%]) compared with the chlorambucil + obinutuzumab control arms for the GLOW and CLL-14 trials (1.9% and 3.7%), any increased toxicity was considered mostly attributable to venetoclax rather than ibrutinib (or obinutuzumab). </w:t>
      </w:r>
    </w:p>
    <w:p w14:paraId="04908C7F" w14:textId="415B9B7D" w:rsidR="007F1017" w:rsidRPr="00AB34C7" w:rsidRDefault="007F1017" w:rsidP="00AA787B">
      <w:pPr>
        <w:pStyle w:val="COMH2-non-numbered"/>
        <w:ind w:left="720" w:hanging="720"/>
      </w:pPr>
      <w:bookmarkStart w:id="37" w:name="_Toc22897643"/>
      <w:bookmarkStart w:id="38" w:name="_Toc156912603"/>
      <w:r w:rsidRPr="00AB34C7">
        <w:t>Benefits/harms</w:t>
      </w:r>
      <w:bookmarkEnd w:id="37"/>
      <w:bookmarkEnd w:id="38"/>
    </w:p>
    <w:p w14:paraId="5928CD7D" w14:textId="77777777" w:rsidR="00A214AB" w:rsidRPr="00AB34C7" w:rsidRDefault="00311D9B" w:rsidP="00AA787B">
      <w:pPr>
        <w:pStyle w:val="COMexecsumnumberedpara"/>
        <w:ind w:hanging="720"/>
      </w:pPr>
      <w:r w:rsidRPr="00B95C74">
        <w:rPr>
          <w:snapToGrid/>
        </w:rPr>
        <w:t xml:space="preserve">A benefits and harms table </w:t>
      </w:r>
      <w:r w:rsidR="003525D0" w:rsidRPr="00B95C74">
        <w:rPr>
          <w:snapToGrid/>
        </w:rPr>
        <w:t>was</w:t>
      </w:r>
      <w:r w:rsidRPr="00B95C74">
        <w:rPr>
          <w:snapToGrid/>
        </w:rPr>
        <w:t xml:space="preserve"> not presented as the </w:t>
      </w:r>
      <w:r w:rsidR="003525D0" w:rsidRPr="00B95C74">
        <w:rPr>
          <w:snapToGrid/>
        </w:rPr>
        <w:t>re</w:t>
      </w:r>
      <w:r w:rsidRPr="00B95C74">
        <w:rPr>
          <w:snapToGrid/>
        </w:rPr>
        <w:t>submission made a claim of non-inferiority.</w:t>
      </w:r>
      <w:r w:rsidR="00E926A5" w:rsidRPr="00B95C74">
        <w:rPr>
          <w:snapToGrid/>
        </w:rPr>
        <w:t xml:space="preserve"> </w:t>
      </w:r>
    </w:p>
    <w:p w14:paraId="6A4661DA" w14:textId="77777777" w:rsidR="00A214AB" w:rsidRPr="00AB34C7" w:rsidRDefault="00A214AB" w:rsidP="00AA787B">
      <w:pPr>
        <w:pStyle w:val="COMH2-non-numbered"/>
        <w:ind w:left="720" w:hanging="720"/>
      </w:pPr>
      <w:bookmarkStart w:id="39" w:name="_Toc22897644"/>
      <w:bookmarkStart w:id="40" w:name="_Toc156912604"/>
      <w:r w:rsidRPr="00AB34C7">
        <w:t>Clinical claim</w:t>
      </w:r>
      <w:bookmarkEnd w:id="39"/>
      <w:bookmarkEnd w:id="40"/>
    </w:p>
    <w:p w14:paraId="27422BBE" w14:textId="77777777" w:rsidR="00A214AB" w:rsidRPr="00AB34C7" w:rsidRDefault="003A77AB" w:rsidP="00AA787B">
      <w:pPr>
        <w:pStyle w:val="COMexecsumnumberedpara"/>
        <w:ind w:hanging="720"/>
      </w:pPr>
      <w:r w:rsidRPr="00AB34C7">
        <w:t xml:space="preserve">The </w:t>
      </w:r>
      <w:r w:rsidR="00AD615F" w:rsidRPr="00AB34C7">
        <w:t>re</w:t>
      </w:r>
      <w:r w:rsidRPr="00AB34C7">
        <w:t xml:space="preserve">submission described fixed duration ibrutinib + venetoclax as non-inferior in terms of effectiveness, and non-inferior in terms of safety compared to fixed duration venetoclax + obinutuzumab. </w:t>
      </w:r>
      <w:r w:rsidR="00B82253" w:rsidRPr="00AB34C7">
        <w:t>The ESC considered the claim of non-inferiority in terms of effectiveness was likely supported, but with a high degree of uncertainty.</w:t>
      </w:r>
      <w:r w:rsidR="00B82253" w:rsidRPr="00AB34C7">
        <w:rPr>
          <w:i/>
          <w:iCs/>
        </w:rPr>
        <w:t xml:space="preserve"> </w:t>
      </w:r>
    </w:p>
    <w:p w14:paraId="3684E3A8" w14:textId="77777777" w:rsidR="00A214AB" w:rsidRPr="00AB34C7" w:rsidRDefault="00B82253" w:rsidP="00AA787B">
      <w:pPr>
        <w:pStyle w:val="COMexecsumnumberedpara"/>
        <w:ind w:hanging="720"/>
      </w:pPr>
      <w:r w:rsidRPr="00AB34C7">
        <w:t>While there were no statistically significant differences for any of the outcomes in the Bucher method indirect comparisons of ibrutinib + venetoclax versus venetoclax + obinutuzumab, there were differences in the chlorambucil treatment durations (median 5.5 months in GLOW versus 11.1 months in CLL-14) and progression-free survival outcomes (median progression-free survival of 23.0 months in GLOW versus 36.4 months in CLL-14) in the chlorambucil + obinutuzumab common reference arms  which favoured ibrutinib + venetoclax.</w:t>
      </w:r>
    </w:p>
    <w:p w14:paraId="7983EE9D" w14:textId="229EE448" w:rsidR="00A214AB" w:rsidRPr="00AB34C7" w:rsidRDefault="00B82253" w:rsidP="00AA787B">
      <w:pPr>
        <w:pStyle w:val="COMexecsumnumberedpara"/>
        <w:ind w:hanging="720"/>
      </w:pPr>
      <w:r w:rsidRPr="00AB34C7">
        <w:t xml:space="preserve">Further, the ESC noted the results of the unanchored matching adjusted indirect comparisons (MAICs) of progression-free survival and overall survival for ibrutinib + venetoclax versus venetoclax + obinutuzumab and ibrutinib + venetoclax versus zanubrutinib used a limited number of variables for matching, </w:t>
      </w:r>
      <w:r w:rsidR="007E4D78" w:rsidRPr="00AB34C7">
        <w:t xml:space="preserve">and the differences in the trial populations across the studies </w:t>
      </w:r>
      <w:r w:rsidRPr="00AB34C7">
        <w:t>result</w:t>
      </w:r>
      <w:r w:rsidR="007E4D78" w:rsidRPr="00AB34C7">
        <w:t>ed</w:t>
      </w:r>
      <w:r w:rsidRPr="00AB34C7">
        <w:t xml:space="preserve"> in a small effective sample size for the venetoclax + ibrutinib arms after matching.</w:t>
      </w:r>
      <w:r w:rsidR="0068221D" w:rsidRPr="00AB34C7">
        <w:t xml:space="preserve"> The </w:t>
      </w:r>
      <w:r w:rsidR="00C05660" w:rsidRPr="00AB34C7">
        <w:t>p</w:t>
      </w:r>
      <w:r w:rsidR="0068221D" w:rsidRPr="00AB34C7">
        <w:t>re-PBAC Response</w:t>
      </w:r>
      <w:r w:rsidR="0027430B" w:rsidRPr="00AB34C7">
        <w:t xml:space="preserve"> noted that the variables used within the MAICs were generally consistent with those included in MAICs considered by the PBAC in March 2023 and July 2023 when it recommended zanubrutinib and acalabrutinib, respectively, on a cost-minimisation basis against venetoclax and obinutuzumab. </w:t>
      </w:r>
    </w:p>
    <w:p w14:paraId="22B10EAE" w14:textId="3BCD88C4" w:rsidR="003A77AB" w:rsidRPr="00AB34C7" w:rsidRDefault="00B82253" w:rsidP="00AA787B">
      <w:pPr>
        <w:pStyle w:val="COMexecsumnumberedpara"/>
        <w:ind w:hanging="720"/>
      </w:pPr>
      <w:r w:rsidRPr="00AB34C7">
        <w:lastRenderedPageBreak/>
        <w:t xml:space="preserve">The ESC considered that safety was broadly similar across the treatments. While it was noted that there were more AEs leading to death (Grade 5) in the ibrutinib + venetoclax arm (6.6%; and venetoclax + obinutuzumab arm [7.5%]) compared with the chlorambucil + obinutuzumab control arms for the GLOW and CLL-14 trials (1.9% and 3.7%), any increased toxicity was considered mostly attributable to venetoclax rather than ibrutinib (or obinutuzumab). </w:t>
      </w:r>
      <w:r w:rsidR="00F51B29" w:rsidRPr="00AB34C7">
        <w:t>However, the PBAC noted that 4 of the 7 deaths due to adverse events in the ibrutinib arm of the GLOW trial, and the single death in the CAPTIVATE study, occurred during the ibrutinib monotherapy lead-in period.</w:t>
      </w:r>
    </w:p>
    <w:p w14:paraId="01B7CE96" w14:textId="7973C18B" w:rsidR="004A1F23" w:rsidRPr="00AB34C7" w:rsidRDefault="004A1F23" w:rsidP="00AA787B">
      <w:pPr>
        <w:widowControl w:val="0"/>
        <w:numPr>
          <w:ilvl w:val="1"/>
          <w:numId w:val="1"/>
        </w:numPr>
        <w:spacing w:after="120"/>
        <w:ind w:left="720" w:hanging="720"/>
        <w:rPr>
          <w:rFonts w:asciiTheme="minorHAnsi" w:hAnsiTheme="minorHAnsi"/>
          <w:snapToGrid w:val="0"/>
          <w:szCs w:val="20"/>
        </w:rPr>
      </w:pPr>
      <w:bookmarkStart w:id="41" w:name="_Hlk76376200"/>
      <w:r w:rsidRPr="00AB34C7">
        <w:rPr>
          <w:rFonts w:asciiTheme="minorHAnsi" w:hAnsiTheme="minorHAnsi"/>
          <w:iCs/>
          <w:snapToGrid w:val="0"/>
        </w:rPr>
        <w:t>The</w:t>
      </w:r>
      <w:r w:rsidRPr="00AB34C7">
        <w:rPr>
          <w:rFonts w:asciiTheme="minorHAnsi" w:hAnsiTheme="minorHAnsi"/>
          <w:snapToGrid w:val="0"/>
          <w:szCs w:val="20"/>
        </w:rPr>
        <w:t xml:space="preserve"> PBAC considered that the </w:t>
      </w:r>
      <w:r w:rsidR="002653D4" w:rsidRPr="00AB34C7">
        <w:rPr>
          <w:rFonts w:asciiTheme="minorHAnsi" w:hAnsiTheme="minorHAnsi"/>
          <w:snapToGrid w:val="0"/>
          <w:szCs w:val="20"/>
        </w:rPr>
        <w:t xml:space="preserve">clinical </w:t>
      </w:r>
      <w:r w:rsidRPr="00AB34C7">
        <w:rPr>
          <w:rFonts w:asciiTheme="minorHAnsi" w:hAnsiTheme="minorHAnsi"/>
          <w:snapToGrid w:val="0"/>
          <w:szCs w:val="20"/>
        </w:rPr>
        <w:t xml:space="preserve">claim of non-inferior comparative effectiveness </w:t>
      </w:r>
      <w:r w:rsidR="00F51B29" w:rsidRPr="00AB34C7">
        <w:rPr>
          <w:rFonts w:asciiTheme="minorHAnsi" w:hAnsiTheme="minorHAnsi"/>
          <w:snapToGrid w:val="0"/>
          <w:szCs w:val="20"/>
        </w:rPr>
        <w:t xml:space="preserve">between ibrutinib + venetoclax and venetoclax + obinutuzumab </w:t>
      </w:r>
      <w:r w:rsidR="002653D4" w:rsidRPr="00AB34C7">
        <w:rPr>
          <w:rFonts w:asciiTheme="minorHAnsi" w:hAnsiTheme="minorHAnsi"/>
          <w:snapToGrid w:val="0"/>
          <w:szCs w:val="20"/>
        </w:rPr>
        <w:t>wa</w:t>
      </w:r>
      <w:r w:rsidR="0076696C" w:rsidRPr="00AB34C7">
        <w:rPr>
          <w:rFonts w:asciiTheme="minorHAnsi" w:hAnsiTheme="minorHAnsi"/>
          <w:snapToGrid w:val="0"/>
          <w:szCs w:val="20"/>
        </w:rPr>
        <w:t>s likely supported</w:t>
      </w:r>
      <w:r w:rsidR="00F51B29" w:rsidRPr="00AB34C7">
        <w:rPr>
          <w:rFonts w:asciiTheme="minorHAnsi" w:hAnsiTheme="minorHAnsi"/>
          <w:snapToGrid w:val="0"/>
          <w:szCs w:val="20"/>
        </w:rPr>
        <w:t xml:space="preserve">, but with </w:t>
      </w:r>
      <w:r w:rsidR="009F6CE5" w:rsidRPr="00AB34C7">
        <w:rPr>
          <w:rFonts w:asciiTheme="minorHAnsi" w:hAnsiTheme="minorHAnsi"/>
          <w:snapToGrid w:val="0"/>
          <w:szCs w:val="20"/>
        </w:rPr>
        <w:t>some</w:t>
      </w:r>
      <w:r w:rsidR="00F51B29" w:rsidRPr="00AB34C7">
        <w:rPr>
          <w:rFonts w:asciiTheme="minorHAnsi" w:hAnsiTheme="minorHAnsi"/>
          <w:snapToGrid w:val="0"/>
          <w:szCs w:val="20"/>
        </w:rPr>
        <w:t xml:space="preserve"> uncertainty</w:t>
      </w:r>
      <w:r w:rsidR="002653D4" w:rsidRPr="00AB34C7">
        <w:rPr>
          <w:rFonts w:asciiTheme="minorHAnsi" w:hAnsiTheme="minorHAnsi"/>
          <w:snapToGrid w:val="0"/>
          <w:szCs w:val="20"/>
        </w:rPr>
        <w:t xml:space="preserve"> given the indirect treatment comparisons presented</w:t>
      </w:r>
      <w:r w:rsidRPr="00AB34C7">
        <w:rPr>
          <w:rFonts w:asciiTheme="minorHAnsi" w:hAnsiTheme="minorHAnsi"/>
          <w:snapToGrid w:val="0"/>
          <w:szCs w:val="20"/>
        </w:rPr>
        <w:t>.</w:t>
      </w:r>
    </w:p>
    <w:p w14:paraId="060B06FF" w14:textId="68D4ED33" w:rsidR="004A1F23" w:rsidRPr="00AB34C7" w:rsidRDefault="004A1F23" w:rsidP="00AA787B">
      <w:pPr>
        <w:widowControl w:val="0"/>
        <w:numPr>
          <w:ilvl w:val="1"/>
          <w:numId w:val="1"/>
        </w:numPr>
        <w:spacing w:after="120"/>
        <w:ind w:left="720" w:hanging="720"/>
        <w:rPr>
          <w:rFonts w:asciiTheme="minorHAnsi" w:hAnsiTheme="minorHAnsi"/>
          <w:snapToGrid w:val="0"/>
          <w:szCs w:val="20"/>
        </w:rPr>
      </w:pPr>
      <w:r w:rsidRPr="00AB34C7">
        <w:rPr>
          <w:rFonts w:asciiTheme="minorHAnsi" w:hAnsiTheme="minorHAnsi"/>
          <w:snapToGrid w:val="0"/>
          <w:szCs w:val="20"/>
        </w:rPr>
        <w:t xml:space="preserve">The PBAC considered that the </w:t>
      </w:r>
      <w:r w:rsidR="008B0E21" w:rsidRPr="00AB34C7">
        <w:rPr>
          <w:rFonts w:asciiTheme="minorHAnsi" w:hAnsiTheme="minorHAnsi"/>
          <w:snapToGrid w:val="0"/>
          <w:szCs w:val="20"/>
        </w:rPr>
        <w:t xml:space="preserve">clinical </w:t>
      </w:r>
      <w:r w:rsidRPr="00AB34C7">
        <w:rPr>
          <w:rFonts w:asciiTheme="minorHAnsi" w:hAnsiTheme="minorHAnsi"/>
          <w:snapToGrid w:val="0"/>
          <w:szCs w:val="20"/>
        </w:rPr>
        <w:t xml:space="preserve">claim of </w:t>
      </w:r>
      <w:r w:rsidR="008B0E21" w:rsidRPr="00AB34C7">
        <w:rPr>
          <w:rFonts w:asciiTheme="minorHAnsi" w:hAnsiTheme="minorHAnsi"/>
          <w:snapToGrid w:val="0"/>
          <w:szCs w:val="20"/>
        </w:rPr>
        <w:t>non-inferior</w:t>
      </w:r>
      <w:r w:rsidRPr="00AB34C7">
        <w:rPr>
          <w:rFonts w:asciiTheme="minorHAnsi" w:hAnsiTheme="minorHAnsi"/>
          <w:snapToGrid w:val="0"/>
          <w:szCs w:val="20"/>
        </w:rPr>
        <w:t xml:space="preserve"> safety </w:t>
      </w:r>
      <w:r w:rsidR="00F51B29" w:rsidRPr="00AB34C7">
        <w:rPr>
          <w:rFonts w:asciiTheme="minorHAnsi" w:hAnsiTheme="minorHAnsi"/>
          <w:snapToGrid w:val="0"/>
          <w:szCs w:val="20"/>
        </w:rPr>
        <w:t xml:space="preserve">between ibrutinib + venetoclax and venetoclax + obinutuzumab </w:t>
      </w:r>
      <w:r w:rsidRPr="00AB34C7">
        <w:rPr>
          <w:rFonts w:asciiTheme="minorHAnsi" w:hAnsiTheme="minorHAnsi"/>
          <w:snapToGrid w:val="0"/>
          <w:szCs w:val="20"/>
        </w:rPr>
        <w:t>was reasonable</w:t>
      </w:r>
      <w:r w:rsidR="00F51B29" w:rsidRPr="00AB34C7">
        <w:rPr>
          <w:rFonts w:asciiTheme="minorHAnsi" w:hAnsiTheme="minorHAnsi"/>
          <w:snapToGrid w:val="0"/>
          <w:szCs w:val="20"/>
        </w:rPr>
        <w:t>, noting that the treatments have different adverse event profiles that should inform patient selection and monitoring, and that both treatments are associated with more Grade 5 AEs than other treatment options</w:t>
      </w:r>
      <w:r w:rsidRPr="00AB34C7">
        <w:rPr>
          <w:rFonts w:asciiTheme="minorHAnsi" w:hAnsiTheme="minorHAnsi"/>
          <w:snapToGrid w:val="0"/>
          <w:szCs w:val="20"/>
        </w:rPr>
        <w:t>.</w:t>
      </w:r>
      <w:bookmarkEnd w:id="41"/>
    </w:p>
    <w:p w14:paraId="74A1172E" w14:textId="128C170E" w:rsidR="00B60939" w:rsidRPr="00AB34C7" w:rsidRDefault="00B60939" w:rsidP="00AA787B">
      <w:pPr>
        <w:pStyle w:val="COMH2-non-numbered"/>
        <w:ind w:left="720" w:hanging="720"/>
      </w:pPr>
      <w:bookmarkStart w:id="42" w:name="_Toc22897645"/>
      <w:bookmarkStart w:id="43" w:name="_Toc156912605"/>
      <w:r w:rsidRPr="00AB34C7">
        <w:t>Economic analysis</w:t>
      </w:r>
      <w:bookmarkEnd w:id="42"/>
      <w:bookmarkEnd w:id="43"/>
      <w:r w:rsidR="00491B3A" w:rsidRPr="00AB34C7">
        <w:t xml:space="preserve"> </w:t>
      </w:r>
    </w:p>
    <w:p w14:paraId="6E91C637" w14:textId="36618D3C" w:rsidR="00685A2C" w:rsidRPr="00AB34C7" w:rsidRDefault="00685A2C" w:rsidP="00AA787B">
      <w:pPr>
        <w:pStyle w:val="COMexecsumnumberedpara"/>
        <w:ind w:hanging="720"/>
      </w:pPr>
      <w:r w:rsidRPr="00AB34C7">
        <w:t xml:space="preserve">The resubmission presented a cost-minimisation comparing treatment with fixed duration ibrutinib + venetoclax versus fixed duration venetoclax + obinutuzumab for patients with previously untreated CLL/SLL. </w:t>
      </w:r>
      <w:r w:rsidR="00486E5D" w:rsidRPr="00AB34C7">
        <w:t xml:space="preserve">Key components of the cost-minimisation approach are summarised in </w:t>
      </w:r>
      <w:r w:rsidR="00486E5D" w:rsidRPr="00AB34C7">
        <w:fldChar w:fldCharType="begin" w:fldLock="1"/>
      </w:r>
      <w:r w:rsidR="00486E5D" w:rsidRPr="00AB34C7">
        <w:instrText xml:space="preserve"> REF _Ref153200549 \h </w:instrText>
      </w:r>
      <w:r w:rsidR="006F53C2" w:rsidRPr="00AB34C7">
        <w:instrText xml:space="preserve"> \* MERGEFORMAT </w:instrText>
      </w:r>
      <w:r w:rsidR="00486E5D" w:rsidRPr="00AB34C7">
        <w:fldChar w:fldCharType="separate"/>
      </w:r>
      <w:r w:rsidR="008A42E6" w:rsidRPr="00AB34C7">
        <w:t xml:space="preserve">Table </w:t>
      </w:r>
      <w:r w:rsidR="008A42E6" w:rsidRPr="00B95C74">
        <w:t>12</w:t>
      </w:r>
      <w:r w:rsidR="00486E5D" w:rsidRPr="00AB34C7">
        <w:fldChar w:fldCharType="end"/>
      </w:r>
      <w:r w:rsidR="00486E5D" w:rsidRPr="00AB34C7">
        <w:t>.</w:t>
      </w:r>
    </w:p>
    <w:p w14:paraId="6DBB4D39" w14:textId="5F327B4C" w:rsidR="00486E5D" w:rsidRPr="00AB34C7" w:rsidRDefault="00486E5D" w:rsidP="001C30EF">
      <w:pPr>
        <w:pStyle w:val="COMtablefigcaption"/>
        <w:keepLines/>
        <w:rPr>
          <w:b w:val="0"/>
        </w:rPr>
      </w:pPr>
      <w:bookmarkStart w:id="44" w:name="_Ref153200549"/>
      <w:r w:rsidRPr="00AB34C7">
        <w:lastRenderedPageBreak/>
        <w:t xml:space="preserve">Table </w:t>
      </w:r>
      <w:fldSimple w:instr=" SEQ Table \* ARABIC " w:fldLock="1">
        <w:r w:rsidR="008A42E6" w:rsidRPr="00B95C74">
          <w:t>12</w:t>
        </w:r>
      </w:fldSimple>
      <w:bookmarkEnd w:id="44"/>
      <w:r w:rsidRPr="00AB34C7">
        <w:t>: Key components and assumptions of the cost-minimisation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12: Key components and assumptions of the cost-minimisation approach"/>
      </w:tblPr>
      <w:tblGrid>
        <w:gridCol w:w="1271"/>
        <w:gridCol w:w="3544"/>
        <w:gridCol w:w="4202"/>
      </w:tblGrid>
      <w:tr w:rsidR="00B10186" w:rsidRPr="00AB34C7" w14:paraId="63832761" w14:textId="1AEECCDD" w:rsidTr="00C72F36">
        <w:tc>
          <w:tcPr>
            <w:tcW w:w="705" w:type="pct"/>
            <w:vAlign w:val="center"/>
          </w:tcPr>
          <w:p w14:paraId="458E6CE8" w14:textId="77777777" w:rsidR="00B10186" w:rsidRPr="00B95C74" w:rsidRDefault="00B10186" w:rsidP="001C30EF">
            <w:pPr>
              <w:pStyle w:val="COMTableheadingrow"/>
              <w:keepLines/>
              <w:rPr>
                <w:lang w:val="en-AU"/>
              </w:rPr>
            </w:pPr>
            <w:r w:rsidRPr="00B95C74">
              <w:rPr>
                <w:lang w:val="en-AU"/>
              </w:rPr>
              <w:t>Component</w:t>
            </w:r>
          </w:p>
        </w:tc>
        <w:tc>
          <w:tcPr>
            <w:tcW w:w="1965" w:type="pct"/>
            <w:vAlign w:val="center"/>
          </w:tcPr>
          <w:p w14:paraId="03F4DB06" w14:textId="77777777" w:rsidR="00B10186" w:rsidRPr="00B95C74" w:rsidRDefault="00B10186" w:rsidP="001C30EF">
            <w:pPr>
              <w:pStyle w:val="COMTableheadingrow"/>
              <w:keepLines/>
              <w:jc w:val="center"/>
              <w:rPr>
                <w:lang w:val="en-AU"/>
              </w:rPr>
            </w:pPr>
            <w:r w:rsidRPr="00B95C74">
              <w:rPr>
                <w:lang w:val="en-AU"/>
              </w:rPr>
              <w:t>Claim or assumption</w:t>
            </w:r>
          </w:p>
        </w:tc>
        <w:tc>
          <w:tcPr>
            <w:tcW w:w="2330" w:type="pct"/>
          </w:tcPr>
          <w:p w14:paraId="5635EA03" w14:textId="26B650FF" w:rsidR="00B10186" w:rsidRPr="00B95C74" w:rsidRDefault="00B10186" w:rsidP="001C30EF">
            <w:pPr>
              <w:pStyle w:val="COMTableheadingrow"/>
              <w:keepLines/>
              <w:jc w:val="center"/>
              <w:rPr>
                <w:lang w:val="en-AU"/>
              </w:rPr>
            </w:pPr>
            <w:r w:rsidRPr="00B95C74">
              <w:rPr>
                <w:lang w:val="en-AU"/>
              </w:rPr>
              <w:t>Comment</w:t>
            </w:r>
          </w:p>
        </w:tc>
      </w:tr>
      <w:tr w:rsidR="00B10186" w:rsidRPr="00AB34C7" w14:paraId="69E6F36F" w14:textId="6D5F69FA" w:rsidTr="00C72F36">
        <w:tc>
          <w:tcPr>
            <w:tcW w:w="705" w:type="pct"/>
          </w:tcPr>
          <w:p w14:paraId="398AA8E7" w14:textId="77777777" w:rsidR="00B10186" w:rsidRPr="00AB34C7" w:rsidRDefault="00B10186" w:rsidP="001C30EF">
            <w:pPr>
              <w:pStyle w:val="COMTabletext"/>
              <w:keepLines/>
            </w:pPr>
            <w:r w:rsidRPr="00AB34C7">
              <w:t>Therapeutic claim: effectiveness</w:t>
            </w:r>
          </w:p>
        </w:tc>
        <w:tc>
          <w:tcPr>
            <w:tcW w:w="1965" w:type="pct"/>
          </w:tcPr>
          <w:p w14:paraId="177E78A4" w14:textId="60CC8304" w:rsidR="00B10186" w:rsidRPr="00AB34C7" w:rsidRDefault="00B10186" w:rsidP="001C30EF">
            <w:pPr>
              <w:pStyle w:val="COMTabletext"/>
              <w:keepLines/>
            </w:pPr>
            <w:r w:rsidRPr="00AB34C7">
              <w:t xml:space="preserve">The resubmission claimed that ibrutinib + venetoclax is non-inferior to venetoclax + obinutuzumab in terms of efficacy, based on the </w:t>
            </w:r>
            <w:r w:rsidR="0056387E" w:rsidRPr="00AB34C7">
              <w:t>results of a Bucher method indirect comparison and an unanchored MAIC</w:t>
            </w:r>
            <w:r w:rsidRPr="00AB34C7">
              <w:t>.</w:t>
            </w:r>
          </w:p>
        </w:tc>
        <w:tc>
          <w:tcPr>
            <w:tcW w:w="2330" w:type="pct"/>
          </w:tcPr>
          <w:p w14:paraId="00718373" w14:textId="41D18661" w:rsidR="00B10186" w:rsidRPr="00AB34C7" w:rsidRDefault="00865965" w:rsidP="001C30EF">
            <w:pPr>
              <w:pStyle w:val="COMTabletext"/>
              <w:keepLines/>
            </w:pPr>
            <w:r w:rsidRPr="00AB34C7">
              <w:t>The results of the Bucher method indirect comparison did not appear to be appropriate due to differences in chlorambucil treatment durations and progression-free survival outcomes in the chlorambucil + obinutuzumab common reference arms. The results of the unanchored MAICs were considered highly uncertain due to the limited number of variables included for matching, and the very small effective sample size for the venetoclax + ibrutinib arm after matching.</w:t>
            </w:r>
          </w:p>
        </w:tc>
      </w:tr>
      <w:tr w:rsidR="00B10186" w:rsidRPr="00AB34C7" w14:paraId="4791BE07" w14:textId="1DCC8E59" w:rsidTr="00C72F36">
        <w:tc>
          <w:tcPr>
            <w:tcW w:w="705" w:type="pct"/>
          </w:tcPr>
          <w:p w14:paraId="5C15CA94" w14:textId="77777777" w:rsidR="00B10186" w:rsidRPr="00AB34C7" w:rsidRDefault="00B10186" w:rsidP="001C30EF">
            <w:pPr>
              <w:pStyle w:val="COMTabletext"/>
              <w:keepLines/>
            </w:pPr>
            <w:r w:rsidRPr="00AB34C7">
              <w:t>Therapeutic claim: safety</w:t>
            </w:r>
          </w:p>
        </w:tc>
        <w:tc>
          <w:tcPr>
            <w:tcW w:w="1965" w:type="pct"/>
          </w:tcPr>
          <w:p w14:paraId="4B098720" w14:textId="3C484567" w:rsidR="00B10186" w:rsidRPr="00AB34C7" w:rsidRDefault="00B10186" w:rsidP="001C30EF">
            <w:pPr>
              <w:pStyle w:val="COMTabletext"/>
              <w:keepLines/>
            </w:pPr>
            <w:r w:rsidRPr="00AB34C7">
              <w:t xml:space="preserve">The resubmission claimed that ibrutinib + venetoclax is non-inferior to venetoclax + obinutuzumab in terms of safety, based on the </w:t>
            </w:r>
            <w:r w:rsidR="0056387E" w:rsidRPr="00AB34C7">
              <w:t>results of a naïve indirect comparison.</w:t>
            </w:r>
          </w:p>
        </w:tc>
        <w:tc>
          <w:tcPr>
            <w:tcW w:w="2330" w:type="pct"/>
          </w:tcPr>
          <w:p w14:paraId="4B7DAF52" w14:textId="1D7812BE" w:rsidR="00B10186" w:rsidRPr="00AB34C7" w:rsidRDefault="006B42BB" w:rsidP="001C30EF">
            <w:pPr>
              <w:pStyle w:val="COMTabletext"/>
              <w:keepLines/>
            </w:pPr>
            <w:r w:rsidRPr="00AB34C7">
              <w:t xml:space="preserve">The claim of non-inferior safety was </w:t>
            </w:r>
            <w:r w:rsidR="00F46E0E" w:rsidRPr="00AB34C7">
              <w:t>based on a naïve comparison between trials</w:t>
            </w:r>
            <w:r w:rsidR="00F045C0" w:rsidRPr="00AB34C7">
              <w:t>, which did not account for</w:t>
            </w:r>
            <w:r w:rsidR="00F46E0E" w:rsidRPr="00AB34C7">
              <w:t xml:space="preserve"> </w:t>
            </w:r>
            <w:r w:rsidR="00F045C0" w:rsidRPr="00AB34C7">
              <w:t>differences in patient characteristics between the trials.</w:t>
            </w:r>
          </w:p>
        </w:tc>
      </w:tr>
      <w:tr w:rsidR="00B10186" w:rsidRPr="00AB34C7" w14:paraId="4E5D86A3" w14:textId="2FBBAA9A" w:rsidTr="00C72F36">
        <w:tc>
          <w:tcPr>
            <w:tcW w:w="705" w:type="pct"/>
          </w:tcPr>
          <w:p w14:paraId="3D33DF7F" w14:textId="77777777" w:rsidR="00B10186" w:rsidRPr="00AB34C7" w:rsidRDefault="00B10186" w:rsidP="001C30EF">
            <w:pPr>
              <w:pStyle w:val="COMTabletext"/>
              <w:keepLines/>
            </w:pPr>
            <w:r w:rsidRPr="00AB34C7">
              <w:t>Evidence base</w:t>
            </w:r>
          </w:p>
        </w:tc>
        <w:tc>
          <w:tcPr>
            <w:tcW w:w="1965" w:type="pct"/>
          </w:tcPr>
          <w:p w14:paraId="0A11D385" w14:textId="77777777" w:rsidR="00B10186" w:rsidRPr="00AB34C7" w:rsidRDefault="00B10186" w:rsidP="001C30EF">
            <w:pPr>
              <w:pStyle w:val="COMTabletext"/>
              <w:keepLines/>
            </w:pPr>
            <w:r w:rsidRPr="00AB34C7">
              <w:t>Bucher method indirect comparison of ibrutinib + venetoclax (GLOW) versus venetoclax + obinutuzumab (CLL-14) using chlorambucil + obinutuzumab as the common reference.</w:t>
            </w:r>
          </w:p>
          <w:p w14:paraId="68EC5A9F" w14:textId="77777777" w:rsidR="00B10186" w:rsidRPr="00AB34C7" w:rsidRDefault="00B10186" w:rsidP="001C30EF">
            <w:pPr>
              <w:pStyle w:val="COMTabletext"/>
              <w:keepLines/>
            </w:pPr>
            <w:r w:rsidRPr="00AB34C7">
              <w:t>Unanchored matching adjusted indirect comparison of ibrutinib + venetoclax (GLOW) versus venetoclax + obinutuzumab (CLL-14).</w:t>
            </w:r>
          </w:p>
        </w:tc>
        <w:tc>
          <w:tcPr>
            <w:tcW w:w="2330" w:type="pct"/>
          </w:tcPr>
          <w:p w14:paraId="4D8CB4F4" w14:textId="11065AAE" w:rsidR="003D561A" w:rsidRPr="00AB34C7" w:rsidRDefault="00F045C0" w:rsidP="001C30EF">
            <w:pPr>
              <w:pStyle w:val="COMTabletext"/>
              <w:keepLines/>
              <w:rPr>
                <w:i/>
                <w:iCs/>
              </w:rPr>
            </w:pPr>
            <w:r w:rsidRPr="00AB34C7">
              <w:t xml:space="preserve">The </w:t>
            </w:r>
            <w:r w:rsidR="00E52438" w:rsidRPr="00AB34C7">
              <w:t xml:space="preserve">GLOW and CLL-14 trials recruited </w:t>
            </w:r>
            <w:r w:rsidRPr="00AB34C7">
              <w:t>older/less fit patients</w:t>
            </w:r>
            <w:r w:rsidR="000C7277" w:rsidRPr="00AB34C7">
              <w:t xml:space="preserve"> whereas the proposed restriction also includes younger/fit patients.</w:t>
            </w:r>
            <w:r w:rsidR="000B443E" w:rsidRPr="00AB34C7">
              <w:t xml:space="preserve"> </w:t>
            </w:r>
          </w:p>
        </w:tc>
      </w:tr>
      <w:tr w:rsidR="00B10186" w:rsidRPr="00AB34C7" w14:paraId="0AEDA367" w14:textId="2A06DAC5" w:rsidTr="00C72F36">
        <w:tc>
          <w:tcPr>
            <w:tcW w:w="705" w:type="pct"/>
          </w:tcPr>
          <w:p w14:paraId="7503053C" w14:textId="77777777" w:rsidR="00B10186" w:rsidRPr="00AB34C7" w:rsidRDefault="00B10186" w:rsidP="001C30EF">
            <w:pPr>
              <w:pStyle w:val="COMTabletext"/>
              <w:keepLines/>
            </w:pPr>
            <w:r w:rsidRPr="00AB34C7">
              <w:t>Equi-effective doses</w:t>
            </w:r>
          </w:p>
        </w:tc>
        <w:tc>
          <w:tcPr>
            <w:tcW w:w="1965" w:type="pct"/>
          </w:tcPr>
          <w:p w14:paraId="0FECCFD4" w14:textId="77777777" w:rsidR="00B10186" w:rsidRPr="00AB34C7" w:rsidRDefault="00B10186" w:rsidP="001C30EF">
            <w:pPr>
              <w:pStyle w:val="COMTabletext"/>
              <w:keepLines/>
              <w:rPr>
                <w:vertAlign w:val="superscript"/>
              </w:rPr>
            </w:pPr>
            <w:r w:rsidRPr="00AB34C7">
              <w:t>One initial and 8.67 continuing venetoclax scripts plus 7.355 obinutuzumab scripts are equivalent to 12.03 ibrutinib scripts plus 1.0 initial and 9.39 continuing venetoclax scripts</w:t>
            </w:r>
          </w:p>
        </w:tc>
        <w:tc>
          <w:tcPr>
            <w:tcW w:w="2330" w:type="pct"/>
          </w:tcPr>
          <w:p w14:paraId="64038125" w14:textId="3AEAEA1C" w:rsidR="00B10186" w:rsidRPr="00AB34C7" w:rsidRDefault="006B42BB" w:rsidP="001C30EF">
            <w:pPr>
              <w:pStyle w:val="COMTabletext"/>
              <w:keepLines/>
            </w:pPr>
            <w:r w:rsidRPr="00AB34C7">
              <w:t xml:space="preserve">Treatment durations may be longer in clinical practice </w:t>
            </w:r>
            <w:r w:rsidR="000C7277" w:rsidRPr="00AB34C7">
              <w:t xml:space="preserve">due to the broader </w:t>
            </w:r>
            <w:r w:rsidR="00E52438" w:rsidRPr="00AB34C7">
              <w:t xml:space="preserve">proposed </w:t>
            </w:r>
            <w:r w:rsidR="000C7277" w:rsidRPr="00AB34C7">
              <w:t>population that includes younger/fit patients. The resubmission inappropriately applied a 1-day reduction to the reported treatment durations for ibrutinib and venetoclax when deriving the script counts for ibrutinib + venetoclax.</w:t>
            </w:r>
          </w:p>
        </w:tc>
      </w:tr>
      <w:tr w:rsidR="00B10186" w:rsidRPr="00AB34C7" w14:paraId="07D406C3" w14:textId="757E5084" w:rsidTr="00C72F36">
        <w:tc>
          <w:tcPr>
            <w:tcW w:w="705" w:type="pct"/>
          </w:tcPr>
          <w:p w14:paraId="59A26069" w14:textId="77777777" w:rsidR="00B10186" w:rsidRPr="00AB34C7" w:rsidRDefault="00B10186" w:rsidP="001C30EF">
            <w:pPr>
              <w:pStyle w:val="COMTabletext"/>
              <w:keepLines/>
            </w:pPr>
            <w:r w:rsidRPr="00AB34C7">
              <w:t>Direct medicine costs</w:t>
            </w:r>
          </w:p>
        </w:tc>
        <w:tc>
          <w:tcPr>
            <w:tcW w:w="1965" w:type="pct"/>
          </w:tcPr>
          <w:p w14:paraId="45598C9D" w14:textId="64ECD47D" w:rsidR="00B10186" w:rsidRPr="00AB34C7" w:rsidRDefault="00B10186" w:rsidP="001C30EF">
            <w:pPr>
              <w:pStyle w:val="COMTabletext"/>
              <w:keepLines/>
              <w:rPr>
                <w:vertAlign w:val="superscript"/>
              </w:rPr>
            </w:pPr>
            <w:r w:rsidRPr="00AB34C7">
              <w:t>Venetoclax initial treatment script: $</w:t>
            </w:r>
            <w:r w:rsidR="003666AE" w:rsidRPr="003666AE">
              <w:rPr>
                <w:color w:val="000000"/>
                <w:spacing w:val="53"/>
                <w:shd w:val="solid" w:color="000000" w:fill="000000"/>
                <w:fitText w:val="330" w:id="-962325236"/>
                <w14:textFill>
                  <w14:solidFill>
                    <w14:srgbClr w14:val="000000">
                      <w14:alpha w14:val="100000"/>
                    </w14:srgbClr>
                  </w14:solidFill>
                </w14:textFill>
              </w:rPr>
              <w:t>|||</w:t>
            </w:r>
            <w:r w:rsidR="003666AE" w:rsidRPr="003666AE">
              <w:rPr>
                <w:color w:val="000000"/>
                <w:spacing w:val="1"/>
                <w:shd w:val="solid" w:color="000000" w:fill="000000"/>
                <w:fitText w:val="330" w:id="-962325236"/>
                <w14:textFill>
                  <w14:solidFill>
                    <w14:srgbClr w14:val="000000">
                      <w14:alpha w14:val="100000"/>
                    </w14:srgbClr>
                  </w14:solidFill>
                </w14:textFill>
              </w:rPr>
              <w:t>|</w:t>
            </w:r>
            <w:r w:rsidRPr="00AB34C7">
              <w:t xml:space="preserve"> </w:t>
            </w:r>
            <w:r w:rsidRPr="00AB34C7">
              <w:rPr>
                <w:vertAlign w:val="superscript"/>
              </w:rPr>
              <w:t>a</w:t>
            </w:r>
          </w:p>
          <w:p w14:paraId="17742F2A" w14:textId="4D5F9586" w:rsidR="00B10186" w:rsidRPr="00AB34C7" w:rsidRDefault="00B10186" w:rsidP="001C30EF">
            <w:pPr>
              <w:pStyle w:val="COMTabletext"/>
              <w:keepLines/>
              <w:rPr>
                <w:vertAlign w:val="superscript"/>
              </w:rPr>
            </w:pPr>
            <w:r w:rsidRPr="00AB34C7">
              <w:t>Venetoclax continuing treatment script: $</w:t>
            </w:r>
            <w:r w:rsidR="003666AE" w:rsidRPr="003666AE">
              <w:rPr>
                <w:color w:val="000000"/>
                <w:spacing w:val="53"/>
                <w:shd w:val="solid" w:color="000000" w:fill="000000"/>
                <w:fitText w:val="330" w:id="-962325235"/>
                <w14:textFill>
                  <w14:solidFill>
                    <w14:srgbClr w14:val="000000">
                      <w14:alpha w14:val="100000"/>
                    </w14:srgbClr>
                  </w14:solidFill>
                </w14:textFill>
              </w:rPr>
              <w:t>|||</w:t>
            </w:r>
            <w:r w:rsidR="003666AE" w:rsidRPr="003666AE">
              <w:rPr>
                <w:color w:val="000000"/>
                <w:spacing w:val="1"/>
                <w:shd w:val="solid" w:color="000000" w:fill="000000"/>
                <w:fitText w:val="330" w:id="-962325235"/>
                <w14:textFill>
                  <w14:solidFill>
                    <w14:srgbClr w14:val="000000">
                      <w14:alpha w14:val="100000"/>
                    </w14:srgbClr>
                  </w14:solidFill>
                </w14:textFill>
              </w:rPr>
              <w:t>|</w:t>
            </w:r>
            <w:r w:rsidRPr="00AB34C7">
              <w:t xml:space="preserve"> </w:t>
            </w:r>
            <w:r w:rsidRPr="00AB34C7">
              <w:rPr>
                <w:vertAlign w:val="superscript"/>
              </w:rPr>
              <w:t>a</w:t>
            </w:r>
          </w:p>
          <w:p w14:paraId="5F4226B6" w14:textId="2049BF8B" w:rsidR="00B10186" w:rsidRPr="00AB34C7" w:rsidRDefault="00B10186" w:rsidP="001C30EF">
            <w:pPr>
              <w:pStyle w:val="COMTabletext"/>
              <w:keepLines/>
              <w:rPr>
                <w:vertAlign w:val="superscript"/>
              </w:rPr>
            </w:pPr>
            <w:r w:rsidRPr="00AB34C7">
              <w:t>Obinutuzumab: $</w:t>
            </w:r>
            <w:r w:rsidR="003666AE" w:rsidRPr="003666AE">
              <w:rPr>
                <w:color w:val="000000"/>
                <w:spacing w:val="48"/>
                <w:shd w:val="solid" w:color="000000" w:fill="000000"/>
                <w:fitText w:val="315" w:id="-962325234"/>
                <w14:textFill>
                  <w14:solidFill>
                    <w14:srgbClr w14:val="000000">
                      <w14:alpha w14:val="100000"/>
                    </w14:srgbClr>
                  </w14:solidFill>
                </w14:textFill>
              </w:rPr>
              <w:t>|||</w:t>
            </w:r>
            <w:r w:rsidR="003666AE" w:rsidRPr="003666AE">
              <w:rPr>
                <w:color w:val="000000"/>
                <w:spacing w:val="1"/>
                <w:shd w:val="solid" w:color="000000" w:fill="000000"/>
                <w:fitText w:val="315" w:id="-962325234"/>
                <w14:textFill>
                  <w14:solidFill>
                    <w14:srgbClr w14:val="000000">
                      <w14:alpha w14:val="100000"/>
                    </w14:srgbClr>
                  </w14:solidFill>
                </w14:textFill>
              </w:rPr>
              <w:t>|</w:t>
            </w:r>
            <w:r w:rsidRPr="00AB34C7">
              <w:t xml:space="preserve"> per script</w:t>
            </w:r>
          </w:p>
        </w:tc>
        <w:tc>
          <w:tcPr>
            <w:tcW w:w="2330" w:type="pct"/>
          </w:tcPr>
          <w:p w14:paraId="09E3BD43" w14:textId="3BEBC69D" w:rsidR="00B10186" w:rsidRPr="00AB34C7" w:rsidRDefault="00830571" w:rsidP="001C30EF">
            <w:pPr>
              <w:pStyle w:val="COMTabletext"/>
              <w:keepLines/>
            </w:pPr>
            <w:r w:rsidRPr="00AB34C7">
              <w:t xml:space="preserve">Venetoclax costs were based on the current effective price for venetoclax for the treatment of relapsed/refractory CLL/SLL, which may not be applicable to the first-line treatment setting. </w:t>
            </w:r>
          </w:p>
        </w:tc>
      </w:tr>
      <w:tr w:rsidR="00B10186" w:rsidRPr="00AB34C7" w14:paraId="0C2D9DDC" w14:textId="00E056A3" w:rsidTr="00C72F36">
        <w:tc>
          <w:tcPr>
            <w:tcW w:w="705" w:type="pct"/>
          </w:tcPr>
          <w:p w14:paraId="6C1416DE" w14:textId="77777777" w:rsidR="00B10186" w:rsidRPr="00AB34C7" w:rsidRDefault="00B10186" w:rsidP="001C30EF">
            <w:pPr>
              <w:pStyle w:val="COMTabletext"/>
              <w:keepLines/>
            </w:pPr>
            <w:r w:rsidRPr="00AB34C7">
              <w:t>Other costs or cost offsets</w:t>
            </w:r>
          </w:p>
        </w:tc>
        <w:tc>
          <w:tcPr>
            <w:tcW w:w="1965" w:type="pct"/>
          </w:tcPr>
          <w:p w14:paraId="59BE2D0C" w14:textId="77777777" w:rsidR="00B10186" w:rsidRPr="00AB34C7" w:rsidRDefault="00B10186" w:rsidP="001C30EF">
            <w:pPr>
              <w:pStyle w:val="COMTabletext"/>
              <w:keepLines/>
            </w:pPr>
            <w:r w:rsidRPr="00AB34C7">
              <w:t>Costs: baseline ECG cost, atrial fibrillation specialist monitoring costs, atrial fibrillation drug treatment costs.</w:t>
            </w:r>
          </w:p>
          <w:p w14:paraId="6FD2FC80" w14:textId="2324E8E9" w:rsidR="00B10186" w:rsidRPr="00AB34C7" w:rsidRDefault="00B10186" w:rsidP="001C30EF">
            <w:pPr>
              <w:pStyle w:val="COMTabletext"/>
              <w:keepLines/>
            </w:pPr>
            <w:r w:rsidRPr="00AB34C7">
              <w:t>Cost offsets: obinutuzumab administration costs, obinutuzumab specialist visit costs and obinutuzumab premedication costs.</w:t>
            </w:r>
          </w:p>
        </w:tc>
        <w:tc>
          <w:tcPr>
            <w:tcW w:w="2330" w:type="pct"/>
          </w:tcPr>
          <w:p w14:paraId="39684D88" w14:textId="3B9B6100" w:rsidR="00B10186" w:rsidRPr="00AB34C7" w:rsidRDefault="00FF06B1" w:rsidP="001C30EF">
            <w:pPr>
              <w:pStyle w:val="COMTabletext"/>
              <w:keepLines/>
            </w:pPr>
            <w:r w:rsidRPr="00AB34C7">
              <w:t>The ESC considered that c</w:t>
            </w:r>
            <w:r w:rsidR="00AF4BE2" w:rsidRPr="00AB34C7">
              <w:t>osts associated with the management of atrial fibrillation may be underestimated given that atrial fibrillation may persist beyond the period of ibrutinib + venetoclax treatment, costs associated with atrial fibrillation hospitalisations were not included, and costs associated with other medications</w:t>
            </w:r>
            <w:r w:rsidR="00E52438" w:rsidRPr="00AB34C7">
              <w:t xml:space="preserve"> </w:t>
            </w:r>
            <w:r w:rsidR="00AF4BE2" w:rsidRPr="00AB34C7">
              <w:t>or procedures were not included.</w:t>
            </w:r>
          </w:p>
        </w:tc>
      </w:tr>
    </w:tbl>
    <w:p w14:paraId="4D0DAF01" w14:textId="08398690" w:rsidR="00486E5D" w:rsidRPr="00AB34C7" w:rsidRDefault="00486E5D" w:rsidP="001C30EF">
      <w:pPr>
        <w:pStyle w:val="COMTablefooter"/>
        <w:keepNext/>
        <w:keepLines/>
      </w:pPr>
      <w:r w:rsidRPr="00AB34C7">
        <w:t>Source: Table 3.1 of the resubmission.</w:t>
      </w:r>
    </w:p>
    <w:p w14:paraId="0612B6D6" w14:textId="2E8CA9FA" w:rsidR="00486E5D" w:rsidRPr="00AB34C7" w:rsidRDefault="00486E5D" w:rsidP="00486E5D">
      <w:pPr>
        <w:pStyle w:val="COMTablefooter"/>
      </w:pPr>
      <w:r w:rsidRPr="00AB34C7">
        <w:t xml:space="preserve">Abbreviations: </w:t>
      </w:r>
      <w:r w:rsidR="0056387E" w:rsidRPr="00AB34C7">
        <w:t xml:space="preserve">CLL, chronic lymphocytic leukemia; </w:t>
      </w:r>
      <w:r w:rsidRPr="00AB34C7">
        <w:t>ECG, electrocardiogram</w:t>
      </w:r>
      <w:r w:rsidR="0056387E" w:rsidRPr="00AB34C7">
        <w:t>; MAIC, match</w:t>
      </w:r>
      <w:r w:rsidR="000B443E" w:rsidRPr="00AB34C7">
        <w:t>ing</w:t>
      </w:r>
      <w:r w:rsidR="0056387E" w:rsidRPr="00AB34C7">
        <w:t xml:space="preserve"> adjusted indirect comparison; SLL, small lymphocytic lymphoma</w:t>
      </w:r>
      <w:r w:rsidR="00AB34C7">
        <w:t xml:space="preserve">. </w:t>
      </w:r>
      <w:r w:rsidR="00C72F36" w:rsidRPr="00AB34C7">
        <w:t xml:space="preserve">  </w:t>
      </w:r>
      <w:r w:rsidRPr="00AB34C7">
        <w:rPr>
          <w:vertAlign w:val="superscript"/>
        </w:rPr>
        <w:t>a</w:t>
      </w:r>
      <w:r w:rsidRPr="00AB34C7">
        <w:t xml:space="preserve"> Estimated effective AEMP.</w:t>
      </w:r>
    </w:p>
    <w:p w14:paraId="4FA6632B" w14:textId="399D1EBA" w:rsidR="00C44016" w:rsidRPr="00AB34C7" w:rsidRDefault="00C44016" w:rsidP="00AA787B">
      <w:pPr>
        <w:pStyle w:val="COMexecsumnumberedpara"/>
        <w:ind w:hanging="720"/>
      </w:pPr>
      <w:r w:rsidRPr="00AB34C7">
        <w:t xml:space="preserve">The resubmission noted that in the CLL-14 trial, the mean treatment duration for venetoclax was 288.1 days (Table 7, venetoclax </w:t>
      </w:r>
      <w:r w:rsidR="00EC7E52" w:rsidRPr="00AB34C7">
        <w:t>PSD</w:t>
      </w:r>
      <w:r w:rsidRPr="00AB34C7">
        <w:t>, July 2020 PBAC meeting). For the cost-minimisation, this was assumed to equate to 28 days of initial treatment (dose ramp-up phase) and 260.1 days of continuing treatment. The mean cumulative dose of obinutuzumab in the venetoclax + obinutuzumab arm of the CLL-14 trial was 7,355</w:t>
      </w:r>
      <w:r w:rsidR="00DC6EBB" w:rsidRPr="00AB34C7">
        <w:t> mg</w:t>
      </w:r>
      <w:r w:rsidRPr="00AB34C7">
        <w:t xml:space="preserve"> (Table 7, venetoclax </w:t>
      </w:r>
      <w:r w:rsidR="00EC7E52" w:rsidRPr="00AB34C7">
        <w:t>PSD</w:t>
      </w:r>
      <w:r w:rsidRPr="00AB34C7">
        <w:t xml:space="preserve">, July 2020 PBAC meeting). </w:t>
      </w:r>
    </w:p>
    <w:p w14:paraId="57EB22EB" w14:textId="4879D701" w:rsidR="00C44016" w:rsidRPr="00AB34C7" w:rsidRDefault="00C44016" w:rsidP="00AA787B">
      <w:pPr>
        <w:pStyle w:val="COMexecsumnumberedpara"/>
        <w:ind w:hanging="720"/>
      </w:pPr>
      <w:r w:rsidRPr="00AB34C7">
        <w:t>Recent updates to the CLL/SLL PBS restrictions allow use in a broader population of patients (i.e., treatment is no longer limited to patients with a CIRS score &gt;6 or a creatinine clearance &lt;70</w:t>
      </w:r>
      <w:r w:rsidR="002C7D0D" w:rsidRPr="00AB34C7">
        <w:t> mL</w:t>
      </w:r>
      <w:r w:rsidRPr="00AB34C7">
        <w:t xml:space="preserve">/min). Younger patients with a lower burden of </w:t>
      </w:r>
      <w:r w:rsidRPr="00AB34C7">
        <w:lastRenderedPageBreak/>
        <w:t xml:space="preserve">comorbidities may have a longer treatment duration than those who are older and/or have comorbid conditions. </w:t>
      </w:r>
    </w:p>
    <w:p w14:paraId="2CC4D121" w14:textId="21EBEFF2" w:rsidR="00CC764E" w:rsidRPr="00AB34C7" w:rsidRDefault="00C44016" w:rsidP="00AA787B">
      <w:pPr>
        <w:pStyle w:val="COMexecsumnumberedpara"/>
        <w:ind w:hanging="720"/>
      </w:pPr>
      <w:r w:rsidRPr="00AB34C7">
        <w:t xml:space="preserve">The resubmission noted that the dose intensities for venetoclax and obinutuzumab were not reported in the CLL-14 trial publications or in the venetoclax </w:t>
      </w:r>
      <w:r w:rsidR="0043451D" w:rsidRPr="00AB34C7">
        <w:t>p</w:t>
      </w:r>
      <w:r w:rsidRPr="00AB34C7">
        <w:t xml:space="preserve">ublic </w:t>
      </w:r>
      <w:r w:rsidR="0043451D" w:rsidRPr="00AB34C7">
        <w:t>s</w:t>
      </w:r>
      <w:r w:rsidRPr="00AB34C7">
        <w:t xml:space="preserve">ummary </w:t>
      </w:r>
      <w:r w:rsidR="0043451D" w:rsidRPr="00AB34C7">
        <w:t>d</w:t>
      </w:r>
      <w:r w:rsidRPr="00AB34C7">
        <w:t>ocuments. A dose intensity of 100% was assumed for venetoclax and obinutuzumab. The resubmission argued that this is consistent with the assumption used in the March</w:t>
      </w:r>
      <w:r w:rsidR="005453AD">
        <w:t> </w:t>
      </w:r>
      <w:r w:rsidRPr="00AB34C7">
        <w:t>2023 submission for zanubrutinib in previously untreated CLL/SLL that received a positive recommendation</w:t>
      </w:r>
      <w:r w:rsidR="001626EA" w:rsidRPr="00AB34C7">
        <w:t xml:space="preserve"> (para 6.68, zanubrutinib PSD, March 2023 PBAC meeting)</w:t>
      </w:r>
      <w:r w:rsidRPr="00AB34C7">
        <w:t>.</w:t>
      </w:r>
    </w:p>
    <w:p w14:paraId="2A6357EE" w14:textId="17185003" w:rsidR="009171B7" w:rsidRPr="00AB34C7" w:rsidRDefault="00CC764E" w:rsidP="00AA787B">
      <w:pPr>
        <w:pStyle w:val="COMexecsumnumberedpara"/>
        <w:ind w:hanging="720"/>
      </w:pPr>
      <w:r w:rsidRPr="00AB34C7">
        <w:t xml:space="preserve">Treatment durations for ibrutinib and venetoclax in the cost-minimisation were based on the treatment durations reported in the GLOW trial. At the primary analysis (median follow-up 27.7 months), the mean treatment durations for ibrutinib and venetoclax were 11.89 months and 10.21 months, respectively. </w:t>
      </w:r>
      <w:r w:rsidR="009171B7" w:rsidRPr="00AB34C7">
        <w:t xml:space="preserve">The resubmission inappropriately applied a </w:t>
      </w:r>
      <w:r w:rsidR="002061C0" w:rsidRPr="00AB34C7">
        <w:t>1-day reduction to</w:t>
      </w:r>
      <w:r w:rsidR="009171B7" w:rsidRPr="00AB34C7">
        <w:t xml:space="preserve"> the </w:t>
      </w:r>
      <w:r w:rsidR="002061C0" w:rsidRPr="00AB34C7">
        <w:t xml:space="preserve">reported </w:t>
      </w:r>
      <w:r w:rsidR="009171B7" w:rsidRPr="00AB34C7">
        <w:t xml:space="preserve">treatment durations for ibrutinib and venetoclax when </w:t>
      </w:r>
      <w:r w:rsidR="00A907D9" w:rsidRPr="00AB34C7">
        <w:t xml:space="preserve">deriving the </w:t>
      </w:r>
      <w:r w:rsidR="009171B7" w:rsidRPr="00AB34C7">
        <w:t>script counts</w:t>
      </w:r>
      <w:r w:rsidR="00A907D9" w:rsidRPr="00AB34C7">
        <w:t xml:space="preserve"> for ibrutinib + venetoclax. A cost-minimised price for ibrutinib was </w:t>
      </w:r>
      <w:r w:rsidR="00823F05" w:rsidRPr="00AB34C7">
        <w:t xml:space="preserve">also </w:t>
      </w:r>
      <w:r w:rsidR="00A907D9" w:rsidRPr="00AB34C7">
        <w:t xml:space="preserve">derived during the evaluation excluding the </w:t>
      </w:r>
      <w:r w:rsidR="00823F05" w:rsidRPr="00AB34C7">
        <w:t>treatment duration adjustments.</w:t>
      </w:r>
      <w:r w:rsidR="00A907D9" w:rsidRPr="00AB34C7">
        <w:t xml:space="preserve"> </w:t>
      </w:r>
    </w:p>
    <w:p w14:paraId="72E005F4" w14:textId="2E074D7B" w:rsidR="00CC764E" w:rsidRPr="00AB34C7" w:rsidRDefault="00CC764E" w:rsidP="00AA787B">
      <w:pPr>
        <w:pStyle w:val="COMexecsumnumberedpara"/>
        <w:ind w:hanging="720"/>
      </w:pPr>
      <w:r w:rsidRPr="00AB34C7">
        <w:t xml:space="preserve">The treatment duration among patients in the </w:t>
      </w:r>
      <w:r w:rsidR="00C72F36" w:rsidRPr="00AB34C7">
        <w:t>FD</w:t>
      </w:r>
      <w:r w:rsidRPr="00AB34C7">
        <w:t xml:space="preserve"> cohort of the CAPTIVATE study was longer </w:t>
      </w:r>
      <w:bookmarkStart w:id="45" w:name="_Hlk155892166"/>
      <w:r w:rsidR="00051BF5" w:rsidRPr="00AB34C7">
        <w:t xml:space="preserve">than reported for </w:t>
      </w:r>
      <w:r w:rsidR="006F6B2F" w:rsidRPr="00AB34C7">
        <w:t xml:space="preserve">the </w:t>
      </w:r>
      <w:r w:rsidR="00051BF5" w:rsidRPr="00AB34C7">
        <w:t xml:space="preserve">ibrutinib + venetoclax arm of the GLOW trial </w:t>
      </w:r>
      <w:bookmarkEnd w:id="45"/>
      <w:r w:rsidRPr="00AB34C7">
        <w:t>(mean treatment duration of 13.3 months for ibrutinib and 11.1 months for venetoclax at the primary analysis).</w:t>
      </w:r>
      <w:r w:rsidRPr="00AB34C7">
        <w:rPr>
          <w:i/>
          <w:iCs/>
        </w:rPr>
        <w:t xml:space="preserve"> </w:t>
      </w:r>
      <w:r w:rsidR="0032413D" w:rsidRPr="00AB34C7">
        <w:t xml:space="preserve">Given that the requested population is not limited to older patients with comorbidities, the mean treatment duration for ibrutinib + venetoclax in clinical practice may be longer than assumed in the cost-minimisation. </w:t>
      </w:r>
      <w:r w:rsidR="00595B02" w:rsidRPr="00AB34C7">
        <w:t xml:space="preserve">While a longer treatment duration </w:t>
      </w:r>
      <w:r w:rsidR="004B55B3" w:rsidRPr="00AB34C7">
        <w:t xml:space="preserve">would also be expected </w:t>
      </w:r>
      <w:r w:rsidR="00595B02" w:rsidRPr="00AB34C7">
        <w:t>for venetoclax + obinutuzumab</w:t>
      </w:r>
      <w:r w:rsidR="00BF6560" w:rsidRPr="00AB34C7">
        <w:t xml:space="preserve"> </w:t>
      </w:r>
      <w:r w:rsidR="0028580E" w:rsidRPr="00AB34C7">
        <w:t>in the proposed population</w:t>
      </w:r>
      <w:r w:rsidR="004B55B3" w:rsidRPr="00AB34C7">
        <w:t xml:space="preserve">, </w:t>
      </w:r>
      <w:r w:rsidR="00595B02" w:rsidRPr="00AB34C7">
        <w:t>t</w:t>
      </w:r>
      <w:r w:rsidR="0032413D" w:rsidRPr="00AB34C7">
        <w:t xml:space="preserve">he </w:t>
      </w:r>
      <w:r w:rsidR="0028580E" w:rsidRPr="00AB34C7">
        <w:t>difference</w:t>
      </w:r>
      <w:r w:rsidR="0032413D" w:rsidRPr="00AB34C7">
        <w:t xml:space="preserve"> may be </w:t>
      </w:r>
      <w:r w:rsidR="0028580E" w:rsidRPr="00AB34C7">
        <w:t>larger</w:t>
      </w:r>
      <w:r w:rsidR="0032413D" w:rsidRPr="00AB34C7">
        <w:t xml:space="preserve"> for ibrutinib + venetoclax </w:t>
      </w:r>
      <w:r w:rsidR="004B55B3" w:rsidRPr="00AB34C7">
        <w:t>due to the longer recommended treatment duration for</w:t>
      </w:r>
      <w:r w:rsidR="0032413D" w:rsidRPr="00AB34C7">
        <w:t xml:space="preserve"> ibrutinib + venetoclax (15 cycles) </w:t>
      </w:r>
      <w:r w:rsidR="004B55B3" w:rsidRPr="00AB34C7">
        <w:t>compared to</w:t>
      </w:r>
      <w:r w:rsidR="0032413D" w:rsidRPr="00AB34C7">
        <w:t xml:space="preserve"> venetoclax + obinutuzumab (12 cycles)</w:t>
      </w:r>
      <w:r w:rsidR="0085699B" w:rsidRPr="00AB34C7">
        <w:t>, and potentially lower use of ibrutinib + venetoclax in elderly/comorbid patients due to toxicity concerns.</w:t>
      </w:r>
      <w:r w:rsidR="003D561A" w:rsidRPr="00AB34C7">
        <w:t xml:space="preserve"> </w:t>
      </w:r>
      <w:r w:rsidR="000B443E" w:rsidRPr="00AB34C7">
        <w:t xml:space="preserve">The </w:t>
      </w:r>
      <w:r w:rsidR="003D561A" w:rsidRPr="00AB34C7">
        <w:t xml:space="preserve">ESC considered that </w:t>
      </w:r>
      <w:r w:rsidR="003D7E4F" w:rsidRPr="00AB34C7">
        <w:t>while mean treatment duration in clinical practice may increase for</w:t>
      </w:r>
      <w:r w:rsidR="000B443E" w:rsidRPr="00AB34C7">
        <w:t xml:space="preserve"> </w:t>
      </w:r>
      <w:r w:rsidR="003D7E4F" w:rsidRPr="00AB34C7">
        <w:t xml:space="preserve">both </w:t>
      </w:r>
      <w:r w:rsidR="000B443E" w:rsidRPr="00AB34C7">
        <w:t>ibrutinib + venetoclax and venetoclax + obinutuzumab</w:t>
      </w:r>
      <w:r w:rsidR="003D7E4F" w:rsidRPr="00AB34C7">
        <w:t xml:space="preserve">, that </w:t>
      </w:r>
      <w:r w:rsidR="003D561A" w:rsidRPr="00AB34C7">
        <w:t>this would have minimal impact</w:t>
      </w:r>
      <w:r w:rsidR="00B82253" w:rsidRPr="00AB34C7">
        <w:t xml:space="preserve"> on the cost-minimised price</w:t>
      </w:r>
      <w:r w:rsidR="003D561A" w:rsidRPr="00AB34C7">
        <w:t xml:space="preserve">. </w:t>
      </w:r>
    </w:p>
    <w:p w14:paraId="08AFD90E" w14:textId="39B3295D" w:rsidR="008B5661" w:rsidRPr="00AB34C7" w:rsidRDefault="00CC764E" w:rsidP="00AA787B">
      <w:pPr>
        <w:pStyle w:val="COMexecsumnumberedpara"/>
        <w:ind w:hanging="720"/>
      </w:pPr>
      <w:r w:rsidRPr="00AB34C7">
        <w:t>The resubmission stated that dose intensity was not included in the cost-minimisation on the basis that the dose intensity in the CLL-14 trial has not been reported. The reported mean dose intensity at the primary analysis for the GLOW trial was 91.0% for ibrutinib and 89.9% for venetoclax. The reported mean dose intensity in the CAPTIVATE study was 95.4% for ibrutinib and 93.1% for venetoclax.</w:t>
      </w:r>
      <w:r w:rsidRPr="00AB34C7">
        <w:rPr>
          <w:i/>
          <w:iCs/>
        </w:rPr>
        <w:t xml:space="preserve"> </w:t>
      </w:r>
    </w:p>
    <w:p w14:paraId="600140AD" w14:textId="77777777" w:rsidR="008B5661" w:rsidRPr="00AB34C7" w:rsidRDefault="008B5661" w:rsidP="00AA787B">
      <w:pPr>
        <w:pStyle w:val="COMexecsumnumberedpara"/>
        <w:ind w:hanging="720"/>
      </w:pPr>
      <w:r w:rsidRPr="00AB34C7">
        <w:t>The following equi-effective doses were proposed:</w:t>
      </w:r>
    </w:p>
    <w:p w14:paraId="39B23ACF" w14:textId="7515CA5D" w:rsidR="008B5661" w:rsidRPr="00AB34C7" w:rsidRDefault="008B5661" w:rsidP="00F0309A">
      <w:pPr>
        <w:pStyle w:val="ListParagraph"/>
        <w:numPr>
          <w:ilvl w:val="0"/>
          <w:numId w:val="28"/>
        </w:numPr>
        <w:tabs>
          <w:tab w:val="left" w:pos="1080"/>
        </w:tabs>
        <w:autoSpaceDE w:val="0"/>
        <w:autoSpaceDN w:val="0"/>
        <w:adjustRightInd w:val="0"/>
      </w:pPr>
      <w:r w:rsidRPr="00AB34C7">
        <w:t xml:space="preserve">One initial and 8.67 continuing venetoclax scripts plus 7.355 obinutuzumab scripts </w:t>
      </w:r>
      <w:r w:rsidRPr="00F0309A">
        <w:rPr>
          <w:rFonts w:cstheme="minorHAnsi"/>
        </w:rPr>
        <w:t>are</w:t>
      </w:r>
      <w:r w:rsidRPr="00AB34C7">
        <w:t xml:space="preserve"> equivalent to 12.03 ibrutinib scripts plus 1.0 initial and 9.39 continuing venetoclax scripts.</w:t>
      </w:r>
    </w:p>
    <w:p w14:paraId="717C4748" w14:textId="7004F5FC" w:rsidR="00D7304D" w:rsidRPr="00AB34C7" w:rsidRDefault="00823F05" w:rsidP="00AA787B">
      <w:pPr>
        <w:pStyle w:val="COMexecsumnumberedpara"/>
        <w:ind w:hanging="720"/>
      </w:pPr>
      <w:r w:rsidRPr="00AB34C7">
        <w:lastRenderedPageBreak/>
        <w:t>Aft</w:t>
      </w:r>
      <w:r w:rsidR="008B5661" w:rsidRPr="00AB34C7">
        <w:t>e</w:t>
      </w:r>
      <w:r w:rsidRPr="00AB34C7">
        <w:t xml:space="preserve">r </w:t>
      </w:r>
      <w:r w:rsidR="00D7304D" w:rsidRPr="00AB34C7">
        <w:t>removal of the 1-day treatment duration adjustments applied to ibrutinib and venetoclax in the resubmission, the equi-effective doses were: one initial and 8.67 continuing venetoclax scripts plus 7.355 obinutuzumab scripts are equivalent to 12.06 ibrutinib scripts plus 1.0 initial and 9.43 continuing venetoclax scripts.</w:t>
      </w:r>
    </w:p>
    <w:p w14:paraId="2B59AA81" w14:textId="45249CDF" w:rsidR="00D7304D" w:rsidRPr="00AB34C7" w:rsidRDefault="00D75071" w:rsidP="00AA787B">
      <w:pPr>
        <w:pStyle w:val="COMexecsumnumberedpara"/>
        <w:ind w:hanging="720"/>
        <w:rPr>
          <w:i/>
          <w:iCs/>
        </w:rPr>
      </w:pPr>
      <w:r w:rsidRPr="00AB34C7">
        <w:fldChar w:fldCharType="begin" w:fldLock="1"/>
      </w:r>
      <w:r w:rsidRPr="00AB34C7">
        <w:instrText xml:space="preserve"> REF _Ref153201076 \h </w:instrText>
      </w:r>
      <w:r w:rsidRPr="00AB34C7">
        <w:fldChar w:fldCharType="separate"/>
      </w:r>
      <w:r w:rsidR="008A42E6" w:rsidRPr="00AB34C7">
        <w:t xml:space="preserve">Table </w:t>
      </w:r>
      <w:r w:rsidR="008A42E6" w:rsidRPr="00B95C74">
        <w:t>13</w:t>
      </w:r>
      <w:r w:rsidRPr="00AB34C7">
        <w:fldChar w:fldCharType="end"/>
      </w:r>
      <w:r w:rsidRPr="00AB34C7">
        <w:t xml:space="preserve"> </w:t>
      </w:r>
      <w:r w:rsidR="00D7304D" w:rsidRPr="00AB34C7">
        <w:t>summarises the costs and cost offsets included in the cost-minimisation</w:t>
      </w:r>
      <w:r w:rsidR="002F0F81" w:rsidRPr="00AB34C7">
        <w:t xml:space="preserve"> approach</w:t>
      </w:r>
      <w:r w:rsidR="00D7304D" w:rsidRPr="00AB34C7">
        <w:t>.</w:t>
      </w:r>
    </w:p>
    <w:p w14:paraId="00245050" w14:textId="1B2BB863" w:rsidR="00D7304D" w:rsidRPr="00AB34C7" w:rsidRDefault="00D7304D" w:rsidP="00C26DC4">
      <w:pPr>
        <w:pStyle w:val="TableHeading"/>
        <w:spacing w:before="0" w:after="0" w:line="240" w:lineRule="auto"/>
        <w:rPr>
          <w:rStyle w:val="CommentReference"/>
          <w:sz w:val="20"/>
          <w:szCs w:val="20"/>
        </w:rPr>
      </w:pPr>
      <w:bookmarkStart w:id="46" w:name="_Ref153201076"/>
      <w:r w:rsidRPr="00AB34C7">
        <w:t xml:space="preserve">Table </w:t>
      </w:r>
      <w:fldSimple w:instr=" SEQ Table \* ARABIC " w:fldLock="1">
        <w:r w:rsidR="008A42E6" w:rsidRPr="00B95C74">
          <w:t>13</w:t>
        </w:r>
      </w:fldSimple>
      <w:bookmarkEnd w:id="46"/>
      <w:r w:rsidRPr="00AB34C7">
        <w:t>:</w:t>
      </w:r>
      <w:r w:rsidRPr="00AB34C7">
        <w:rPr>
          <w:rStyle w:val="CommentReference"/>
          <w:sz w:val="20"/>
          <w:szCs w:val="20"/>
        </w:rPr>
        <w:t xml:space="preserve"> Costs and cost offsets included in the cost-minimisation</w:t>
      </w:r>
    </w:p>
    <w:tbl>
      <w:tblPr>
        <w:tblW w:w="5000" w:type="pct"/>
        <w:tblLayout w:type="fixed"/>
        <w:tblCellMar>
          <w:left w:w="57" w:type="dxa"/>
          <w:right w:w="57" w:type="dxa"/>
        </w:tblCellMar>
        <w:tblLook w:val="04A0" w:firstRow="1" w:lastRow="0" w:firstColumn="1" w:lastColumn="0" w:noHBand="0" w:noVBand="1"/>
        <w:tblCaption w:val="Table 13: Costs and cost offsets included in the cost-minimisation"/>
      </w:tblPr>
      <w:tblGrid>
        <w:gridCol w:w="1554"/>
        <w:gridCol w:w="1441"/>
        <w:gridCol w:w="6022"/>
      </w:tblGrid>
      <w:tr w:rsidR="00D7304D" w:rsidRPr="00AB34C7" w14:paraId="4D720059" w14:textId="77777777" w:rsidTr="00A214AB">
        <w:trPr>
          <w:trHeight w:val="162"/>
          <w:tblHeader/>
        </w:trPr>
        <w:tc>
          <w:tcPr>
            <w:tcW w:w="862" w:type="pct"/>
            <w:tcBorders>
              <w:top w:val="single" w:sz="4" w:space="0" w:color="auto"/>
              <w:left w:val="single" w:sz="4" w:space="0" w:color="auto"/>
              <w:bottom w:val="single" w:sz="4" w:space="0" w:color="auto"/>
              <w:right w:val="single" w:sz="4" w:space="0" w:color="auto"/>
            </w:tcBorders>
            <w:hideMark/>
          </w:tcPr>
          <w:p w14:paraId="0C29C317" w14:textId="77777777" w:rsidR="00D7304D" w:rsidRPr="00AB34C7" w:rsidRDefault="00D7304D" w:rsidP="001C30EF">
            <w:pPr>
              <w:pStyle w:val="Tabletext0"/>
              <w:keepNext/>
              <w:keepLines/>
              <w:rPr>
                <w:b/>
                <w:szCs w:val="22"/>
              </w:rPr>
            </w:pPr>
            <w:r w:rsidRPr="00AB34C7">
              <w:rPr>
                <w:b/>
              </w:rPr>
              <w:t xml:space="preserve">Characteristic </w:t>
            </w:r>
          </w:p>
        </w:tc>
        <w:tc>
          <w:tcPr>
            <w:tcW w:w="799" w:type="pct"/>
            <w:tcBorders>
              <w:top w:val="single" w:sz="4" w:space="0" w:color="auto"/>
              <w:left w:val="single" w:sz="4" w:space="0" w:color="auto"/>
              <w:bottom w:val="single" w:sz="4" w:space="0" w:color="auto"/>
              <w:right w:val="single" w:sz="4" w:space="0" w:color="auto"/>
            </w:tcBorders>
            <w:hideMark/>
          </w:tcPr>
          <w:p w14:paraId="392DFB69" w14:textId="77777777" w:rsidR="00D7304D" w:rsidRPr="00AB34C7" w:rsidRDefault="00D7304D" w:rsidP="001C30EF">
            <w:pPr>
              <w:pStyle w:val="Tabletext0"/>
              <w:keepNext/>
              <w:keepLines/>
              <w:jc w:val="center"/>
              <w:rPr>
                <w:b/>
              </w:rPr>
            </w:pPr>
            <w:r w:rsidRPr="00AB34C7">
              <w:rPr>
                <w:b/>
              </w:rPr>
              <w:t xml:space="preserve">Cost per patient </w:t>
            </w:r>
          </w:p>
        </w:tc>
        <w:tc>
          <w:tcPr>
            <w:tcW w:w="3339" w:type="pct"/>
            <w:tcBorders>
              <w:top w:val="single" w:sz="4" w:space="0" w:color="auto"/>
              <w:left w:val="single" w:sz="4" w:space="0" w:color="auto"/>
              <w:bottom w:val="single" w:sz="4" w:space="0" w:color="auto"/>
              <w:right w:val="single" w:sz="4" w:space="0" w:color="auto"/>
            </w:tcBorders>
            <w:vAlign w:val="center"/>
            <w:hideMark/>
          </w:tcPr>
          <w:p w14:paraId="3412B9E3" w14:textId="77777777" w:rsidR="00D7304D" w:rsidRPr="00AB34C7" w:rsidRDefault="00D7304D" w:rsidP="001C30EF">
            <w:pPr>
              <w:pStyle w:val="Tabletext0"/>
              <w:keepNext/>
              <w:keepLines/>
              <w:jc w:val="center"/>
              <w:rPr>
                <w:b/>
              </w:rPr>
            </w:pPr>
            <w:r w:rsidRPr="00AB34C7">
              <w:rPr>
                <w:b/>
              </w:rPr>
              <w:t>Source</w:t>
            </w:r>
          </w:p>
        </w:tc>
      </w:tr>
      <w:tr w:rsidR="00D7304D" w:rsidRPr="00AB34C7" w14:paraId="4E41A4C7" w14:textId="77777777" w:rsidTr="00507D72">
        <w:trPr>
          <w:trHeight w:val="245"/>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98429BB" w14:textId="77777777" w:rsidR="00D7304D" w:rsidRPr="00AB34C7" w:rsidRDefault="00D7304D" w:rsidP="001C30EF">
            <w:pPr>
              <w:pStyle w:val="Tabletext0"/>
              <w:keepNext/>
              <w:keepLines/>
              <w:jc w:val="both"/>
              <w:rPr>
                <w:b/>
                <w:bCs/>
              </w:rPr>
            </w:pPr>
            <w:r w:rsidRPr="00AB34C7">
              <w:rPr>
                <w:b/>
                <w:bCs/>
              </w:rPr>
              <w:t>Ibrutinib + venetoclax</w:t>
            </w:r>
          </w:p>
        </w:tc>
      </w:tr>
      <w:tr w:rsidR="00D7304D" w:rsidRPr="00AB34C7" w14:paraId="77AA63C8" w14:textId="77777777" w:rsidTr="00A214AB">
        <w:trPr>
          <w:trHeight w:val="53"/>
        </w:trPr>
        <w:tc>
          <w:tcPr>
            <w:tcW w:w="862" w:type="pct"/>
            <w:tcBorders>
              <w:top w:val="single" w:sz="4" w:space="0" w:color="auto"/>
              <w:left w:val="single" w:sz="4" w:space="0" w:color="auto"/>
              <w:bottom w:val="single" w:sz="4" w:space="0" w:color="auto"/>
              <w:right w:val="single" w:sz="4" w:space="0" w:color="auto"/>
            </w:tcBorders>
            <w:vAlign w:val="center"/>
          </w:tcPr>
          <w:p w14:paraId="475B48D3" w14:textId="77777777" w:rsidR="00D7304D" w:rsidRPr="00D92693" w:rsidRDefault="00D7304D" w:rsidP="001C30EF">
            <w:pPr>
              <w:pStyle w:val="Tabletext0"/>
              <w:keepNext/>
              <w:keepLines/>
            </w:pPr>
            <w:r w:rsidRPr="00D92693">
              <w:t>Baseline ECG cost</w:t>
            </w:r>
          </w:p>
        </w:tc>
        <w:tc>
          <w:tcPr>
            <w:tcW w:w="799" w:type="pct"/>
            <w:tcBorders>
              <w:top w:val="single" w:sz="4" w:space="0" w:color="auto"/>
              <w:left w:val="single" w:sz="4" w:space="0" w:color="auto"/>
              <w:bottom w:val="single" w:sz="4" w:space="0" w:color="auto"/>
              <w:right w:val="single" w:sz="4" w:space="0" w:color="auto"/>
            </w:tcBorders>
            <w:vAlign w:val="center"/>
          </w:tcPr>
          <w:p w14:paraId="14059B06" w14:textId="77777777" w:rsidR="00D7304D" w:rsidRPr="00D92693" w:rsidRDefault="00D7304D" w:rsidP="001C30EF">
            <w:pPr>
              <w:pStyle w:val="Tabletext0"/>
              <w:keepNext/>
              <w:keepLines/>
              <w:jc w:val="center"/>
            </w:pPr>
            <w:r w:rsidRPr="00D92693">
              <w:t>$56.90</w:t>
            </w:r>
          </w:p>
        </w:tc>
        <w:tc>
          <w:tcPr>
            <w:tcW w:w="3339" w:type="pct"/>
            <w:tcBorders>
              <w:top w:val="single" w:sz="4" w:space="0" w:color="auto"/>
              <w:left w:val="single" w:sz="4" w:space="0" w:color="auto"/>
              <w:bottom w:val="single" w:sz="4" w:space="0" w:color="auto"/>
              <w:right w:val="single" w:sz="4" w:space="0" w:color="auto"/>
            </w:tcBorders>
            <w:vAlign w:val="center"/>
          </w:tcPr>
          <w:p w14:paraId="3618FCE3" w14:textId="77777777" w:rsidR="00D7304D" w:rsidRPr="00D92693" w:rsidRDefault="00D7304D" w:rsidP="001C30EF">
            <w:pPr>
              <w:pStyle w:val="Tabletext0"/>
              <w:keepNext/>
              <w:keepLines/>
            </w:pPr>
            <w:r w:rsidRPr="00D92693">
              <w:t>MBS item 11723 ($56.90), assuming 100% of patients treated with ibrutinib + venetoclax have a baseline ECG.</w:t>
            </w:r>
          </w:p>
        </w:tc>
      </w:tr>
      <w:tr w:rsidR="00D7304D" w:rsidRPr="00AB34C7" w14:paraId="5197B351" w14:textId="77777777" w:rsidTr="00A214AB">
        <w:trPr>
          <w:trHeight w:val="53"/>
        </w:trPr>
        <w:tc>
          <w:tcPr>
            <w:tcW w:w="862" w:type="pct"/>
            <w:tcBorders>
              <w:top w:val="single" w:sz="4" w:space="0" w:color="auto"/>
              <w:left w:val="single" w:sz="4" w:space="0" w:color="auto"/>
              <w:bottom w:val="single" w:sz="4" w:space="0" w:color="auto"/>
              <w:right w:val="single" w:sz="4" w:space="0" w:color="auto"/>
            </w:tcBorders>
            <w:vAlign w:val="center"/>
          </w:tcPr>
          <w:p w14:paraId="5EC2EF42" w14:textId="77777777" w:rsidR="00D7304D" w:rsidRPr="00D92693" w:rsidRDefault="00D7304D" w:rsidP="001C30EF">
            <w:pPr>
              <w:pStyle w:val="Tabletext0"/>
              <w:keepNext/>
              <w:keepLines/>
            </w:pPr>
            <w:r w:rsidRPr="00D92693">
              <w:t>AF specialist monitoring costs</w:t>
            </w:r>
          </w:p>
        </w:tc>
        <w:tc>
          <w:tcPr>
            <w:tcW w:w="799" w:type="pct"/>
            <w:tcBorders>
              <w:top w:val="single" w:sz="4" w:space="0" w:color="auto"/>
              <w:left w:val="single" w:sz="4" w:space="0" w:color="auto"/>
              <w:bottom w:val="single" w:sz="4" w:space="0" w:color="auto"/>
              <w:right w:val="single" w:sz="4" w:space="0" w:color="auto"/>
            </w:tcBorders>
            <w:vAlign w:val="center"/>
          </w:tcPr>
          <w:p w14:paraId="77619DB3" w14:textId="77777777" w:rsidR="00D7304D" w:rsidRPr="00D92693" w:rsidRDefault="00D7304D" w:rsidP="001C30EF">
            <w:pPr>
              <w:pStyle w:val="Tabletext0"/>
              <w:keepNext/>
              <w:keepLines/>
              <w:jc w:val="center"/>
            </w:pPr>
            <w:r w:rsidRPr="00D92693">
              <w:t>$40.79</w:t>
            </w:r>
          </w:p>
        </w:tc>
        <w:tc>
          <w:tcPr>
            <w:tcW w:w="3339" w:type="pct"/>
            <w:tcBorders>
              <w:top w:val="single" w:sz="4" w:space="0" w:color="auto"/>
              <w:left w:val="single" w:sz="4" w:space="0" w:color="auto"/>
              <w:bottom w:val="single" w:sz="4" w:space="0" w:color="auto"/>
              <w:right w:val="single" w:sz="4" w:space="0" w:color="auto"/>
            </w:tcBorders>
            <w:vAlign w:val="center"/>
          </w:tcPr>
          <w:p w14:paraId="76EBDD5A" w14:textId="77777777" w:rsidR="00D7304D" w:rsidRPr="00D92693" w:rsidRDefault="00D7304D" w:rsidP="001C30EF">
            <w:pPr>
              <w:pStyle w:val="Tabletext0"/>
              <w:keepNext/>
              <w:keepLines/>
            </w:pPr>
            <w:r w:rsidRPr="00D92693">
              <w:t xml:space="preserve">MBS item 105 ($47.80), multiplied by the proportion experiencing AF of any grade in the GLOW trial (14.2%), assuming 6.01 visits (monthly visits for the first 3 months followed by 3-monthly visits, assuming a treatment duration based on 12.03 scripts). </w:t>
            </w:r>
          </w:p>
        </w:tc>
      </w:tr>
      <w:tr w:rsidR="00D7304D" w:rsidRPr="00AB34C7" w14:paraId="2518162A" w14:textId="77777777" w:rsidTr="00A214AB">
        <w:trPr>
          <w:trHeight w:val="53"/>
        </w:trPr>
        <w:tc>
          <w:tcPr>
            <w:tcW w:w="862" w:type="pct"/>
            <w:tcBorders>
              <w:top w:val="single" w:sz="4" w:space="0" w:color="auto"/>
              <w:left w:val="single" w:sz="4" w:space="0" w:color="auto"/>
              <w:bottom w:val="single" w:sz="4" w:space="0" w:color="auto"/>
              <w:right w:val="single" w:sz="4" w:space="0" w:color="auto"/>
            </w:tcBorders>
            <w:vAlign w:val="center"/>
          </w:tcPr>
          <w:p w14:paraId="43C6FA60" w14:textId="77777777" w:rsidR="00D7304D" w:rsidRPr="00D92693" w:rsidRDefault="00D7304D" w:rsidP="001C30EF">
            <w:pPr>
              <w:pStyle w:val="Tabletext0"/>
              <w:keepNext/>
              <w:keepLines/>
            </w:pPr>
            <w:r w:rsidRPr="00D92693">
              <w:t>AF medication costs</w:t>
            </w:r>
          </w:p>
        </w:tc>
        <w:tc>
          <w:tcPr>
            <w:tcW w:w="799" w:type="pct"/>
            <w:tcBorders>
              <w:top w:val="single" w:sz="4" w:space="0" w:color="auto"/>
              <w:left w:val="single" w:sz="4" w:space="0" w:color="auto"/>
              <w:bottom w:val="single" w:sz="4" w:space="0" w:color="auto"/>
              <w:right w:val="single" w:sz="4" w:space="0" w:color="auto"/>
            </w:tcBorders>
            <w:vAlign w:val="center"/>
          </w:tcPr>
          <w:p w14:paraId="43800772" w14:textId="77777777" w:rsidR="00D7304D" w:rsidRPr="00D92693" w:rsidRDefault="00D7304D" w:rsidP="001C30EF">
            <w:pPr>
              <w:pStyle w:val="Tabletext0"/>
              <w:keepNext/>
              <w:keepLines/>
              <w:jc w:val="center"/>
            </w:pPr>
            <w:r w:rsidRPr="00D92693">
              <w:t>$57.64</w:t>
            </w:r>
          </w:p>
        </w:tc>
        <w:tc>
          <w:tcPr>
            <w:tcW w:w="3339" w:type="pct"/>
            <w:tcBorders>
              <w:top w:val="single" w:sz="4" w:space="0" w:color="auto"/>
              <w:left w:val="single" w:sz="4" w:space="0" w:color="auto"/>
              <w:bottom w:val="single" w:sz="4" w:space="0" w:color="auto"/>
              <w:right w:val="single" w:sz="4" w:space="0" w:color="auto"/>
            </w:tcBorders>
          </w:tcPr>
          <w:p w14:paraId="21AA80B3" w14:textId="1EDD2C1D" w:rsidR="00D7304D" w:rsidRPr="00D92693" w:rsidRDefault="00D7304D" w:rsidP="001C30EF">
            <w:pPr>
              <w:pStyle w:val="Tabletext0"/>
              <w:keepNext/>
              <w:keepLines/>
            </w:pPr>
            <w:r w:rsidRPr="00D92693">
              <w:t>Based on the published AEMP for apixaban 5</w:t>
            </w:r>
            <w:r w:rsidR="00DC6EBB" w:rsidRPr="00D92693">
              <w:t> mg</w:t>
            </w:r>
            <w:r w:rsidRPr="00D92693">
              <w:t xml:space="preserve"> tablets (2735Y; $33.74 per 60 tablets), assuming 5</w:t>
            </w:r>
            <w:r w:rsidR="00DC6EBB" w:rsidRPr="00D92693">
              <w:t> mg</w:t>
            </w:r>
            <w:r w:rsidRPr="00D92693">
              <w:t xml:space="preserve"> twice daily; multiplied by the average number of ibrutinib scripts per course (12.03) and the proportion experiencing AF of any grade in the GLOW trial (14.2%).</w:t>
            </w:r>
          </w:p>
        </w:tc>
      </w:tr>
      <w:tr w:rsidR="00D7304D" w:rsidRPr="00AB34C7" w14:paraId="193A584F" w14:textId="77777777" w:rsidTr="00507D72">
        <w:trPr>
          <w:trHeight w:val="53"/>
        </w:trPr>
        <w:tc>
          <w:tcPr>
            <w:tcW w:w="5000" w:type="pct"/>
            <w:gridSpan w:val="3"/>
            <w:tcBorders>
              <w:top w:val="single" w:sz="4" w:space="0" w:color="auto"/>
              <w:left w:val="single" w:sz="4" w:space="0" w:color="auto"/>
              <w:right w:val="single" w:sz="4" w:space="0" w:color="auto"/>
            </w:tcBorders>
            <w:vAlign w:val="center"/>
          </w:tcPr>
          <w:p w14:paraId="28171982" w14:textId="77777777" w:rsidR="00D7304D" w:rsidRPr="00D92693" w:rsidRDefault="00D7304D" w:rsidP="001C30EF">
            <w:pPr>
              <w:pStyle w:val="Tabletext0"/>
              <w:keepNext/>
              <w:keepLines/>
              <w:jc w:val="both"/>
              <w:rPr>
                <w:b/>
                <w:bCs/>
              </w:rPr>
            </w:pPr>
            <w:r w:rsidRPr="00D92693">
              <w:rPr>
                <w:b/>
                <w:bCs/>
              </w:rPr>
              <w:t>Venetoclax + obinutuzumab</w:t>
            </w:r>
          </w:p>
        </w:tc>
      </w:tr>
      <w:tr w:rsidR="00D7304D" w:rsidRPr="00AB34C7" w14:paraId="796A5B1F" w14:textId="77777777" w:rsidTr="00A214AB">
        <w:trPr>
          <w:trHeight w:val="53"/>
        </w:trPr>
        <w:tc>
          <w:tcPr>
            <w:tcW w:w="862" w:type="pct"/>
            <w:tcBorders>
              <w:top w:val="single" w:sz="4" w:space="0" w:color="auto"/>
              <w:left w:val="single" w:sz="4" w:space="0" w:color="auto"/>
              <w:right w:val="single" w:sz="4" w:space="0" w:color="auto"/>
            </w:tcBorders>
            <w:vAlign w:val="center"/>
          </w:tcPr>
          <w:p w14:paraId="6E5A9E7F" w14:textId="77777777" w:rsidR="00D7304D" w:rsidRPr="00D92693" w:rsidRDefault="00D7304D" w:rsidP="001C30EF">
            <w:pPr>
              <w:pStyle w:val="Tabletext0"/>
              <w:keepNext/>
              <w:keepLines/>
            </w:pPr>
            <w:r w:rsidRPr="00D92693">
              <w:t>Baseline ECG cost</w:t>
            </w:r>
          </w:p>
        </w:tc>
        <w:tc>
          <w:tcPr>
            <w:tcW w:w="799" w:type="pct"/>
            <w:tcBorders>
              <w:top w:val="single" w:sz="4" w:space="0" w:color="auto"/>
              <w:left w:val="single" w:sz="4" w:space="0" w:color="auto"/>
              <w:bottom w:val="single" w:sz="4" w:space="0" w:color="auto"/>
              <w:right w:val="single" w:sz="4" w:space="0" w:color="auto"/>
            </w:tcBorders>
            <w:vAlign w:val="center"/>
          </w:tcPr>
          <w:p w14:paraId="257F5923" w14:textId="77777777" w:rsidR="00D7304D" w:rsidRPr="00D92693" w:rsidRDefault="00D7304D" w:rsidP="001C30EF">
            <w:pPr>
              <w:pStyle w:val="Tabletext0"/>
              <w:keepNext/>
              <w:keepLines/>
              <w:jc w:val="center"/>
            </w:pPr>
            <w:r w:rsidRPr="00D92693">
              <w:t>$0</w:t>
            </w:r>
          </w:p>
        </w:tc>
        <w:tc>
          <w:tcPr>
            <w:tcW w:w="3339" w:type="pct"/>
            <w:tcBorders>
              <w:top w:val="single" w:sz="4" w:space="0" w:color="auto"/>
              <w:left w:val="single" w:sz="4" w:space="0" w:color="auto"/>
              <w:bottom w:val="single" w:sz="4" w:space="0" w:color="auto"/>
              <w:right w:val="single" w:sz="4" w:space="0" w:color="auto"/>
            </w:tcBorders>
          </w:tcPr>
          <w:p w14:paraId="218B55E1" w14:textId="77777777" w:rsidR="00D7304D" w:rsidRPr="00D92693" w:rsidRDefault="00D7304D" w:rsidP="001C30EF">
            <w:pPr>
              <w:pStyle w:val="Tabletext0"/>
              <w:keepNext/>
              <w:keepLines/>
            </w:pPr>
            <w:r w:rsidRPr="00D92693">
              <w:t>Assumed that 0% of patients treated with venetoclax + obinutuzumab have a baseline ECG.</w:t>
            </w:r>
          </w:p>
        </w:tc>
      </w:tr>
      <w:tr w:rsidR="00D7304D" w:rsidRPr="00AB34C7" w14:paraId="64748B4E" w14:textId="77777777" w:rsidTr="00A214AB">
        <w:trPr>
          <w:trHeight w:val="53"/>
        </w:trPr>
        <w:tc>
          <w:tcPr>
            <w:tcW w:w="862" w:type="pct"/>
            <w:tcBorders>
              <w:top w:val="single" w:sz="4" w:space="0" w:color="auto"/>
              <w:left w:val="single" w:sz="4" w:space="0" w:color="auto"/>
              <w:right w:val="single" w:sz="4" w:space="0" w:color="auto"/>
            </w:tcBorders>
            <w:vAlign w:val="center"/>
          </w:tcPr>
          <w:p w14:paraId="0036B1EC" w14:textId="77777777" w:rsidR="00D7304D" w:rsidRPr="00D92693" w:rsidRDefault="00D7304D" w:rsidP="001C30EF">
            <w:pPr>
              <w:pStyle w:val="Tabletext0"/>
              <w:keepNext/>
              <w:keepLines/>
            </w:pPr>
            <w:r w:rsidRPr="00D92693">
              <w:t>AF specialist monitoring costs</w:t>
            </w:r>
          </w:p>
        </w:tc>
        <w:tc>
          <w:tcPr>
            <w:tcW w:w="799" w:type="pct"/>
            <w:tcBorders>
              <w:top w:val="single" w:sz="4" w:space="0" w:color="auto"/>
              <w:left w:val="single" w:sz="4" w:space="0" w:color="auto"/>
              <w:bottom w:val="single" w:sz="4" w:space="0" w:color="auto"/>
              <w:right w:val="single" w:sz="4" w:space="0" w:color="auto"/>
            </w:tcBorders>
            <w:vAlign w:val="center"/>
          </w:tcPr>
          <w:p w14:paraId="4D544F60" w14:textId="77777777" w:rsidR="00D7304D" w:rsidRPr="00D92693" w:rsidRDefault="00D7304D" w:rsidP="001C30EF">
            <w:pPr>
              <w:pStyle w:val="Tabletext0"/>
              <w:keepNext/>
              <w:keepLines/>
              <w:jc w:val="center"/>
            </w:pPr>
            <w:r w:rsidRPr="00D92693">
              <w:t>$1.25</w:t>
            </w:r>
          </w:p>
        </w:tc>
        <w:tc>
          <w:tcPr>
            <w:tcW w:w="3339" w:type="pct"/>
            <w:tcBorders>
              <w:top w:val="single" w:sz="4" w:space="0" w:color="auto"/>
              <w:left w:val="single" w:sz="4" w:space="0" w:color="auto"/>
              <w:bottom w:val="single" w:sz="4" w:space="0" w:color="auto"/>
              <w:right w:val="single" w:sz="4" w:space="0" w:color="auto"/>
            </w:tcBorders>
          </w:tcPr>
          <w:p w14:paraId="3675E8E6" w14:textId="77777777" w:rsidR="00D7304D" w:rsidRPr="00D92693" w:rsidRDefault="00D7304D" w:rsidP="001C30EF">
            <w:pPr>
              <w:pStyle w:val="Tabletext0"/>
              <w:keepNext/>
              <w:keepLines/>
            </w:pPr>
            <w:r w:rsidRPr="00D92693">
              <w:t>MBS item 105 ($47.80), multiplied by the proportion serious adverse events of AF in the CLL-14 trial (0.5%), assuming 5.22 visits (monthly visits for the first 3 months followed by 3-monthly visits, assuming a treatment duration based on 9.67 scripts).</w:t>
            </w:r>
          </w:p>
        </w:tc>
      </w:tr>
      <w:tr w:rsidR="00D7304D" w:rsidRPr="00AB34C7" w14:paraId="063F03CA" w14:textId="77777777" w:rsidTr="00A214AB">
        <w:trPr>
          <w:trHeight w:val="53"/>
        </w:trPr>
        <w:tc>
          <w:tcPr>
            <w:tcW w:w="862" w:type="pct"/>
            <w:tcBorders>
              <w:top w:val="single" w:sz="4" w:space="0" w:color="auto"/>
              <w:left w:val="single" w:sz="4" w:space="0" w:color="auto"/>
              <w:right w:val="single" w:sz="4" w:space="0" w:color="auto"/>
            </w:tcBorders>
            <w:vAlign w:val="center"/>
          </w:tcPr>
          <w:p w14:paraId="661121AD" w14:textId="77777777" w:rsidR="00D7304D" w:rsidRPr="00D92693" w:rsidRDefault="00D7304D" w:rsidP="001C30EF">
            <w:pPr>
              <w:pStyle w:val="Tabletext0"/>
              <w:keepNext/>
              <w:keepLines/>
            </w:pPr>
            <w:r w:rsidRPr="00D92693">
              <w:t>AF medication costs</w:t>
            </w:r>
          </w:p>
        </w:tc>
        <w:tc>
          <w:tcPr>
            <w:tcW w:w="799" w:type="pct"/>
            <w:tcBorders>
              <w:top w:val="single" w:sz="4" w:space="0" w:color="auto"/>
              <w:left w:val="single" w:sz="4" w:space="0" w:color="auto"/>
              <w:bottom w:val="single" w:sz="4" w:space="0" w:color="auto"/>
              <w:right w:val="single" w:sz="4" w:space="0" w:color="auto"/>
            </w:tcBorders>
            <w:vAlign w:val="center"/>
          </w:tcPr>
          <w:p w14:paraId="3A45CABB" w14:textId="77777777" w:rsidR="00D7304D" w:rsidRPr="00D92693" w:rsidRDefault="00D7304D" w:rsidP="001C30EF">
            <w:pPr>
              <w:pStyle w:val="Tabletext0"/>
              <w:keepNext/>
              <w:keepLines/>
              <w:jc w:val="center"/>
            </w:pPr>
            <w:r w:rsidRPr="00D92693">
              <w:rPr>
                <w:iCs/>
              </w:rPr>
              <w:t>$1.63</w:t>
            </w:r>
          </w:p>
        </w:tc>
        <w:tc>
          <w:tcPr>
            <w:tcW w:w="3339" w:type="pct"/>
            <w:tcBorders>
              <w:top w:val="single" w:sz="4" w:space="0" w:color="auto"/>
              <w:left w:val="single" w:sz="4" w:space="0" w:color="auto"/>
              <w:bottom w:val="single" w:sz="4" w:space="0" w:color="auto"/>
              <w:right w:val="single" w:sz="4" w:space="0" w:color="auto"/>
            </w:tcBorders>
          </w:tcPr>
          <w:p w14:paraId="227F3C74" w14:textId="77B4A431" w:rsidR="00D7304D" w:rsidRPr="00D92693" w:rsidRDefault="00D7304D" w:rsidP="001C30EF">
            <w:pPr>
              <w:pStyle w:val="Tabletext0"/>
              <w:keepNext/>
              <w:keepLines/>
            </w:pPr>
            <w:r w:rsidRPr="00D92693">
              <w:t>Based on the published AEMP for apixaban 5</w:t>
            </w:r>
            <w:r w:rsidR="00DC6EBB" w:rsidRPr="00D92693">
              <w:t> mg</w:t>
            </w:r>
            <w:r w:rsidRPr="00D92693">
              <w:t xml:space="preserve"> tablets (2735Y; $33.74 per 60 tablets), assuming 5</w:t>
            </w:r>
            <w:r w:rsidR="00DC6EBB" w:rsidRPr="00D92693">
              <w:t> mg</w:t>
            </w:r>
            <w:r w:rsidRPr="00D92693">
              <w:t xml:space="preserve"> twice daily; multiplied by the average number of ibrutinib scripts per course (12.03) and the proportion experiencing AF of any grade in the GLOW trial (14.2%).</w:t>
            </w:r>
          </w:p>
        </w:tc>
      </w:tr>
      <w:tr w:rsidR="00D7304D" w:rsidRPr="00AB34C7" w14:paraId="27B0B2F5" w14:textId="77777777" w:rsidTr="00A214AB">
        <w:trPr>
          <w:trHeight w:val="53"/>
        </w:trPr>
        <w:tc>
          <w:tcPr>
            <w:tcW w:w="862" w:type="pct"/>
            <w:tcBorders>
              <w:top w:val="single" w:sz="4" w:space="0" w:color="auto"/>
              <w:left w:val="single" w:sz="4" w:space="0" w:color="auto"/>
              <w:right w:val="single" w:sz="4" w:space="0" w:color="auto"/>
            </w:tcBorders>
            <w:vAlign w:val="center"/>
          </w:tcPr>
          <w:p w14:paraId="3A810119" w14:textId="77777777" w:rsidR="00D7304D" w:rsidRPr="00D92693" w:rsidRDefault="00D7304D" w:rsidP="001C30EF">
            <w:pPr>
              <w:pStyle w:val="Tabletext0"/>
              <w:keepNext/>
              <w:keepLines/>
            </w:pPr>
            <w:r w:rsidRPr="00D92693">
              <w:t>Obinutuzumab IV infusion costs</w:t>
            </w:r>
          </w:p>
        </w:tc>
        <w:tc>
          <w:tcPr>
            <w:tcW w:w="799" w:type="pct"/>
            <w:tcBorders>
              <w:top w:val="single" w:sz="4" w:space="0" w:color="auto"/>
              <w:left w:val="single" w:sz="4" w:space="0" w:color="auto"/>
              <w:bottom w:val="single" w:sz="4" w:space="0" w:color="auto"/>
              <w:right w:val="single" w:sz="4" w:space="0" w:color="auto"/>
            </w:tcBorders>
            <w:vAlign w:val="center"/>
          </w:tcPr>
          <w:p w14:paraId="0213F613" w14:textId="77777777" w:rsidR="00D7304D" w:rsidRPr="00D92693" w:rsidRDefault="00D7304D" w:rsidP="001C30EF">
            <w:pPr>
              <w:pStyle w:val="Tabletext0"/>
              <w:keepNext/>
              <w:keepLines/>
              <w:jc w:val="center"/>
            </w:pPr>
            <w:r w:rsidRPr="00D92693">
              <w:t>$650.65</w:t>
            </w:r>
          </w:p>
        </w:tc>
        <w:tc>
          <w:tcPr>
            <w:tcW w:w="3339" w:type="pct"/>
            <w:tcBorders>
              <w:top w:val="single" w:sz="4" w:space="0" w:color="auto"/>
              <w:left w:val="single" w:sz="4" w:space="0" w:color="auto"/>
              <w:bottom w:val="single" w:sz="4" w:space="0" w:color="auto"/>
              <w:right w:val="single" w:sz="4" w:space="0" w:color="auto"/>
            </w:tcBorders>
            <w:vAlign w:val="center"/>
          </w:tcPr>
          <w:p w14:paraId="52D3F026" w14:textId="5E87631C" w:rsidR="00D7304D" w:rsidRPr="00D92693" w:rsidRDefault="00D7304D" w:rsidP="001C30EF">
            <w:pPr>
              <w:pStyle w:val="Tabletext0"/>
              <w:keepNext/>
              <w:keepLines/>
            </w:pPr>
            <w:r w:rsidRPr="00D92693">
              <w:t>MBS Item 13950 ($118.30), assuming 5.5 infusions per patient per course.</w:t>
            </w:r>
            <w:r w:rsidR="009C47BB" w:rsidRPr="00D92693">
              <w:t xml:space="preserve"> </w:t>
            </w:r>
            <w:r w:rsidR="00F3521F" w:rsidRPr="00D92693">
              <w:t>Assumed number of infusions based on the number of infusions included in the revised cost-minimisation of zanubrutinib versus venetoclax + obinutuzumab (para 6.73, zanubrutinib PSD, March 2023 PBAC meeting).</w:t>
            </w:r>
          </w:p>
        </w:tc>
      </w:tr>
      <w:tr w:rsidR="00D7304D" w:rsidRPr="00AB34C7" w14:paraId="55DF7ADA" w14:textId="77777777" w:rsidTr="00A214AB">
        <w:trPr>
          <w:trHeight w:val="53"/>
        </w:trPr>
        <w:tc>
          <w:tcPr>
            <w:tcW w:w="862" w:type="pct"/>
            <w:tcBorders>
              <w:top w:val="single" w:sz="4" w:space="0" w:color="auto"/>
              <w:left w:val="single" w:sz="4" w:space="0" w:color="auto"/>
              <w:bottom w:val="single" w:sz="4" w:space="0" w:color="auto"/>
              <w:right w:val="single" w:sz="4" w:space="0" w:color="auto"/>
            </w:tcBorders>
            <w:vAlign w:val="center"/>
          </w:tcPr>
          <w:p w14:paraId="40CE209E" w14:textId="77777777" w:rsidR="00D7304D" w:rsidRPr="00D92693" w:rsidRDefault="00D7304D" w:rsidP="001C30EF">
            <w:pPr>
              <w:pStyle w:val="Tabletext0"/>
              <w:keepNext/>
              <w:keepLines/>
            </w:pPr>
            <w:r w:rsidRPr="00D92693">
              <w:t>Obinutuzumab specialist visit costs</w:t>
            </w:r>
          </w:p>
        </w:tc>
        <w:tc>
          <w:tcPr>
            <w:tcW w:w="799" w:type="pct"/>
            <w:tcBorders>
              <w:top w:val="single" w:sz="4" w:space="0" w:color="auto"/>
              <w:left w:val="single" w:sz="4" w:space="0" w:color="auto"/>
              <w:bottom w:val="single" w:sz="4" w:space="0" w:color="auto"/>
              <w:right w:val="single" w:sz="4" w:space="0" w:color="auto"/>
            </w:tcBorders>
            <w:vAlign w:val="center"/>
          </w:tcPr>
          <w:p w14:paraId="3EC62F68" w14:textId="77777777" w:rsidR="00D7304D" w:rsidRPr="00D92693" w:rsidRDefault="00D7304D" w:rsidP="001C30EF">
            <w:pPr>
              <w:pStyle w:val="Tabletext0"/>
              <w:keepNext/>
              <w:keepLines/>
              <w:jc w:val="center"/>
            </w:pPr>
            <w:r w:rsidRPr="00D92693">
              <w:t>$461.73</w:t>
            </w:r>
          </w:p>
        </w:tc>
        <w:tc>
          <w:tcPr>
            <w:tcW w:w="3339" w:type="pct"/>
            <w:tcBorders>
              <w:top w:val="single" w:sz="4" w:space="0" w:color="auto"/>
              <w:left w:val="single" w:sz="4" w:space="0" w:color="auto"/>
              <w:bottom w:val="single" w:sz="4" w:space="0" w:color="auto"/>
              <w:right w:val="single" w:sz="4" w:space="0" w:color="auto"/>
            </w:tcBorders>
            <w:vAlign w:val="center"/>
          </w:tcPr>
          <w:p w14:paraId="541572BC" w14:textId="74DB5E11" w:rsidR="00D7304D" w:rsidRPr="00D92693" w:rsidRDefault="00D7304D" w:rsidP="001C30EF">
            <w:pPr>
              <w:pStyle w:val="Tabletext0"/>
              <w:keepNext/>
              <w:keepLines/>
            </w:pPr>
            <w:r w:rsidRPr="00D92693">
              <w:t>MBS 116 ($83.95), assuming 5.5 specialist visits (i.e., one per infusion) per patient per course.</w:t>
            </w:r>
            <w:r w:rsidR="009C47BB" w:rsidRPr="00D92693">
              <w:t xml:space="preserve"> </w:t>
            </w:r>
          </w:p>
        </w:tc>
      </w:tr>
      <w:tr w:rsidR="00D7304D" w:rsidRPr="00AB34C7" w14:paraId="33953E0A" w14:textId="77777777" w:rsidTr="00A214AB">
        <w:trPr>
          <w:trHeight w:val="53"/>
        </w:trPr>
        <w:tc>
          <w:tcPr>
            <w:tcW w:w="862" w:type="pct"/>
            <w:tcBorders>
              <w:top w:val="single" w:sz="4" w:space="0" w:color="auto"/>
              <w:left w:val="single" w:sz="4" w:space="0" w:color="auto"/>
              <w:bottom w:val="single" w:sz="4" w:space="0" w:color="auto"/>
              <w:right w:val="single" w:sz="4" w:space="0" w:color="auto"/>
            </w:tcBorders>
            <w:vAlign w:val="center"/>
          </w:tcPr>
          <w:p w14:paraId="7978CDE4" w14:textId="77777777" w:rsidR="00D7304D" w:rsidRPr="00D92693" w:rsidRDefault="00D7304D" w:rsidP="001C30EF">
            <w:pPr>
              <w:pStyle w:val="Tabletext0"/>
              <w:keepNext/>
              <w:keepLines/>
            </w:pPr>
            <w:r w:rsidRPr="00D92693">
              <w:t>Obinutuzumab premedication costs</w:t>
            </w:r>
          </w:p>
        </w:tc>
        <w:tc>
          <w:tcPr>
            <w:tcW w:w="799" w:type="pct"/>
            <w:tcBorders>
              <w:top w:val="single" w:sz="4" w:space="0" w:color="auto"/>
              <w:left w:val="single" w:sz="4" w:space="0" w:color="auto"/>
              <w:bottom w:val="single" w:sz="4" w:space="0" w:color="auto"/>
              <w:right w:val="single" w:sz="4" w:space="0" w:color="auto"/>
            </w:tcBorders>
            <w:vAlign w:val="center"/>
          </w:tcPr>
          <w:p w14:paraId="2A7F95B9" w14:textId="685687C4" w:rsidR="00D7304D" w:rsidRPr="00D92693" w:rsidRDefault="00D7304D" w:rsidP="001C30EF">
            <w:pPr>
              <w:pStyle w:val="Tabletext0"/>
              <w:keepNext/>
              <w:keepLines/>
              <w:jc w:val="center"/>
              <w:rPr>
                <w:vertAlign w:val="superscript"/>
              </w:rPr>
            </w:pPr>
            <w:r w:rsidRPr="00D92693">
              <w:t>$8.31</w:t>
            </w:r>
            <w:r w:rsidRPr="00D92693">
              <w:rPr>
                <w:vertAlign w:val="superscript"/>
              </w:rPr>
              <w:t>a</w:t>
            </w:r>
          </w:p>
        </w:tc>
        <w:tc>
          <w:tcPr>
            <w:tcW w:w="3339" w:type="pct"/>
            <w:tcBorders>
              <w:top w:val="single" w:sz="4" w:space="0" w:color="auto"/>
              <w:left w:val="single" w:sz="4" w:space="0" w:color="auto"/>
              <w:bottom w:val="single" w:sz="4" w:space="0" w:color="auto"/>
              <w:right w:val="single" w:sz="4" w:space="0" w:color="auto"/>
            </w:tcBorders>
            <w:vAlign w:val="center"/>
          </w:tcPr>
          <w:p w14:paraId="7B9F9147" w14:textId="20A969F0" w:rsidR="00D7304D" w:rsidRPr="00D92693" w:rsidRDefault="00D7304D" w:rsidP="001C30EF">
            <w:pPr>
              <w:pStyle w:val="Tabletext0"/>
              <w:keepNext/>
              <w:keepLines/>
            </w:pPr>
            <w:r w:rsidRPr="00D92693">
              <w:t>Based on the published AEMPs for paracetamol 500</w:t>
            </w:r>
            <w:r w:rsidR="00DC6EBB" w:rsidRPr="00D92693">
              <w:t> mg</w:t>
            </w:r>
            <w:r w:rsidRPr="00D92693">
              <w:t xml:space="preserve"> tablets (PBS Item 1746X; $1.53 per pack of 100 tablets), dexamethasone 4</w:t>
            </w:r>
            <w:r w:rsidR="00DC6EBB" w:rsidRPr="00D92693">
              <w:t> mg</w:t>
            </w:r>
            <w:r w:rsidRPr="00D92693">
              <w:t xml:space="preserve"> tablets (PBS Item 2507Y; $5.25 per pack of 30 tablets) and loratadine 10</w:t>
            </w:r>
            <w:r w:rsidR="00DC6EBB" w:rsidRPr="00D92693">
              <w:t> mg</w:t>
            </w:r>
            <w:r w:rsidRPr="00D92693">
              <w:t xml:space="preserve"> tablets (PBS Item 4313B; $18.04 per pack of 30 tablets); assuming two paracetamol tablets per infusion ($1.53 ÷ 100 x 2 = $0.03), five dexamethasone tablets per infusion ($5.25 ÷ 30 x 5 = $0.88) and one loratadine tablet per infusion ($18.04 ÷ 30 = $0.60 per loratadine tablet); and assuming 5.5 infusions per course.</w:t>
            </w:r>
            <w:r w:rsidR="009C47BB" w:rsidRPr="00D92693">
              <w:t xml:space="preserve"> </w:t>
            </w:r>
          </w:p>
        </w:tc>
      </w:tr>
    </w:tbl>
    <w:p w14:paraId="7F79D92D" w14:textId="7360E224" w:rsidR="00D7304D" w:rsidRPr="00AB34C7" w:rsidRDefault="00D7304D" w:rsidP="001C30EF">
      <w:pPr>
        <w:pStyle w:val="COMTablefooter"/>
        <w:keepNext/>
        <w:keepLines/>
      </w:pPr>
      <w:r w:rsidRPr="00AB34C7">
        <w:t>Source: Table 3.3, of the resubmission.</w:t>
      </w:r>
    </w:p>
    <w:p w14:paraId="008D817F" w14:textId="77777777" w:rsidR="00D7304D" w:rsidRPr="00AB34C7" w:rsidRDefault="00D7304D" w:rsidP="001C30EF">
      <w:pPr>
        <w:pStyle w:val="COMTablefooter"/>
        <w:keepNext/>
        <w:keepLines/>
      </w:pPr>
      <w:r w:rsidRPr="00AB34C7">
        <w:t>Abbreviations: AEMP, approved ex-manufacturer price; AF, atrial fibrillation; ECG, electrocardiogram.</w:t>
      </w:r>
    </w:p>
    <w:p w14:paraId="4FAD9936" w14:textId="77777777" w:rsidR="00D7304D" w:rsidRPr="00AB34C7" w:rsidRDefault="00D7304D" w:rsidP="00D7304D">
      <w:pPr>
        <w:pStyle w:val="COMTablefooter"/>
      </w:pPr>
      <w:r w:rsidRPr="00AB34C7">
        <w:rPr>
          <w:vertAlign w:val="superscript"/>
        </w:rPr>
        <w:t>a</w:t>
      </w:r>
      <w:r w:rsidRPr="00AB34C7">
        <w:t xml:space="preserve"> The cost per 30-pack of dexamethasone was incorrectly based on the price </w:t>
      </w:r>
      <w:r w:rsidRPr="00D92693">
        <w:t>to pharmacy ($5.25) rather than the AEMP ($4.84). Updating based on the AEMP resulted in obinutuzumab premedication costs of $1.44 x 5.5 = $7.92</w:t>
      </w:r>
      <w:r w:rsidRPr="00AB34C7">
        <w:t>.</w:t>
      </w:r>
    </w:p>
    <w:p w14:paraId="7C4A1BB5" w14:textId="607DED20" w:rsidR="00D75071" w:rsidRPr="00AB34C7" w:rsidRDefault="00D75071" w:rsidP="00AA787B">
      <w:pPr>
        <w:pStyle w:val="COMexecsumnumberedpara"/>
        <w:ind w:hanging="720"/>
      </w:pPr>
      <w:bookmarkStart w:id="47" w:name="_Ref160002276"/>
      <w:r w:rsidRPr="00AB34C7">
        <w:t xml:space="preserve">Costs associated with the management of atrial fibrillation may be underestimated given that atrial fibrillation may persist beyond the period of ibrutinib + venetoclax treatment, costs associated with atrial fibrillation hospitalisations were not included, and costs associated with other medications (e.g., medicines to control heart rate) or </w:t>
      </w:r>
      <w:r w:rsidRPr="00AB34C7">
        <w:lastRenderedPageBreak/>
        <w:t>procedures (e.g., electrical cardioversion) were not included</w:t>
      </w:r>
      <w:r w:rsidR="00AB34C7">
        <w:t xml:space="preserve">. </w:t>
      </w:r>
      <w:r w:rsidR="0028277A" w:rsidRPr="00AB34C7">
        <w:t>The ESC considered that the cost-minimisation should be adjusted to accurately account for the cost of atrial fibrillation, which may persist beyond the period of ibrutinib + venetoclax treatment.</w:t>
      </w:r>
      <w:r w:rsidR="00DF79B8" w:rsidRPr="00AB34C7">
        <w:t xml:space="preserve"> The </w:t>
      </w:r>
      <w:r w:rsidR="0071625D" w:rsidRPr="00AB34C7">
        <w:t>p</w:t>
      </w:r>
      <w:r w:rsidR="00DF79B8" w:rsidRPr="00AB34C7">
        <w:t xml:space="preserve">re-PBAC Response defended the costing of AF in the CMA, stating that </w:t>
      </w:r>
      <w:r w:rsidR="005C7868" w:rsidRPr="00AB34C7">
        <w:t xml:space="preserve">costing while on treatment only was consistent with previous ibrutinib submissions, and that </w:t>
      </w:r>
      <w:r w:rsidR="00DF79B8" w:rsidRPr="00AB34C7">
        <w:t xml:space="preserve">the </w:t>
      </w:r>
      <w:r w:rsidR="005C7868" w:rsidRPr="00AB34C7">
        <w:t>approach</w:t>
      </w:r>
      <w:r w:rsidR="00DF79B8" w:rsidRPr="00AB34C7">
        <w:t xml:space="preserve"> was conservative because all grades of AF were included in the costing, not just those Grade </w:t>
      </w:r>
      <w:r w:rsidR="00DF79B8" w:rsidRPr="00AB34C7">
        <w:rPr>
          <w:rFonts w:cstheme="minorHAnsi"/>
        </w:rPr>
        <w:t>≥3.</w:t>
      </w:r>
      <w:r w:rsidR="005C7868" w:rsidRPr="00AB34C7">
        <w:rPr>
          <w:rFonts w:cstheme="minorHAnsi"/>
        </w:rPr>
        <w:t xml:space="preserve"> The</w:t>
      </w:r>
      <w:r w:rsidR="0071625D" w:rsidRPr="00AB34C7">
        <w:rPr>
          <w:rFonts w:cstheme="minorHAnsi"/>
        </w:rPr>
        <w:t xml:space="preserve"> Response</w:t>
      </w:r>
      <w:r w:rsidR="005C7868" w:rsidRPr="00AB34C7">
        <w:rPr>
          <w:rFonts w:cstheme="minorHAnsi"/>
        </w:rPr>
        <w:t xml:space="preserve"> note</w:t>
      </w:r>
      <w:r w:rsidR="0071625D" w:rsidRPr="00AB34C7">
        <w:rPr>
          <w:rFonts w:cstheme="minorHAnsi"/>
        </w:rPr>
        <w:t>d that</w:t>
      </w:r>
      <w:r w:rsidR="005C7868" w:rsidRPr="00AB34C7">
        <w:rPr>
          <w:rFonts w:cstheme="minorHAnsi"/>
        </w:rPr>
        <w:t xml:space="preserve"> this resulted in a cost per month per patient on treatment of AF </w:t>
      </w:r>
      <w:r w:rsidR="005C7868" w:rsidRPr="00D92693">
        <w:rPr>
          <w:rFonts w:cstheme="minorHAnsi"/>
        </w:rPr>
        <w:t>of $12.91, which is higher tha</w:t>
      </w:r>
      <w:r w:rsidR="00C02DBA" w:rsidRPr="00D92693">
        <w:rPr>
          <w:rFonts w:cstheme="minorHAnsi"/>
        </w:rPr>
        <w:t>n</w:t>
      </w:r>
      <w:r w:rsidR="005C7868" w:rsidRPr="00D92693">
        <w:rPr>
          <w:rFonts w:cstheme="minorHAnsi"/>
        </w:rPr>
        <w:t xml:space="preserve"> costs previously accepted by the PBAC of $12.06 for relapsed/refractory CLL and $7.17 for</w:t>
      </w:r>
      <w:r w:rsidR="005C7868" w:rsidRPr="00AB34C7">
        <w:rPr>
          <w:rFonts w:cstheme="minorHAnsi"/>
        </w:rPr>
        <w:t xml:space="preserve"> first-line CLL del17p</w:t>
      </w:r>
      <w:r w:rsidR="00AB34C7">
        <w:rPr>
          <w:rFonts w:cstheme="minorHAnsi"/>
        </w:rPr>
        <w:t>.</w:t>
      </w:r>
      <w:bookmarkEnd w:id="47"/>
    </w:p>
    <w:p w14:paraId="3E7D469E" w14:textId="066AC41B" w:rsidR="00D7304D" w:rsidRPr="00AB34C7" w:rsidRDefault="00D75071" w:rsidP="00AA787B">
      <w:pPr>
        <w:pStyle w:val="COMexecsumnumberedpara"/>
        <w:ind w:hanging="720"/>
      </w:pPr>
      <w:r w:rsidRPr="00AB34C7">
        <w:t>The cost-minimisation assumed no impacts on CLL/SLL treatment utilisation and costs in the relapsed/refractory setting. However, choice of therapy in the first-line setting may impact later-line treatment options/utilisation.</w:t>
      </w:r>
    </w:p>
    <w:p w14:paraId="2B729E2F" w14:textId="10736A04" w:rsidR="00D75071" w:rsidRPr="00B95C74" w:rsidRDefault="0053292D" w:rsidP="00AA787B">
      <w:pPr>
        <w:pStyle w:val="COMexecsumnumberedpara"/>
        <w:ind w:hanging="720"/>
        <w:rPr>
          <w:b/>
          <w:bCs/>
        </w:rPr>
      </w:pPr>
      <w:r w:rsidRPr="00AB34C7">
        <w:fldChar w:fldCharType="begin" w:fldLock="1"/>
      </w:r>
      <w:r w:rsidRPr="00AB34C7">
        <w:instrText xml:space="preserve"> REF _Ref153201278 \h </w:instrText>
      </w:r>
      <w:r w:rsidRPr="00AB34C7">
        <w:fldChar w:fldCharType="separate"/>
      </w:r>
      <w:r w:rsidR="008A42E6" w:rsidRPr="00AB34C7">
        <w:t xml:space="preserve">Table </w:t>
      </w:r>
      <w:r w:rsidR="008A42E6" w:rsidRPr="00B95C74">
        <w:t>14</w:t>
      </w:r>
      <w:r w:rsidRPr="00AB34C7">
        <w:fldChar w:fldCharType="end"/>
      </w:r>
      <w:r w:rsidR="00703F08" w:rsidRPr="00AB34C7">
        <w:t xml:space="preserve"> </w:t>
      </w:r>
      <w:r w:rsidR="00D75071" w:rsidRPr="00AB34C7">
        <w:t>presents the derivation of the cost-minimised price for ibrutinib based on the estimated effective price of venetoclax. The cost-minimisation was performed at the AEMP level.</w:t>
      </w:r>
      <w:r w:rsidR="00D75071" w:rsidRPr="00AB34C7">
        <w:rPr>
          <w:i/>
          <w:iCs/>
        </w:rPr>
        <w:t xml:space="preserve"> </w:t>
      </w:r>
    </w:p>
    <w:p w14:paraId="7AB2D27D" w14:textId="3EDEC8CC" w:rsidR="0053292D" w:rsidRPr="00AB34C7" w:rsidRDefault="0053292D" w:rsidP="0053292D">
      <w:pPr>
        <w:pStyle w:val="TableHeading"/>
        <w:spacing w:before="0" w:after="0" w:line="240" w:lineRule="auto"/>
        <w:jc w:val="both"/>
      </w:pPr>
      <w:bookmarkStart w:id="48" w:name="_Ref153201278"/>
      <w:r w:rsidRPr="00AB34C7">
        <w:t xml:space="preserve">Table </w:t>
      </w:r>
      <w:fldSimple w:instr=" SEQ Table \* ARABIC " w:fldLock="1">
        <w:r w:rsidR="008A42E6" w:rsidRPr="00B95C74">
          <w:t>14</w:t>
        </w:r>
      </w:fldSimple>
      <w:bookmarkEnd w:id="48"/>
      <w:r w:rsidRPr="00AB34C7">
        <w:t>:</w:t>
      </w:r>
      <w:r w:rsidRPr="00AB34C7">
        <w:rPr>
          <w:rStyle w:val="CommentReference"/>
          <w:sz w:val="20"/>
          <w:szCs w:val="20"/>
        </w:rPr>
        <w:t xml:space="preserve"> </w:t>
      </w:r>
      <w:r w:rsidRPr="00AB34C7">
        <w:t>Derivation of the cost-minimised price for ibrutinib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Derivation of the cost-minimised price for ibrutinib"/>
      </w:tblPr>
      <w:tblGrid>
        <w:gridCol w:w="5665"/>
        <w:gridCol w:w="1653"/>
        <w:gridCol w:w="1654"/>
      </w:tblGrid>
      <w:tr w:rsidR="0053292D" w:rsidRPr="00AB34C7" w14:paraId="7AB049E5" w14:textId="77777777" w:rsidTr="00507D72">
        <w:trPr>
          <w:trHeight w:val="53"/>
        </w:trPr>
        <w:tc>
          <w:tcPr>
            <w:tcW w:w="5665" w:type="dxa"/>
            <w:tcBorders>
              <w:top w:val="single" w:sz="4" w:space="0" w:color="auto"/>
              <w:left w:val="single" w:sz="4" w:space="0" w:color="auto"/>
              <w:right w:val="single" w:sz="4" w:space="0" w:color="auto"/>
            </w:tcBorders>
            <w:vAlign w:val="center"/>
          </w:tcPr>
          <w:p w14:paraId="3941F521" w14:textId="77777777" w:rsidR="0053292D" w:rsidRPr="00AB34C7" w:rsidRDefault="0053292D" w:rsidP="00507D72">
            <w:pPr>
              <w:pStyle w:val="PBACTableText"/>
              <w:keepNext/>
              <w:tabs>
                <w:tab w:val="left" w:pos="142"/>
              </w:tabs>
              <w:spacing w:before="0" w:after="0"/>
            </w:pPr>
          </w:p>
        </w:tc>
        <w:tc>
          <w:tcPr>
            <w:tcW w:w="1653" w:type="dxa"/>
            <w:tcBorders>
              <w:top w:val="single" w:sz="4" w:space="0" w:color="auto"/>
              <w:left w:val="single" w:sz="4" w:space="0" w:color="auto"/>
              <w:right w:val="single" w:sz="4" w:space="0" w:color="auto"/>
            </w:tcBorders>
            <w:vAlign w:val="center"/>
            <w:hideMark/>
          </w:tcPr>
          <w:p w14:paraId="3265C63C" w14:textId="478FBB62" w:rsidR="0053292D" w:rsidRPr="00AB34C7" w:rsidRDefault="0053292D" w:rsidP="00507D72">
            <w:pPr>
              <w:pStyle w:val="PBACTableText"/>
              <w:keepNext/>
              <w:spacing w:before="0" w:after="0"/>
              <w:jc w:val="center"/>
              <w:rPr>
                <w:b/>
              </w:rPr>
            </w:pPr>
            <w:r w:rsidRPr="00AB34C7">
              <w:rPr>
                <w:b/>
              </w:rPr>
              <w:t xml:space="preserve">Venetoclax + </w:t>
            </w:r>
            <w:r w:rsidR="00D540C3">
              <w:rPr>
                <w:b/>
              </w:rPr>
              <w:t>Obinutuzumab ($)</w:t>
            </w:r>
          </w:p>
        </w:tc>
        <w:tc>
          <w:tcPr>
            <w:tcW w:w="1654" w:type="dxa"/>
            <w:tcBorders>
              <w:top w:val="single" w:sz="4" w:space="0" w:color="auto"/>
              <w:left w:val="single" w:sz="4" w:space="0" w:color="auto"/>
              <w:right w:val="single" w:sz="4" w:space="0" w:color="auto"/>
            </w:tcBorders>
            <w:vAlign w:val="center"/>
            <w:hideMark/>
          </w:tcPr>
          <w:p w14:paraId="0572BE12" w14:textId="77777777" w:rsidR="0053292D" w:rsidRPr="00AB34C7" w:rsidRDefault="0053292D" w:rsidP="00507D72">
            <w:pPr>
              <w:pStyle w:val="PBACTableText"/>
              <w:keepNext/>
              <w:spacing w:before="0" w:after="0"/>
              <w:jc w:val="center"/>
              <w:rPr>
                <w:b/>
              </w:rPr>
            </w:pPr>
            <w:r w:rsidRPr="00AB34C7">
              <w:rPr>
                <w:b/>
              </w:rPr>
              <w:t xml:space="preserve">Ibrutinib + </w:t>
            </w:r>
          </w:p>
          <w:p w14:paraId="1DF27CF3" w14:textId="5513652F" w:rsidR="0053292D" w:rsidRPr="00AB34C7" w:rsidRDefault="00D540C3" w:rsidP="00507D72">
            <w:pPr>
              <w:pStyle w:val="PBACTableText"/>
              <w:keepNext/>
              <w:spacing w:before="0" w:after="0"/>
              <w:jc w:val="center"/>
              <w:rPr>
                <w:b/>
              </w:rPr>
            </w:pPr>
            <w:r w:rsidRPr="00AB34C7">
              <w:rPr>
                <w:b/>
              </w:rPr>
              <w:t>V</w:t>
            </w:r>
            <w:r w:rsidR="0053292D" w:rsidRPr="00AB34C7">
              <w:rPr>
                <w:b/>
              </w:rPr>
              <w:t>enetoclax</w:t>
            </w:r>
            <w:r>
              <w:rPr>
                <w:b/>
              </w:rPr>
              <w:t xml:space="preserve"> ($)</w:t>
            </w:r>
          </w:p>
        </w:tc>
      </w:tr>
      <w:tr w:rsidR="0053292D" w:rsidRPr="00AB34C7" w14:paraId="70F74593" w14:textId="77777777" w:rsidTr="00507D72">
        <w:tc>
          <w:tcPr>
            <w:tcW w:w="8972" w:type="dxa"/>
            <w:gridSpan w:val="3"/>
            <w:tcBorders>
              <w:top w:val="single" w:sz="4" w:space="0" w:color="auto"/>
              <w:left w:val="single" w:sz="4" w:space="0" w:color="auto"/>
              <w:bottom w:val="single" w:sz="4" w:space="0" w:color="auto"/>
              <w:right w:val="single" w:sz="4" w:space="0" w:color="auto"/>
            </w:tcBorders>
            <w:vAlign w:val="center"/>
            <w:hideMark/>
          </w:tcPr>
          <w:p w14:paraId="580FCB4E" w14:textId="77777777" w:rsidR="0053292D" w:rsidRPr="00AB34C7" w:rsidRDefault="0053292D" w:rsidP="00507D72">
            <w:pPr>
              <w:pStyle w:val="PBACTableText"/>
              <w:keepNext/>
              <w:tabs>
                <w:tab w:val="left" w:pos="142"/>
              </w:tabs>
              <w:spacing w:before="0" w:after="0"/>
              <w:rPr>
                <w:b/>
              </w:rPr>
            </w:pPr>
            <w:r w:rsidRPr="00AB34C7">
              <w:rPr>
                <w:b/>
              </w:rPr>
              <w:t>Treatment cost (venetoclax + obinutuzumab)</w:t>
            </w:r>
          </w:p>
        </w:tc>
      </w:tr>
      <w:tr w:rsidR="0053292D" w:rsidRPr="00AB34C7" w14:paraId="6B2C9981" w14:textId="77777777" w:rsidTr="00507D72">
        <w:tc>
          <w:tcPr>
            <w:tcW w:w="5665" w:type="dxa"/>
            <w:tcBorders>
              <w:top w:val="single" w:sz="4" w:space="0" w:color="auto"/>
              <w:left w:val="single" w:sz="4" w:space="0" w:color="auto"/>
              <w:bottom w:val="single" w:sz="4" w:space="0" w:color="auto"/>
              <w:right w:val="single" w:sz="4" w:space="0" w:color="auto"/>
            </w:tcBorders>
            <w:vAlign w:val="center"/>
            <w:hideMark/>
          </w:tcPr>
          <w:p w14:paraId="59351B3A" w14:textId="18D2FD7C" w:rsidR="0053292D" w:rsidRPr="00290AB4" w:rsidRDefault="0053292D" w:rsidP="00507D72">
            <w:pPr>
              <w:pStyle w:val="PBACTableText"/>
              <w:keepNext/>
              <w:tabs>
                <w:tab w:val="left" w:pos="142"/>
              </w:tabs>
              <w:spacing w:before="0" w:after="0"/>
              <w:rPr>
                <w:vertAlign w:val="superscript"/>
              </w:rPr>
            </w:pPr>
            <w:r w:rsidRPr="00290AB4">
              <w:t>VEN drug cost (AEMP) per course: ((1 x $</w:t>
            </w:r>
            <w:r w:rsidR="003666AE" w:rsidRPr="003666AE">
              <w:rPr>
                <w:color w:val="000000"/>
                <w:spacing w:val="9"/>
                <w:shd w:val="solid" w:color="000000" w:fill="000000"/>
                <w:fitText w:val="310" w:id="-962325233"/>
                <w14:textFill>
                  <w14:solidFill>
                    <w14:srgbClr w14:val="000000">
                      <w14:alpha w14:val="100000"/>
                    </w14:srgbClr>
                  </w14:solidFill>
                </w14:textFill>
              </w:rPr>
              <w:t>||  |</w:t>
            </w:r>
            <w:r w:rsidR="003666AE" w:rsidRPr="003666AE">
              <w:rPr>
                <w:color w:val="000000"/>
                <w:spacing w:val="4"/>
                <w:shd w:val="solid" w:color="000000" w:fill="000000"/>
                <w:fitText w:val="310" w:id="-962325233"/>
                <w14:textFill>
                  <w14:solidFill>
                    <w14:srgbClr w14:val="000000">
                      <w14:alpha w14:val="100000"/>
                    </w14:srgbClr>
                  </w14:solidFill>
                </w14:textFill>
              </w:rPr>
              <w:t>|</w:t>
            </w:r>
            <w:r w:rsidRPr="00290AB4">
              <w:t>) + (8.67 x $</w:t>
            </w:r>
            <w:r w:rsidR="003666AE" w:rsidRPr="003666AE">
              <w:rPr>
                <w:color w:val="000000"/>
                <w:spacing w:val="9"/>
                <w:shd w:val="solid" w:color="000000" w:fill="000000"/>
                <w:fitText w:val="310" w:id="-962325232"/>
                <w14:textFill>
                  <w14:solidFill>
                    <w14:srgbClr w14:val="000000">
                      <w14:alpha w14:val="100000"/>
                    </w14:srgbClr>
                  </w14:solidFill>
                </w14:textFill>
              </w:rPr>
              <w:t>||  |</w:t>
            </w:r>
            <w:r w:rsidR="003666AE" w:rsidRPr="003666AE">
              <w:rPr>
                <w:color w:val="000000"/>
                <w:spacing w:val="4"/>
                <w:shd w:val="solid" w:color="000000" w:fill="000000"/>
                <w:fitText w:val="310" w:id="-962325232"/>
                <w14:textFill>
                  <w14:solidFill>
                    <w14:srgbClr w14:val="000000">
                      <w14:alpha w14:val="100000"/>
                    </w14:srgbClr>
                  </w14:solidFill>
                </w14:textFill>
              </w:rPr>
              <w:t>|</w:t>
            </w:r>
            <w:r w:rsidRPr="00290AB4">
              <w:t>))</w:t>
            </w:r>
            <w:r w:rsidRPr="00290AB4">
              <w:rPr>
                <w:vertAlign w:val="superscript"/>
              </w:rPr>
              <w:t>a</w:t>
            </w:r>
          </w:p>
        </w:tc>
        <w:tc>
          <w:tcPr>
            <w:tcW w:w="1653" w:type="dxa"/>
            <w:tcBorders>
              <w:top w:val="single" w:sz="4" w:space="0" w:color="auto"/>
              <w:left w:val="single" w:sz="4" w:space="0" w:color="auto"/>
              <w:bottom w:val="single" w:sz="4" w:space="0" w:color="auto"/>
              <w:right w:val="single" w:sz="4" w:space="0" w:color="auto"/>
            </w:tcBorders>
            <w:vAlign w:val="center"/>
          </w:tcPr>
          <w:p w14:paraId="65625F9A" w14:textId="3DF08147" w:rsidR="0053292D" w:rsidRPr="001C30EF" w:rsidRDefault="003666AE" w:rsidP="00507D72">
            <w:pPr>
              <w:pStyle w:val="PBACTableText"/>
              <w:keepNext/>
              <w:spacing w:before="0" w:after="0"/>
              <w:jc w:val="center"/>
              <w:rPr>
                <w:highlight w:val="lightGray"/>
              </w:rPr>
            </w:pPr>
            <w:r w:rsidRPr="003666AE">
              <w:rPr>
                <w:color w:val="000000"/>
                <w:shd w:val="solid" w:color="000000" w:fill="000000"/>
                <w14:textFill>
                  <w14:solidFill>
                    <w14:srgbClr w14:val="000000">
                      <w14:alpha w14:val="100000"/>
                    </w14:srgbClr>
                  </w14:solidFill>
                </w14:textFill>
              </w:rPr>
              <w:t>|</w:t>
            </w:r>
            <w:r w:rsidRPr="003666AE">
              <w:t xml:space="preserve"> </w:t>
            </w:r>
          </w:p>
        </w:tc>
        <w:tc>
          <w:tcPr>
            <w:tcW w:w="1654" w:type="dxa"/>
            <w:tcBorders>
              <w:top w:val="single" w:sz="4" w:space="0" w:color="auto"/>
              <w:left w:val="single" w:sz="4" w:space="0" w:color="auto"/>
              <w:bottom w:val="single" w:sz="4" w:space="0" w:color="auto"/>
              <w:right w:val="single" w:sz="4" w:space="0" w:color="auto"/>
            </w:tcBorders>
            <w:vAlign w:val="center"/>
            <w:hideMark/>
          </w:tcPr>
          <w:p w14:paraId="09FA877E" w14:textId="77777777" w:rsidR="0053292D" w:rsidRPr="00290AB4" w:rsidRDefault="0053292D" w:rsidP="00507D72">
            <w:pPr>
              <w:pStyle w:val="PBACTableText"/>
              <w:keepNext/>
              <w:spacing w:before="0" w:after="0"/>
              <w:jc w:val="center"/>
            </w:pPr>
            <w:r w:rsidRPr="00290AB4">
              <w:t>-</w:t>
            </w:r>
          </w:p>
        </w:tc>
      </w:tr>
      <w:tr w:rsidR="0053292D" w:rsidRPr="00AB34C7" w14:paraId="67B12BE3" w14:textId="77777777" w:rsidTr="00507D72">
        <w:tc>
          <w:tcPr>
            <w:tcW w:w="5665" w:type="dxa"/>
            <w:tcBorders>
              <w:top w:val="single" w:sz="4" w:space="0" w:color="auto"/>
              <w:left w:val="single" w:sz="4" w:space="0" w:color="auto"/>
              <w:bottom w:val="single" w:sz="4" w:space="0" w:color="auto"/>
              <w:right w:val="single" w:sz="4" w:space="0" w:color="auto"/>
            </w:tcBorders>
            <w:vAlign w:val="center"/>
          </w:tcPr>
          <w:p w14:paraId="2909D490" w14:textId="7E013DD8" w:rsidR="0053292D" w:rsidRPr="00290AB4" w:rsidRDefault="0053292D" w:rsidP="00507D72">
            <w:pPr>
              <w:pStyle w:val="PBACTableText"/>
              <w:keepNext/>
              <w:tabs>
                <w:tab w:val="left" w:pos="142"/>
              </w:tabs>
              <w:spacing w:before="0" w:after="0"/>
            </w:pPr>
            <w:r w:rsidRPr="00290AB4">
              <w:t>OBI drug cost (AEMP) per course (7.355 x $</w:t>
            </w:r>
            <w:r w:rsidR="003666AE" w:rsidRPr="003666AE">
              <w:rPr>
                <w:color w:val="000000"/>
                <w:spacing w:val="9"/>
                <w:shd w:val="solid" w:color="000000" w:fill="000000"/>
                <w:fitText w:val="310" w:id="-962325248"/>
                <w14:textFill>
                  <w14:solidFill>
                    <w14:srgbClr w14:val="000000">
                      <w14:alpha w14:val="100000"/>
                    </w14:srgbClr>
                  </w14:solidFill>
                </w14:textFill>
              </w:rPr>
              <w:t>||  |</w:t>
            </w:r>
            <w:r w:rsidR="003666AE" w:rsidRPr="003666AE">
              <w:rPr>
                <w:color w:val="000000"/>
                <w:spacing w:val="4"/>
                <w:shd w:val="solid" w:color="000000" w:fill="000000"/>
                <w:fitText w:val="310" w:id="-962325248"/>
                <w14:textFill>
                  <w14:solidFill>
                    <w14:srgbClr w14:val="000000">
                      <w14:alpha w14:val="100000"/>
                    </w14:srgbClr>
                  </w14:solidFill>
                </w14:textFill>
              </w:rPr>
              <w:t>|</w:t>
            </w:r>
            <w:r w:rsidRPr="00290AB4">
              <w:t>)</w:t>
            </w:r>
          </w:p>
        </w:tc>
        <w:tc>
          <w:tcPr>
            <w:tcW w:w="1653" w:type="dxa"/>
            <w:tcBorders>
              <w:top w:val="single" w:sz="4" w:space="0" w:color="auto"/>
              <w:left w:val="single" w:sz="4" w:space="0" w:color="auto"/>
              <w:bottom w:val="single" w:sz="4" w:space="0" w:color="auto"/>
              <w:right w:val="single" w:sz="4" w:space="0" w:color="auto"/>
            </w:tcBorders>
            <w:vAlign w:val="center"/>
          </w:tcPr>
          <w:p w14:paraId="792C64F6" w14:textId="6B6A0594" w:rsidR="0053292D" w:rsidRPr="001C30EF" w:rsidRDefault="003666AE" w:rsidP="00507D72">
            <w:pPr>
              <w:pStyle w:val="PBACTableText"/>
              <w:keepNext/>
              <w:spacing w:before="0" w:after="0"/>
              <w:jc w:val="center"/>
              <w:rPr>
                <w:highlight w:val="lightGray"/>
              </w:rPr>
            </w:pPr>
            <w:r w:rsidRPr="003666AE">
              <w:rPr>
                <w:color w:val="000000"/>
                <w:shd w:val="solid" w:color="000000" w:fill="000000"/>
                <w14:textFill>
                  <w14:solidFill>
                    <w14:srgbClr w14:val="000000">
                      <w14:alpha w14:val="100000"/>
                    </w14:srgbClr>
                  </w14:solidFill>
                </w14:textFill>
              </w:rPr>
              <w:t>|</w:t>
            </w:r>
            <w:r w:rsidRPr="003666AE">
              <w:t xml:space="preserve"> </w:t>
            </w:r>
          </w:p>
        </w:tc>
        <w:tc>
          <w:tcPr>
            <w:tcW w:w="1654" w:type="dxa"/>
            <w:tcBorders>
              <w:top w:val="single" w:sz="4" w:space="0" w:color="auto"/>
              <w:left w:val="single" w:sz="4" w:space="0" w:color="auto"/>
              <w:bottom w:val="single" w:sz="4" w:space="0" w:color="auto"/>
              <w:right w:val="single" w:sz="4" w:space="0" w:color="auto"/>
            </w:tcBorders>
            <w:vAlign w:val="center"/>
            <w:hideMark/>
          </w:tcPr>
          <w:p w14:paraId="372A2A9A" w14:textId="77777777" w:rsidR="0053292D" w:rsidRPr="00290AB4" w:rsidRDefault="0053292D" w:rsidP="00507D72">
            <w:pPr>
              <w:pStyle w:val="PBACTableText"/>
              <w:keepNext/>
              <w:spacing w:before="0" w:after="0"/>
              <w:jc w:val="center"/>
            </w:pPr>
            <w:r w:rsidRPr="00290AB4">
              <w:t>-</w:t>
            </w:r>
          </w:p>
        </w:tc>
      </w:tr>
      <w:tr w:rsidR="0053292D" w:rsidRPr="00AB34C7" w14:paraId="6F2A719B" w14:textId="77777777" w:rsidTr="00507D72">
        <w:tc>
          <w:tcPr>
            <w:tcW w:w="5665" w:type="dxa"/>
            <w:tcBorders>
              <w:top w:val="single" w:sz="4" w:space="0" w:color="auto"/>
              <w:left w:val="single" w:sz="4" w:space="0" w:color="auto"/>
              <w:bottom w:val="single" w:sz="4" w:space="0" w:color="auto"/>
              <w:right w:val="single" w:sz="4" w:space="0" w:color="auto"/>
            </w:tcBorders>
            <w:vAlign w:val="center"/>
          </w:tcPr>
          <w:p w14:paraId="12ED8A6B" w14:textId="123CE1BC" w:rsidR="0053292D" w:rsidRPr="00290AB4" w:rsidRDefault="0053292D" w:rsidP="00507D72">
            <w:pPr>
              <w:pStyle w:val="PBACTableText"/>
              <w:keepNext/>
              <w:tabs>
                <w:tab w:val="left" w:pos="142"/>
              </w:tabs>
              <w:spacing w:before="0" w:after="0"/>
            </w:pPr>
            <w:r w:rsidRPr="00290AB4">
              <w:t>OBI administration cost: MBS 13950 (</w:t>
            </w:r>
            <w:r w:rsidR="00E02454" w:rsidRPr="00290AB4">
              <w:t>5.5</w:t>
            </w:r>
            <w:r w:rsidRPr="00290AB4">
              <w:t xml:space="preserve"> x $118.30)</w:t>
            </w:r>
          </w:p>
        </w:tc>
        <w:tc>
          <w:tcPr>
            <w:tcW w:w="1653" w:type="dxa"/>
            <w:tcBorders>
              <w:top w:val="single" w:sz="4" w:space="0" w:color="auto"/>
              <w:left w:val="single" w:sz="4" w:space="0" w:color="auto"/>
              <w:bottom w:val="single" w:sz="4" w:space="0" w:color="auto"/>
              <w:right w:val="single" w:sz="4" w:space="0" w:color="auto"/>
            </w:tcBorders>
          </w:tcPr>
          <w:p w14:paraId="3DE3F460" w14:textId="77777777" w:rsidR="0053292D" w:rsidRPr="00290AB4" w:rsidRDefault="0053292D" w:rsidP="00507D72">
            <w:pPr>
              <w:pStyle w:val="PBACTableText"/>
              <w:keepNext/>
              <w:spacing w:before="0" w:after="0"/>
              <w:jc w:val="center"/>
            </w:pPr>
            <w:r w:rsidRPr="00290AB4">
              <w:t>$650.65</w:t>
            </w:r>
          </w:p>
        </w:tc>
        <w:tc>
          <w:tcPr>
            <w:tcW w:w="1654" w:type="dxa"/>
            <w:tcBorders>
              <w:top w:val="single" w:sz="4" w:space="0" w:color="auto"/>
              <w:left w:val="single" w:sz="4" w:space="0" w:color="auto"/>
              <w:bottom w:val="single" w:sz="4" w:space="0" w:color="auto"/>
              <w:right w:val="single" w:sz="4" w:space="0" w:color="auto"/>
            </w:tcBorders>
            <w:vAlign w:val="center"/>
          </w:tcPr>
          <w:p w14:paraId="6D22E7FB" w14:textId="77777777" w:rsidR="0053292D" w:rsidRPr="00290AB4" w:rsidRDefault="0053292D" w:rsidP="00507D72">
            <w:pPr>
              <w:pStyle w:val="PBACTableText"/>
              <w:keepNext/>
              <w:spacing w:before="0" w:after="0"/>
              <w:jc w:val="center"/>
            </w:pPr>
            <w:r w:rsidRPr="00290AB4">
              <w:t>-</w:t>
            </w:r>
          </w:p>
        </w:tc>
      </w:tr>
      <w:tr w:rsidR="0053292D" w:rsidRPr="00AB34C7" w14:paraId="17607672" w14:textId="77777777" w:rsidTr="00507D72">
        <w:tc>
          <w:tcPr>
            <w:tcW w:w="5665" w:type="dxa"/>
            <w:tcBorders>
              <w:top w:val="single" w:sz="4" w:space="0" w:color="auto"/>
              <w:left w:val="single" w:sz="4" w:space="0" w:color="auto"/>
              <w:bottom w:val="single" w:sz="4" w:space="0" w:color="auto"/>
              <w:right w:val="single" w:sz="4" w:space="0" w:color="auto"/>
            </w:tcBorders>
            <w:vAlign w:val="center"/>
          </w:tcPr>
          <w:p w14:paraId="4A553707" w14:textId="6CFF4BB1" w:rsidR="0053292D" w:rsidRPr="00290AB4" w:rsidRDefault="0053292D" w:rsidP="00507D72">
            <w:pPr>
              <w:pStyle w:val="PBACTableText"/>
              <w:keepNext/>
              <w:tabs>
                <w:tab w:val="left" w:pos="142"/>
              </w:tabs>
              <w:spacing w:before="0" w:after="0"/>
              <w:rPr>
                <w:vertAlign w:val="superscript"/>
              </w:rPr>
            </w:pPr>
            <w:r w:rsidRPr="00290AB4">
              <w:t>OBI specialist visits (</w:t>
            </w:r>
            <w:r w:rsidR="00E02454" w:rsidRPr="00290AB4">
              <w:t>5.5</w:t>
            </w:r>
            <w:r w:rsidRPr="00290AB4">
              <w:t xml:space="preserve"> x $83.95)</w:t>
            </w:r>
          </w:p>
        </w:tc>
        <w:tc>
          <w:tcPr>
            <w:tcW w:w="1653" w:type="dxa"/>
            <w:tcBorders>
              <w:top w:val="single" w:sz="4" w:space="0" w:color="auto"/>
              <w:left w:val="single" w:sz="4" w:space="0" w:color="auto"/>
              <w:bottom w:val="single" w:sz="4" w:space="0" w:color="auto"/>
              <w:right w:val="single" w:sz="4" w:space="0" w:color="auto"/>
            </w:tcBorders>
          </w:tcPr>
          <w:p w14:paraId="422CDACA" w14:textId="77777777" w:rsidR="0053292D" w:rsidRPr="00290AB4" w:rsidRDefault="0053292D" w:rsidP="00507D72">
            <w:pPr>
              <w:pStyle w:val="PBACTableText"/>
              <w:keepNext/>
              <w:spacing w:before="0" w:after="0"/>
              <w:jc w:val="center"/>
            </w:pPr>
            <w:r w:rsidRPr="00290AB4">
              <w:t>$461.73</w:t>
            </w:r>
          </w:p>
        </w:tc>
        <w:tc>
          <w:tcPr>
            <w:tcW w:w="1654" w:type="dxa"/>
            <w:tcBorders>
              <w:top w:val="single" w:sz="4" w:space="0" w:color="auto"/>
              <w:left w:val="single" w:sz="4" w:space="0" w:color="auto"/>
              <w:bottom w:val="single" w:sz="4" w:space="0" w:color="auto"/>
              <w:right w:val="single" w:sz="4" w:space="0" w:color="auto"/>
            </w:tcBorders>
            <w:vAlign w:val="center"/>
          </w:tcPr>
          <w:p w14:paraId="4DD249A7" w14:textId="77777777" w:rsidR="0053292D" w:rsidRPr="00290AB4" w:rsidRDefault="0053292D" w:rsidP="00507D72">
            <w:pPr>
              <w:pStyle w:val="PBACTableText"/>
              <w:keepNext/>
              <w:spacing w:before="0" w:after="0"/>
              <w:jc w:val="center"/>
            </w:pPr>
            <w:r w:rsidRPr="00290AB4">
              <w:t>-</w:t>
            </w:r>
          </w:p>
        </w:tc>
      </w:tr>
      <w:tr w:rsidR="0053292D" w:rsidRPr="00AB34C7" w14:paraId="7A1C9D5F" w14:textId="77777777" w:rsidTr="00507D72">
        <w:tc>
          <w:tcPr>
            <w:tcW w:w="5665" w:type="dxa"/>
            <w:tcBorders>
              <w:top w:val="single" w:sz="4" w:space="0" w:color="auto"/>
              <w:left w:val="single" w:sz="4" w:space="0" w:color="auto"/>
              <w:bottom w:val="single" w:sz="4" w:space="0" w:color="auto"/>
              <w:right w:val="single" w:sz="4" w:space="0" w:color="auto"/>
            </w:tcBorders>
            <w:vAlign w:val="center"/>
          </w:tcPr>
          <w:p w14:paraId="6AACA0AB" w14:textId="11B61152" w:rsidR="0053292D" w:rsidRPr="00290AB4" w:rsidRDefault="0053292D" w:rsidP="00507D72">
            <w:pPr>
              <w:pStyle w:val="PBACTableText"/>
              <w:keepNext/>
              <w:tabs>
                <w:tab w:val="left" w:pos="142"/>
              </w:tabs>
              <w:spacing w:before="0" w:after="0"/>
            </w:pPr>
            <w:r w:rsidRPr="00290AB4">
              <w:t>OBI premedication costs (</w:t>
            </w:r>
            <w:r w:rsidR="00E02454" w:rsidRPr="00290AB4">
              <w:t>5.5</w:t>
            </w:r>
            <w:r w:rsidRPr="00290AB4">
              <w:t xml:space="preserve"> x $1.51)</w:t>
            </w:r>
          </w:p>
        </w:tc>
        <w:tc>
          <w:tcPr>
            <w:tcW w:w="1653" w:type="dxa"/>
            <w:tcBorders>
              <w:top w:val="single" w:sz="4" w:space="0" w:color="auto"/>
              <w:left w:val="single" w:sz="4" w:space="0" w:color="auto"/>
              <w:bottom w:val="single" w:sz="4" w:space="0" w:color="auto"/>
              <w:right w:val="single" w:sz="4" w:space="0" w:color="auto"/>
            </w:tcBorders>
          </w:tcPr>
          <w:p w14:paraId="7B9CB53B" w14:textId="77777777" w:rsidR="0053292D" w:rsidRPr="00290AB4" w:rsidRDefault="0053292D" w:rsidP="00507D72">
            <w:pPr>
              <w:pStyle w:val="PBACTableText"/>
              <w:keepNext/>
              <w:spacing w:before="0" w:after="0"/>
              <w:jc w:val="center"/>
            </w:pPr>
            <w:r w:rsidRPr="00290AB4">
              <w:t>$8.31</w:t>
            </w:r>
          </w:p>
        </w:tc>
        <w:tc>
          <w:tcPr>
            <w:tcW w:w="1654" w:type="dxa"/>
            <w:tcBorders>
              <w:top w:val="single" w:sz="4" w:space="0" w:color="auto"/>
              <w:left w:val="single" w:sz="4" w:space="0" w:color="auto"/>
              <w:bottom w:val="single" w:sz="4" w:space="0" w:color="auto"/>
              <w:right w:val="single" w:sz="4" w:space="0" w:color="auto"/>
            </w:tcBorders>
            <w:vAlign w:val="center"/>
          </w:tcPr>
          <w:p w14:paraId="45E194F7" w14:textId="77777777" w:rsidR="0053292D" w:rsidRPr="00290AB4" w:rsidRDefault="0053292D" w:rsidP="00507D72">
            <w:pPr>
              <w:pStyle w:val="PBACTableText"/>
              <w:keepNext/>
              <w:spacing w:before="0" w:after="0"/>
              <w:jc w:val="center"/>
            </w:pPr>
            <w:r w:rsidRPr="00290AB4">
              <w:t>-</w:t>
            </w:r>
          </w:p>
        </w:tc>
      </w:tr>
      <w:tr w:rsidR="0053292D" w:rsidRPr="00AB34C7" w14:paraId="6B53AC02" w14:textId="77777777" w:rsidTr="00507D72">
        <w:tc>
          <w:tcPr>
            <w:tcW w:w="5665" w:type="dxa"/>
            <w:tcBorders>
              <w:top w:val="single" w:sz="4" w:space="0" w:color="auto"/>
              <w:left w:val="single" w:sz="4" w:space="0" w:color="auto"/>
              <w:bottom w:val="single" w:sz="4" w:space="0" w:color="auto"/>
              <w:right w:val="single" w:sz="4" w:space="0" w:color="auto"/>
            </w:tcBorders>
            <w:vAlign w:val="center"/>
          </w:tcPr>
          <w:p w14:paraId="36CE36F4" w14:textId="77777777" w:rsidR="0053292D" w:rsidRPr="00290AB4" w:rsidRDefault="0053292D" w:rsidP="00507D72">
            <w:pPr>
              <w:pStyle w:val="PBACTableText"/>
              <w:keepNext/>
              <w:tabs>
                <w:tab w:val="left" w:pos="142"/>
              </w:tabs>
              <w:spacing w:before="0" w:after="0"/>
            </w:pPr>
            <w:r w:rsidRPr="00290AB4">
              <w:t>AF medication cost (0.5% x 9.67 x $33.74)</w:t>
            </w:r>
          </w:p>
        </w:tc>
        <w:tc>
          <w:tcPr>
            <w:tcW w:w="1653" w:type="dxa"/>
            <w:tcBorders>
              <w:top w:val="single" w:sz="4" w:space="0" w:color="auto"/>
              <w:left w:val="single" w:sz="4" w:space="0" w:color="auto"/>
              <w:bottom w:val="single" w:sz="4" w:space="0" w:color="auto"/>
              <w:right w:val="single" w:sz="4" w:space="0" w:color="auto"/>
            </w:tcBorders>
          </w:tcPr>
          <w:p w14:paraId="201F08C8" w14:textId="77777777" w:rsidR="0053292D" w:rsidRPr="00290AB4" w:rsidRDefault="0053292D" w:rsidP="00507D72">
            <w:pPr>
              <w:pStyle w:val="PBACTableText"/>
              <w:keepNext/>
              <w:spacing w:before="0" w:after="0"/>
              <w:jc w:val="center"/>
            </w:pPr>
            <w:r w:rsidRPr="00290AB4">
              <w:t>$1.25</w:t>
            </w:r>
          </w:p>
        </w:tc>
        <w:tc>
          <w:tcPr>
            <w:tcW w:w="1654" w:type="dxa"/>
            <w:tcBorders>
              <w:top w:val="single" w:sz="4" w:space="0" w:color="auto"/>
              <w:left w:val="single" w:sz="4" w:space="0" w:color="auto"/>
              <w:bottom w:val="single" w:sz="4" w:space="0" w:color="auto"/>
              <w:right w:val="single" w:sz="4" w:space="0" w:color="auto"/>
            </w:tcBorders>
            <w:vAlign w:val="center"/>
          </w:tcPr>
          <w:p w14:paraId="61A0A7D6" w14:textId="77777777" w:rsidR="0053292D" w:rsidRPr="00290AB4" w:rsidRDefault="0053292D" w:rsidP="00507D72">
            <w:pPr>
              <w:pStyle w:val="PBACTableText"/>
              <w:keepNext/>
              <w:spacing w:before="0" w:after="0"/>
              <w:jc w:val="center"/>
            </w:pPr>
          </w:p>
        </w:tc>
      </w:tr>
      <w:tr w:rsidR="0053292D" w:rsidRPr="00AB34C7" w14:paraId="5DF8CCE0" w14:textId="77777777" w:rsidTr="00507D72">
        <w:tc>
          <w:tcPr>
            <w:tcW w:w="5665" w:type="dxa"/>
            <w:tcBorders>
              <w:top w:val="single" w:sz="4" w:space="0" w:color="auto"/>
              <w:left w:val="single" w:sz="4" w:space="0" w:color="auto"/>
              <w:bottom w:val="single" w:sz="4" w:space="0" w:color="auto"/>
              <w:right w:val="single" w:sz="4" w:space="0" w:color="auto"/>
            </w:tcBorders>
            <w:vAlign w:val="center"/>
          </w:tcPr>
          <w:p w14:paraId="03FABED1" w14:textId="77777777" w:rsidR="0053292D" w:rsidRPr="00290AB4" w:rsidRDefault="0053292D" w:rsidP="00507D72">
            <w:pPr>
              <w:pStyle w:val="PBACTableText"/>
              <w:keepNext/>
              <w:tabs>
                <w:tab w:val="left" w:pos="142"/>
              </w:tabs>
              <w:spacing w:before="0" w:after="0"/>
            </w:pPr>
            <w:r w:rsidRPr="00290AB4">
              <w:t>AF specialist monitoring cost (0.5% x 5.22 x $47.80)</w:t>
            </w:r>
          </w:p>
        </w:tc>
        <w:tc>
          <w:tcPr>
            <w:tcW w:w="1653" w:type="dxa"/>
            <w:tcBorders>
              <w:top w:val="single" w:sz="4" w:space="0" w:color="auto"/>
              <w:left w:val="single" w:sz="4" w:space="0" w:color="auto"/>
              <w:bottom w:val="single" w:sz="4" w:space="0" w:color="auto"/>
              <w:right w:val="single" w:sz="4" w:space="0" w:color="auto"/>
            </w:tcBorders>
          </w:tcPr>
          <w:p w14:paraId="45771597" w14:textId="77777777" w:rsidR="0053292D" w:rsidRPr="00290AB4" w:rsidRDefault="0053292D" w:rsidP="00507D72">
            <w:pPr>
              <w:pStyle w:val="PBACTableText"/>
              <w:keepNext/>
              <w:spacing w:before="0" w:after="0"/>
              <w:jc w:val="center"/>
            </w:pPr>
            <w:r w:rsidRPr="00290AB4">
              <w:t>$1.63</w:t>
            </w:r>
          </w:p>
        </w:tc>
        <w:tc>
          <w:tcPr>
            <w:tcW w:w="1654" w:type="dxa"/>
            <w:tcBorders>
              <w:top w:val="single" w:sz="4" w:space="0" w:color="auto"/>
              <w:left w:val="single" w:sz="4" w:space="0" w:color="auto"/>
              <w:bottom w:val="single" w:sz="4" w:space="0" w:color="auto"/>
              <w:right w:val="single" w:sz="4" w:space="0" w:color="auto"/>
            </w:tcBorders>
            <w:vAlign w:val="center"/>
          </w:tcPr>
          <w:p w14:paraId="04842E81" w14:textId="77777777" w:rsidR="0053292D" w:rsidRPr="00290AB4" w:rsidRDefault="0053292D" w:rsidP="00507D72">
            <w:pPr>
              <w:pStyle w:val="PBACTableText"/>
              <w:keepNext/>
              <w:spacing w:before="0" w:after="0"/>
              <w:jc w:val="center"/>
            </w:pPr>
          </w:p>
        </w:tc>
      </w:tr>
      <w:tr w:rsidR="0053292D" w:rsidRPr="00AB34C7" w14:paraId="113FEA50" w14:textId="77777777" w:rsidTr="00507D72">
        <w:tc>
          <w:tcPr>
            <w:tcW w:w="5665" w:type="dxa"/>
            <w:tcBorders>
              <w:top w:val="single" w:sz="4" w:space="0" w:color="auto"/>
              <w:left w:val="single" w:sz="4" w:space="0" w:color="auto"/>
              <w:bottom w:val="single" w:sz="4" w:space="0" w:color="auto"/>
              <w:right w:val="single" w:sz="4" w:space="0" w:color="auto"/>
            </w:tcBorders>
            <w:vAlign w:val="center"/>
            <w:hideMark/>
          </w:tcPr>
          <w:p w14:paraId="2CD88831" w14:textId="77777777" w:rsidR="0053292D" w:rsidRPr="00290AB4" w:rsidRDefault="0053292D" w:rsidP="00507D72">
            <w:pPr>
              <w:pStyle w:val="PBACTableText"/>
              <w:keepNext/>
              <w:tabs>
                <w:tab w:val="left" w:pos="142"/>
              </w:tabs>
              <w:spacing w:before="0" w:after="0"/>
            </w:pPr>
            <w:r w:rsidRPr="00290AB4">
              <w:t>VEN + OBI total treatment costs per course</w:t>
            </w:r>
          </w:p>
        </w:tc>
        <w:tc>
          <w:tcPr>
            <w:tcW w:w="1653" w:type="dxa"/>
            <w:tcBorders>
              <w:top w:val="single" w:sz="4" w:space="0" w:color="auto"/>
              <w:left w:val="single" w:sz="4" w:space="0" w:color="auto"/>
              <w:bottom w:val="single" w:sz="4" w:space="0" w:color="auto"/>
              <w:right w:val="single" w:sz="4" w:space="0" w:color="auto"/>
            </w:tcBorders>
            <w:vAlign w:val="center"/>
          </w:tcPr>
          <w:p w14:paraId="09ED78FA" w14:textId="46F7984A" w:rsidR="0053292D" w:rsidRPr="001C30EF" w:rsidRDefault="003666AE" w:rsidP="00507D72">
            <w:pPr>
              <w:pStyle w:val="PBACTableText"/>
              <w:keepNext/>
              <w:spacing w:before="0" w:after="0"/>
              <w:jc w:val="center"/>
              <w:rPr>
                <w:highlight w:val="lightGray"/>
              </w:rPr>
            </w:pPr>
            <w:r w:rsidRPr="003666AE">
              <w:rPr>
                <w:color w:val="000000"/>
                <w:shd w:val="solid" w:color="000000" w:fill="000000"/>
                <w14:textFill>
                  <w14:solidFill>
                    <w14:srgbClr w14:val="000000">
                      <w14:alpha w14:val="100000"/>
                    </w14:srgbClr>
                  </w14:solidFill>
                </w14:textFill>
              </w:rPr>
              <w:t>|</w:t>
            </w:r>
            <w:r w:rsidRPr="003666AE">
              <w:t xml:space="preserve"> </w:t>
            </w:r>
          </w:p>
        </w:tc>
        <w:tc>
          <w:tcPr>
            <w:tcW w:w="1654" w:type="dxa"/>
            <w:tcBorders>
              <w:top w:val="single" w:sz="4" w:space="0" w:color="auto"/>
              <w:left w:val="single" w:sz="4" w:space="0" w:color="auto"/>
              <w:bottom w:val="single" w:sz="4" w:space="0" w:color="auto"/>
              <w:right w:val="single" w:sz="4" w:space="0" w:color="auto"/>
            </w:tcBorders>
            <w:vAlign w:val="center"/>
            <w:hideMark/>
          </w:tcPr>
          <w:p w14:paraId="7646B2A2" w14:textId="77777777" w:rsidR="0053292D" w:rsidRPr="00290AB4" w:rsidRDefault="0053292D" w:rsidP="00507D72">
            <w:pPr>
              <w:pStyle w:val="PBACTableText"/>
              <w:keepNext/>
              <w:spacing w:before="0" w:after="0"/>
              <w:jc w:val="center"/>
            </w:pPr>
            <w:r w:rsidRPr="00290AB4">
              <w:t>-</w:t>
            </w:r>
          </w:p>
        </w:tc>
      </w:tr>
      <w:tr w:rsidR="0053292D" w:rsidRPr="00AB34C7" w14:paraId="70B3CC93" w14:textId="77777777" w:rsidTr="00507D72">
        <w:tc>
          <w:tcPr>
            <w:tcW w:w="8972" w:type="dxa"/>
            <w:gridSpan w:val="3"/>
            <w:tcBorders>
              <w:top w:val="single" w:sz="4" w:space="0" w:color="auto"/>
              <w:left w:val="single" w:sz="4" w:space="0" w:color="auto"/>
              <w:bottom w:val="single" w:sz="4" w:space="0" w:color="auto"/>
              <w:right w:val="single" w:sz="4" w:space="0" w:color="auto"/>
            </w:tcBorders>
            <w:vAlign w:val="center"/>
            <w:hideMark/>
          </w:tcPr>
          <w:p w14:paraId="5C0CC378" w14:textId="77777777" w:rsidR="0053292D" w:rsidRPr="00290AB4" w:rsidRDefault="0053292D" w:rsidP="00507D72">
            <w:pPr>
              <w:pStyle w:val="PBACTableText"/>
              <w:keepNext/>
              <w:tabs>
                <w:tab w:val="left" w:pos="142"/>
              </w:tabs>
              <w:spacing w:before="0" w:after="0"/>
              <w:rPr>
                <w:b/>
              </w:rPr>
            </w:pPr>
            <w:r w:rsidRPr="00290AB4">
              <w:rPr>
                <w:b/>
              </w:rPr>
              <w:t>Cost-minimisation (ibrutinib + venetoclax)</w:t>
            </w:r>
          </w:p>
        </w:tc>
      </w:tr>
      <w:tr w:rsidR="0053292D" w:rsidRPr="00AB34C7" w14:paraId="24941183" w14:textId="77777777" w:rsidTr="00507D72">
        <w:tc>
          <w:tcPr>
            <w:tcW w:w="5665" w:type="dxa"/>
            <w:tcBorders>
              <w:top w:val="single" w:sz="4" w:space="0" w:color="auto"/>
              <w:left w:val="single" w:sz="4" w:space="0" w:color="auto"/>
              <w:bottom w:val="single" w:sz="4" w:space="0" w:color="auto"/>
              <w:right w:val="single" w:sz="4" w:space="0" w:color="auto"/>
            </w:tcBorders>
            <w:vAlign w:val="center"/>
          </w:tcPr>
          <w:p w14:paraId="3CBC1884" w14:textId="77777777" w:rsidR="0053292D" w:rsidRPr="00290AB4" w:rsidRDefault="0053292D" w:rsidP="00507D72">
            <w:pPr>
              <w:pStyle w:val="PBACTableText"/>
              <w:keepNext/>
              <w:tabs>
                <w:tab w:val="left" w:pos="142"/>
              </w:tabs>
              <w:spacing w:before="0" w:after="0"/>
            </w:pPr>
            <w:r w:rsidRPr="00290AB4">
              <w:t>IBR + VEN total treatment cost per course</w:t>
            </w:r>
          </w:p>
        </w:tc>
        <w:tc>
          <w:tcPr>
            <w:tcW w:w="1653" w:type="dxa"/>
            <w:tcBorders>
              <w:top w:val="single" w:sz="4" w:space="0" w:color="auto"/>
              <w:left w:val="single" w:sz="4" w:space="0" w:color="auto"/>
              <w:bottom w:val="single" w:sz="4" w:space="0" w:color="auto"/>
              <w:right w:val="single" w:sz="4" w:space="0" w:color="auto"/>
            </w:tcBorders>
            <w:vAlign w:val="center"/>
            <w:hideMark/>
          </w:tcPr>
          <w:p w14:paraId="17055633" w14:textId="77777777" w:rsidR="0053292D" w:rsidRPr="00290AB4" w:rsidRDefault="0053292D" w:rsidP="00507D72">
            <w:pPr>
              <w:pStyle w:val="PBACTableText"/>
              <w:keepNext/>
              <w:spacing w:before="0" w:after="0"/>
              <w:jc w:val="center"/>
            </w:pPr>
            <w:r w:rsidRPr="00290AB4">
              <w:t>-</w:t>
            </w:r>
          </w:p>
        </w:tc>
        <w:tc>
          <w:tcPr>
            <w:tcW w:w="1654" w:type="dxa"/>
            <w:tcBorders>
              <w:top w:val="single" w:sz="4" w:space="0" w:color="auto"/>
              <w:left w:val="single" w:sz="4" w:space="0" w:color="auto"/>
              <w:bottom w:val="single" w:sz="4" w:space="0" w:color="auto"/>
              <w:right w:val="single" w:sz="4" w:space="0" w:color="auto"/>
            </w:tcBorders>
            <w:vAlign w:val="center"/>
          </w:tcPr>
          <w:p w14:paraId="42C898A0" w14:textId="760593FB" w:rsidR="0053292D" w:rsidRPr="001C30EF" w:rsidRDefault="003666AE" w:rsidP="00507D72">
            <w:pPr>
              <w:pStyle w:val="PBACTableText"/>
              <w:keepNext/>
              <w:spacing w:before="0" w:after="0"/>
              <w:jc w:val="center"/>
              <w:rPr>
                <w:highlight w:val="lightGray"/>
              </w:rPr>
            </w:pPr>
            <w:r w:rsidRPr="003666AE">
              <w:rPr>
                <w:color w:val="000000"/>
                <w:shd w:val="solid" w:color="000000" w:fill="000000"/>
                <w14:textFill>
                  <w14:solidFill>
                    <w14:srgbClr w14:val="000000">
                      <w14:alpha w14:val="100000"/>
                    </w14:srgbClr>
                  </w14:solidFill>
                </w14:textFill>
              </w:rPr>
              <w:t>|</w:t>
            </w:r>
            <w:r w:rsidRPr="003666AE">
              <w:t xml:space="preserve"> </w:t>
            </w:r>
          </w:p>
        </w:tc>
      </w:tr>
      <w:tr w:rsidR="0053292D" w:rsidRPr="00AB34C7" w14:paraId="1AE0B5CF" w14:textId="77777777" w:rsidTr="00507D72">
        <w:tc>
          <w:tcPr>
            <w:tcW w:w="5665" w:type="dxa"/>
            <w:tcBorders>
              <w:top w:val="single" w:sz="4" w:space="0" w:color="auto"/>
              <w:left w:val="single" w:sz="4" w:space="0" w:color="auto"/>
              <w:bottom w:val="single" w:sz="4" w:space="0" w:color="auto"/>
              <w:right w:val="single" w:sz="4" w:space="0" w:color="auto"/>
            </w:tcBorders>
            <w:vAlign w:val="center"/>
          </w:tcPr>
          <w:p w14:paraId="5F708AD5" w14:textId="347BB718" w:rsidR="0053292D" w:rsidRPr="00290AB4" w:rsidRDefault="0053292D" w:rsidP="00507D72">
            <w:pPr>
              <w:pStyle w:val="PBACTableText"/>
              <w:keepNext/>
              <w:tabs>
                <w:tab w:val="left" w:pos="142"/>
              </w:tabs>
              <w:spacing w:before="0" w:after="0"/>
            </w:pPr>
            <w:r w:rsidRPr="00290AB4">
              <w:t>VEN drug cost (AEMP) per course ((1 x $</w:t>
            </w:r>
            <w:r w:rsidR="003666AE" w:rsidRPr="003666AE">
              <w:rPr>
                <w:color w:val="000000"/>
                <w:spacing w:val="9"/>
                <w:shd w:val="solid" w:color="000000" w:fill="000000"/>
                <w:fitText w:val="310" w:id="-962325247"/>
                <w14:textFill>
                  <w14:solidFill>
                    <w14:srgbClr w14:val="000000">
                      <w14:alpha w14:val="100000"/>
                    </w14:srgbClr>
                  </w14:solidFill>
                </w14:textFill>
              </w:rPr>
              <w:t>||  |</w:t>
            </w:r>
            <w:r w:rsidR="003666AE" w:rsidRPr="003666AE">
              <w:rPr>
                <w:color w:val="000000"/>
                <w:spacing w:val="4"/>
                <w:shd w:val="solid" w:color="000000" w:fill="000000"/>
                <w:fitText w:val="310" w:id="-962325247"/>
                <w14:textFill>
                  <w14:solidFill>
                    <w14:srgbClr w14:val="000000">
                      <w14:alpha w14:val="100000"/>
                    </w14:srgbClr>
                  </w14:solidFill>
                </w14:textFill>
              </w:rPr>
              <w:t>|</w:t>
            </w:r>
            <w:r w:rsidRPr="00290AB4">
              <w:t>) + (9.39 x $</w:t>
            </w:r>
            <w:r w:rsidR="003666AE" w:rsidRPr="003666AE">
              <w:rPr>
                <w:color w:val="000000"/>
                <w:spacing w:val="9"/>
                <w:shd w:val="solid" w:color="000000" w:fill="000000"/>
                <w:fitText w:val="310" w:id="-962325246"/>
                <w14:textFill>
                  <w14:solidFill>
                    <w14:srgbClr w14:val="000000">
                      <w14:alpha w14:val="100000"/>
                    </w14:srgbClr>
                  </w14:solidFill>
                </w14:textFill>
              </w:rPr>
              <w:t>||  |</w:t>
            </w:r>
            <w:r w:rsidR="003666AE" w:rsidRPr="003666AE">
              <w:rPr>
                <w:color w:val="000000"/>
                <w:spacing w:val="4"/>
                <w:shd w:val="solid" w:color="000000" w:fill="000000"/>
                <w:fitText w:val="310" w:id="-962325246"/>
                <w14:textFill>
                  <w14:solidFill>
                    <w14:srgbClr w14:val="000000">
                      <w14:alpha w14:val="100000"/>
                    </w14:srgbClr>
                  </w14:solidFill>
                </w14:textFill>
              </w:rPr>
              <w:t>|</w:t>
            </w:r>
            <w:r w:rsidRPr="00290AB4">
              <w:t>))</w:t>
            </w:r>
            <w:r w:rsidRPr="00290AB4">
              <w:rPr>
                <w:vertAlign w:val="superscript"/>
              </w:rPr>
              <w:t>a</w:t>
            </w:r>
          </w:p>
        </w:tc>
        <w:tc>
          <w:tcPr>
            <w:tcW w:w="1653" w:type="dxa"/>
            <w:tcBorders>
              <w:top w:val="single" w:sz="4" w:space="0" w:color="auto"/>
              <w:left w:val="single" w:sz="4" w:space="0" w:color="auto"/>
              <w:bottom w:val="single" w:sz="4" w:space="0" w:color="auto"/>
              <w:right w:val="single" w:sz="4" w:space="0" w:color="auto"/>
            </w:tcBorders>
            <w:vAlign w:val="center"/>
          </w:tcPr>
          <w:p w14:paraId="7B8AE8B7" w14:textId="77777777" w:rsidR="0053292D" w:rsidRPr="00290AB4" w:rsidRDefault="0053292D" w:rsidP="00507D72">
            <w:pPr>
              <w:pStyle w:val="PBACTableText"/>
              <w:keepNext/>
              <w:spacing w:before="0" w:after="0"/>
              <w:jc w:val="center"/>
            </w:pPr>
            <w:r w:rsidRPr="00290AB4">
              <w:t>-</w:t>
            </w:r>
          </w:p>
        </w:tc>
        <w:tc>
          <w:tcPr>
            <w:tcW w:w="1654" w:type="dxa"/>
            <w:tcBorders>
              <w:top w:val="single" w:sz="4" w:space="0" w:color="auto"/>
              <w:left w:val="single" w:sz="4" w:space="0" w:color="auto"/>
              <w:bottom w:val="single" w:sz="4" w:space="0" w:color="auto"/>
              <w:right w:val="single" w:sz="4" w:space="0" w:color="auto"/>
            </w:tcBorders>
            <w:vAlign w:val="center"/>
          </w:tcPr>
          <w:p w14:paraId="1B0E9E6F" w14:textId="6FB5910A" w:rsidR="0053292D" w:rsidRPr="001C30EF" w:rsidRDefault="003666AE" w:rsidP="00507D72">
            <w:pPr>
              <w:pStyle w:val="PBACTableText"/>
              <w:keepNext/>
              <w:spacing w:before="0" w:after="0"/>
              <w:jc w:val="center"/>
              <w:rPr>
                <w:highlight w:val="lightGray"/>
              </w:rPr>
            </w:pPr>
            <w:r w:rsidRPr="003666AE">
              <w:rPr>
                <w:color w:val="000000"/>
                <w:shd w:val="solid" w:color="000000" w:fill="000000"/>
                <w14:textFill>
                  <w14:solidFill>
                    <w14:srgbClr w14:val="000000">
                      <w14:alpha w14:val="100000"/>
                    </w14:srgbClr>
                  </w14:solidFill>
                </w14:textFill>
              </w:rPr>
              <w:t>|</w:t>
            </w:r>
            <w:r w:rsidRPr="003666AE">
              <w:t xml:space="preserve"> </w:t>
            </w:r>
          </w:p>
        </w:tc>
      </w:tr>
      <w:tr w:rsidR="0053292D" w:rsidRPr="00AB34C7" w14:paraId="0339CE8C" w14:textId="77777777" w:rsidTr="00507D72">
        <w:tc>
          <w:tcPr>
            <w:tcW w:w="5665" w:type="dxa"/>
            <w:tcBorders>
              <w:top w:val="single" w:sz="4" w:space="0" w:color="auto"/>
              <w:left w:val="single" w:sz="4" w:space="0" w:color="auto"/>
              <w:bottom w:val="single" w:sz="4" w:space="0" w:color="auto"/>
              <w:right w:val="single" w:sz="4" w:space="0" w:color="auto"/>
            </w:tcBorders>
            <w:vAlign w:val="center"/>
          </w:tcPr>
          <w:p w14:paraId="39AB837E" w14:textId="77777777" w:rsidR="0053292D" w:rsidRPr="00290AB4" w:rsidRDefault="0053292D" w:rsidP="00507D72">
            <w:pPr>
              <w:pStyle w:val="PBACTableText"/>
              <w:keepNext/>
              <w:tabs>
                <w:tab w:val="left" w:pos="142"/>
              </w:tabs>
              <w:spacing w:before="0" w:after="0"/>
            </w:pPr>
            <w:r w:rsidRPr="00290AB4">
              <w:t>AF medication cost (14.2% x 12.03 x $33.74)</w:t>
            </w:r>
          </w:p>
        </w:tc>
        <w:tc>
          <w:tcPr>
            <w:tcW w:w="1653" w:type="dxa"/>
            <w:tcBorders>
              <w:top w:val="single" w:sz="4" w:space="0" w:color="auto"/>
              <w:left w:val="single" w:sz="4" w:space="0" w:color="auto"/>
              <w:bottom w:val="single" w:sz="4" w:space="0" w:color="auto"/>
              <w:right w:val="single" w:sz="4" w:space="0" w:color="auto"/>
            </w:tcBorders>
            <w:vAlign w:val="center"/>
          </w:tcPr>
          <w:p w14:paraId="03E04295" w14:textId="77777777" w:rsidR="0053292D" w:rsidRPr="00290AB4" w:rsidRDefault="0053292D" w:rsidP="00507D72">
            <w:pPr>
              <w:pStyle w:val="PBACTableText"/>
              <w:keepNext/>
              <w:spacing w:before="0" w:after="0"/>
              <w:jc w:val="center"/>
            </w:pPr>
            <w:r w:rsidRPr="00290AB4">
              <w:t>-</w:t>
            </w:r>
          </w:p>
        </w:tc>
        <w:tc>
          <w:tcPr>
            <w:tcW w:w="1654" w:type="dxa"/>
            <w:tcBorders>
              <w:top w:val="single" w:sz="4" w:space="0" w:color="auto"/>
              <w:left w:val="single" w:sz="4" w:space="0" w:color="auto"/>
              <w:bottom w:val="single" w:sz="4" w:space="0" w:color="auto"/>
              <w:right w:val="single" w:sz="4" w:space="0" w:color="auto"/>
            </w:tcBorders>
            <w:vAlign w:val="center"/>
          </w:tcPr>
          <w:p w14:paraId="4D66FE62" w14:textId="77777777" w:rsidR="0053292D" w:rsidRPr="00290AB4" w:rsidRDefault="0053292D" w:rsidP="00507D72">
            <w:pPr>
              <w:pStyle w:val="PBACTableText"/>
              <w:keepNext/>
              <w:spacing w:before="0" w:after="0"/>
              <w:jc w:val="center"/>
            </w:pPr>
            <w:r w:rsidRPr="00290AB4">
              <w:t>$57.64</w:t>
            </w:r>
          </w:p>
        </w:tc>
      </w:tr>
      <w:tr w:rsidR="0053292D" w:rsidRPr="00AB34C7" w14:paraId="778580D1" w14:textId="77777777" w:rsidTr="00507D72">
        <w:tc>
          <w:tcPr>
            <w:tcW w:w="5665" w:type="dxa"/>
            <w:tcBorders>
              <w:top w:val="single" w:sz="4" w:space="0" w:color="auto"/>
              <w:left w:val="single" w:sz="4" w:space="0" w:color="auto"/>
              <w:bottom w:val="single" w:sz="4" w:space="0" w:color="auto"/>
              <w:right w:val="single" w:sz="4" w:space="0" w:color="auto"/>
            </w:tcBorders>
            <w:vAlign w:val="center"/>
          </w:tcPr>
          <w:p w14:paraId="5BB57546" w14:textId="77777777" w:rsidR="0053292D" w:rsidRPr="00290AB4" w:rsidRDefault="0053292D" w:rsidP="00507D72">
            <w:pPr>
              <w:pStyle w:val="PBACTableText"/>
              <w:keepNext/>
              <w:tabs>
                <w:tab w:val="left" w:pos="142"/>
              </w:tabs>
              <w:spacing w:before="0" w:after="0"/>
            </w:pPr>
            <w:r w:rsidRPr="00290AB4">
              <w:t>AF specialist monitoring cost (14.2% x 6.01 x $47.80)</w:t>
            </w:r>
          </w:p>
        </w:tc>
        <w:tc>
          <w:tcPr>
            <w:tcW w:w="1653" w:type="dxa"/>
            <w:tcBorders>
              <w:top w:val="single" w:sz="4" w:space="0" w:color="auto"/>
              <w:left w:val="single" w:sz="4" w:space="0" w:color="auto"/>
              <w:bottom w:val="single" w:sz="4" w:space="0" w:color="auto"/>
              <w:right w:val="single" w:sz="4" w:space="0" w:color="auto"/>
            </w:tcBorders>
            <w:vAlign w:val="center"/>
          </w:tcPr>
          <w:p w14:paraId="5B60E2E9" w14:textId="77777777" w:rsidR="0053292D" w:rsidRPr="00290AB4" w:rsidRDefault="0053292D" w:rsidP="00507D72">
            <w:pPr>
              <w:pStyle w:val="PBACTableText"/>
              <w:keepNext/>
              <w:spacing w:before="0" w:after="0"/>
              <w:jc w:val="center"/>
            </w:pPr>
            <w:r w:rsidRPr="00290AB4">
              <w:t>-</w:t>
            </w:r>
          </w:p>
        </w:tc>
        <w:tc>
          <w:tcPr>
            <w:tcW w:w="1654" w:type="dxa"/>
            <w:tcBorders>
              <w:top w:val="single" w:sz="4" w:space="0" w:color="auto"/>
              <w:left w:val="single" w:sz="4" w:space="0" w:color="auto"/>
              <w:bottom w:val="single" w:sz="4" w:space="0" w:color="auto"/>
              <w:right w:val="single" w:sz="4" w:space="0" w:color="auto"/>
            </w:tcBorders>
            <w:vAlign w:val="center"/>
          </w:tcPr>
          <w:p w14:paraId="2EEDE561" w14:textId="77777777" w:rsidR="0053292D" w:rsidRPr="00290AB4" w:rsidRDefault="0053292D" w:rsidP="00507D72">
            <w:pPr>
              <w:pStyle w:val="PBACTableText"/>
              <w:keepNext/>
              <w:spacing w:before="0" w:after="0"/>
              <w:jc w:val="center"/>
            </w:pPr>
            <w:r w:rsidRPr="00290AB4">
              <w:t>$40.79</w:t>
            </w:r>
          </w:p>
        </w:tc>
      </w:tr>
      <w:tr w:rsidR="0053292D" w:rsidRPr="00AB34C7" w14:paraId="26447316" w14:textId="77777777" w:rsidTr="00507D72">
        <w:tc>
          <w:tcPr>
            <w:tcW w:w="5665" w:type="dxa"/>
            <w:tcBorders>
              <w:top w:val="single" w:sz="4" w:space="0" w:color="auto"/>
              <w:left w:val="single" w:sz="4" w:space="0" w:color="auto"/>
              <w:bottom w:val="single" w:sz="4" w:space="0" w:color="auto"/>
              <w:right w:val="single" w:sz="4" w:space="0" w:color="auto"/>
            </w:tcBorders>
            <w:vAlign w:val="center"/>
          </w:tcPr>
          <w:p w14:paraId="57ABD62C" w14:textId="77777777" w:rsidR="0053292D" w:rsidRPr="00290AB4" w:rsidRDefault="0053292D" w:rsidP="00507D72">
            <w:pPr>
              <w:pStyle w:val="PBACTableText"/>
              <w:keepNext/>
              <w:tabs>
                <w:tab w:val="left" w:pos="142"/>
              </w:tabs>
              <w:spacing w:before="0" w:after="0"/>
            </w:pPr>
            <w:r w:rsidRPr="00290AB4">
              <w:t>Baseline ECG cost (100% x $56.90)</w:t>
            </w:r>
          </w:p>
        </w:tc>
        <w:tc>
          <w:tcPr>
            <w:tcW w:w="1653" w:type="dxa"/>
            <w:tcBorders>
              <w:top w:val="single" w:sz="4" w:space="0" w:color="auto"/>
              <w:left w:val="single" w:sz="4" w:space="0" w:color="auto"/>
              <w:bottom w:val="single" w:sz="4" w:space="0" w:color="auto"/>
              <w:right w:val="single" w:sz="4" w:space="0" w:color="auto"/>
            </w:tcBorders>
            <w:vAlign w:val="center"/>
          </w:tcPr>
          <w:p w14:paraId="764446C0" w14:textId="77777777" w:rsidR="0053292D" w:rsidRPr="00290AB4" w:rsidRDefault="0053292D" w:rsidP="00507D72">
            <w:pPr>
              <w:pStyle w:val="PBACTableText"/>
              <w:keepNext/>
              <w:spacing w:before="0" w:after="0"/>
              <w:jc w:val="center"/>
            </w:pPr>
            <w:r w:rsidRPr="00290AB4">
              <w:t>-</w:t>
            </w:r>
          </w:p>
        </w:tc>
        <w:tc>
          <w:tcPr>
            <w:tcW w:w="1654" w:type="dxa"/>
            <w:tcBorders>
              <w:top w:val="single" w:sz="4" w:space="0" w:color="auto"/>
              <w:left w:val="single" w:sz="4" w:space="0" w:color="auto"/>
              <w:bottom w:val="single" w:sz="4" w:space="0" w:color="auto"/>
              <w:right w:val="single" w:sz="4" w:space="0" w:color="auto"/>
            </w:tcBorders>
            <w:vAlign w:val="center"/>
          </w:tcPr>
          <w:p w14:paraId="345B1BC0" w14:textId="77777777" w:rsidR="0053292D" w:rsidRPr="00290AB4" w:rsidRDefault="0053292D" w:rsidP="00507D72">
            <w:pPr>
              <w:pStyle w:val="PBACTableText"/>
              <w:keepNext/>
              <w:spacing w:before="0" w:after="0"/>
              <w:jc w:val="center"/>
            </w:pPr>
            <w:r w:rsidRPr="00290AB4">
              <w:t>$56.90</w:t>
            </w:r>
          </w:p>
        </w:tc>
      </w:tr>
      <w:tr w:rsidR="0053292D" w:rsidRPr="00AB34C7" w14:paraId="3AC3D31E" w14:textId="77777777" w:rsidTr="00507D72">
        <w:tc>
          <w:tcPr>
            <w:tcW w:w="5665" w:type="dxa"/>
            <w:tcBorders>
              <w:top w:val="single" w:sz="4" w:space="0" w:color="auto"/>
              <w:left w:val="single" w:sz="4" w:space="0" w:color="auto"/>
              <w:bottom w:val="single" w:sz="4" w:space="0" w:color="auto"/>
              <w:right w:val="single" w:sz="4" w:space="0" w:color="auto"/>
            </w:tcBorders>
            <w:vAlign w:val="center"/>
          </w:tcPr>
          <w:p w14:paraId="2AFFE0C5" w14:textId="6BB2F75A" w:rsidR="0053292D" w:rsidRPr="00290AB4" w:rsidRDefault="0053292D" w:rsidP="00507D72">
            <w:pPr>
              <w:pStyle w:val="PBACTableText"/>
              <w:keepNext/>
              <w:tabs>
                <w:tab w:val="left" w:pos="142"/>
              </w:tabs>
              <w:spacing w:before="0" w:after="0"/>
            </w:pPr>
            <w:r w:rsidRPr="00290AB4">
              <w:t>IBR cost per course ($</w:t>
            </w:r>
            <w:r w:rsidR="003666AE" w:rsidRPr="003666AE">
              <w:rPr>
                <w:color w:val="000000"/>
                <w:spacing w:val="9"/>
                <w:shd w:val="solid" w:color="000000" w:fill="000000"/>
                <w:fitText w:val="310" w:id="-962325245"/>
                <w14:textFill>
                  <w14:solidFill>
                    <w14:srgbClr w14:val="000000">
                      <w14:alpha w14:val="100000"/>
                    </w14:srgbClr>
                  </w14:solidFill>
                </w14:textFill>
              </w:rPr>
              <w:t>||  |</w:t>
            </w:r>
            <w:r w:rsidR="003666AE" w:rsidRPr="003666AE">
              <w:rPr>
                <w:color w:val="000000"/>
                <w:spacing w:val="4"/>
                <w:shd w:val="solid" w:color="000000" w:fill="000000"/>
                <w:fitText w:val="310" w:id="-962325245"/>
                <w14:textFill>
                  <w14:solidFill>
                    <w14:srgbClr w14:val="000000">
                      <w14:alpha w14:val="100000"/>
                    </w14:srgbClr>
                  </w14:solidFill>
                </w14:textFill>
              </w:rPr>
              <w:t>|</w:t>
            </w:r>
            <w:r w:rsidRPr="00290AB4">
              <w:t xml:space="preserve"> - $</w:t>
            </w:r>
            <w:r w:rsidR="003666AE" w:rsidRPr="003666AE">
              <w:rPr>
                <w:color w:val="000000"/>
                <w:spacing w:val="6"/>
                <w:shd w:val="solid" w:color="000000" w:fill="000000"/>
                <w:fitText w:val="295" w:id="-962325244"/>
                <w14:textFill>
                  <w14:solidFill>
                    <w14:srgbClr w14:val="000000">
                      <w14:alpha w14:val="100000"/>
                    </w14:srgbClr>
                  </w14:solidFill>
                </w14:textFill>
              </w:rPr>
              <w:t>||  |</w:t>
            </w:r>
            <w:r w:rsidR="003666AE" w:rsidRPr="003666AE">
              <w:rPr>
                <w:color w:val="000000"/>
                <w:spacing w:val="4"/>
                <w:shd w:val="solid" w:color="000000" w:fill="000000"/>
                <w:fitText w:val="295" w:id="-962325244"/>
                <w14:textFill>
                  <w14:solidFill>
                    <w14:srgbClr w14:val="000000">
                      <w14:alpha w14:val="100000"/>
                    </w14:srgbClr>
                  </w14:solidFill>
                </w14:textFill>
              </w:rPr>
              <w:t>|</w:t>
            </w:r>
            <w:r w:rsidRPr="00290AB4">
              <w:t xml:space="preserve"> - $57.64 - $40.79 - $56.90)</w:t>
            </w:r>
          </w:p>
        </w:tc>
        <w:tc>
          <w:tcPr>
            <w:tcW w:w="1653" w:type="dxa"/>
            <w:tcBorders>
              <w:top w:val="single" w:sz="4" w:space="0" w:color="auto"/>
              <w:left w:val="single" w:sz="4" w:space="0" w:color="auto"/>
              <w:bottom w:val="single" w:sz="4" w:space="0" w:color="auto"/>
              <w:right w:val="single" w:sz="4" w:space="0" w:color="auto"/>
            </w:tcBorders>
            <w:vAlign w:val="center"/>
          </w:tcPr>
          <w:p w14:paraId="355EADE0" w14:textId="77777777" w:rsidR="0053292D" w:rsidRPr="00290AB4" w:rsidRDefault="0053292D" w:rsidP="00507D72">
            <w:pPr>
              <w:pStyle w:val="PBACTableText"/>
              <w:keepNext/>
              <w:spacing w:before="0" w:after="0"/>
              <w:jc w:val="center"/>
            </w:pPr>
            <w:r w:rsidRPr="00290AB4">
              <w:t>-</w:t>
            </w:r>
          </w:p>
        </w:tc>
        <w:tc>
          <w:tcPr>
            <w:tcW w:w="1654" w:type="dxa"/>
            <w:tcBorders>
              <w:top w:val="single" w:sz="4" w:space="0" w:color="auto"/>
              <w:left w:val="single" w:sz="4" w:space="0" w:color="auto"/>
              <w:bottom w:val="single" w:sz="4" w:space="0" w:color="auto"/>
              <w:right w:val="single" w:sz="4" w:space="0" w:color="auto"/>
            </w:tcBorders>
            <w:vAlign w:val="center"/>
          </w:tcPr>
          <w:p w14:paraId="0C4128B8" w14:textId="685D69D7" w:rsidR="0053292D" w:rsidRPr="001C30EF" w:rsidRDefault="003666AE" w:rsidP="00507D72">
            <w:pPr>
              <w:pStyle w:val="PBACTableText"/>
              <w:keepNext/>
              <w:spacing w:before="0" w:after="0"/>
              <w:jc w:val="center"/>
              <w:rPr>
                <w:highlight w:val="lightGray"/>
              </w:rPr>
            </w:pPr>
            <w:r w:rsidRPr="003666AE">
              <w:rPr>
                <w:color w:val="000000"/>
                <w:shd w:val="solid" w:color="000000" w:fill="000000"/>
                <w14:textFill>
                  <w14:solidFill>
                    <w14:srgbClr w14:val="000000">
                      <w14:alpha w14:val="100000"/>
                    </w14:srgbClr>
                  </w14:solidFill>
                </w14:textFill>
              </w:rPr>
              <w:t>|</w:t>
            </w:r>
            <w:r w:rsidRPr="003666AE">
              <w:t xml:space="preserve"> </w:t>
            </w:r>
          </w:p>
        </w:tc>
      </w:tr>
      <w:tr w:rsidR="0053292D" w:rsidRPr="00AB34C7" w14:paraId="2DA89543" w14:textId="77777777" w:rsidTr="00507D72">
        <w:tc>
          <w:tcPr>
            <w:tcW w:w="5665" w:type="dxa"/>
            <w:tcBorders>
              <w:top w:val="single" w:sz="4" w:space="0" w:color="auto"/>
              <w:left w:val="single" w:sz="4" w:space="0" w:color="auto"/>
              <w:bottom w:val="single" w:sz="4" w:space="0" w:color="auto"/>
              <w:right w:val="single" w:sz="4" w:space="0" w:color="auto"/>
            </w:tcBorders>
            <w:vAlign w:val="center"/>
          </w:tcPr>
          <w:p w14:paraId="0586E930" w14:textId="64E9E9BB" w:rsidR="0053292D" w:rsidRPr="00290AB4" w:rsidRDefault="0053292D" w:rsidP="00507D72">
            <w:pPr>
              <w:pStyle w:val="PBACTableText"/>
              <w:keepNext/>
              <w:tabs>
                <w:tab w:val="left" w:pos="142"/>
              </w:tabs>
              <w:spacing w:before="0" w:after="0"/>
              <w:rPr>
                <w:vertAlign w:val="superscript"/>
              </w:rPr>
            </w:pPr>
            <w:r w:rsidRPr="00290AB4">
              <w:t>IBR cost (AEMP) per 140</w:t>
            </w:r>
            <w:r w:rsidR="00DC6EBB" w:rsidRPr="00290AB4">
              <w:t> mg</w:t>
            </w:r>
            <w:r w:rsidRPr="00290AB4">
              <w:t xml:space="preserve"> or 420</w:t>
            </w:r>
            <w:r w:rsidR="00DC6EBB" w:rsidRPr="00290AB4">
              <w:t> mg</w:t>
            </w:r>
            <w:r w:rsidRPr="00290AB4">
              <w:t xml:space="preserve"> script ($</w:t>
            </w:r>
            <w:r w:rsidR="003666AE" w:rsidRPr="003666AE">
              <w:rPr>
                <w:color w:val="000000"/>
                <w:spacing w:val="9"/>
                <w:shd w:val="solid" w:color="000000" w:fill="000000"/>
                <w:fitText w:val="310" w:id="-962325243"/>
                <w14:textFill>
                  <w14:solidFill>
                    <w14:srgbClr w14:val="000000">
                      <w14:alpha w14:val="100000"/>
                    </w14:srgbClr>
                  </w14:solidFill>
                </w14:textFill>
              </w:rPr>
              <w:t>||  |</w:t>
            </w:r>
            <w:r w:rsidR="003666AE" w:rsidRPr="003666AE">
              <w:rPr>
                <w:color w:val="000000"/>
                <w:spacing w:val="4"/>
                <w:shd w:val="solid" w:color="000000" w:fill="000000"/>
                <w:fitText w:val="310" w:id="-962325243"/>
                <w14:textFill>
                  <w14:solidFill>
                    <w14:srgbClr w14:val="000000">
                      <w14:alpha w14:val="100000"/>
                    </w14:srgbClr>
                  </w14:solidFill>
                </w14:textFill>
              </w:rPr>
              <w:t>|</w:t>
            </w:r>
            <w:r w:rsidRPr="00290AB4">
              <w:t xml:space="preserve"> ÷ 12.03 scripts)</w:t>
            </w:r>
            <w:r w:rsidRPr="00290AB4">
              <w:rPr>
                <w:vertAlign w:val="superscript"/>
              </w:rPr>
              <w:t>b</w:t>
            </w:r>
          </w:p>
        </w:tc>
        <w:tc>
          <w:tcPr>
            <w:tcW w:w="1653" w:type="dxa"/>
            <w:tcBorders>
              <w:top w:val="single" w:sz="4" w:space="0" w:color="auto"/>
              <w:left w:val="single" w:sz="4" w:space="0" w:color="auto"/>
              <w:bottom w:val="single" w:sz="4" w:space="0" w:color="auto"/>
              <w:right w:val="single" w:sz="4" w:space="0" w:color="auto"/>
            </w:tcBorders>
            <w:vAlign w:val="center"/>
            <w:hideMark/>
          </w:tcPr>
          <w:p w14:paraId="23AC8E43" w14:textId="77777777" w:rsidR="0053292D" w:rsidRPr="00290AB4" w:rsidRDefault="0053292D" w:rsidP="00507D72">
            <w:pPr>
              <w:pStyle w:val="PBACTableText"/>
              <w:keepNext/>
              <w:spacing w:before="0" w:after="0"/>
              <w:jc w:val="center"/>
            </w:pPr>
            <w:r w:rsidRPr="00290AB4">
              <w:t>-</w:t>
            </w:r>
          </w:p>
        </w:tc>
        <w:tc>
          <w:tcPr>
            <w:tcW w:w="1654" w:type="dxa"/>
            <w:tcBorders>
              <w:top w:val="single" w:sz="4" w:space="0" w:color="auto"/>
              <w:left w:val="single" w:sz="4" w:space="0" w:color="auto"/>
              <w:bottom w:val="single" w:sz="4" w:space="0" w:color="auto"/>
              <w:right w:val="single" w:sz="4" w:space="0" w:color="auto"/>
            </w:tcBorders>
            <w:vAlign w:val="center"/>
          </w:tcPr>
          <w:p w14:paraId="2DDA602E" w14:textId="4FAF9323" w:rsidR="0053292D" w:rsidRPr="001C30EF" w:rsidRDefault="003666AE" w:rsidP="00507D72">
            <w:pPr>
              <w:pStyle w:val="PBACTableText"/>
              <w:keepNext/>
              <w:spacing w:before="0" w:after="0"/>
              <w:jc w:val="center"/>
              <w:rPr>
                <w:highlight w:val="lightGray"/>
              </w:rPr>
            </w:pPr>
            <w:r w:rsidRPr="003666AE">
              <w:rPr>
                <w:color w:val="000000"/>
                <w:shd w:val="solid" w:color="000000" w:fill="000000"/>
                <w14:textFill>
                  <w14:solidFill>
                    <w14:srgbClr w14:val="000000">
                      <w14:alpha w14:val="100000"/>
                    </w14:srgbClr>
                  </w14:solidFill>
                </w14:textFill>
              </w:rPr>
              <w:t>|</w:t>
            </w:r>
            <w:r w:rsidRPr="003666AE">
              <w:t xml:space="preserve"> </w:t>
            </w:r>
          </w:p>
        </w:tc>
      </w:tr>
      <w:tr w:rsidR="0053292D" w:rsidRPr="00AB34C7" w14:paraId="5900290E" w14:textId="77777777" w:rsidTr="00507D72">
        <w:tc>
          <w:tcPr>
            <w:tcW w:w="5665" w:type="dxa"/>
            <w:tcBorders>
              <w:top w:val="single" w:sz="4" w:space="0" w:color="auto"/>
              <w:left w:val="single" w:sz="4" w:space="0" w:color="auto"/>
              <w:bottom w:val="single" w:sz="4" w:space="0" w:color="auto"/>
              <w:right w:val="single" w:sz="4" w:space="0" w:color="auto"/>
            </w:tcBorders>
            <w:vAlign w:val="center"/>
          </w:tcPr>
          <w:p w14:paraId="3772E8EF" w14:textId="661861BD" w:rsidR="0053292D" w:rsidRPr="00290AB4" w:rsidRDefault="0053292D" w:rsidP="00507D72">
            <w:pPr>
              <w:pStyle w:val="PBACTableText"/>
              <w:keepNext/>
              <w:tabs>
                <w:tab w:val="left" w:pos="142"/>
              </w:tabs>
              <w:spacing w:before="0" w:after="0"/>
            </w:pPr>
            <w:r w:rsidRPr="00290AB4">
              <w:t>IBR cost (AEMP) per 280</w:t>
            </w:r>
            <w:r w:rsidR="00DC6EBB" w:rsidRPr="00290AB4">
              <w:t> mg</w:t>
            </w:r>
            <w:r w:rsidRPr="00290AB4">
              <w:t xml:space="preserve"> script ($</w:t>
            </w:r>
            <w:r w:rsidR="003666AE" w:rsidRPr="003666AE">
              <w:rPr>
                <w:color w:val="000000"/>
                <w:spacing w:val="9"/>
                <w:shd w:val="solid" w:color="000000" w:fill="000000"/>
                <w:fitText w:val="310" w:id="-962325242"/>
                <w14:textFill>
                  <w14:solidFill>
                    <w14:srgbClr w14:val="000000">
                      <w14:alpha w14:val="100000"/>
                    </w14:srgbClr>
                  </w14:solidFill>
                </w14:textFill>
              </w:rPr>
              <w:t>||  |</w:t>
            </w:r>
            <w:r w:rsidR="003666AE" w:rsidRPr="003666AE">
              <w:rPr>
                <w:color w:val="000000"/>
                <w:spacing w:val="4"/>
                <w:shd w:val="solid" w:color="000000" w:fill="000000"/>
                <w:fitText w:val="310" w:id="-962325242"/>
                <w14:textFill>
                  <w14:solidFill>
                    <w14:srgbClr w14:val="000000">
                      <w14:alpha w14:val="100000"/>
                    </w14:srgbClr>
                  </w14:solidFill>
                </w14:textFill>
              </w:rPr>
              <w:t>|</w:t>
            </w:r>
            <w:r w:rsidRPr="00290AB4">
              <w:t xml:space="preserve"> ÷ 12.03 scripts x 2/3)</w:t>
            </w:r>
          </w:p>
        </w:tc>
        <w:tc>
          <w:tcPr>
            <w:tcW w:w="1653" w:type="dxa"/>
            <w:tcBorders>
              <w:top w:val="single" w:sz="4" w:space="0" w:color="auto"/>
              <w:left w:val="single" w:sz="4" w:space="0" w:color="auto"/>
              <w:bottom w:val="single" w:sz="4" w:space="0" w:color="auto"/>
              <w:right w:val="single" w:sz="4" w:space="0" w:color="auto"/>
            </w:tcBorders>
            <w:vAlign w:val="center"/>
          </w:tcPr>
          <w:p w14:paraId="4E5ED823" w14:textId="77777777" w:rsidR="0053292D" w:rsidRPr="00290AB4" w:rsidRDefault="0053292D" w:rsidP="00507D72">
            <w:pPr>
              <w:pStyle w:val="PBACTableText"/>
              <w:keepNext/>
              <w:spacing w:before="0" w:after="0"/>
              <w:jc w:val="center"/>
            </w:pPr>
          </w:p>
        </w:tc>
        <w:tc>
          <w:tcPr>
            <w:tcW w:w="1654" w:type="dxa"/>
            <w:tcBorders>
              <w:top w:val="single" w:sz="4" w:space="0" w:color="auto"/>
              <w:left w:val="single" w:sz="4" w:space="0" w:color="auto"/>
              <w:bottom w:val="single" w:sz="4" w:space="0" w:color="auto"/>
              <w:right w:val="single" w:sz="4" w:space="0" w:color="auto"/>
            </w:tcBorders>
            <w:vAlign w:val="center"/>
          </w:tcPr>
          <w:p w14:paraId="2796A336" w14:textId="0BB01F3A" w:rsidR="0053292D" w:rsidRPr="001C30EF" w:rsidRDefault="003666AE" w:rsidP="00507D72">
            <w:pPr>
              <w:pStyle w:val="PBACTableText"/>
              <w:keepNext/>
              <w:spacing w:before="0" w:after="0"/>
              <w:jc w:val="center"/>
              <w:rPr>
                <w:highlight w:val="lightGray"/>
              </w:rPr>
            </w:pPr>
            <w:r w:rsidRPr="003666AE">
              <w:rPr>
                <w:color w:val="000000"/>
                <w:shd w:val="solid" w:color="000000" w:fill="000000"/>
                <w14:textFill>
                  <w14:solidFill>
                    <w14:srgbClr w14:val="000000">
                      <w14:alpha w14:val="100000"/>
                    </w14:srgbClr>
                  </w14:solidFill>
                </w14:textFill>
              </w:rPr>
              <w:t>|</w:t>
            </w:r>
            <w:r w:rsidRPr="003666AE">
              <w:t xml:space="preserve"> </w:t>
            </w:r>
          </w:p>
        </w:tc>
      </w:tr>
      <w:tr w:rsidR="0053292D" w:rsidRPr="00AB34C7" w14:paraId="4FE6040A" w14:textId="77777777" w:rsidTr="00507D72">
        <w:tc>
          <w:tcPr>
            <w:tcW w:w="5665" w:type="dxa"/>
            <w:tcBorders>
              <w:top w:val="single" w:sz="4" w:space="0" w:color="auto"/>
              <w:left w:val="single" w:sz="4" w:space="0" w:color="auto"/>
              <w:bottom w:val="single" w:sz="4" w:space="0" w:color="auto"/>
              <w:right w:val="single" w:sz="4" w:space="0" w:color="auto"/>
            </w:tcBorders>
            <w:vAlign w:val="center"/>
          </w:tcPr>
          <w:p w14:paraId="7633E123" w14:textId="5D0EE097" w:rsidR="0053292D" w:rsidRPr="00290AB4" w:rsidRDefault="0053292D" w:rsidP="00507D72">
            <w:pPr>
              <w:pStyle w:val="PBACTableText"/>
              <w:keepNext/>
              <w:tabs>
                <w:tab w:val="left" w:pos="142"/>
              </w:tabs>
              <w:spacing w:before="0" w:after="0"/>
              <w:rPr>
                <w:vertAlign w:val="superscript"/>
              </w:rPr>
            </w:pPr>
            <w:r w:rsidRPr="00290AB4">
              <w:t>IBR cost (DPMQ) per 140</w:t>
            </w:r>
            <w:r w:rsidR="00DC6EBB" w:rsidRPr="00290AB4">
              <w:t> mg</w:t>
            </w:r>
            <w:r w:rsidRPr="00290AB4">
              <w:t xml:space="preserve"> or 420</w:t>
            </w:r>
            <w:r w:rsidR="00DC6EBB" w:rsidRPr="00290AB4">
              <w:t> mg</w:t>
            </w:r>
            <w:r w:rsidRPr="00290AB4">
              <w:t xml:space="preserve"> script</w:t>
            </w:r>
            <w:r w:rsidRPr="00290AB4">
              <w:rPr>
                <w:vertAlign w:val="superscript"/>
              </w:rPr>
              <w:t>b</w:t>
            </w:r>
          </w:p>
        </w:tc>
        <w:tc>
          <w:tcPr>
            <w:tcW w:w="1653" w:type="dxa"/>
            <w:tcBorders>
              <w:top w:val="single" w:sz="4" w:space="0" w:color="auto"/>
              <w:left w:val="single" w:sz="4" w:space="0" w:color="auto"/>
              <w:bottom w:val="single" w:sz="4" w:space="0" w:color="auto"/>
              <w:right w:val="single" w:sz="4" w:space="0" w:color="auto"/>
            </w:tcBorders>
            <w:vAlign w:val="center"/>
            <w:hideMark/>
          </w:tcPr>
          <w:p w14:paraId="3F5100DD" w14:textId="77777777" w:rsidR="0053292D" w:rsidRPr="00290AB4" w:rsidRDefault="0053292D" w:rsidP="00507D72">
            <w:pPr>
              <w:pStyle w:val="PBACTableText"/>
              <w:keepNext/>
              <w:spacing w:before="0" w:after="0"/>
              <w:jc w:val="center"/>
            </w:pPr>
            <w:r w:rsidRPr="00290AB4">
              <w:t>-</w:t>
            </w:r>
          </w:p>
        </w:tc>
        <w:tc>
          <w:tcPr>
            <w:tcW w:w="1654" w:type="dxa"/>
            <w:tcBorders>
              <w:top w:val="single" w:sz="4" w:space="0" w:color="auto"/>
              <w:left w:val="single" w:sz="4" w:space="0" w:color="auto"/>
              <w:bottom w:val="single" w:sz="4" w:space="0" w:color="auto"/>
              <w:right w:val="single" w:sz="4" w:space="0" w:color="auto"/>
            </w:tcBorders>
            <w:vAlign w:val="center"/>
          </w:tcPr>
          <w:p w14:paraId="219AEF96" w14:textId="3A45BA4D" w:rsidR="0053292D" w:rsidRPr="001C30EF" w:rsidRDefault="003666AE" w:rsidP="00507D72">
            <w:pPr>
              <w:pStyle w:val="PBACTableText"/>
              <w:keepNext/>
              <w:spacing w:before="0" w:after="0"/>
              <w:jc w:val="center"/>
              <w:rPr>
                <w:highlight w:val="lightGray"/>
                <w:vertAlign w:val="superscript"/>
              </w:rPr>
            </w:pPr>
            <w:r w:rsidRPr="003666AE">
              <w:rPr>
                <w:color w:val="000000"/>
                <w:shd w:val="solid" w:color="000000" w:fill="000000"/>
                <w14:textFill>
                  <w14:solidFill>
                    <w14:srgbClr w14:val="000000">
                      <w14:alpha w14:val="100000"/>
                    </w14:srgbClr>
                  </w14:solidFill>
                </w14:textFill>
              </w:rPr>
              <w:t>|</w:t>
            </w:r>
            <w:r w:rsidRPr="003666AE">
              <w:t xml:space="preserve"> </w:t>
            </w:r>
          </w:p>
        </w:tc>
      </w:tr>
      <w:tr w:rsidR="0053292D" w:rsidRPr="00AB34C7" w14:paraId="50415F4B" w14:textId="77777777" w:rsidTr="00507D72">
        <w:tc>
          <w:tcPr>
            <w:tcW w:w="5665" w:type="dxa"/>
            <w:tcBorders>
              <w:top w:val="single" w:sz="4" w:space="0" w:color="auto"/>
              <w:left w:val="single" w:sz="4" w:space="0" w:color="auto"/>
              <w:bottom w:val="single" w:sz="4" w:space="0" w:color="auto"/>
              <w:right w:val="single" w:sz="4" w:space="0" w:color="auto"/>
            </w:tcBorders>
            <w:vAlign w:val="center"/>
          </w:tcPr>
          <w:p w14:paraId="4635D677" w14:textId="0DFA5334" w:rsidR="0053292D" w:rsidRPr="00290AB4" w:rsidRDefault="0053292D" w:rsidP="00507D72">
            <w:pPr>
              <w:pStyle w:val="PBACTableText"/>
              <w:keepNext/>
              <w:tabs>
                <w:tab w:val="left" w:pos="142"/>
              </w:tabs>
              <w:spacing w:before="0" w:after="0"/>
            </w:pPr>
            <w:r w:rsidRPr="00290AB4">
              <w:t>IBR cost (DPMQ) per 280</w:t>
            </w:r>
            <w:r w:rsidR="00DC6EBB" w:rsidRPr="00290AB4">
              <w:t> mg</w:t>
            </w:r>
            <w:r w:rsidRPr="00290AB4">
              <w:t xml:space="preserve"> script</w:t>
            </w:r>
          </w:p>
        </w:tc>
        <w:tc>
          <w:tcPr>
            <w:tcW w:w="1653" w:type="dxa"/>
            <w:tcBorders>
              <w:top w:val="single" w:sz="4" w:space="0" w:color="auto"/>
              <w:left w:val="single" w:sz="4" w:space="0" w:color="auto"/>
              <w:bottom w:val="single" w:sz="4" w:space="0" w:color="auto"/>
              <w:right w:val="single" w:sz="4" w:space="0" w:color="auto"/>
            </w:tcBorders>
            <w:vAlign w:val="center"/>
          </w:tcPr>
          <w:p w14:paraId="1A715D1D" w14:textId="77777777" w:rsidR="0053292D" w:rsidRPr="00290AB4" w:rsidRDefault="0053292D" w:rsidP="00507D72">
            <w:pPr>
              <w:pStyle w:val="PBACTableText"/>
              <w:keepNext/>
              <w:spacing w:before="0" w:after="0"/>
              <w:jc w:val="center"/>
            </w:pPr>
          </w:p>
        </w:tc>
        <w:tc>
          <w:tcPr>
            <w:tcW w:w="1654" w:type="dxa"/>
            <w:tcBorders>
              <w:top w:val="single" w:sz="4" w:space="0" w:color="auto"/>
              <w:left w:val="single" w:sz="4" w:space="0" w:color="auto"/>
              <w:bottom w:val="single" w:sz="4" w:space="0" w:color="auto"/>
              <w:right w:val="single" w:sz="4" w:space="0" w:color="auto"/>
            </w:tcBorders>
            <w:vAlign w:val="center"/>
          </w:tcPr>
          <w:p w14:paraId="0A0DD8C3" w14:textId="14753890" w:rsidR="0053292D" w:rsidRPr="001C30EF" w:rsidRDefault="003666AE" w:rsidP="00507D72">
            <w:pPr>
              <w:pStyle w:val="PBACTableText"/>
              <w:keepNext/>
              <w:spacing w:before="0" w:after="0"/>
              <w:jc w:val="center"/>
              <w:rPr>
                <w:highlight w:val="lightGray"/>
                <w:vertAlign w:val="superscript"/>
              </w:rPr>
            </w:pPr>
            <w:r w:rsidRPr="003666AE">
              <w:rPr>
                <w:color w:val="000000"/>
                <w:shd w:val="solid" w:color="000000" w:fill="000000"/>
                <w14:textFill>
                  <w14:solidFill>
                    <w14:srgbClr w14:val="000000">
                      <w14:alpha w14:val="100000"/>
                    </w14:srgbClr>
                  </w14:solidFill>
                </w14:textFill>
              </w:rPr>
              <w:t>|</w:t>
            </w:r>
            <w:r w:rsidRPr="003666AE">
              <w:t xml:space="preserve"> </w:t>
            </w:r>
          </w:p>
        </w:tc>
      </w:tr>
    </w:tbl>
    <w:p w14:paraId="76F1B1C2" w14:textId="77777777" w:rsidR="0053292D" w:rsidRPr="00AB34C7" w:rsidRDefault="0053292D" w:rsidP="0053292D">
      <w:pPr>
        <w:pStyle w:val="COMTablefooter"/>
      </w:pPr>
      <w:r w:rsidRPr="00AB34C7">
        <w:t>Source: Section 3 economic analysis Excel workbook.</w:t>
      </w:r>
    </w:p>
    <w:p w14:paraId="2632CC18" w14:textId="10A8D69A" w:rsidR="00724BC0" w:rsidRPr="00AB34C7" w:rsidRDefault="00724BC0" w:rsidP="00724BC0">
      <w:pPr>
        <w:pStyle w:val="COMTablefooter"/>
      </w:pPr>
      <w:r w:rsidRPr="00AB34C7">
        <w:t>Abbreviations: AEMP, approved ex-manufacturer price; AF, atrial fibrillation; ECG, electrocardiogram; DPMQ, dispensed price for maximum quantity; IBR, ibrutinib; OBI, obinutuzumab; VEN, venetoclax.</w:t>
      </w:r>
    </w:p>
    <w:p w14:paraId="313D66CC" w14:textId="77777777" w:rsidR="0053292D" w:rsidRPr="00AB34C7" w:rsidRDefault="0053292D" w:rsidP="0053292D">
      <w:pPr>
        <w:pStyle w:val="COMTablefooter"/>
      </w:pPr>
      <w:r w:rsidRPr="00AB34C7">
        <w:rPr>
          <w:vertAlign w:val="superscript"/>
        </w:rPr>
        <w:t>a</w:t>
      </w:r>
      <w:r w:rsidRPr="00AB34C7">
        <w:t xml:space="preserve"> Based on the estimated effective AEMP for venetoclax initial and continuing scripts included in the resubmission.</w:t>
      </w:r>
    </w:p>
    <w:p w14:paraId="1B9D7BC0" w14:textId="3837608D" w:rsidR="0053292D" w:rsidRPr="00AB34C7" w:rsidRDefault="0053292D" w:rsidP="0053292D">
      <w:pPr>
        <w:pStyle w:val="COMTablefooter"/>
      </w:pPr>
      <w:r w:rsidRPr="00AB34C7">
        <w:rPr>
          <w:vertAlign w:val="superscript"/>
        </w:rPr>
        <w:t>b</w:t>
      </w:r>
      <w:r w:rsidRPr="00AB34C7">
        <w:t xml:space="preserve"> Proposed price per pack of 420</w:t>
      </w:r>
      <w:r w:rsidR="00DC6EBB" w:rsidRPr="00AB34C7">
        <w:t> mg</w:t>
      </w:r>
      <w:r w:rsidRPr="00AB34C7">
        <w:t xml:space="preserve"> tablets (30 tablets per pack) and 140</w:t>
      </w:r>
      <w:r w:rsidR="00DC6EBB" w:rsidRPr="00AB34C7">
        <w:t> mg</w:t>
      </w:r>
      <w:r w:rsidRPr="00AB34C7">
        <w:t xml:space="preserve"> capsules (90 capsules per pack)</w:t>
      </w:r>
      <w:r w:rsidR="00AB34C7">
        <w:t xml:space="preserve">. </w:t>
      </w:r>
    </w:p>
    <w:p w14:paraId="126B9A8E" w14:textId="576C5303" w:rsidR="00405D98" w:rsidRPr="00AB34C7" w:rsidRDefault="0053292D" w:rsidP="00AA787B">
      <w:pPr>
        <w:pStyle w:val="COMexecsumnumberedpara"/>
        <w:ind w:hanging="720"/>
        <w:rPr>
          <w:i/>
          <w:iCs/>
        </w:rPr>
      </w:pPr>
      <w:r w:rsidRPr="00AB34C7">
        <w:t>Based on the cost minimisation, the resubmission estimated an AEMP per pack of 420</w:t>
      </w:r>
      <w:r w:rsidR="00DC6EBB" w:rsidRPr="00AB34C7">
        <w:t> mg</w:t>
      </w:r>
      <w:r w:rsidRPr="00AB34C7">
        <w:t xml:space="preserve"> tablets (30 tablets per pack) and 140</w:t>
      </w:r>
      <w:r w:rsidR="00DC6EBB" w:rsidRPr="00AB34C7">
        <w:t> mg</w:t>
      </w:r>
      <w:r w:rsidRPr="00AB34C7">
        <w:t xml:space="preserve"> capsules (90 capsules per pack) of </w:t>
      </w:r>
      <w:r w:rsidR="00546C23">
        <w:t>$</w:t>
      </w:r>
      <w:r w:rsidR="003666AE" w:rsidRPr="00BD6269">
        <w:rPr>
          <w:color w:val="000000"/>
          <w:w w:val="15"/>
          <w:shd w:val="solid" w:color="000000" w:fill="000000"/>
          <w:fitText w:val="-20" w:id="-962325241"/>
          <w14:textFill>
            <w14:solidFill>
              <w14:srgbClr w14:val="000000">
                <w14:alpha w14:val="100000"/>
              </w14:srgbClr>
            </w14:solidFill>
          </w14:textFill>
        </w:rPr>
        <w:t xml:space="preserve">|  </w:t>
      </w:r>
      <w:r w:rsidR="003666AE" w:rsidRPr="00BD6269">
        <w:rPr>
          <w:color w:val="000000"/>
          <w:spacing w:val="-69"/>
          <w:w w:val="15"/>
          <w:shd w:val="solid" w:color="000000" w:fill="000000"/>
          <w:fitText w:val="-20" w:id="-962325241"/>
          <w14:textFill>
            <w14:solidFill>
              <w14:srgbClr w14:val="000000">
                <w14:alpha w14:val="100000"/>
              </w14:srgbClr>
            </w14:solidFill>
          </w14:textFill>
        </w:rPr>
        <w:t>|</w:t>
      </w:r>
      <w:r w:rsidR="00546C23">
        <w:t xml:space="preserve"> </w:t>
      </w:r>
      <w:r w:rsidR="003627B8" w:rsidRPr="001C30EF">
        <w:rPr>
          <w:strike/>
        </w:rPr>
        <w:t>$</w:t>
      </w:r>
      <w:r w:rsidR="003666AE" w:rsidRPr="00BD6269">
        <w:rPr>
          <w:strike/>
          <w:color w:val="000000"/>
          <w:w w:val="15"/>
          <w:shd w:val="solid" w:color="000000" w:fill="000000"/>
          <w:fitText w:val="-20" w:id="-962325240"/>
          <w14:textFill>
            <w14:solidFill>
              <w14:srgbClr w14:val="000000">
                <w14:alpha w14:val="100000"/>
              </w14:srgbClr>
            </w14:solidFill>
          </w14:textFill>
        </w:rPr>
        <w:t xml:space="preserve">|  </w:t>
      </w:r>
      <w:r w:rsidR="003666AE" w:rsidRPr="00BD6269">
        <w:rPr>
          <w:strike/>
          <w:color w:val="000000"/>
          <w:spacing w:val="-69"/>
          <w:w w:val="15"/>
          <w:shd w:val="solid" w:color="000000" w:fill="000000"/>
          <w:fitText w:val="-20" w:id="-962325240"/>
          <w14:textFill>
            <w14:solidFill>
              <w14:srgbClr w14:val="000000">
                <w14:alpha w14:val="100000"/>
              </w14:srgbClr>
            </w14:solidFill>
          </w14:textFill>
        </w:rPr>
        <w:t>|</w:t>
      </w:r>
      <w:r w:rsidRPr="00AB34C7">
        <w:t>; and an AEMP per pack of 280</w:t>
      </w:r>
      <w:r w:rsidR="00DC6EBB" w:rsidRPr="00AB34C7">
        <w:t> mg</w:t>
      </w:r>
      <w:r w:rsidRPr="00AB34C7">
        <w:t xml:space="preserve"> tablets</w:t>
      </w:r>
      <w:r w:rsidR="00731CE6" w:rsidRPr="00AB34C7">
        <w:t xml:space="preserve"> (30 tablets per pack)</w:t>
      </w:r>
      <w:r w:rsidRPr="00AB34C7">
        <w:t xml:space="preserve"> of $</w:t>
      </w:r>
      <w:r w:rsidR="003666AE" w:rsidRPr="00BD6269">
        <w:rPr>
          <w:color w:val="000000"/>
          <w:w w:val="15"/>
          <w:shd w:val="solid" w:color="000000" w:fill="000000"/>
          <w:fitText w:val="-20" w:id="-962325239"/>
          <w14:textFill>
            <w14:solidFill>
              <w14:srgbClr w14:val="000000">
                <w14:alpha w14:val="100000"/>
              </w14:srgbClr>
            </w14:solidFill>
          </w14:textFill>
        </w:rPr>
        <w:t xml:space="preserve">|  </w:t>
      </w:r>
      <w:r w:rsidR="003666AE" w:rsidRPr="00BD6269">
        <w:rPr>
          <w:color w:val="000000"/>
          <w:spacing w:val="-69"/>
          <w:w w:val="15"/>
          <w:shd w:val="solid" w:color="000000" w:fill="000000"/>
          <w:fitText w:val="-20" w:id="-962325239"/>
          <w14:textFill>
            <w14:solidFill>
              <w14:srgbClr w14:val="000000">
                <w14:alpha w14:val="100000"/>
              </w14:srgbClr>
            </w14:solidFill>
          </w14:textFill>
        </w:rPr>
        <w:t>|</w:t>
      </w:r>
      <w:r w:rsidRPr="00AB34C7">
        <w:t xml:space="preserve">. </w:t>
      </w:r>
    </w:p>
    <w:p w14:paraId="658B18CC" w14:textId="585C1480" w:rsidR="00405D98" w:rsidRPr="00AB34C7" w:rsidRDefault="00405D98" w:rsidP="00AA787B">
      <w:pPr>
        <w:pStyle w:val="COMexecsumnumberedpara"/>
        <w:ind w:hanging="720"/>
        <w:rPr>
          <w:i/>
          <w:iCs/>
        </w:rPr>
      </w:pPr>
      <w:r w:rsidRPr="00AB34C7">
        <w:rPr>
          <w:iCs/>
        </w:rPr>
        <w:lastRenderedPageBreak/>
        <w:t xml:space="preserve">The resubmission presented the results of sensitivity analyses applying a 5% reduction to the estimated effective price of venetoclax (to reflect a 5% statutory price reduction for venetoclax expected in April 2024); assuming 7.355 obinutuzumab scripts rather than 5.5 scripts; and removing all </w:t>
      </w:r>
      <w:r w:rsidR="00D31FCE" w:rsidRPr="00AB34C7">
        <w:rPr>
          <w:iCs/>
        </w:rPr>
        <w:t xml:space="preserve">additional </w:t>
      </w:r>
      <w:r w:rsidRPr="00AB34C7">
        <w:rPr>
          <w:iCs/>
        </w:rPr>
        <w:t>costs and costs offsets (see Table 3.6 of the resubmission). The resulting impact on the ibrutinib AEMP was +0.4%, +1.2% and -3.0%, respectively.</w:t>
      </w:r>
    </w:p>
    <w:p w14:paraId="5DF5E4A1" w14:textId="40033B03" w:rsidR="00405D98" w:rsidRPr="00AB34C7" w:rsidRDefault="007A10F0" w:rsidP="00AA787B">
      <w:pPr>
        <w:pStyle w:val="COMexecsumnumberedpara"/>
        <w:ind w:hanging="720"/>
        <w:rPr>
          <w:i/>
          <w:iCs/>
        </w:rPr>
      </w:pPr>
      <w:r w:rsidRPr="00AB34C7">
        <w:fldChar w:fldCharType="begin" w:fldLock="1"/>
      </w:r>
      <w:r w:rsidRPr="00AB34C7">
        <w:instrText xml:space="preserve"> REF _Ref153201678 \h </w:instrText>
      </w:r>
      <w:r w:rsidRPr="00AB34C7">
        <w:fldChar w:fldCharType="separate"/>
      </w:r>
      <w:r w:rsidR="008A42E6" w:rsidRPr="00AB34C7">
        <w:t xml:space="preserve">Table </w:t>
      </w:r>
      <w:r w:rsidR="008A42E6" w:rsidRPr="00B95C74">
        <w:t>15</w:t>
      </w:r>
      <w:r w:rsidRPr="00AB34C7">
        <w:fldChar w:fldCharType="end"/>
      </w:r>
      <w:r w:rsidR="00405D98" w:rsidRPr="00AB34C7">
        <w:t xml:space="preserve"> presents the results of additional sensitivity analyses conducted during the evaluation.</w:t>
      </w:r>
    </w:p>
    <w:p w14:paraId="15BB735F" w14:textId="5AEAF10F" w:rsidR="00405D98" w:rsidRPr="00AB34C7" w:rsidRDefault="007A10F0" w:rsidP="00405D98">
      <w:pPr>
        <w:pStyle w:val="TableHeading"/>
        <w:spacing w:before="0" w:after="0" w:line="240" w:lineRule="auto"/>
        <w:jc w:val="both"/>
      </w:pPr>
      <w:bookmarkStart w:id="49" w:name="_Ref153201678"/>
      <w:r w:rsidRPr="00AB34C7">
        <w:t xml:space="preserve">Table </w:t>
      </w:r>
      <w:fldSimple w:instr=" SEQ Table \* ARABIC " w:fldLock="1">
        <w:r w:rsidR="008A42E6" w:rsidRPr="00B95C74">
          <w:t>15</w:t>
        </w:r>
      </w:fldSimple>
      <w:bookmarkEnd w:id="49"/>
      <w:r w:rsidR="00405D98" w:rsidRPr="00AB34C7">
        <w:t>: Sensitivity analyses conducted during the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5: Sensitivity analyses conducted during the evaluation"/>
      </w:tblPr>
      <w:tblGrid>
        <w:gridCol w:w="6475"/>
        <w:gridCol w:w="1320"/>
        <w:gridCol w:w="1177"/>
      </w:tblGrid>
      <w:tr w:rsidR="00405D98" w:rsidRPr="00AB34C7" w14:paraId="0FEA6CE3" w14:textId="77777777" w:rsidTr="00A214AB">
        <w:trPr>
          <w:trHeight w:val="53"/>
        </w:trPr>
        <w:tc>
          <w:tcPr>
            <w:tcW w:w="6475" w:type="dxa"/>
            <w:tcBorders>
              <w:top w:val="single" w:sz="4" w:space="0" w:color="auto"/>
              <w:left w:val="single" w:sz="4" w:space="0" w:color="auto"/>
              <w:right w:val="single" w:sz="4" w:space="0" w:color="auto"/>
            </w:tcBorders>
            <w:vAlign w:val="center"/>
          </w:tcPr>
          <w:p w14:paraId="5345CB11" w14:textId="77777777" w:rsidR="00405D98" w:rsidRPr="00AB34C7" w:rsidRDefault="00405D98" w:rsidP="00A214AB">
            <w:pPr>
              <w:pStyle w:val="PBACTableText"/>
              <w:keepNext/>
              <w:tabs>
                <w:tab w:val="left" w:pos="142"/>
              </w:tabs>
              <w:spacing w:before="0" w:after="0"/>
              <w:jc w:val="left"/>
              <w:rPr>
                <w:b/>
                <w:bCs/>
              </w:rPr>
            </w:pPr>
            <w:r w:rsidRPr="00AB34C7">
              <w:rPr>
                <w:b/>
                <w:bCs/>
              </w:rPr>
              <w:t>Analyses</w:t>
            </w:r>
          </w:p>
        </w:tc>
        <w:tc>
          <w:tcPr>
            <w:tcW w:w="1320" w:type="dxa"/>
            <w:tcBorders>
              <w:top w:val="single" w:sz="4" w:space="0" w:color="auto"/>
              <w:left w:val="single" w:sz="4" w:space="0" w:color="auto"/>
              <w:right w:val="single" w:sz="4" w:space="0" w:color="auto"/>
            </w:tcBorders>
            <w:vAlign w:val="center"/>
            <w:hideMark/>
          </w:tcPr>
          <w:p w14:paraId="378C36EC" w14:textId="0E74E950" w:rsidR="00405D98" w:rsidRPr="00AB34C7" w:rsidRDefault="00405D98" w:rsidP="00507D72">
            <w:pPr>
              <w:pStyle w:val="PBACTableText"/>
              <w:keepNext/>
              <w:spacing w:before="0" w:after="0"/>
              <w:jc w:val="center"/>
              <w:rPr>
                <w:b/>
                <w:vertAlign w:val="superscript"/>
              </w:rPr>
            </w:pPr>
            <w:r w:rsidRPr="00AB34C7">
              <w:rPr>
                <w:b/>
              </w:rPr>
              <w:t>AEMP</w:t>
            </w:r>
            <w:r w:rsidRPr="00AB34C7">
              <w:rPr>
                <w:b/>
                <w:vertAlign w:val="superscript"/>
              </w:rPr>
              <w:t>a</w:t>
            </w:r>
            <w:r w:rsidR="00CD66DC">
              <w:rPr>
                <w:b/>
                <w:vertAlign w:val="superscript"/>
              </w:rPr>
              <w:t xml:space="preserve"> </w:t>
            </w:r>
            <w:r w:rsidR="00CD66DC" w:rsidRPr="001C30EF">
              <w:rPr>
                <w:b/>
              </w:rPr>
              <w:t>($)</w:t>
            </w:r>
          </w:p>
        </w:tc>
        <w:tc>
          <w:tcPr>
            <w:tcW w:w="1177" w:type="dxa"/>
            <w:tcBorders>
              <w:top w:val="single" w:sz="4" w:space="0" w:color="auto"/>
              <w:left w:val="single" w:sz="4" w:space="0" w:color="auto"/>
              <w:right w:val="single" w:sz="4" w:space="0" w:color="auto"/>
            </w:tcBorders>
            <w:vAlign w:val="center"/>
            <w:hideMark/>
          </w:tcPr>
          <w:p w14:paraId="1923DD38" w14:textId="77777777" w:rsidR="00405D98" w:rsidRPr="00AB34C7" w:rsidRDefault="00405D98" w:rsidP="00507D72">
            <w:pPr>
              <w:pStyle w:val="PBACTableText"/>
              <w:keepNext/>
              <w:spacing w:before="0" w:after="0"/>
              <w:jc w:val="center"/>
              <w:rPr>
                <w:b/>
              </w:rPr>
            </w:pPr>
            <w:r w:rsidRPr="00AB34C7">
              <w:rPr>
                <w:b/>
              </w:rPr>
              <w:t>% change in AEMP</w:t>
            </w:r>
          </w:p>
        </w:tc>
      </w:tr>
      <w:tr w:rsidR="00405D98" w:rsidRPr="00AB34C7" w14:paraId="4A094A8D" w14:textId="77777777" w:rsidTr="00A214AB">
        <w:tc>
          <w:tcPr>
            <w:tcW w:w="6475" w:type="dxa"/>
            <w:tcBorders>
              <w:top w:val="single" w:sz="4" w:space="0" w:color="auto"/>
              <w:left w:val="single" w:sz="4" w:space="0" w:color="auto"/>
              <w:bottom w:val="single" w:sz="4" w:space="0" w:color="auto"/>
              <w:right w:val="single" w:sz="4" w:space="0" w:color="auto"/>
            </w:tcBorders>
            <w:vAlign w:val="center"/>
          </w:tcPr>
          <w:p w14:paraId="2F5FF524" w14:textId="77777777" w:rsidR="00405D98" w:rsidRPr="00AB34C7" w:rsidRDefault="00405D98" w:rsidP="00A214AB">
            <w:pPr>
              <w:pStyle w:val="PBACTableText"/>
              <w:keepNext/>
              <w:tabs>
                <w:tab w:val="left" w:pos="142"/>
              </w:tabs>
              <w:spacing w:before="0" w:after="0"/>
              <w:jc w:val="left"/>
              <w:rPr>
                <w:b/>
                <w:bCs/>
              </w:rPr>
            </w:pPr>
            <w:r w:rsidRPr="00AB34C7">
              <w:rPr>
                <w:b/>
                <w:bCs/>
              </w:rPr>
              <w:t>Resubmission base case</w:t>
            </w:r>
          </w:p>
        </w:tc>
        <w:tc>
          <w:tcPr>
            <w:tcW w:w="1320" w:type="dxa"/>
            <w:tcBorders>
              <w:top w:val="single" w:sz="4" w:space="0" w:color="auto"/>
              <w:left w:val="single" w:sz="4" w:space="0" w:color="auto"/>
              <w:bottom w:val="single" w:sz="4" w:space="0" w:color="auto"/>
              <w:right w:val="single" w:sz="4" w:space="0" w:color="auto"/>
            </w:tcBorders>
            <w:vAlign w:val="center"/>
          </w:tcPr>
          <w:p w14:paraId="0F4C3428" w14:textId="3DDFF7FE" w:rsidR="00405D98" w:rsidRPr="001C30EF" w:rsidRDefault="003666AE" w:rsidP="00507D72">
            <w:pPr>
              <w:pStyle w:val="PBACTableText"/>
              <w:keepNext/>
              <w:spacing w:before="0" w:after="0"/>
              <w:jc w:val="center"/>
              <w:rPr>
                <w:b/>
                <w:bCs/>
                <w:highlight w:val="lightGray"/>
              </w:rPr>
            </w:pPr>
            <w:r w:rsidRPr="003666AE">
              <w:rPr>
                <w:b/>
                <w:bCs/>
                <w:color w:val="000000"/>
                <w:shd w:val="solid" w:color="000000" w:fill="000000"/>
                <w14:textFill>
                  <w14:solidFill>
                    <w14:srgbClr w14:val="000000">
                      <w14:alpha w14:val="100000"/>
                    </w14:srgbClr>
                  </w14:solidFill>
                </w14:textFill>
              </w:rPr>
              <w:t>|</w:t>
            </w:r>
            <w:r w:rsidRPr="003666AE">
              <w:rPr>
                <w:b/>
                <w:bCs/>
              </w:rPr>
              <w:t xml:space="preserve"> </w:t>
            </w:r>
          </w:p>
        </w:tc>
        <w:tc>
          <w:tcPr>
            <w:tcW w:w="1177" w:type="dxa"/>
            <w:tcBorders>
              <w:top w:val="single" w:sz="4" w:space="0" w:color="auto"/>
              <w:left w:val="single" w:sz="4" w:space="0" w:color="auto"/>
              <w:bottom w:val="single" w:sz="4" w:space="0" w:color="auto"/>
              <w:right w:val="single" w:sz="4" w:space="0" w:color="auto"/>
            </w:tcBorders>
            <w:vAlign w:val="center"/>
          </w:tcPr>
          <w:p w14:paraId="7979A058" w14:textId="77777777" w:rsidR="00405D98" w:rsidRPr="00AB34C7" w:rsidRDefault="00405D98" w:rsidP="00507D72">
            <w:pPr>
              <w:pStyle w:val="PBACTableText"/>
              <w:keepNext/>
              <w:spacing w:before="0" w:after="0"/>
              <w:jc w:val="center"/>
            </w:pPr>
            <w:r w:rsidRPr="00AB34C7">
              <w:t>-</w:t>
            </w:r>
          </w:p>
        </w:tc>
      </w:tr>
      <w:tr w:rsidR="00546C23" w:rsidRPr="00AB34C7" w14:paraId="1B915DF3" w14:textId="77777777" w:rsidTr="00A214AB">
        <w:tc>
          <w:tcPr>
            <w:tcW w:w="6475" w:type="dxa"/>
            <w:tcBorders>
              <w:top w:val="single" w:sz="4" w:space="0" w:color="auto"/>
              <w:left w:val="single" w:sz="4" w:space="0" w:color="auto"/>
              <w:bottom w:val="single" w:sz="4" w:space="0" w:color="auto"/>
              <w:right w:val="single" w:sz="4" w:space="0" w:color="auto"/>
            </w:tcBorders>
            <w:vAlign w:val="center"/>
          </w:tcPr>
          <w:p w14:paraId="617DE35B" w14:textId="77777777" w:rsidR="00546C23" w:rsidRPr="00AB34C7" w:rsidRDefault="00546C23" w:rsidP="00546C23">
            <w:pPr>
              <w:pStyle w:val="PBACTableText"/>
              <w:keepNext/>
              <w:tabs>
                <w:tab w:val="left" w:pos="142"/>
              </w:tabs>
              <w:spacing w:before="0" w:after="0"/>
              <w:jc w:val="left"/>
            </w:pPr>
            <w:r w:rsidRPr="00AB34C7">
              <w:t xml:space="preserve">Removal of 1 day adjustment applied to mean treatment duration </w:t>
            </w:r>
          </w:p>
        </w:tc>
        <w:tc>
          <w:tcPr>
            <w:tcW w:w="1320" w:type="dxa"/>
            <w:tcBorders>
              <w:top w:val="single" w:sz="4" w:space="0" w:color="auto"/>
              <w:left w:val="single" w:sz="4" w:space="0" w:color="auto"/>
              <w:bottom w:val="single" w:sz="4" w:space="0" w:color="auto"/>
              <w:right w:val="single" w:sz="4" w:space="0" w:color="auto"/>
            </w:tcBorders>
            <w:vAlign w:val="center"/>
          </w:tcPr>
          <w:p w14:paraId="3587F59F" w14:textId="24A819C6" w:rsidR="00546C23" w:rsidRPr="001C30EF" w:rsidRDefault="003666AE" w:rsidP="00546C23">
            <w:pPr>
              <w:pStyle w:val="PBACTableText"/>
              <w:keepNext/>
              <w:spacing w:before="0" w:after="0"/>
              <w:jc w:val="center"/>
              <w:rPr>
                <w:highlight w:val="lightGray"/>
              </w:rPr>
            </w:pPr>
            <w:r w:rsidRPr="003666AE">
              <w:rPr>
                <w:color w:val="000000"/>
                <w:shd w:val="solid" w:color="000000" w:fill="000000"/>
                <w14:textFill>
                  <w14:solidFill>
                    <w14:srgbClr w14:val="000000">
                      <w14:alpha w14:val="100000"/>
                    </w14:srgbClr>
                  </w14:solidFill>
                </w14:textFill>
              </w:rPr>
              <w:t>|</w:t>
            </w:r>
            <w:r w:rsidRPr="003666AE">
              <w:t xml:space="preserve"> </w:t>
            </w:r>
          </w:p>
        </w:tc>
        <w:tc>
          <w:tcPr>
            <w:tcW w:w="1177" w:type="dxa"/>
            <w:tcBorders>
              <w:top w:val="single" w:sz="4" w:space="0" w:color="auto"/>
              <w:left w:val="single" w:sz="4" w:space="0" w:color="auto"/>
              <w:bottom w:val="single" w:sz="4" w:space="0" w:color="auto"/>
              <w:right w:val="single" w:sz="4" w:space="0" w:color="auto"/>
            </w:tcBorders>
            <w:vAlign w:val="center"/>
          </w:tcPr>
          <w:p w14:paraId="3BE6AD41" w14:textId="0297FDEF" w:rsidR="00546C23" w:rsidRPr="00546C23" w:rsidRDefault="00546C23" w:rsidP="00546C23">
            <w:pPr>
              <w:pStyle w:val="PBACTableText"/>
              <w:keepNext/>
              <w:spacing w:before="0" w:after="0"/>
              <w:jc w:val="center"/>
            </w:pPr>
            <w:r w:rsidRPr="001C30EF">
              <w:t>-0.7%</w:t>
            </w:r>
          </w:p>
        </w:tc>
      </w:tr>
      <w:tr w:rsidR="00546C23" w:rsidRPr="00AB34C7" w14:paraId="1E16A551" w14:textId="77777777" w:rsidTr="00A214AB">
        <w:tc>
          <w:tcPr>
            <w:tcW w:w="6475" w:type="dxa"/>
            <w:tcBorders>
              <w:top w:val="single" w:sz="4" w:space="0" w:color="auto"/>
              <w:left w:val="single" w:sz="4" w:space="0" w:color="auto"/>
              <w:bottom w:val="single" w:sz="4" w:space="0" w:color="auto"/>
              <w:right w:val="single" w:sz="4" w:space="0" w:color="auto"/>
            </w:tcBorders>
            <w:vAlign w:val="center"/>
          </w:tcPr>
          <w:p w14:paraId="39C3B281" w14:textId="77777777" w:rsidR="00546C23" w:rsidRPr="00AB34C7" w:rsidRDefault="00546C23" w:rsidP="00546C23">
            <w:pPr>
              <w:pStyle w:val="PBACTableText"/>
              <w:keepNext/>
              <w:tabs>
                <w:tab w:val="left" w:pos="142"/>
              </w:tabs>
              <w:spacing w:before="0" w:after="0"/>
              <w:jc w:val="left"/>
            </w:pPr>
            <w:r w:rsidRPr="00AB34C7">
              <w:t>Removal of 1 day adjustment applied to mean treatment duration and dexamethasone cost based on AEMP (rather than price to pharmacy)</w:t>
            </w:r>
          </w:p>
        </w:tc>
        <w:tc>
          <w:tcPr>
            <w:tcW w:w="1320" w:type="dxa"/>
            <w:tcBorders>
              <w:top w:val="single" w:sz="4" w:space="0" w:color="auto"/>
              <w:left w:val="single" w:sz="4" w:space="0" w:color="auto"/>
              <w:bottom w:val="single" w:sz="4" w:space="0" w:color="auto"/>
              <w:right w:val="single" w:sz="4" w:space="0" w:color="auto"/>
            </w:tcBorders>
            <w:vAlign w:val="center"/>
          </w:tcPr>
          <w:p w14:paraId="23A3DD6D" w14:textId="492AED2A" w:rsidR="00546C23" w:rsidRPr="001C30EF" w:rsidRDefault="003666AE" w:rsidP="00546C23">
            <w:pPr>
              <w:pStyle w:val="PBACTableText"/>
              <w:keepNext/>
              <w:spacing w:before="0" w:after="0"/>
              <w:jc w:val="center"/>
              <w:rPr>
                <w:highlight w:val="lightGray"/>
              </w:rPr>
            </w:pPr>
            <w:r w:rsidRPr="003666AE">
              <w:rPr>
                <w:color w:val="000000"/>
                <w:shd w:val="solid" w:color="000000" w:fill="000000"/>
                <w14:textFill>
                  <w14:solidFill>
                    <w14:srgbClr w14:val="000000">
                      <w14:alpha w14:val="100000"/>
                    </w14:srgbClr>
                  </w14:solidFill>
                </w14:textFill>
              </w:rPr>
              <w:t>|</w:t>
            </w:r>
            <w:r w:rsidRPr="003666AE">
              <w:t xml:space="preserve"> </w:t>
            </w:r>
          </w:p>
        </w:tc>
        <w:tc>
          <w:tcPr>
            <w:tcW w:w="1177" w:type="dxa"/>
            <w:tcBorders>
              <w:top w:val="single" w:sz="4" w:space="0" w:color="auto"/>
              <w:left w:val="single" w:sz="4" w:space="0" w:color="auto"/>
              <w:bottom w:val="single" w:sz="4" w:space="0" w:color="auto"/>
              <w:right w:val="single" w:sz="4" w:space="0" w:color="auto"/>
            </w:tcBorders>
            <w:vAlign w:val="center"/>
          </w:tcPr>
          <w:p w14:paraId="60725AEA" w14:textId="1BF55ED7" w:rsidR="00546C23" w:rsidRPr="00546C23" w:rsidRDefault="00546C23" w:rsidP="00546C23">
            <w:pPr>
              <w:pStyle w:val="PBACTableText"/>
              <w:keepNext/>
              <w:spacing w:before="0" w:after="0"/>
              <w:jc w:val="center"/>
            </w:pPr>
            <w:r w:rsidRPr="001C30EF">
              <w:t>-0.7%</w:t>
            </w:r>
          </w:p>
        </w:tc>
      </w:tr>
      <w:tr w:rsidR="00546C23" w:rsidRPr="00AB34C7" w14:paraId="1684BB8F" w14:textId="77777777" w:rsidTr="00A214AB">
        <w:tc>
          <w:tcPr>
            <w:tcW w:w="6475" w:type="dxa"/>
            <w:tcBorders>
              <w:top w:val="single" w:sz="4" w:space="0" w:color="auto"/>
              <w:left w:val="single" w:sz="4" w:space="0" w:color="auto"/>
              <w:bottom w:val="single" w:sz="4" w:space="0" w:color="auto"/>
              <w:right w:val="single" w:sz="4" w:space="0" w:color="auto"/>
            </w:tcBorders>
            <w:vAlign w:val="center"/>
          </w:tcPr>
          <w:p w14:paraId="65D0D3E3" w14:textId="77777777" w:rsidR="00546C23" w:rsidRPr="00AB34C7" w:rsidRDefault="00546C23" w:rsidP="00546C23">
            <w:pPr>
              <w:pStyle w:val="PBACTableText"/>
              <w:keepNext/>
              <w:tabs>
                <w:tab w:val="left" w:pos="142"/>
              </w:tabs>
              <w:spacing w:before="0" w:after="0"/>
              <w:jc w:val="left"/>
            </w:pPr>
            <w:r w:rsidRPr="00AB34C7">
              <w:t>Mean treatment duration for ibrutinib and venetoclax based on the CAPTIVATE study (13.3 months and 11.0 months, respectively)</w:t>
            </w:r>
          </w:p>
        </w:tc>
        <w:tc>
          <w:tcPr>
            <w:tcW w:w="1320" w:type="dxa"/>
            <w:tcBorders>
              <w:top w:val="single" w:sz="4" w:space="0" w:color="auto"/>
              <w:left w:val="single" w:sz="4" w:space="0" w:color="auto"/>
              <w:bottom w:val="single" w:sz="4" w:space="0" w:color="auto"/>
              <w:right w:val="single" w:sz="4" w:space="0" w:color="auto"/>
            </w:tcBorders>
            <w:vAlign w:val="center"/>
          </w:tcPr>
          <w:p w14:paraId="175DA5E7" w14:textId="74739F63" w:rsidR="00546C23" w:rsidRPr="001C30EF" w:rsidRDefault="003666AE" w:rsidP="00546C23">
            <w:pPr>
              <w:pStyle w:val="PBACTableText"/>
              <w:keepNext/>
              <w:spacing w:before="0" w:after="0"/>
              <w:jc w:val="center"/>
              <w:rPr>
                <w:highlight w:val="lightGray"/>
              </w:rPr>
            </w:pPr>
            <w:r w:rsidRPr="003666AE">
              <w:rPr>
                <w:color w:val="000000"/>
                <w:shd w:val="solid" w:color="000000" w:fill="000000"/>
                <w14:textFill>
                  <w14:solidFill>
                    <w14:srgbClr w14:val="000000">
                      <w14:alpha w14:val="100000"/>
                    </w14:srgbClr>
                  </w14:solidFill>
                </w14:textFill>
              </w:rPr>
              <w:t>|</w:t>
            </w:r>
            <w:r w:rsidRPr="003666AE">
              <w:t xml:space="preserve"> </w:t>
            </w:r>
          </w:p>
        </w:tc>
        <w:tc>
          <w:tcPr>
            <w:tcW w:w="1177" w:type="dxa"/>
            <w:tcBorders>
              <w:top w:val="single" w:sz="4" w:space="0" w:color="auto"/>
              <w:left w:val="single" w:sz="4" w:space="0" w:color="auto"/>
              <w:bottom w:val="single" w:sz="4" w:space="0" w:color="auto"/>
              <w:right w:val="single" w:sz="4" w:space="0" w:color="auto"/>
            </w:tcBorders>
            <w:vAlign w:val="center"/>
          </w:tcPr>
          <w:p w14:paraId="7EB23ABF" w14:textId="2F442D9C" w:rsidR="00546C23" w:rsidRPr="00546C23" w:rsidRDefault="00546C23" w:rsidP="00546C23">
            <w:pPr>
              <w:pStyle w:val="PBACTableText"/>
              <w:keepNext/>
              <w:spacing w:before="0" w:after="0"/>
              <w:jc w:val="center"/>
            </w:pPr>
            <w:r w:rsidRPr="001C30EF">
              <w:t>-18.9%</w:t>
            </w:r>
          </w:p>
        </w:tc>
      </w:tr>
    </w:tbl>
    <w:p w14:paraId="7D1C0E53" w14:textId="77777777" w:rsidR="00405D98" w:rsidRPr="00AB34C7" w:rsidRDefault="00405D98" w:rsidP="00405D98">
      <w:pPr>
        <w:pStyle w:val="COMTablefooter"/>
      </w:pPr>
      <w:r w:rsidRPr="00AB34C7">
        <w:t>Source: Constructed during the evaluation using the Section 3 cost-minimisation Excel workbook.</w:t>
      </w:r>
    </w:p>
    <w:p w14:paraId="385E7AE4" w14:textId="77777777" w:rsidR="00405D98" w:rsidRPr="00AB34C7" w:rsidRDefault="00405D98" w:rsidP="00405D98">
      <w:pPr>
        <w:pStyle w:val="COMTablefooter"/>
      </w:pPr>
      <w:r w:rsidRPr="00AB34C7">
        <w:t>Abbreviations: AEMP, approved ex-manufacturer price.</w:t>
      </w:r>
    </w:p>
    <w:p w14:paraId="1B9D56AB" w14:textId="24B4F3CA" w:rsidR="00405D98" w:rsidRPr="00AB34C7" w:rsidRDefault="00405D98" w:rsidP="00405D98">
      <w:pPr>
        <w:pStyle w:val="COMTablefooter"/>
      </w:pPr>
      <w:r w:rsidRPr="00AB34C7">
        <w:rPr>
          <w:vertAlign w:val="superscript"/>
        </w:rPr>
        <w:t>a</w:t>
      </w:r>
      <w:r w:rsidRPr="00AB34C7">
        <w:t xml:space="preserve"> Analyses based on AEMP for 420</w:t>
      </w:r>
      <w:r w:rsidR="00DC6EBB" w:rsidRPr="00AB34C7">
        <w:t> mg</w:t>
      </w:r>
      <w:r w:rsidRPr="00AB34C7">
        <w:t xml:space="preserve"> tablets (pack of 30) and 140</w:t>
      </w:r>
      <w:r w:rsidR="00DC6EBB" w:rsidRPr="00AB34C7">
        <w:t> mg</w:t>
      </w:r>
      <w:r w:rsidRPr="00AB34C7">
        <w:t xml:space="preserve"> capsules (pack of 120).</w:t>
      </w:r>
    </w:p>
    <w:p w14:paraId="472842D7" w14:textId="085EF8AB" w:rsidR="00C25D9C" w:rsidRPr="00AB34C7" w:rsidRDefault="00C25D9C" w:rsidP="00BB732D">
      <w:pPr>
        <w:pStyle w:val="COMH2-non-numbered"/>
      </w:pPr>
      <w:bookmarkStart w:id="50" w:name="_Toc22897646"/>
      <w:bookmarkStart w:id="51" w:name="_Toc156912606"/>
      <w:r w:rsidRPr="00AB34C7">
        <w:t>Drug cost/patient/course</w:t>
      </w:r>
      <w:bookmarkEnd w:id="50"/>
      <w:bookmarkEnd w:id="51"/>
    </w:p>
    <w:bookmarkStart w:id="52" w:name="_Ref104805102"/>
    <w:p w14:paraId="165F5665" w14:textId="1B9E5DBE" w:rsidR="006A43D9" w:rsidRPr="00AB34C7" w:rsidRDefault="00033154" w:rsidP="00AA787B">
      <w:pPr>
        <w:pStyle w:val="COMexecsumnumberedpara"/>
        <w:ind w:hanging="720"/>
      </w:pPr>
      <w:r w:rsidRPr="00AB34C7">
        <w:fldChar w:fldCharType="begin" w:fldLock="1"/>
      </w:r>
      <w:r w:rsidRPr="00AB34C7">
        <w:instrText xml:space="preserve"> REF _Ref153202103 \h </w:instrText>
      </w:r>
      <w:r w:rsidR="00F94A93" w:rsidRPr="00AB34C7">
        <w:instrText xml:space="preserve"> \* MERGEFORMAT </w:instrText>
      </w:r>
      <w:r w:rsidRPr="00AB34C7">
        <w:fldChar w:fldCharType="separate"/>
      </w:r>
      <w:r w:rsidR="008A42E6" w:rsidRPr="00AB34C7">
        <w:t>Table 16</w:t>
      </w:r>
      <w:r w:rsidRPr="00AB34C7">
        <w:fldChar w:fldCharType="end"/>
      </w:r>
      <w:r w:rsidR="006A43D9" w:rsidRPr="00AB34C7">
        <w:t xml:space="preserve"> </w:t>
      </w:r>
      <w:r w:rsidR="0000007D" w:rsidRPr="00AB34C7">
        <w:t>presents a comparison of drug costs for ibrutinib + venetoclax and venetoclax + obinutuzumab included in the economic model and financial estimates.</w:t>
      </w:r>
    </w:p>
    <w:p w14:paraId="51691BD3" w14:textId="306B0D93" w:rsidR="00494207" w:rsidRPr="00AB34C7" w:rsidRDefault="00E16AD8" w:rsidP="00FD4ED6">
      <w:pPr>
        <w:pStyle w:val="COMtablefigcaption"/>
      </w:pPr>
      <w:bookmarkStart w:id="53" w:name="_Ref153202103"/>
      <w:r w:rsidRPr="00AB34C7">
        <w:lastRenderedPageBreak/>
        <w:t xml:space="preserve">Table </w:t>
      </w:r>
      <w:fldSimple w:instr=" SEQ Table \* ARABIC " w:fldLock="1">
        <w:r w:rsidR="008A42E6" w:rsidRPr="00B95C74">
          <w:t>16</w:t>
        </w:r>
      </w:fldSimple>
      <w:bookmarkEnd w:id="52"/>
      <w:bookmarkEnd w:id="53"/>
      <w:r w:rsidRPr="00AB34C7">
        <w:t>:</w:t>
      </w:r>
      <w:r w:rsidR="00494207" w:rsidRPr="00AB34C7">
        <w:t xml:space="preserve"> Drug cost per patient for </w:t>
      </w:r>
      <w:r w:rsidR="00F94A93" w:rsidRPr="00AB34C7">
        <w:t>ibrutinib + venetoclax and venetoclax + obinutuzumab</w:t>
      </w:r>
    </w:p>
    <w:tbl>
      <w:tblPr>
        <w:tblStyle w:val="TableGrid"/>
        <w:tblW w:w="5000" w:type="pct"/>
        <w:tblCellMar>
          <w:left w:w="28" w:type="dxa"/>
          <w:right w:w="28" w:type="dxa"/>
        </w:tblCellMar>
        <w:tblLook w:val="04A0" w:firstRow="1" w:lastRow="0" w:firstColumn="1" w:lastColumn="0" w:noHBand="0" w:noVBand="1"/>
        <w:tblCaption w:val="Table 16: Drug cost per patient for ibrutinib + venetoclax and venetoclax + obinutuzumab"/>
      </w:tblPr>
      <w:tblGrid>
        <w:gridCol w:w="1838"/>
        <w:gridCol w:w="2393"/>
        <w:gridCol w:w="2393"/>
        <w:gridCol w:w="2393"/>
      </w:tblGrid>
      <w:tr w:rsidR="0000007D" w:rsidRPr="00AB34C7" w14:paraId="3B382836" w14:textId="77777777" w:rsidTr="008C232C">
        <w:tc>
          <w:tcPr>
            <w:tcW w:w="1838" w:type="dxa"/>
          </w:tcPr>
          <w:p w14:paraId="1F4E0B6A" w14:textId="77777777" w:rsidR="0000007D" w:rsidRPr="00AB34C7" w:rsidRDefault="0000007D" w:rsidP="00507D72">
            <w:pPr>
              <w:keepNext/>
              <w:rPr>
                <w:rFonts w:ascii="Arial Narrow" w:hAnsi="Arial Narrow"/>
                <w:sz w:val="20"/>
                <w:szCs w:val="20"/>
              </w:rPr>
            </w:pPr>
            <w:bookmarkStart w:id="54" w:name="_Hlk153210000"/>
          </w:p>
        </w:tc>
        <w:tc>
          <w:tcPr>
            <w:tcW w:w="2393" w:type="dxa"/>
            <w:vAlign w:val="center"/>
          </w:tcPr>
          <w:p w14:paraId="1018A22D" w14:textId="66CD34FD" w:rsidR="0000007D" w:rsidRPr="00AB34C7" w:rsidRDefault="009C4A43" w:rsidP="00507D72">
            <w:pPr>
              <w:keepNext/>
              <w:jc w:val="center"/>
              <w:rPr>
                <w:rFonts w:ascii="Arial Narrow" w:hAnsi="Arial Narrow"/>
                <w:b/>
                <w:bCs/>
                <w:sz w:val="20"/>
                <w:szCs w:val="20"/>
                <w:vertAlign w:val="superscript"/>
              </w:rPr>
            </w:pPr>
            <w:r w:rsidRPr="00AB34C7">
              <w:rPr>
                <w:rFonts w:ascii="Arial Narrow" w:hAnsi="Arial Narrow"/>
                <w:b/>
                <w:bCs/>
                <w:sz w:val="20"/>
                <w:szCs w:val="20"/>
              </w:rPr>
              <w:t xml:space="preserve">Clinical </w:t>
            </w:r>
            <w:r w:rsidR="0078757E" w:rsidRPr="00AB34C7">
              <w:rPr>
                <w:rFonts w:ascii="Arial Narrow" w:hAnsi="Arial Narrow"/>
                <w:b/>
                <w:bCs/>
                <w:sz w:val="20"/>
                <w:szCs w:val="20"/>
              </w:rPr>
              <w:t>trial</w:t>
            </w:r>
            <w:r w:rsidRPr="00AB34C7">
              <w:rPr>
                <w:rFonts w:ascii="Arial Narrow" w:hAnsi="Arial Narrow"/>
                <w:b/>
                <w:bCs/>
                <w:sz w:val="20"/>
                <w:szCs w:val="20"/>
                <w:vertAlign w:val="superscript"/>
              </w:rPr>
              <w:t>a</w:t>
            </w:r>
          </w:p>
        </w:tc>
        <w:tc>
          <w:tcPr>
            <w:tcW w:w="2393" w:type="dxa"/>
            <w:vAlign w:val="center"/>
          </w:tcPr>
          <w:p w14:paraId="1C124276" w14:textId="77777777" w:rsidR="0000007D" w:rsidRPr="00AB34C7" w:rsidRDefault="0000007D" w:rsidP="00507D72">
            <w:pPr>
              <w:keepNext/>
              <w:jc w:val="center"/>
              <w:rPr>
                <w:rFonts w:ascii="Arial Narrow" w:hAnsi="Arial Narrow"/>
                <w:b/>
                <w:bCs/>
                <w:sz w:val="20"/>
                <w:szCs w:val="20"/>
              </w:rPr>
            </w:pPr>
            <w:r w:rsidRPr="00AB34C7">
              <w:rPr>
                <w:rFonts w:ascii="Arial Narrow" w:hAnsi="Arial Narrow"/>
                <w:b/>
                <w:bCs/>
                <w:sz w:val="20"/>
                <w:szCs w:val="20"/>
              </w:rPr>
              <w:t>Cost-minimisation</w:t>
            </w:r>
          </w:p>
        </w:tc>
        <w:tc>
          <w:tcPr>
            <w:tcW w:w="2393" w:type="dxa"/>
            <w:vAlign w:val="center"/>
          </w:tcPr>
          <w:p w14:paraId="038C5F7E" w14:textId="77777777" w:rsidR="0000007D" w:rsidRPr="00AB34C7" w:rsidRDefault="0000007D" w:rsidP="00507D72">
            <w:pPr>
              <w:keepNext/>
              <w:jc w:val="center"/>
              <w:rPr>
                <w:rFonts w:ascii="Arial Narrow" w:hAnsi="Arial Narrow"/>
                <w:b/>
                <w:bCs/>
                <w:sz w:val="20"/>
                <w:szCs w:val="20"/>
              </w:rPr>
            </w:pPr>
            <w:r w:rsidRPr="00AB34C7">
              <w:rPr>
                <w:rFonts w:ascii="Arial Narrow" w:hAnsi="Arial Narrow"/>
                <w:b/>
                <w:bCs/>
                <w:sz w:val="20"/>
                <w:szCs w:val="20"/>
              </w:rPr>
              <w:t>Financial estimates</w:t>
            </w:r>
          </w:p>
        </w:tc>
      </w:tr>
      <w:tr w:rsidR="0000007D" w:rsidRPr="00AB34C7" w14:paraId="571CF1D6" w14:textId="77777777" w:rsidTr="00575E7C">
        <w:tc>
          <w:tcPr>
            <w:tcW w:w="9017" w:type="dxa"/>
            <w:gridSpan w:val="4"/>
            <w:vAlign w:val="center"/>
          </w:tcPr>
          <w:p w14:paraId="746B655F" w14:textId="0E4BBD44" w:rsidR="0000007D" w:rsidRPr="00AB34C7" w:rsidRDefault="0000007D" w:rsidP="00507D72">
            <w:pPr>
              <w:keepNext/>
              <w:jc w:val="left"/>
              <w:rPr>
                <w:rFonts w:ascii="Arial Narrow" w:hAnsi="Arial Narrow"/>
                <w:b/>
                <w:bCs/>
                <w:sz w:val="20"/>
                <w:szCs w:val="20"/>
              </w:rPr>
            </w:pPr>
            <w:r w:rsidRPr="00AB34C7">
              <w:rPr>
                <w:rFonts w:ascii="Arial Narrow" w:hAnsi="Arial Narrow"/>
                <w:b/>
                <w:bCs/>
                <w:sz w:val="20"/>
                <w:szCs w:val="20"/>
              </w:rPr>
              <w:t>Ibrutinib + venetoclax</w:t>
            </w:r>
          </w:p>
        </w:tc>
      </w:tr>
      <w:tr w:rsidR="00AE5507" w:rsidRPr="00AB34C7" w14:paraId="3F38CD34" w14:textId="77777777" w:rsidTr="007047DD">
        <w:tc>
          <w:tcPr>
            <w:tcW w:w="9017" w:type="dxa"/>
            <w:gridSpan w:val="4"/>
            <w:vAlign w:val="center"/>
          </w:tcPr>
          <w:p w14:paraId="654911B2" w14:textId="70E6F50C" w:rsidR="00AE5507" w:rsidRPr="00AB34C7" w:rsidRDefault="00AE5507" w:rsidP="00AE5507">
            <w:pPr>
              <w:keepNext/>
              <w:jc w:val="left"/>
              <w:rPr>
                <w:rFonts w:ascii="Arial Narrow" w:hAnsi="Arial Narrow"/>
                <w:sz w:val="20"/>
                <w:szCs w:val="20"/>
              </w:rPr>
            </w:pPr>
            <w:r w:rsidRPr="00AB34C7">
              <w:rPr>
                <w:rFonts w:ascii="Arial Narrow" w:hAnsi="Arial Narrow"/>
                <w:b/>
                <w:bCs/>
                <w:smallCaps/>
                <w:sz w:val="20"/>
                <w:szCs w:val="20"/>
              </w:rPr>
              <w:t>ibrutinib</w:t>
            </w:r>
          </w:p>
        </w:tc>
      </w:tr>
      <w:tr w:rsidR="0000007D" w:rsidRPr="00AB34C7" w14:paraId="66527A03" w14:textId="77777777" w:rsidTr="008C232C">
        <w:tc>
          <w:tcPr>
            <w:tcW w:w="1838" w:type="dxa"/>
            <w:vAlign w:val="center"/>
          </w:tcPr>
          <w:p w14:paraId="0C767031" w14:textId="4A8B020D" w:rsidR="0000007D" w:rsidRPr="00AB34C7" w:rsidRDefault="0000007D" w:rsidP="00507D72">
            <w:pPr>
              <w:keepNext/>
              <w:jc w:val="left"/>
              <w:rPr>
                <w:rFonts w:ascii="Arial Narrow" w:hAnsi="Arial Narrow"/>
                <w:sz w:val="20"/>
                <w:szCs w:val="20"/>
              </w:rPr>
            </w:pPr>
            <w:r w:rsidRPr="00AB34C7">
              <w:rPr>
                <w:rFonts w:ascii="Arial Narrow" w:hAnsi="Arial Narrow"/>
                <w:sz w:val="20"/>
                <w:szCs w:val="20"/>
              </w:rPr>
              <w:t>Cost per script (</w:t>
            </w:r>
            <w:r w:rsidR="003C348D" w:rsidRPr="00AB34C7">
              <w:rPr>
                <w:rFonts w:ascii="Arial Narrow" w:hAnsi="Arial Narrow"/>
                <w:sz w:val="20"/>
                <w:szCs w:val="20"/>
              </w:rPr>
              <w:t>AEMP</w:t>
            </w:r>
            <w:r w:rsidRPr="00AB34C7">
              <w:rPr>
                <w:rFonts w:ascii="Arial Narrow" w:hAnsi="Arial Narrow"/>
                <w:sz w:val="20"/>
                <w:szCs w:val="20"/>
              </w:rPr>
              <w:t>)</w:t>
            </w:r>
          </w:p>
        </w:tc>
        <w:tc>
          <w:tcPr>
            <w:tcW w:w="2393" w:type="dxa"/>
            <w:vAlign w:val="center"/>
          </w:tcPr>
          <w:p w14:paraId="36BACC49" w14:textId="77777777" w:rsidR="0000007D" w:rsidRPr="00AB34C7" w:rsidRDefault="0000007D" w:rsidP="00507D72">
            <w:pPr>
              <w:keepNext/>
              <w:jc w:val="center"/>
              <w:rPr>
                <w:rFonts w:ascii="Arial Narrow" w:hAnsi="Arial Narrow"/>
                <w:sz w:val="20"/>
                <w:szCs w:val="20"/>
              </w:rPr>
            </w:pPr>
            <w:r w:rsidRPr="00AB34C7">
              <w:rPr>
                <w:rFonts w:ascii="Arial Narrow" w:hAnsi="Arial Narrow"/>
                <w:sz w:val="20"/>
                <w:szCs w:val="20"/>
              </w:rPr>
              <w:t>-</w:t>
            </w:r>
          </w:p>
        </w:tc>
        <w:tc>
          <w:tcPr>
            <w:tcW w:w="2393" w:type="dxa"/>
            <w:vAlign w:val="center"/>
          </w:tcPr>
          <w:p w14:paraId="373BE71C" w14:textId="1779F92E" w:rsidR="0000007D" w:rsidRPr="00AB34C7" w:rsidRDefault="001D03F4" w:rsidP="00101832">
            <w:pPr>
              <w:keepNext/>
              <w:jc w:val="center"/>
              <w:rPr>
                <w:rFonts w:ascii="Arial Narrow" w:hAnsi="Arial Narrow"/>
                <w:sz w:val="20"/>
                <w:szCs w:val="20"/>
              </w:rPr>
            </w:pPr>
            <w:r w:rsidRPr="00AB34C7">
              <w:rPr>
                <w:rFonts w:ascii="Arial Narrow" w:hAnsi="Arial Narrow"/>
                <w:sz w:val="20"/>
                <w:szCs w:val="20"/>
              </w:rPr>
              <w:t>$</w:t>
            </w:r>
            <w:r w:rsidR="003666AE" w:rsidRPr="003666AE">
              <w:rPr>
                <w:rFonts w:ascii="Arial Narrow" w:hAnsi="Arial Narrow"/>
                <w:color w:val="000000"/>
                <w:sz w:val="20"/>
                <w:szCs w:val="20"/>
                <w:shd w:val="solid" w:color="000000" w:fill="000000"/>
                <w14:textFill>
                  <w14:solidFill>
                    <w14:srgbClr w14:val="000000">
                      <w14:alpha w14:val="100000"/>
                    </w14:srgbClr>
                  </w14:solidFill>
                </w14:textFill>
              </w:rPr>
              <w:t>|</w:t>
            </w:r>
          </w:p>
        </w:tc>
        <w:tc>
          <w:tcPr>
            <w:tcW w:w="2393" w:type="dxa"/>
            <w:vAlign w:val="center"/>
          </w:tcPr>
          <w:p w14:paraId="101DE7CE" w14:textId="46C39664" w:rsidR="0000007D" w:rsidRPr="00AB34C7" w:rsidRDefault="003C348D" w:rsidP="00507D72">
            <w:pPr>
              <w:keepNext/>
              <w:jc w:val="center"/>
              <w:rPr>
                <w:rFonts w:ascii="Arial Narrow" w:hAnsi="Arial Narrow"/>
                <w:sz w:val="20"/>
                <w:szCs w:val="20"/>
              </w:rPr>
            </w:pPr>
            <w:r w:rsidRPr="00AB34C7">
              <w:rPr>
                <w:rFonts w:ascii="Arial Narrow" w:hAnsi="Arial Narrow"/>
                <w:sz w:val="20"/>
                <w:szCs w:val="20"/>
              </w:rPr>
              <w:t>$</w:t>
            </w:r>
            <w:r w:rsidR="003666AE" w:rsidRPr="003666AE">
              <w:rPr>
                <w:rFonts w:ascii="Arial Narrow" w:hAnsi="Arial Narrow"/>
                <w:color w:val="000000"/>
                <w:sz w:val="20"/>
                <w:szCs w:val="20"/>
                <w:shd w:val="solid" w:color="000000" w:fill="000000"/>
                <w14:textFill>
                  <w14:solidFill>
                    <w14:srgbClr w14:val="000000">
                      <w14:alpha w14:val="100000"/>
                    </w14:srgbClr>
                  </w14:solidFill>
                </w14:textFill>
              </w:rPr>
              <w:t>|</w:t>
            </w:r>
          </w:p>
        </w:tc>
      </w:tr>
      <w:tr w:rsidR="0000007D" w:rsidRPr="00AB34C7" w14:paraId="727F94A1" w14:textId="77777777" w:rsidTr="008C232C">
        <w:tc>
          <w:tcPr>
            <w:tcW w:w="1838" w:type="dxa"/>
            <w:vAlign w:val="center"/>
          </w:tcPr>
          <w:p w14:paraId="051FBD6E" w14:textId="5ECBB5A0" w:rsidR="0000007D" w:rsidRPr="00AB34C7" w:rsidRDefault="0078757E" w:rsidP="00507D72">
            <w:pPr>
              <w:keepNext/>
              <w:jc w:val="left"/>
              <w:rPr>
                <w:rFonts w:ascii="Arial Narrow" w:hAnsi="Arial Narrow"/>
                <w:sz w:val="20"/>
                <w:szCs w:val="20"/>
              </w:rPr>
            </w:pPr>
            <w:r w:rsidRPr="00AB34C7">
              <w:rPr>
                <w:rFonts w:ascii="Arial Narrow" w:hAnsi="Arial Narrow"/>
                <w:sz w:val="20"/>
                <w:szCs w:val="20"/>
              </w:rPr>
              <w:t>Compliance</w:t>
            </w:r>
          </w:p>
        </w:tc>
        <w:tc>
          <w:tcPr>
            <w:tcW w:w="2393" w:type="dxa"/>
            <w:vAlign w:val="center"/>
          </w:tcPr>
          <w:p w14:paraId="368D382F" w14:textId="2D60E2C5" w:rsidR="0000007D" w:rsidRPr="00AB34C7" w:rsidRDefault="00B62865" w:rsidP="00514AEE">
            <w:pPr>
              <w:keepNext/>
              <w:jc w:val="center"/>
              <w:rPr>
                <w:rFonts w:ascii="Arial Narrow" w:hAnsi="Arial Narrow"/>
                <w:sz w:val="20"/>
                <w:szCs w:val="20"/>
              </w:rPr>
            </w:pPr>
            <w:r w:rsidRPr="00AB34C7">
              <w:rPr>
                <w:rFonts w:ascii="Arial Narrow" w:hAnsi="Arial Narrow"/>
                <w:sz w:val="20"/>
                <w:szCs w:val="20"/>
              </w:rPr>
              <w:t>Mean exposure:</w:t>
            </w:r>
            <w:r w:rsidR="00514AEE" w:rsidRPr="00AB34C7">
              <w:rPr>
                <w:rFonts w:ascii="Arial Narrow" w:hAnsi="Arial Narrow"/>
                <w:sz w:val="20"/>
                <w:szCs w:val="20"/>
              </w:rPr>
              <w:t xml:space="preserve"> </w:t>
            </w:r>
            <w:r w:rsidRPr="00AB34C7">
              <w:rPr>
                <w:rFonts w:ascii="Arial Narrow" w:hAnsi="Arial Narrow"/>
                <w:sz w:val="20"/>
                <w:szCs w:val="20"/>
              </w:rPr>
              <w:t>11.89 months</w:t>
            </w:r>
            <w:r w:rsidR="0078757E" w:rsidRPr="00AB34C7">
              <w:rPr>
                <w:rFonts w:ascii="Arial Narrow" w:hAnsi="Arial Narrow"/>
                <w:sz w:val="20"/>
                <w:szCs w:val="20"/>
              </w:rPr>
              <w:t>; 91.0% dose intensity</w:t>
            </w:r>
          </w:p>
        </w:tc>
        <w:tc>
          <w:tcPr>
            <w:tcW w:w="2393" w:type="dxa"/>
            <w:vAlign w:val="center"/>
          </w:tcPr>
          <w:p w14:paraId="62B13E43" w14:textId="4E8D2DBB" w:rsidR="0000007D" w:rsidRPr="00AB34C7" w:rsidRDefault="00514AEE" w:rsidP="00101832">
            <w:pPr>
              <w:keepNext/>
              <w:jc w:val="center"/>
              <w:rPr>
                <w:rFonts w:ascii="Arial Narrow" w:hAnsi="Arial Narrow"/>
                <w:sz w:val="20"/>
                <w:szCs w:val="20"/>
              </w:rPr>
            </w:pPr>
            <w:r w:rsidRPr="00AB34C7">
              <w:rPr>
                <w:rFonts w:ascii="Arial Narrow" w:hAnsi="Arial Narrow"/>
                <w:sz w:val="20"/>
                <w:szCs w:val="20"/>
              </w:rPr>
              <w:t>12.03 scripts</w:t>
            </w:r>
          </w:p>
        </w:tc>
        <w:tc>
          <w:tcPr>
            <w:tcW w:w="2393" w:type="dxa"/>
            <w:vAlign w:val="center"/>
          </w:tcPr>
          <w:p w14:paraId="44AE6C5A" w14:textId="04B77948" w:rsidR="0000007D" w:rsidRPr="00AB34C7" w:rsidRDefault="00B072BB" w:rsidP="00507D72">
            <w:pPr>
              <w:keepNext/>
              <w:jc w:val="center"/>
              <w:rPr>
                <w:rFonts w:ascii="Arial Narrow" w:hAnsi="Arial Narrow"/>
                <w:sz w:val="20"/>
                <w:szCs w:val="20"/>
                <w:vertAlign w:val="superscript"/>
              </w:rPr>
            </w:pPr>
            <w:r w:rsidRPr="00AB34C7">
              <w:rPr>
                <w:rFonts w:ascii="Arial Narrow" w:hAnsi="Arial Narrow"/>
                <w:sz w:val="20"/>
                <w:szCs w:val="20"/>
              </w:rPr>
              <w:t>12.03 scripts</w:t>
            </w:r>
          </w:p>
        </w:tc>
      </w:tr>
      <w:tr w:rsidR="0000007D" w:rsidRPr="00AB34C7" w14:paraId="05DAEC62" w14:textId="77777777" w:rsidTr="008C232C">
        <w:trPr>
          <w:trHeight w:val="148"/>
        </w:trPr>
        <w:tc>
          <w:tcPr>
            <w:tcW w:w="1838" w:type="dxa"/>
            <w:vAlign w:val="center"/>
          </w:tcPr>
          <w:p w14:paraId="229C16F3" w14:textId="77777777" w:rsidR="0000007D" w:rsidRPr="00AB34C7" w:rsidRDefault="0000007D" w:rsidP="00507D72">
            <w:pPr>
              <w:keepNext/>
              <w:jc w:val="left"/>
              <w:rPr>
                <w:rFonts w:ascii="Arial Narrow" w:hAnsi="Arial Narrow"/>
                <w:sz w:val="20"/>
                <w:szCs w:val="20"/>
              </w:rPr>
            </w:pPr>
            <w:r w:rsidRPr="00AB34C7">
              <w:rPr>
                <w:rFonts w:ascii="Arial Narrow" w:hAnsi="Arial Narrow"/>
                <w:sz w:val="20"/>
                <w:szCs w:val="20"/>
              </w:rPr>
              <w:t>Cost per course</w:t>
            </w:r>
          </w:p>
        </w:tc>
        <w:tc>
          <w:tcPr>
            <w:tcW w:w="2393" w:type="dxa"/>
            <w:vAlign w:val="center"/>
          </w:tcPr>
          <w:p w14:paraId="592926D7" w14:textId="5ECAA377" w:rsidR="0000007D" w:rsidRPr="00AB34C7" w:rsidRDefault="00CD7FB7" w:rsidP="00507D72">
            <w:pPr>
              <w:keepNext/>
              <w:jc w:val="center"/>
              <w:rPr>
                <w:rFonts w:ascii="Arial Narrow" w:hAnsi="Arial Narrow"/>
                <w:sz w:val="20"/>
                <w:szCs w:val="20"/>
                <w:highlight w:val="yellow"/>
              </w:rPr>
            </w:pPr>
            <w:r w:rsidRPr="00AB34C7">
              <w:rPr>
                <w:rFonts w:ascii="Arial Narrow" w:hAnsi="Arial Narrow"/>
                <w:sz w:val="20"/>
                <w:szCs w:val="20"/>
              </w:rPr>
              <w:t>-</w:t>
            </w:r>
          </w:p>
        </w:tc>
        <w:tc>
          <w:tcPr>
            <w:tcW w:w="2393" w:type="dxa"/>
            <w:vAlign w:val="center"/>
          </w:tcPr>
          <w:p w14:paraId="1AC3F9A6" w14:textId="5213AD05" w:rsidR="0000007D" w:rsidRPr="00AB34C7" w:rsidRDefault="002B7288" w:rsidP="00507D72">
            <w:pPr>
              <w:keepNext/>
              <w:jc w:val="center"/>
              <w:rPr>
                <w:rFonts w:ascii="Arial Narrow" w:hAnsi="Arial Narrow"/>
                <w:sz w:val="20"/>
                <w:szCs w:val="20"/>
              </w:rPr>
            </w:pPr>
            <w:r w:rsidRPr="00AB34C7">
              <w:rPr>
                <w:rFonts w:ascii="Arial Narrow" w:hAnsi="Arial Narrow"/>
                <w:sz w:val="20"/>
                <w:szCs w:val="20"/>
              </w:rPr>
              <w:t>$</w:t>
            </w:r>
            <w:r w:rsidR="003666AE" w:rsidRPr="003666AE">
              <w:rPr>
                <w:rFonts w:ascii="Arial Narrow" w:hAnsi="Arial Narrow"/>
                <w:color w:val="000000"/>
                <w:sz w:val="20"/>
                <w:szCs w:val="20"/>
                <w:shd w:val="solid" w:color="000000" w:fill="000000"/>
                <w14:textFill>
                  <w14:solidFill>
                    <w14:srgbClr w14:val="000000">
                      <w14:alpha w14:val="100000"/>
                    </w14:srgbClr>
                  </w14:solidFill>
                </w14:textFill>
              </w:rPr>
              <w:t>|</w:t>
            </w:r>
          </w:p>
        </w:tc>
        <w:tc>
          <w:tcPr>
            <w:tcW w:w="2393" w:type="dxa"/>
            <w:vAlign w:val="center"/>
          </w:tcPr>
          <w:p w14:paraId="6B4D0C3A" w14:textId="628D930B" w:rsidR="0000007D" w:rsidRPr="00AB34C7" w:rsidRDefault="003A74D5" w:rsidP="00507D72">
            <w:pPr>
              <w:keepNext/>
              <w:jc w:val="center"/>
              <w:rPr>
                <w:rFonts w:ascii="Arial Narrow" w:hAnsi="Arial Narrow"/>
                <w:sz w:val="20"/>
                <w:szCs w:val="20"/>
                <w:vertAlign w:val="superscript"/>
              </w:rPr>
            </w:pPr>
            <w:r w:rsidRPr="00AB34C7">
              <w:rPr>
                <w:rFonts w:ascii="Arial Narrow" w:hAnsi="Arial Narrow"/>
                <w:sz w:val="20"/>
                <w:szCs w:val="20"/>
              </w:rPr>
              <w:t>$</w:t>
            </w:r>
            <w:r w:rsidR="003666AE" w:rsidRPr="003666AE">
              <w:rPr>
                <w:rFonts w:ascii="Arial Narrow" w:hAnsi="Arial Narrow"/>
                <w:color w:val="000000"/>
                <w:sz w:val="20"/>
                <w:szCs w:val="20"/>
                <w:shd w:val="solid" w:color="000000" w:fill="000000"/>
                <w14:textFill>
                  <w14:solidFill>
                    <w14:srgbClr w14:val="000000">
                      <w14:alpha w14:val="100000"/>
                    </w14:srgbClr>
                  </w14:solidFill>
                </w14:textFill>
              </w:rPr>
              <w:t>|</w:t>
            </w:r>
          </w:p>
        </w:tc>
      </w:tr>
      <w:tr w:rsidR="00AE5507" w:rsidRPr="00AB34C7" w14:paraId="1ABE1500" w14:textId="77777777" w:rsidTr="003800D3">
        <w:trPr>
          <w:trHeight w:val="148"/>
        </w:trPr>
        <w:tc>
          <w:tcPr>
            <w:tcW w:w="9017" w:type="dxa"/>
            <w:gridSpan w:val="4"/>
            <w:vAlign w:val="center"/>
          </w:tcPr>
          <w:p w14:paraId="1992406B" w14:textId="489EFA87" w:rsidR="00AE5507" w:rsidRPr="00AB34C7" w:rsidRDefault="00AE5507" w:rsidP="00AE5507">
            <w:pPr>
              <w:keepNext/>
              <w:jc w:val="left"/>
              <w:rPr>
                <w:rFonts w:ascii="Arial Narrow" w:hAnsi="Arial Narrow"/>
                <w:sz w:val="20"/>
                <w:szCs w:val="20"/>
              </w:rPr>
            </w:pPr>
            <w:r w:rsidRPr="00AB34C7">
              <w:rPr>
                <w:rFonts w:ascii="Arial Narrow" w:hAnsi="Arial Narrow"/>
                <w:b/>
                <w:bCs/>
                <w:smallCaps/>
                <w:sz w:val="20"/>
                <w:szCs w:val="20"/>
              </w:rPr>
              <w:t>venetoclax</w:t>
            </w:r>
          </w:p>
        </w:tc>
      </w:tr>
      <w:tr w:rsidR="00F94A93" w:rsidRPr="00AB34C7" w14:paraId="0F107CC0" w14:textId="77777777" w:rsidTr="008C232C">
        <w:trPr>
          <w:trHeight w:val="148"/>
        </w:trPr>
        <w:tc>
          <w:tcPr>
            <w:tcW w:w="1838" w:type="dxa"/>
            <w:vAlign w:val="center"/>
          </w:tcPr>
          <w:p w14:paraId="4D79EB9E" w14:textId="3F617985" w:rsidR="00F94A93" w:rsidRPr="00AB34C7" w:rsidRDefault="00F94A93" w:rsidP="00F94A93">
            <w:pPr>
              <w:keepNext/>
              <w:jc w:val="left"/>
              <w:rPr>
                <w:rFonts w:ascii="Arial Narrow" w:hAnsi="Arial Narrow"/>
                <w:sz w:val="20"/>
                <w:szCs w:val="20"/>
              </w:rPr>
            </w:pPr>
            <w:r w:rsidRPr="00AB34C7">
              <w:rPr>
                <w:rFonts w:ascii="Arial Narrow" w:hAnsi="Arial Narrow"/>
                <w:sz w:val="20"/>
                <w:szCs w:val="20"/>
              </w:rPr>
              <w:t>Cost per script (AEMP)</w:t>
            </w:r>
          </w:p>
        </w:tc>
        <w:tc>
          <w:tcPr>
            <w:tcW w:w="2393" w:type="dxa"/>
            <w:vAlign w:val="center"/>
          </w:tcPr>
          <w:p w14:paraId="5950EFD4" w14:textId="5AB1118B" w:rsidR="00F94A93" w:rsidRPr="00AB34C7" w:rsidRDefault="00F94A93" w:rsidP="00F94A93">
            <w:pPr>
              <w:keepNext/>
              <w:jc w:val="center"/>
              <w:rPr>
                <w:rFonts w:ascii="Arial Narrow" w:hAnsi="Arial Narrow"/>
                <w:sz w:val="20"/>
                <w:szCs w:val="20"/>
              </w:rPr>
            </w:pPr>
            <w:r w:rsidRPr="00AB34C7">
              <w:rPr>
                <w:rFonts w:ascii="Arial Narrow" w:hAnsi="Arial Narrow"/>
                <w:sz w:val="20"/>
                <w:szCs w:val="20"/>
              </w:rPr>
              <w:t>-</w:t>
            </w:r>
          </w:p>
        </w:tc>
        <w:tc>
          <w:tcPr>
            <w:tcW w:w="2393" w:type="dxa"/>
            <w:vAlign w:val="center"/>
          </w:tcPr>
          <w:p w14:paraId="3C2C0382" w14:textId="73A5AEBF" w:rsidR="00B072BB" w:rsidRPr="00AB34C7" w:rsidRDefault="00B072BB" w:rsidP="00B072BB">
            <w:pPr>
              <w:keepNext/>
              <w:jc w:val="center"/>
              <w:rPr>
                <w:rFonts w:ascii="Arial Narrow" w:hAnsi="Arial Narrow"/>
                <w:sz w:val="20"/>
                <w:szCs w:val="20"/>
                <w:vertAlign w:val="superscript"/>
              </w:rPr>
            </w:pPr>
            <w:r w:rsidRPr="00AB34C7">
              <w:rPr>
                <w:rFonts w:ascii="Arial Narrow" w:hAnsi="Arial Narrow"/>
                <w:sz w:val="20"/>
                <w:szCs w:val="20"/>
              </w:rPr>
              <w:t>Starter pack: $</w:t>
            </w:r>
            <w:r w:rsidR="003666AE" w:rsidRPr="003666AE">
              <w:rPr>
                <w:rFonts w:ascii="Arial Narrow" w:hAnsi="Arial Narrow"/>
                <w:color w:val="000000"/>
                <w:sz w:val="20"/>
                <w:szCs w:val="20"/>
                <w:shd w:val="solid" w:color="000000" w:fill="000000"/>
                <w14:textFill>
                  <w14:solidFill>
                    <w14:srgbClr w14:val="000000">
                      <w14:alpha w14:val="100000"/>
                    </w14:srgbClr>
                  </w14:solidFill>
                </w14:textFill>
              </w:rPr>
              <w:t>|</w:t>
            </w:r>
            <w:r w:rsidRPr="00AB34C7">
              <w:rPr>
                <w:rFonts w:ascii="Arial Narrow" w:hAnsi="Arial Narrow"/>
                <w:sz w:val="20"/>
                <w:szCs w:val="20"/>
              </w:rPr>
              <w:t> </w:t>
            </w:r>
            <w:r w:rsidR="003A74D5" w:rsidRPr="00AB34C7">
              <w:rPr>
                <w:rFonts w:ascii="Arial Narrow" w:hAnsi="Arial Narrow"/>
                <w:sz w:val="20"/>
                <w:szCs w:val="20"/>
                <w:vertAlign w:val="superscript"/>
              </w:rPr>
              <w:t>b</w:t>
            </w:r>
          </w:p>
          <w:p w14:paraId="110D7348" w14:textId="483B3BF2" w:rsidR="00F94A93" w:rsidRPr="00AB34C7" w:rsidRDefault="00B072BB" w:rsidP="00B072BB">
            <w:pPr>
              <w:keepNext/>
              <w:jc w:val="center"/>
              <w:rPr>
                <w:rFonts w:ascii="Arial Narrow" w:hAnsi="Arial Narrow"/>
                <w:sz w:val="20"/>
                <w:szCs w:val="20"/>
              </w:rPr>
            </w:pPr>
            <w:r w:rsidRPr="00AB34C7">
              <w:rPr>
                <w:rFonts w:ascii="Arial Narrow" w:hAnsi="Arial Narrow"/>
                <w:sz w:val="20"/>
                <w:szCs w:val="20"/>
              </w:rPr>
              <w:t>Continuing pack: $</w:t>
            </w:r>
            <w:r w:rsidR="003666AE" w:rsidRPr="003666AE">
              <w:rPr>
                <w:rFonts w:ascii="Arial Narrow" w:hAnsi="Arial Narrow" w:hint="eastAsia"/>
                <w:color w:val="000000"/>
                <w:w w:val="23"/>
                <w:sz w:val="20"/>
                <w:szCs w:val="20"/>
                <w:shd w:val="solid" w:color="000000" w:fill="000000"/>
                <w:fitText w:val="105" w:id="-962325238"/>
                <w14:textFill>
                  <w14:solidFill>
                    <w14:srgbClr w14:val="000000">
                      <w14:alpha w14:val="100000"/>
                    </w14:srgbClr>
                  </w14:solidFill>
                </w14:textFill>
              </w:rPr>
              <w:t xml:space="preserve">　</w:t>
            </w:r>
            <w:r w:rsidR="003666AE" w:rsidRPr="003666AE">
              <w:rPr>
                <w:rFonts w:ascii="Arial Narrow" w:hAnsi="Arial Narrow"/>
                <w:color w:val="000000"/>
                <w:w w:val="23"/>
                <w:sz w:val="20"/>
                <w:szCs w:val="20"/>
                <w:shd w:val="solid" w:color="000000" w:fill="000000"/>
                <w:fitText w:val="105" w:id="-962325238"/>
                <w14:textFill>
                  <w14:solidFill>
                    <w14:srgbClr w14:val="000000">
                      <w14:alpha w14:val="100000"/>
                    </w14:srgbClr>
                  </w14:solidFill>
                </w14:textFill>
              </w:rPr>
              <w:t>|</w:t>
            </w:r>
            <w:r w:rsidR="003666AE" w:rsidRPr="003666AE">
              <w:rPr>
                <w:rFonts w:ascii="Arial Narrow" w:hAnsi="Arial Narrow" w:hint="eastAsia"/>
                <w:color w:val="000000"/>
                <w:spacing w:val="4"/>
                <w:w w:val="23"/>
                <w:sz w:val="20"/>
                <w:szCs w:val="20"/>
                <w:shd w:val="solid" w:color="000000" w:fill="000000"/>
                <w:fitText w:val="105" w:id="-962325238"/>
                <w14:textFill>
                  <w14:solidFill>
                    <w14:srgbClr w14:val="000000">
                      <w14:alpha w14:val="100000"/>
                    </w14:srgbClr>
                  </w14:solidFill>
                </w14:textFill>
              </w:rPr>
              <w:t xml:space="preserve">　</w:t>
            </w:r>
            <w:r w:rsidRPr="00AB34C7">
              <w:rPr>
                <w:rFonts w:ascii="Arial Narrow" w:hAnsi="Arial Narrow"/>
                <w:sz w:val="20"/>
                <w:szCs w:val="20"/>
              </w:rPr>
              <w:t xml:space="preserve"> </w:t>
            </w:r>
            <w:r w:rsidR="003A74D5" w:rsidRPr="00AB34C7">
              <w:rPr>
                <w:rFonts w:ascii="Arial Narrow" w:hAnsi="Arial Narrow"/>
                <w:sz w:val="20"/>
                <w:szCs w:val="20"/>
                <w:vertAlign w:val="superscript"/>
              </w:rPr>
              <w:t>b</w:t>
            </w:r>
          </w:p>
        </w:tc>
        <w:tc>
          <w:tcPr>
            <w:tcW w:w="2393" w:type="dxa"/>
            <w:vAlign w:val="center"/>
          </w:tcPr>
          <w:p w14:paraId="3A6EDE20" w14:textId="671B261A" w:rsidR="003A74D5" w:rsidRPr="00AB34C7" w:rsidRDefault="003A74D5" w:rsidP="003A74D5">
            <w:pPr>
              <w:keepNext/>
              <w:jc w:val="center"/>
              <w:rPr>
                <w:rFonts w:ascii="Arial Narrow" w:hAnsi="Arial Narrow"/>
                <w:sz w:val="20"/>
                <w:szCs w:val="20"/>
                <w:vertAlign w:val="superscript"/>
              </w:rPr>
            </w:pPr>
            <w:r w:rsidRPr="00AB34C7">
              <w:rPr>
                <w:rFonts w:ascii="Arial Narrow" w:hAnsi="Arial Narrow"/>
                <w:sz w:val="20"/>
                <w:szCs w:val="20"/>
              </w:rPr>
              <w:t>Starter pack: $</w:t>
            </w:r>
            <w:r w:rsidR="003666AE" w:rsidRPr="003666AE">
              <w:rPr>
                <w:rFonts w:ascii="Arial Narrow" w:hAnsi="Arial Narrow"/>
                <w:color w:val="000000"/>
                <w:sz w:val="20"/>
                <w:szCs w:val="20"/>
                <w:shd w:val="solid" w:color="000000" w:fill="000000"/>
                <w14:textFill>
                  <w14:solidFill>
                    <w14:srgbClr w14:val="000000">
                      <w14:alpha w14:val="100000"/>
                    </w14:srgbClr>
                  </w14:solidFill>
                </w14:textFill>
              </w:rPr>
              <w:t>|</w:t>
            </w:r>
            <w:r w:rsidRPr="00CD66DC">
              <w:rPr>
                <w:rFonts w:ascii="Arial Narrow" w:hAnsi="Arial Narrow"/>
                <w:sz w:val="20"/>
                <w:szCs w:val="20"/>
                <w:vertAlign w:val="superscript"/>
              </w:rPr>
              <w:t>b</w:t>
            </w:r>
          </w:p>
          <w:p w14:paraId="4C0C4DC6" w14:textId="7363D0F1" w:rsidR="00F94A93" w:rsidRPr="00AB34C7" w:rsidRDefault="003A74D5" w:rsidP="003A74D5">
            <w:pPr>
              <w:keepNext/>
              <w:jc w:val="center"/>
              <w:rPr>
                <w:rFonts w:ascii="Arial Narrow" w:hAnsi="Arial Narrow"/>
                <w:sz w:val="20"/>
                <w:szCs w:val="20"/>
              </w:rPr>
            </w:pPr>
            <w:r w:rsidRPr="00AB34C7">
              <w:rPr>
                <w:rFonts w:ascii="Arial Narrow" w:hAnsi="Arial Narrow"/>
                <w:sz w:val="20"/>
                <w:szCs w:val="20"/>
              </w:rPr>
              <w:t>Continuing pack: $</w:t>
            </w:r>
            <w:r w:rsidR="003666AE" w:rsidRPr="003666AE">
              <w:rPr>
                <w:rFonts w:ascii="Arial Narrow" w:hAnsi="Arial Narrow" w:hint="eastAsia"/>
                <w:color w:val="000000"/>
                <w:w w:val="20"/>
                <w:sz w:val="20"/>
                <w:szCs w:val="20"/>
                <w:shd w:val="solid" w:color="000000" w:fill="000000"/>
                <w:fitText w:val="90" w:id="-962325237"/>
                <w14:textFill>
                  <w14:solidFill>
                    <w14:srgbClr w14:val="000000">
                      <w14:alpha w14:val="100000"/>
                    </w14:srgbClr>
                  </w14:solidFill>
                </w14:textFill>
              </w:rPr>
              <w:t xml:space="preserve">　</w:t>
            </w:r>
            <w:r w:rsidR="003666AE" w:rsidRPr="003666AE">
              <w:rPr>
                <w:rFonts w:ascii="Arial Narrow" w:hAnsi="Arial Narrow"/>
                <w:color w:val="000000"/>
                <w:w w:val="20"/>
                <w:sz w:val="20"/>
                <w:szCs w:val="20"/>
                <w:shd w:val="solid" w:color="000000" w:fill="000000"/>
                <w:fitText w:val="90" w:id="-962325237"/>
                <w14:textFill>
                  <w14:solidFill>
                    <w14:srgbClr w14:val="000000">
                      <w14:alpha w14:val="100000"/>
                    </w14:srgbClr>
                  </w14:solidFill>
                </w14:textFill>
              </w:rPr>
              <w:t>|</w:t>
            </w:r>
            <w:r w:rsidR="003666AE" w:rsidRPr="003666AE">
              <w:rPr>
                <w:rFonts w:ascii="Arial Narrow" w:hAnsi="Arial Narrow" w:hint="eastAsia"/>
                <w:color w:val="000000"/>
                <w:spacing w:val="3"/>
                <w:w w:val="20"/>
                <w:sz w:val="20"/>
                <w:szCs w:val="20"/>
                <w:shd w:val="solid" w:color="000000" w:fill="000000"/>
                <w:fitText w:val="90" w:id="-962325237"/>
                <w14:textFill>
                  <w14:solidFill>
                    <w14:srgbClr w14:val="000000">
                      <w14:alpha w14:val="100000"/>
                    </w14:srgbClr>
                  </w14:solidFill>
                </w14:textFill>
              </w:rPr>
              <w:t xml:space="preserve">　</w:t>
            </w:r>
            <w:r w:rsidRPr="00AB34C7">
              <w:rPr>
                <w:rFonts w:ascii="Arial Narrow" w:hAnsi="Arial Narrow"/>
                <w:sz w:val="20"/>
                <w:szCs w:val="20"/>
                <w:vertAlign w:val="superscript"/>
              </w:rPr>
              <w:t>b</w:t>
            </w:r>
          </w:p>
        </w:tc>
      </w:tr>
      <w:tr w:rsidR="00F94A93" w:rsidRPr="00AB34C7" w14:paraId="4C0675D0" w14:textId="77777777" w:rsidTr="008C232C">
        <w:trPr>
          <w:trHeight w:val="148"/>
        </w:trPr>
        <w:tc>
          <w:tcPr>
            <w:tcW w:w="1838" w:type="dxa"/>
            <w:vAlign w:val="center"/>
          </w:tcPr>
          <w:p w14:paraId="78D6EEE8" w14:textId="5142022E" w:rsidR="00F94A93" w:rsidRPr="00AB34C7" w:rsidRDefault="00F94A93" w:rsidP="00F94A93">
            <w:pPr>
              <w:keepNext/>
              <w:jc w:val="left"/>
              <w:rPr>
                <w:rFonts w:ascii="Arial Narrow" w:hAnsi="Arial Narrow"/>
                <w:sz w:val="20"/>
                <w:szCs w:val="20"/>
              </w:rPr>
            </w:pPr>
            <w:r w:rsidRPr="00AB34C7">
              <w:rPr>
                <w:rFonts w:ascii="Arial Narrow" w:hAnsi="Arial Narrow"/>
                <w:sz w:val="20"/>
                <w:szCs w:val="20"/>
              </w:rPr>
              <w:t>Compliance</w:t>
            </w:r>
          </w:p>
        </w:tc>
        <w:tc>
          <w:tcPr>
            <w:tcW w:w="2393" w:type="dxa"/>
            <w:vAlign w:val="center"/>
          </w:tcPr>
          <w:p w14:paraId="68983550" w14:textId="46418B54" w:rsidR="00F94A93" w:rsidRPr="00AB34C7" w:rsidRDefault="00F94A93" w:rsidP="00F94A93">
            <w:pPr>
              <w:keepNext/>
              <w:jc w:val="center"/>
              <w:rPr>
                <w:rFonts w:ascii="Arial Narrow" w:hAnsi="Arial Narrow"/>
                <w:sz w:val="20"/>
                <w:szCs w:val="20"/>
              </w:rPr>
            </w:pPr>
            <w:r w:rsidRPr="00AB34C7">
              <w:rPr>
                <w:rFonts w:ascii="Arial Narrow" w:hAnsi="Arial Narrow"/>
                <w:sz w:val="20"/>
                <w:szCs w:val="20"/>
              </w:rPr>
              <w:t>Mean exposure: 10.21 months; 89.9% dose intensity</w:t>
            </w:r>
          </w:p>
        </w:tc>
        <w:tc>
          <w:tcPr>
            <w:tcW w:w="2393" w:type="dxa"/>
            <w:vAlign w:val="center"/>
          </w:tcPr>
          <w:p w14:paraId="79CB3A89" w14:textId="77777777" w:rsidR="00F94A93" w:rsidRPr="00AB34C7" w:rsidRDefault="00F94A93" w:rsidP="00F94A93">
            <w:pPr>
              <w:keepNext/>
              <w:jc w:val="center"/>
              <w:rPr>
                <w:rFonts w:ascii="Arial Narrow" w:hAnsi="Arial Narrow"/>
                <w:sz w:val="20"/>
                <w:szCs w:val="20"/>
                <w:vertAlign w:val="superscript"/>
              </w:rPr>
            </w:pPr>
            <w:r w:rsidRPr="00AB34C7">
              <w:rPr>
                <w:rFonts w:ascii="Arial Narrow" w:hAnsi="Arial Narrow"/>
                <w:sz w:val="20"/>
                <w:szCs w:val="20"/>
              </w:rPr>
              <w:t>Starter pack: 1</w:t>
            </w:r>
          </w:p>
          <w:p w14:paraId="324221CB" w14:textId="04919448" w:rsidR="00F94A93" w:rsidRPr="00AB34C7" w:rsidRDefault="00F94A93" w:rsidP="00F94A93">
            <w:pPr>
              <w:keepNext/>
              <w:jc w:val="center"/>
              <w:rPr>
                <w:rFonts w:ascii="Arial Narrow" w:hAnsi="Arial Narrow"/>
                <w:sz w:val="20"/>
                <w:szCs w:val="20"/>
              </w:rPr>
            </w:pPr>
            <w:r w:rsidRPr="00AB34C7">
              <w:rPr>
                <w:rFonts w:ascii="Arial Narrow" w:hAnsi="Arial Narrow"/>
                <w:sz w:val="20"/>
                <w:szCs w:val="20"/>
              </w:rPr>
              <w:t>Continuing pack: 9.39</w:t>
            </w:r>
          </w:p>
        </w:tc>
        <w:tc>
          <w:tcPr>
            <w:tcW w:w="2393" w:type="dxa"/>
            <w:vAlign w:val="center"/>
          </w:tcPr>
          <w:p w14:paraId="0B2ABAA4" w14:textId="77777777" w:rsidR="007F4D2B" w:rsidRPr="00AB34C7" w:rsidRDefault="007F4D2B" w:rsidP="007F4D2B">
            <w:pPr>
              <w:keepNext/>
              <w:jc w:val="center"/>
              <w:rPr>
                <w:rFonts w:ascii="Arial Narrow" w:hAnsi="Arial Narrow"/>
                <w:sz w:val="20"/>
                <w:szCs w:val="20"/>
                <w:vertAlign w:val="superscript"/>
              </w:rPr>
            </w:pPr>
            <w:r w:rsidRPr="00AB34C7">
              <w:rPr>
                <w:rFonts w:ascii="Arial Narrow" w:hAnsi="Arial Narrow"/>
                <w:sz w:val="20"/>
                <w:szCs w:val="20"/>
              </w:rPr>
              <w:t>Starter pack: 1</w:t>
            </w:r>
          </w:p>
          <w:p w14:paraId="2E173985" w14:textId="0146D7DC" w:rsidR="00F94A93" w:rsidRPr="00AB34C7" w:rsidRDefault="007F4D2B" w:rsidP="007F4D2B">
            <w:pPr>
              <w:keepNext/>
              <w:jc w:val="center"/>
              <w:rPr>
                <w:rFonts w:ascii="Arial Narrow" w:hAnsi="Arial Narrow"/>
                <w:sz w:val="20"/>
                <w:szCs w:val="20"/>
              </w:rPr>
            </w:pPr>
            <w:r w:rsidRPr="00AB34C7">
              <w:rPr>
                <w:rFonts w:ascii="Arial Narrow" w:hAnsi="Arial Narrow"/>
                <w:sz w:val="20"/>
                <w:szCs w:val="20"/>
              </w:rPr>
              <w:t>Continuing pack: 9.39</w:t>
            </w:r>
          </w:p>
        </w:tc>
      </w:tr>
      <w:tr w:rsidR="00F94A93" w:rsidRPr="00AB34C7" w14:paraId="15CAFC5F" w14:textId="77777777" w:rsidTr="008C232C">
        <w:trPr>
          <w:trHeight w:val="148"/>
        </w:trPr>
        <w:tc>
          <w:tcPr>
            <w:tcW w:w="1838" w:type="dxa"/>
            <w:vAlign w:val="center"/>
          </w:tcPr>
          <w:p w14:paraId="174CC681" w14:textId="7B6C8825" w:rsidR="00F94A93" w:rsidRPr="00AB34C7" w:rsidRDefault="00F94A93" w:rsidP="00F94A93">
            <w:pPr>
              <w:keepNext/>
              <w:jc w:val="left"/>
              <w:rPr>
                <w:rFonts w:ascii="Arial Narrow" w:hAnsi="Arial Narrow"/>
                <w:sz w:val="20"/>
                <w:szCs w:val="20"/>
              </w:rPr>
            </w:pPr>
            <w:r w:rsidRPr="00AB34C7">
              <w:rPr>
                <w:rFonts w:ascii="Arial Narrow" w:hAnsi="Arial Narrow"/>
                <w:sz w:val="20"/>
                <w:szCs w:val="20"/>
              </w:rPr>
              <w:t>Cost per course</w:t>
            </w:r>
          </w:p>
        </w:tc>
        <w:tc>
          <w:tcPr>
            <w:tcW w:w="2393" w:type="dxa"/>
            <w:vAlign w:val="center"/>
          </w:tcPr>
          <w:p w14:paraId="7767F9B5" w14:textId="11AA1DAF" w:rsidR="00F94A93" w:rsidRPr="00AB34C7" w:rsidRDefault="00F94A93" w:rsidP="00F94A93">
            <w:pPr>
              <w:keepNext/>
              <w:jc w:val="center"/>
              <w:rPr>
                <w:rFonts w:ascii="Arial Narrow" w:hAnsi="Arial Narrow"/>
                <w:sz w:val="20"/>
                <w:szCs w:val="20"/>
              </w:rPr>
            </w:pPr>
            <w:r w:rsidRPr="00AB34C7">
              <w:rPr>
                <w:rFonts w:ascii="Arial Narrow" w:hAnsi="Arial Narrow"/>
                <w:sz w:val="20"/>
                <w:szCs w:val="20"/>
              </w:rPr>
              <w:t>-</w:t>
            </w:r>
          </w:p>
        </w:tc>
        <w:tc>
          <w:tcPr>
            <w:tcW w:w="2393" w:type="dxa"/>
            <w:vAlign w:val="center"/>
          </w:tcPr>
          <w:p w14:paraId="6AE39375" w14:textId="44941848" w:rsidR="00F94A93" w:rsidRPr="00AB34C7" w:rsidRDefault="00F94A93" w:rsidP="00F94A93">
            <w:pPr>
              <w:keepNext/>
              <w:jc w:val="center"/>
              <w:rPr>
                <w:rFonts w:ascii="Arial Narrow" w:hAnsi="Arial Narrow"/>
                <w:sz w:val="20"/>
                <w:szCs w:val="20"/>
              </w:rPr>
            </w:pPr>
            <w:r w:rsidRPr="00AB34C7">
              <w:rPr>
                <w:rFonts w:ascii="Arial Narrow" w:hAnsi="Arial Narrow"/>
                <w:sz w:val="20"/>
                <w:szCs w:val="20"/>
              </w:rPr>
              <w:t>$</w:t>
            </w:r>
            <w:r w:rsidR="003666AE" w:rsidRPr="003666AE">
              <w:rPr>
                <w:rFonts w:ascii="Arial Narrow" w:hAnsi="Arial Narrow"/>
                <w:color w:val="000000"/>
                <w:sz w:val="20"/>
                <w:szCs w:val="20"/>
                <w:shd w:val="solid" w:color="000000" w:fill="000000"/>
                <w14:textFill>
                  <w14:solidFill>
                    <w14:srgbClr w14:val="000000">
                      <w14:alpha w14:val="100000"/>
                    </w14:srgbClr>
                  </w14:solidFill>
                </w14:textFill>
              </w:rPr>
              <w:t>|</w:t>
            </w:r>
          </w:p>
        </w:tc>
        <w:tc>
          <w:tcPr>
            <w:tcW w:w="2393" w:type="dxa"/>
            <w:vAlign w:val="center"/>
          </w:tcPr>
          <w:p w14:paraId="379CCF57" w14:textId="0021B660" w:rsidR="00F94A93" w:rsidRPr="00AB34C7" w:rsidRDefault="003A74D5" w:rsidP="00F94A93">
            <w:pPr>
              <w:keepNext/>
              <w:jc w:val="center"/>
              <w:rPr>
                <w:rFonts w:ascii="Arial Narrow" w:hAnsi="Arial Narrow"/>
                <w:sz w:val="20"/>
                <w:szCs w:val="20"/>
              </w:rPr>
            </w:pPr>
            <w:r w:rsidRPr="00AB34C7">
              <w:rPr>
                <w:rFonts w:ascii="Arial Narrow" w:hAnsi="Arial Narrow"/>
                <w:sz w:val="20"/>
                <w:szCs w:val="20"/>
              </w:rPr>
              <w:t>$</w:t>
            </w:r>
            <w:r w:rsidR="003666AE" w:rsidRPr="003666AE">
              <w:rPr>
                <w:rFonts w:ascii="Arial Narrow" w:hAnsi="Arial Narrow"/>
                <w:color w:val="000000"/>
                <w:sz w:val="20"/>
                <w:szCs w:val="20"/>
                <w:shd w:val="solid" w:color="000000" w:fill="000000"/>
                <w14:textFill>
                  <w14:solidFill>
                    <w14:srgbClr w14:val="000000">
                      <w14:alpha w14:val="100000"/>
                    </w14:srgbClr>
                  </w14:solidFill>
                </w14:textFill>
              </w:rPr>
              <w:t>|</w:t>
            </w:r>
          </w:p>
        </w:tc>
      </w:tr>
      <w:tr w:rsidR="00A44EAA" w:rsidRPr="00AB34C7" w14:paraId="69341EB6" w14:textId="77777777" w:rsidTr="008C232C">
        <w:trPr>
          <w:trHeight w:val="148"/>
        </w:trPr>
        <w:tc>
          <w:tcPr>
            <w:tcW w:w="1838" w:type="dxa"/>
            <w:vAlign w:val="center"/>
          </w:tcPr>
          <w:p w14:paraId="1A273254" w14:textId="6E527128" w:rsidR="00A44EAA" w:rsidRPr="00AB34C7" w:rsidRDefault="00A44EAA" w:rsidP="00F94A93">
            <w:pPr>
              <w:keepNext/>
              <w:jc w:val="left"/>
              <w:rPr>
                <w:rFonts w:ascii="Arial Narrow" w:hAnsi="Arial Narrow"/>
                <w:b/>
                <w:bCs/>
                <w:sz w:val="20"/>
                <w:szCs w:val="20"/>
              </w:rPr>
            </w:pPr>
            <w:r w:rsidRPr="00AB34C7">
              <w:rPr>
                <w:rFonts w:ascii="Arial Narrow" w:hAnsi="Arial Narrow"/>
                <w:b/>
                <w:bCs/>
                <w:sz w:val="20"/>
                <w:szCs w:val="20"/>
              </w:rPr>
              <w:t>Total cost per course</w:t>
            </w:r>
          </w:p>
        </w:tc>
        <w:tc>
          <w:tcPr>
            <w:tcW w:w="2393" w:type="dxa"/>
            <w:vAlign w:val="center"/>
          </w:tcPr>
          <w:p w14:paraId="6CC29136" w14:textId="458F0556" w:rsidR="00A44EAA" w:rsidRPr="00AB34C7" w:rsidRDefault="00A44EAA" w:rsidP="00F94A93">
            <w:pPr>
              <w:keepNext/>
              <w:jc w:val="center"/>
              <w:rPr>
                <w:rFonts w:ascii="Arial Narrow" w:hAnsi="Arial Narrow"/>
                <w:sz w:val="20"/>
                <w:szCs w:val="20"/>
              </w:rPr>
            </w:pPr>
            <w:r w:rsidRPr="00AB34C7">
              <w:rPr>
                <w:rFonts w:ascii="Arial Narrow" w:hAnsi="Arial Narrow"/>
                <w:sz w:val="20"/>
                <w:szCs w:val="20"/>
              </w:rPr>
              <w:t>-</w:t>
            </w:r>
          </w:p>
        </w:tc>
        <w:tc>
          <w:tcPr>
            <w:tcW w:w="2393" w:type="dxa"/>
            <w:vAlign w:val="center"/>
          </w:tcPr>
          <w:p w14:paraId="7F49B681" w14:textId="4C5259E8" w:rsidR="00A44EAA" w:rsidRPr="00AB34C7" w:rsidRDefault="000C702C" w:rsidP="00F94A93">
            <w:pPr>
              <w:keepNext/>
              <w:jc w:val="center"/>
              <w:rPr>
                <w:rFonts w:ascii="Arial Narrow" w:hAnsi="Arial Narrow"/>
                <w:b/>
                <w:bCs/>
                <w:sz w:val="20"/>
                <w:szCs w:val="20"/>
              </w:rPr>
            </w:pPr>
            <w:r w:rsidRPr="00AB34C7">
              <w:rPr>
                <w:rFonts w:ascii="Arial Narrow" w:hAnsi="Arial Narrow"/>
                <w:b/>
                <w:bCs/>
                <w:sz w:val="20"/>
                <w:szCs w:val="20"/>
              </w:rPr>
              <w:t>$</w:t>
            </w:r>
            <w:r w:rsidR="003666AE" w:rsidRPr="003666AE">
              <w:rPr>
                <w:rFonts w:ascii="Arial Narrow" w:hAnsi="Arial Narrow"/>
                <w:b/>
                <w:bCs/>
                <w:color w:val="000000"/>
                <w:sz w:val="20"/>
                <w:szCs w:val="20"/>
                <w:shd w:val="solid" w:color="000000" w:fill="000000"/>
                <w14:textFill>
                  <w14:solidFill>
                    <w14:srgbClr w14:val="000000">
                      <w14:alpha w14:val="100000"/>
                    </w14:srgbClr>
                  </w14:solidFill>
                </w14:textFill>
              </w:rPr>
              <w:t>|</w:t>
            </w:r>
          </w:p>
        </w:tc>
        <w:tc>
          <w:tcPr>
            <w:tcW w:w="2393" w:type="dxa"/>
            <w:vAlign w:val="center"/>
          </w:tcPr>
          <w:p w14:paraId="49EB76A9" w14:textId="1DD1D1B4" w:rsidR="00A44EAA" w:rsidRPr="00AB34C7" w:rsidRDefault="000C702C" w:rsidP="00F94A93">
            <w:pPr>
              <w:keepNext/>
              <w:jc w:val="center"/>
              <w:rPr>
                <w:rFonts w:ascii="Arial Narrow" w:hAnsi="Arial Narrow"/>
                <w:b/>
                <w:bCs/>
                <w:sz w:val="20"/>
                <w:szCs w:val="20"/>
              </w:rPr>
            </w:pPr>
            <w:r w:rsidRPr="00AB34C7">
              <w:rPr>
                <w:rFonts w:ascii="Arial Narrow" w:hAnsi="Arial Narrow"/>
                <w:b/>
                <w:bCs/>
                <w:sz w:val="20"/>
                <w:szCs w:val="20"/>
              </w:rPr>
              <w:t>$</w:t>
            </w:r>
            <w:r w:rsidR="003666AE" w:rsidRPr="003666AE">
              <w:rPr>
                <w:rFonts w:ascii="Arial Narrow" w:hAnsi="Arial Narrow"/>
                <w:b/>
                <w:bCs/>
                <w:color w:val="000000"/>
                <w:sz w:val="20"/>
                <w:szCs w:val="20"/>
                <w:shd w:val="solid" w:color="000000" w:fill="000000"/>
                <w14:textFill>
                  <w14:solidFill>
                    <w14:srgbClr w14:val="000000">
                      <w14:alpha w14:val="100000"/>
                    </w14:srgbClr>
                  </w14:solidFill>
                </w14:textFill>
              </w:rPr>
              <w:t>|</w:t>
            </w:r>
          </w:p>
        </w:tc>
      </w:tr>
      <w:tr w:rsidR="00F94A93" w:rsidRPr="00AB34C7" w14:paraId="521910D5" w14:textId="77777777" w:rsidTr="00575E7C">
        <w:tc>
          <w:tcPr>
            <w:tcW w:w="9017" w:type="dxa"/>
            <w:gridSpan w:val="4"/>
            <w:vAlign w:val="center"/>
          </w:tcPr>
          <w:p w14:paraId="3AAB20E0" w14:textId="77777777" w:rsidR="00F94A93" w:rsidRPr="00AB34C7" w:rsidRDefault="00F94A93" w:rsidP="00F94A93">
            <w:pPr>
              <w:keepNext/>
              <w:jc w:val="left"/>
              <w:rPr>
                <w:rFonts w:ascii="Arial Narrow" w:hAnsi="Arial Narrow"/>
                <w:b/>
                <w:bCs/>
                <w:sz w:val="20"/>
                <w:szCs w:val="20"/>
              </w:rPr>
            </w:pPr>
            <w:r w:rsidRPr="00AB34C7">
              <w:rPr>
                <w:rFonts w:ascii="Arial Narrow" w:hAnsi="Arial Narrow"/>
                <w:b/>
                <w:bCs/>
                <w:sz w:val="20"/>
                <w:szCs w:val="20"/>
              </w:rPr>
              <w:t>Venetoclax + obinutuzumab</w:t>
            </w:r>
          </w:p>
        </w:tc>
      </w:tr>
      <w:tr w:rsidR="00F94A93" w:rsidRPr="00AB34C7" w14:paraId="086FFBDC" w14:textId="77777777" w:rsidTr="00575E7C">
        <w:tc>
          <w:tcPr>
            <w:tcW w:w="9017" w:type="dxa"/>
            <w:gridSpan w:val="4"/>
            <w:vAlign w:val="center"/>
          </w:tcPr>
          <w:p w14:paraId="26A7A4F4" w14:textId="77777777" w:rsidR="00F94A93" w:rsidRPr="00AB34C7" w:rsidRDefault="00F94A93" w:rsidP="00F94A93">
            <w:pPr>
              <w:keepNext/>
              <w:jc w:val="left"/>
              <w:rPr>
                <w:rFonts w:ascii="Arial Narrow" w:hAnsi="Arial Narrow"/>
                <w:b/>
                <w:bCs/>
                <w:smallCaps/>
                <w:sz w:val="20"/>
                <w:szCs w:val="20"/>
                <w:highlight w:val="yellow"/>
              </w:rPr>
            </w:pPr>
            <w:r w:rsidRPr="00AB34C7">
              <w:rPr>
                <w:rFonts w:ascii="Arial Narrow" w:hAnsi="Arial Narrow"/>
                <w:b/>
                <w:bCs/>
                <w:smallCaps/>
                <w:sz w:val="20"/>
                <w:szCs w:val="20"/>
              </w:rPr>
              <w:t>venetoclax</w:t>
            </w:r>
          </w:p>
        </w:tc>
      </w:tr>
      <w:tr w:rsidR="00F94A93" w:rsidRPr="00AB34C7" w14:paraId="48035E30" w14:textId="77777777" w:rsidTr="008C232C">
        <w:tc>
          <w:tcPr>
            <w:tcW w:w="1838" w:type="dxa"/>
            <w:vAlign w:val="center"/>
          </w:tcPr>
          <w:p w14:paraId="4B1DEAE2" w14:textId="1F657950" w:rsidR="00F94A93" w:rsidRPr="00AB34C7" w:rsidRDefault="00F94A93" w:rsidP="00F94A93">
            <w:pPr>
              <w:keepNext/>
              <w:jc w:val="left"/>
              <w:rPr>
                <w:rFonts w:ascii="Arial Narrow" w:hAnsi="Arial Narrow"/>
                <w:sz w:val="20"/>
                <w:szCs w:val="20"/>
                <w:highlight w:val="yellow"/>
              </w:rPr>
            </w:pPr>
            <w:r w:rsidRPr="00AB34C7">
              <w:rPr>
                <w:rFonts w:ascii="Arial Narrow" w:hAnsi="Arial Narrow"/>
                <w:sz w:val="20"/>
                <w:szCs w:val="20"/>
              </w:rPr>
              <w:t>Cost per script (AEMP)</w:t>
            </w:r>
          </w:p>
        </w:tc>
        <w:tc>
          <w:tcPr>
            <w:tcW w:w="2393" w:type="dxa"/>
            <w:vAlign w:val="center"/>
          </w:tcPr>
          <w:p w14:paraId="55C8B046" w14:textId="77777777" w:rsidR="00F94A93" w:rsidRPr="00AB34C7" w:rsidRDefault="00F94A93" w:rsidP="00F94A93">
            <w:pPr>
              <w:keepNext/>
              <w:jc w:val="center"/>
              <w:rPr>
                <w:rFonts w:ascii="Arial Narrow" w:hAnsi="Arial Narrow"/>
                <w:sz w:val="20"/>
                <w:szCs w:val="20"/>
                <w:highlight w:val="yellow"/>
              </w:rPr>
            </w:pPr>
            <w:r w:rsidRPr="00AB34C7">
              <w:rPr>
                <w:rFonts w:ascii="Arial Narrow" w:hAnsi="Arial Narrow"/>
                <w:sz w:val="20"/>
                <w:szCs w:val="20"/>
              </w:rPr>
              <w:t>-</w:t>
            </w:r>
          </w:p>
        </w:tc>
        <w:tc>
          <w:tcPr>
            <w:tcW w:w="2393" w:type="dxa"/>
            <w:vAlign w:val="center"/>
          </w:tcPr>
          <w:p w14:paraId="2C40923A" w14:textId="5ABE4C2F" w:rsidR="003A74D5" w:rsidRPr="00AB34C7" w:rsidRDefault="003A74D5" w:rsidP="003A74D5">
            <w:pPr>
              <w:keepNext/>
              <w:jc w:val="center"/>
              <w:rPr>
                <w:rFonts w:ascii="Arial Narrow" w:hAnsi="Arial Narrow"/>
                <w:sz w:val="20"/>
                <w:szCs w:val="20"/>
                <w:vertAlign w:val="superscript"/>
              </w:rPr>
            </w:pPr>
            <w:r w:rsidRPr="00AB34C7">
              <w:rPr>
                <w:rFonts w:ascii="Arial Narrow" w:hAnsi="Arial Narrow"/>
                <w:sz w:val="20"/>
                <w:szCs w:val="20"/>
              </w:rPr>
              <w:t>Starter pack: $</w:t>
            </w:r>
            <w:r w:rsidR="003666AE" w:rsidRPr="003666AE">
              <w:rPr>
                <w:rFonts w:ascii="Arial Narrow" w:hAnsi="Arial Narrow"/>
                <w:color w:val="000000"/>
                <w:sz w:val="20"/>
                <w:szCs w:val="20"/>
                <w:shd w:val="solid" w:color="000000" w:fill="000000"/>
                <w14:textFill>
                  <w14:solidFill>
                    <w14:srgbClr w14:val="000000">
                      <w14:alpha w14:val="100000"/>
                    </w14:srgbClr>
                  </w14:solidFill>
                </w14:textFill>
              </w:rPr>
              <w:t>|</w:t>
            </w:r>
            <w:r w:rsidRPr="00AB34C7">
              <w:rPr>
                <w:rFonts w:ascii="Arial Narrow" w:hAnsi="Arial Narrow"/>
                <w:sz w:val="20"/>
                <w:szCs w:val="20"/>
                <w:vertAlign w:val="superscript"/>
              </w:rPr>
              <w:t>b</w:t>
            </w:r>
          </w:p>
          <w:p w14:paraId="40091C34" w14:textId="63E3335C" w:rsidR="00F94A93" w:rsidRPr="00AB34C7" w:rsidRDefault="003A74D5" w:rsidP="003A74D5">
            <w:pPr>
              <w:keepNext/>
              <w:jc w:val="center"/>
              <w:rPr>
                <w:rFonts w:ascii="Arial Narrow" w:hAnsi="Arial Narrow"/>
                <w:sz w:val="20"/>
                <w:szCs w:val="20"/>
                <w:highlight w:val="yellow"/>
                <w:vertAlign w:val="superscript"/>
              </w:rPr>
            </w:pPr>
            <w:r w:rsidRPr="00AB34C7">
              <w:rPr>
                <w:rFonts w:ascii="Arial Narrow" w:hAnsi="Arial Narrow"/>
                <w:sz w:val="20"/>
                <w:szCs w:val="20"/>
              </w:rPr>
              <w:t>Continuing pack: $</w:t>
            </w:r>
            <w:r w:rsidR="003666AE" w:rsidRPr="003666AE">
              <w:rPr>
                <w:rFonts w:ascii="Arial Narrow" w:hAnsi="Arial Narrow" w:hint="eastAsia"/>
                <w:color w:val="000000"/>
                <w:w w:val="20"/>
                <w:sz w:val="20"/>
                <w:szCs w:val="20"/>
                <w:shd w:val="solid" w:color="000000" w:fill="000000"/>
                <w:fitText w:val="90" w:id="-962325236"/>
                <w14:textFill>
                  <w14:solidFill>
                    <w14:srgbClr w14:val="000000">
                      <w14:alpha w14:val="100000"/>
                    </w14:srgbClr>
                  </w14:solidFill>
                </w14:textFill>
              </w:rPr>
              <w:t xml:space="preserve">　</w:t>
            </w:r>
            <w:r w:rsidR="003666AE" w:rsidRPr="003666AE">
              <w:rPr>
                <w:rFonts w:ascii="Arial Narrow" w:hAnsi="Arial Narrow"/>
                <w:color w:val="000000"/>
                <w:w w:val="20"/>
                <w:sz w:val="20"/>
                <w:szCs w:val="20"/>
                <w:shd w:val="solid" w:color="000000" w:fill="000000"/>
                <w:fitText w:val="90" w:id="-962325236"/>
                <w14:textFill>
                  <w14:solidFill>
                    <w14:srgbClr w14:val="000000">
                      <w14:alpha w14:val="100000"/>
                    </w14:srgbClr>
                  </w14:solidFill>
                </w14:textFill>
              </w:rPr>
              <w:t>|</w:t>
            </w:r>
            <w:r w:rsidR="003666AE" w:rsidRPr="003666AE">
              <w:rPr>
                <w:rFonts w:ascii="Arial Narrow" w:hAnsi="Arial Narrow" w:hint="eastAsia"/>
                <w:color w:val="000000"/>
                <w:spacing w:val="3"/>
                <w:w w:val="20"/>
                <w:sz w:val="20"/>
                <w:szCs w:val="20"/>
                <w:shd w:val="solid" w:color="000000" w:fill="000000"/>
                <w:fitText w:val="90" w:id="-962325236"/>
                <w14:textFill>
                  <w14:solidFill>
                    <w14:srgbClr w14:val="000000">
                      <w14:alpha w14:val="100000"/>
                    </w14:srgbClr>
                  </w14:solidFill>
                </w14:textFill>
              </w:rPr>
              <w:t xml:space="preserve">　</w:t>
            </w:r>
            <w:r w:rsidRPr="00AB34C7">
              <w:rPr>
                <w:rFonts w:ascii="Arial Narrow" w:hAnsi="Arial Narrow"/>
                <w:sz w:val="20"/>
                <w:szCs w:val="20"/>
                <w:vertAlign w:val="superscript"/>
              </w:rPr>
              <w:t>b</w:t>
            </w:r>
          </w:p>
        </w:tc>
        <w:tc>
          <w:tcPr>
            <w:tcW w:w="2393" w:type="dxa"/>
            <w:vAlign w:val="center"/>
          </w:tcPr>
          <w:p w14:paraId="5BC0B95F" w14:textId="0E24825D" w:rsidR="003A74D5" w:rsidRPr="00AB34C7" w:rsidRDefault="003A74D5" w:rsidP="003A74D5">
            <w:pPr>
              <w:keepNext/>
              <w:jc w:val="center"/>
              <w:rPr>
                <w:rFonts w:ascii="Arial Narrow" w:hAnsi="Arial Narrow"/>
                <w:sz w:val="20"/>
                <w:szCs w:val="20"/>
                <w:vertAlign w:val="superscript"/>
              </w:rPr>
            </w:pPr>
            <w:r w:rsidRPr="00AB34C7">
              <w:rPr>
                <w:rFonts w:ascii="Arial Narrow" w:hAnsi="Arial Narrow"/>
                <w:sz w:val="20"/>
                <w:szCs w:val="20"/>
              </w:rPr>
              <w:t>Starter pack: $</w:t>
            </w:r>
            <w:r w:rsidR="003666AE" w:rsidRPr="003666AE">
              <w:rPr>
                <w:rFonts w:ascii="Arial Narrow" w:hAnsi="Arial Narrow"/>
                <w:color w:val="000000"/>
                <w:sz w:val="20"/>
                <w:szCs w:val="20"/>
                <w:shd w:val="solid" w:color="000000" w:fill="000000"/>
                <w14:textFill>
                  <w14:solidFill>
                    <w14:srgbClr w14:val="000000">
                      <w14:alpha w14:val="100000"/>
                    </w14:srgbClr>
                  </w14:solidFill>
                </w14:textFill>
              </w:rPr>
              <w:t>|</w:t>
            </w:r>
            <w:r w:rsidRPr="00AB34C7">
              <w:rPr>
                <w:rFonts w:ascii="Arial Narrow" w:hAnsi="Arial Narrow"/>
                <w:sz w:val="20"/>
                <w:szCs w:val="20"/>
                <w:vertAlign w:val="superscript"/>
              </w:rPr>
              <w:t>b</w:t>
            </w:r>
          </w:p>
          <w:p w14:paraId="63978CD9" w14:textId="1350A87B" w:rsidR="00F94A93" w:rsidRPr="00AB34C7" w:rsidRDefault="003A74D5" w:rsidP="003A74D5">
            <w:pPr>
              <w:keepNext/>
              <w:jc w:val="center"/>
              <w:rPr>
                <w:rFonts w:ascii="Arial Narrow" w:hAnsi="Arial Narrow"/>
                <w:sz w:val="20"/>
                <w:szCs w:val="20"/>
                <w:highlight w:val="yellow"/>
              </w:rPr>
            </w:pPr>
            <w:r w:rsidRPr="00AB34C7">
              <w:rPr>
                <w:rFonts w:ascii="Arial Narrow" w:hAnsi="Arial Narrow"/>
                <w:sz w:val="20"/>
                <w:szCs w:val="20"/>
              </w:rPr>
              <w:t>Continuing pack: $</w:t>
            </w:r>
            <w:r w:rsidR="003666AE" w:rsidRPr="003666AE">
              <w:rPr>
                <w:rFonts w:ascii="Arial Narrow" w:hAnsi="Arial Narrow" w:hint="eastAsia"/>
                <w:color w:val="000000"/>
                <w:w w:val="20"/>
                <w:sz w:val="20"/>
                <w:szCs w:val="20"/>
                <w:shd w:val="solid" w:color="000000" w:fill="000000"/>
                <w:fitText w:val="90" w:id="-962325235"/>
                <w14:textFill>
                  <w14:solidFill>
                    <w14:srgbClr w14:val="000000">
                      <w14:alpha w14:val="100000"/>
                    </w14:srgbClr>
                  </w14:solidFill>
                </w14:textFill>
              </w:rPr>
              <w:t xml:space="preserve">　</w:t>
            </w:r>
            <w:r w:rsidR="003666AE" w:rsidRPr="003666AE">
              <w:rPr>
                <w:rFonts w:ascii="Arial Narrow" w:hAnsi="Arial Narrow"/>
                <w:color w:val="000000"/>
                <w:w w:val="20"/>
                <w:sz w:val="20"/>
                <w:szCs w:val="20"/>
                <w:shd w:val="solid" w:color="000000" w:fill="000000"/>
                <w:fitText w:val="90" w:id="-962325235"/>
                <w14:textFill>
                  <w14:solidFill>
                    <w14:srgbClr w14:val="000000">
                      <w14:alpha w14:val="100000"/>
                    </w14:srgbClr>
                  </w14:solidFill>
                </w14:textFill>
              </w:rPr>
              <w:t>|</w:t>
            </w:r>
            <w:r w:rsidR="003666AE" w:rsidRPr="003666AE">
              <w:rPr>
                <w:rFonts w:ascii="Arial Narrow" w:hAnsi="Arial Narrow" w:hint="eastAsia"/>
                <w:color w:val="000000"/>
                <w:spacing w:val="3"/>
                <w:w w:val="20"/>
                <w:sz w:val="20"/>
                <w:szCs w:val="20"/>
                <w:shd w:val="solid" w:color="000000" w:fill="000000"/>
                <w:fitText w:val="90" w:id="-962325235"/>
                <w14:textFill>
                  <w14:solidFill>
                    <w14:srgbClr w14:val="000000">
                      <w14:alpha w14:val="100000"/>
                    </w14:srgbClr>
                  </w14:solidFill>
                </w14:textFill>
              </w:rPr>
              <w:t xml:space="preserve">　</w:t>
            </w:r>
            <w:r w:rsidRPr="00AB34C7">
              <w:rPr>
                <w:rFonts w:ascii="Arial Narrow" w:hAnsi="Arial Narrow"/>
                <w:sz w:val="20"/>
                <w:szCs w:val="20"/>
                <w:vertAlign w:val="superscript"/>
              </w:rPr>
              <w:t>b</w:t>
            </w:r>
          </w:p>
        </w:tc>
      </w:tr>
      <w:tr w:rsidR="00F94A93" w:rsidRPr="00AB34C7" w14:paraId="47615DC5" w14:textId="77777777" w:rsidTr="008C232C">
        <w:tc>
          <w:tcPr>
            <w:tcW w:w="1838" w:type="dxa"/>
            <w:vAlign w:val="center"/>
          </w:tcPr>
          <w:p w14:paraId="44412CDB" w14:textId="3B9F601C" w:rsidR="00F94A93" w:rsidRPr="00AB34C7" w:rsidRDefault="00F94A93" w:rsidP="00F94A93">
            <w:pPr>
              <w:keepNext/>
              <w:jc w:val="left"/>
              <w:rPr>
                <w:rFonts w:ascii="Arial Narrow" w:hAnsi="Arial Narrow"/>
                <w:sz w:val="20"/>
                <w:szCs w:val="20"/>
                <w:vertAlign w:val="superscript"/>
              </w:rPr>
            </w:pPr>
            <w:r w:rsidRPr="00AB34C7">
              <w:rPr>
                <w:rFonts w:ascii="Arial Narrow" w:hAnsi="Arial Narrow"/>
                <w:sz w:val="20"/>
                <w:szCs w:val="20"/>
              </w:rPr>
              <w:t>Compliance</w:t>
            </w:r>
          </w:p>
        </w:tc>
        <w:tc>
          <w:tcPr>
            <w:tcW w:w="2393" w:type="dxa"/>
            <w:vAlign w:val="center"/>
          </w:tcPr>
          <w:p w14:paraId="1362AA19" w14:textId="77777777" w:rsidR="00F94A93" w:rsidRPr="00AB34C7" w:rsidRDefault="00F94A93" w:rsidP="00F94A93">
            <w:pPr>
              <w:keepNext/>
              <w:jc w:val="center"/>
              <w:rPr>
                <w:rFonts w:ascii="Arial Narrow" w:hAnsi="Arial Narrow"/>
                <w:sz w:val="20"/>
                <w:szCs w:val="20"/>
                <w:vertAlign w:val="superscript"/>
              </w:rPr>
            </w:pPr>
            <w:r w:rsidRPr="00AB34C7">
              <w:rPr>
                <w:rFonts w:ascii="Arial Narrow" w:hAnsi="Arial Narrow"/>
                <w:sz w:val="20"/>
                <w:szCs w:val="20"/>
              </w:rPr>
              <w:t>Starter pack: 1</w:t>
            </w:r>
          </w:p>
          <w:p w14:paraId="4B244112" w14:textId="77777777" w:rsidR="00F94A93" w:rsidRPr="00AB34C7" w:rsidRDefault="00F94A93" w:rsidP="00F94A93">
            <w:pPr>
              <w:keepNext/>
              <w:jc w:val="center"/>
              <w:rPr>
                <w:rFonts w:ascii="Arial Narrow" w:hAnsi="Arial Narrow"/>
                <w:sz w:val="20"/>
                <w:szCs w:val="20"/>
                <w:highlight w:val="yellow"/>
              </w:rPr>
            </w:pPr>
            <w:r w:rsidRPr="00AB34C7">
              <w:rPr>
                <w:rFonts w:ascii="Arial Narrow" w:hAnsi="Arial Narrow"/>
                <w:sz w:val="20"/>
                <w:szCs w:val="20"/>
              </w:rPr>
              <w:t>Continuing pack: 8.67</w:t>
            </w:r>
          </w:p>
        </w:tc>
        <w:tc>
          <w:tcPr>
            <w:tcW w:w="2393" w:type="dxa"/>
            <w:vAlign w:val="center"/>
          </w:tcPr>
          <w:p w14:paraId="48E12E06" w14:textId="77777777" w:rsidR="00F94A93" w:rsidRPr="00AB34C7" w:rsidRDefault="00F94A93" w:rsidP="00F94A93">
            <w:pPr>
              <w:keepNext/>
              <w:jc w:val="center"/>
              <w:rPr>
                <w:rFonts w:ascii="Arial Narrow" w:hAnsi="Arial Narrow"/>
                <w:sz w:val="20"/>
                <w:szCs w:val="20"/>
                <w:vertAlign w:val="superscript"/>
              </w:rPr>
            </w:pPr>
            <w:r w:rsidRPr="00AB34C7">
              <w:rPr>
                <w:rFonts w:ascii="Arial Narrow" w:hAnsi="Arial Narrow"/>
                <w:sz w:val="20"/>
                <w:szCs w:val="20"/>
              </w:rPr>
              <w:t>Starter pack: 1</w:t>
            </w:r>
          </w:p>
          <w:p w14:paraId="01AF77E5" w14:textId="77777777" w:rsidR="00F94A93" w:rsidRPr="00AB34C7" w:rsidRDefault="00F94A93" w:rsidP="00F94A93">
            <w:pPr>
              <w:keepNext/>
              <w:jc w:val="center"/>
              <w:rPr>
                <w:rFonts w:ascii="Arial Narrow" w:hAnsi="Arial Narrow"/>
                <w:sz w:val="20"/>
                <w:szCs w:val="20"/>
                <w:highlight w:val="yellow"/>
                <w:vertAlign w:val="superscript"/>
              </w:rPr>
            </w:pPr>
            <w:r w:rsidRPr="00AB34C7">
              <w:rPr>
                <w:rFonts w:ascii="Arial Narrow" w:hAnsi="Arial Narrow"/>
                <w:sz w:val="20"/>
                <w:szCs w:val="20"/>
              </w:rPr>
              <w:t>Continuing pack: 8.67</w:t>
            </w:r>
          </w:p>
        </w:tc>
        <w:tc>
          <w:tcPr>
            <w:tcW w:w="2393" w:type="dxa"/>
            <w:vAlign w:val="center"/>
          </w:tcPr>
          <w:p w14:paraId="5C61D358" w14:textId="77777777" w:rsidR="00B072BB" w:rsidRPr="00AB34C7" w:rsidRDefault="00B072BB" w:rsidP="00B072BB">
            <w:pPr>
              <w:keepNext/>
              <w:jc w:val="center"/>
              <w:rPr>
                <w:rFonts w:ascii="Arial Narrow" w:hAnsi="Arial Narrow"/>
                <w:sz w:val="20"/>
                <w:szCs w:val="20"/>
                <w:vertAlign w:val="superscript"/>
              </w:rPr>
            </w:pPr>
            <w:r w:rsidRPr="00AB34C7">
              <w:rPr>
                <w:rFonts w:ascii="Arial Narrow" w:hAnsi="Arial Narrow"/>
                <w:sz w:val="20"/>
                <w:szCs w:val="20"/>
              </w:rPr>
              <w:t>Starter pack: 1</w:t>
            </w:r>
          </w:p>
          <w:p w14:paraId="1E553F12" w14:textId="2FF5BE99" w:rsidR="00F94A93" w:rsidRPr="00AB34C7" w:rsidRDefault="00B072BB" w:rsidP="00B072BB">
            <w:pPr>
              <w:keepNext/>
              <w:jc w:val="center"/>
              <w:rPr>
                <w:rFonts w:ascii="Arial Narrow" w:hAnsi="Arial Narrow"/>
                <w:sz w:val="20"/>
                <w:szCs w:val="20"/>
                <w:highlight w:val="yellow"/>
              </w:rPr>
            </w:pPr>
            <w:r w:rsidRPr="00AB34C7">
              <w:rPr>
                <w:rFonts w:ascii="Arial Narrow" w:hAnsi="Arial Narrow"/>
                <w:sz w:val="20"/>
                <w:szCs w:val="20"/>
              </w:rPr>
              <w:t>Continuing pack: 8.67</w:t>
            </w:r>
          </w:p>
        </w:tc>
      </w:tr>
      <w:tr w:rsidR="00F94A93" w:rsidRPr="00AB34C7" w14:paraId="3BF6B693" w14:textId="77777777" w:rsidTr="008C232C">
        <w:trPr>
          <w:trHeight w:val="53"/>
        </w:trPr>
        <w:tc>
          <w:tcPr>
            <w:tcW w:w="1838" w:type="dxa"/>
            <w:vAlign w:val="center"/>
          </w:tcPr>
          <w:p w14:paraId="7D572C4C" w14:textId="77777777" w:rsidR="00F94A93" w:rsidRPr="00AB34C7" w:rsidRDefault="00F94A93" w:rsidP="00F94A93">
            <w:pPr>
              <w:keepNext/>
              <w:jc w:val="left"/>
              <w:rPr>
                <w:rFonts w:ascii="Arial Narrow" w:hAnsi="Arial Narrow"/>
                <w:sz w:val="20"/>
                <w:szCs w:val="20"/>
              </w:rPr>
            </w:pPr>
            <w:r w:rsidRPr="00AB34C7">
              <w:rPr>
                <w:rFonts w:ascii="Arial Narrow" w:hAnsi="Arial Narrow"/>
                <w:sz w:val="20"/>
                <w:szCs w:val="20"/>
              </w:rPr>
              <w:t>Cost per course</w:t>
            </w:r>
          </w:p>
        </w:tc>
        <w:tc>
          <w:tcPr>
            <w:tcW w:w="2393" w:type="dxa"/>
            <w:vAlign w:val="center"/>
          </w:tcPr>
          <w:p w14:paraId="144B68BB" w14:textId="77777777" w:rsidR="00F94A93" w:rsidRPr="00AB34C7" w:rsidRDefault="00F94A93" w:rsidP="00F94A93">
            <w:pPr>
              <w:keepNext/>
              <w:jc w:val="center"/>
              <w:rPr>
                <w:rFonts w:ascii="Arial Narrow" w:hAnsi="Arial Narrow"/>
                <w:sz w:val="20"/>
                <w:szCs w:val="20"/>
              </w:rPr>
            </w:pPr>
            <w:r w:rsidRPr="00AB34C7">
              <w:rPr>
                <w:rFonts w:ascii="Arial Narrow" w:hAnsi="Arial Narrow"/>
                <w:sz w:val="20"/>
                <w:szCs w:val="20"/>
              </w:rPr>
              <w:t>-</w:t>
            </w:r>
          </w:p>
        </w:tc>
        <w:tc>
          <w:tcPr>
            <w:tcW w:w="2393" w:type="dxa"/>
            <w:vAlign w:val="center"/>
          </w:tcPr>
          <w:p w14:paraId="2BFD90FF" w14:textId="63207AF6" w:rsidR="00F94A93" w:rsidRPr="00AB34C7" w:rsidRDefault="00F94A93" w:rsidP="00F94A93">
            <w:pPr>
              <w:keepNext/>
              <w:jc w:val="center"/>
              <w:rPr>
                <w:rFonts w:ascii="Arial Narrow" w:hAnsi="Arial Narrow"/>
                <w:sz w:val="20"/>
                <w:szCs w:val="20"/>
                <w:highlight w:val="yellow"/>
              </w:rPr>
            </w:pPr>
            <w:r w:rsidRPr="00AB34C7">
              <w:rPr>
                <w:rFonts w:ascii="Arial Narrow" w:hAnsi="Arial Narrow"/>
                <w:sz w:val="20"/>
                <w:szCs w:val="20"/>
              </w:rPr>
              <w:t>$</w:t>
            </w:r>
            <w:r w:rsidR="003666AE" w:rsidRPr="003666AE">
              <w:rPr>
                <w:rFonts w:ascii="Arial Narrow" w:hAnsi="Arial Narrow"/>
                <w:color w:val="000000"/>
                <w:sz w:val="20"/>
                <w:szCs w:val="20"/>
                <w:shd w:val="solid" w:color="000000" w:fill="000000"/>
                <w14:textFill>
                  <w14:solidFill>
                    <w14:srgbClr w14:val="000000">
                      <w14:alpha w14:val="100000"/>
                    </w14:srgbClr>
                  </w14:solidFill>
                </w14:textFill>
              </w:rPr>
              <w:t>|</w:t>
            </w:r>
          </w:p>
        </w:tc>
        <w:tc>
          <w:tcPr>
            <w:tcW w:w="2393" w:type="dxa"/>
            <w:vAlign w:val="center"/>
          </w:tcPr>
          <w:p w14:paraId="39B04FEB" w14:textId="56662930" w:rsidR="00F94A93" w:rsidRPr="00AB34C7" w:rsidRDefault="003A74D5" w:rsidP="00F94A93">
            <w:pPr>
              <w:keepNext/>
              <w:jc w:val="center"/>
              <w:rPr>
                <w:rFonts w:ascii="Arial Narrow" w:hAnsi="Arial Narrow"/>
                <w:sz w:val="20"/>
                <w:szCs w:val="20"/>
                <w:highlight w:val="yellow"/>
              </w:rPr>
            </w:pPr>
            <w:r w:rsidRPr="00AB34C7">
              <w:rPr>
                <w:rFonts w:ascii="Arial Narrow" w:hAnsi="Arial Narrow"/>
                <w:sz w:val="20"/>
                <w:szCs w:val="20"/>
              </w:rPr>
              <w:t>$</w:t>
            </w:r>
            <w:r w:rsidR="003666AE" w:rsidRPr="003666AE">
              <w:rPr>
                <w:rFonts w:ascii="Arial Narrow" w:hAnsi="Arial Narrow"/>
                <w:color w:val="000000"/>
                <w:sz w:val="20"/>
                <w:szCs w:val="20"/>
                <w:shd w:val="solid" w:color="000000" w:fill="000000"/>
                <w14:textFill>
                  <w14:solidFill>
                    <w14:srgbClr w14:val="000000">
                      <w14:alpha w14:val="100000"/>
                    </w14:srgbClr>
                  </w14:solidFill>
                </w14:textFill>
              </w:rPr>
              <w:t>|</w:t>
            </w:r>
          </w:p>
        </w:tc>
      </w:tr>
      <w:tr w:rsidR="00F94A93" w:rsidRPr="00AB34C7" w14:paraId="25AB312C" w14:textId="77777777" w:rsidTr="00575E7C">
        <w:tc>
          <w:tcPr>
            <w:tcW w:w="9017" w:type="dxa"/>
            <w:gridSpan w:val="4"/>
            <w:vAlign w:val="center"/>
          </w:tcPr>
          <w:p w14:paraId="02C6F4D5" w14:textId="77777777" w:rsidR="00F94A93" w:rsidRPr="00AB34C7" w:rsidRDefault="00F94A93" w:rsidP="00F94A93">
            <w:pPr>
              <w:keepNext/>
              <w:jc w:val="left"/>
              <w:rPr>
                <w:rFonts w:ascii="Arial Narrow" w:hAnsi="Arial Narrow"/>
                <w:b/>
                <w:bCs/>
                <w:smallCaps/>
                <w:sz w:val="20"/>
                <w:szCs w:val="20"/>
                <w:highlight w:val="yellow"/>
              </w:rPr>
            </w:pPr>
            <w:r w:rsidRPr="00AB34C7">
              <w:rPr>
                <w:rFonts w:ascii="Arial Narrow" w:hAnsi="Arial Narrow"/>
                <w:b/>
                <w:bCs/>
                <w:smallCaps/>
                <w:sz w:val="20"/>
                <w:szCs w:val="20"/>
              </w:rPr>
              <w:t>obinutuzumab</w:t>
            </w:r>
          </w:p>
        </w:tc>
      </w:tr>
      <w:tr w:rsidR="00F94A93" w:rsidRPr="00AB34C7" w14:paraId="441A2E15" w14:textId="77777777" w:rsidTr="008C232C">
        <w:tc>
          <w:tcPr>
            <w:tcW w:w="1838" w:type="dxa"/>
            <w:vAlign w:val="center"/>
          </w:tcPr>
          <w:p w14:paraId="338A3BC1" w14:textId="353899E0" w:rsidR="00F94A93" w:rsidRPr="00AB34C7" w:rsidRDefault="00F94A93" w:rsidP="00F94A93">
            <w:pPr>
              <w:keepNext/>
              <w:jc w:val="left"/>
              <w:rPr>
                <w:rFonts w:ascii="Arial Narrow" w:hAnsi="Arial Narrow"/>
                <w:sz w:val="20"/>
                <w:szCs w:val="20"/>
                <w:highlight w:val="yellow"/>
              </w:rPr>
            </w:pPr>
            <w:r w:rsidRPr="00AB34C7">
              <w:rPr>
                <w:rFonts w:ascii="Arial Narrow" w:hAnsi="Arial Narrow"/>
                <w:sz w:val="20"/>
                <w:szCs w:val="20"/>
              </w:rPr>
              <w:t>Cost per script (AEMP)</w:t>
            </w:r>
          </w:p>
        </w:tc>
        <w:tc>
          <w:tcPr>
            <w:tcW w:w="2393" w:type="dxa"/>
            <w:vAlign w:val="center"/>
          </w:tcPr>
          <w:p w14:paraId="592332A1" w14:textId="77777777" w:rsidR="00F94A93" w:rsidRPr="00AB34C7" w:rsidRDefault="00F94A93" w:rsidP="00F94A93">
            <w:pPr>
              <w:keepNext/>
              <w:jc w:val="center"/>
              <w:rPr>
                <w:rFonts w:ascii="Arial Narrow" w:hAnsi="Arial Narrow"/>
                <w:sz w:val="20"/>
                <w:szCs w:val="20"/>
              </w:rPr>
            </w:pPr>
            <w:r w:rsidRPr="00AB34C7">
              <w:rPr>
                <w:rFonts w:ascii="Arial Narrow" w:hAnsi="Arial Narrow"/>
                <w:sz w:val="20"/>
                <w:szCs w:val="20"/>
              </w:rPr>
              <w:t>-</w:t>
            </w:r>
          </w:p>
        </w:tc>
        <w:tc>
          <w:tcPr>
            <w:tcW w:w="2393" w:type="dxa"/>
            <w:vAlign w:val="center"/>
          </w:tcPr>
          <w:p w14:paraId="365A2A53" w14:textId="451FF35E" w:rsidR="00F94A93" w:rsidRPr="00AB34C7" w:rsidRDefault="00F94A93" w:rsidP="00F94A93">
            <w:pPr>
              <w:keepNext/>
              <w:jc w:val="center"/>
              <w:rPr>
                <w:rFonts w:ascii="Arial Narrow" w:hAnsi="Arial Narrow"/>
                <w:sz w:val="20"/>
                <w:szCs w:val="20"/>
                <w:highlight w:val="yellow"/>
                <w:vertAlign w:val="superscript"/>
              </w:rPr>
            </w:pPr>
            <w:r w:rsidRPr="00AB34C7">
              <w:rPr>
                <w:rFonts w:ascii="Arial Narrow" w:hAnsi="Arial Narrow"/>
                <w:sz w:val="20"/>
                <w:szCs w:val="20"/>
              </w:rPr>
              <w:t>$</w:t>
            </w:r>
            <w:r w:rsidR="003666AE" w:rsidRPr="003666AE">
              <w:rPr>
                <w:rFonts w:ascii="Arial Narrow" w:hAnsi="Arial Narrow"/>
                <w:color w:val="000000"/>
                <w:sz w:val="20"/>
                <w:szCs w:val="20"/>
                <w:shd w:val="solid" w:color="000000" w:fill="000000"/>
                <w14:textFill>
                  <w14:solidFill>
                    <w14:srgbClr w14:val="000000">
                      <w14:alpha w14:val="100000"/>
                    </w14:srgbClr>
                  </w14:solidFill>
                </w14:textFill>
              </w:rPr>
              <w:t>|</w:t>
            </w:r>
          </w:p>
        </w:tc>
        <w:tc>
          <w:tcPr>
            <w:tcW w:w="2393" w:type="dxa"/>
            <w:vAlign w:val="center"/>
          </w:tcPr>
          <w:p w14:paraId="3C1671D8" w14:textId="1112D20A" w:rsidR="00F94A93" w:rsidRPr="00AB34C7" w:rsidRDefault="00F94A93" w:rsidP="00F94A93">
            <w:pPr>
              <w:keepNext/>
              <w:jc w:val="center"/>
              <w:rPr>
                <w:rFonts w:ascii="Arial Narrow" w:hAnsi="Arial Narrow"/>
                <w:sz w:val="20"/>
                <w:szCs w:val="20"/>
                <w:highlight w:val="yellow"/>
              </w:rPr>
            </w:pPr>
            <w:r w:rsidRPr="00AB34C7">
              <w:rPr>
                <w:rFonts w:ascii="Arial Narrow" w:hAnsi="Arial Narrow"/>
                <w:sz w:val="20"/>
                <w:szCs w:val="20"/>
              </w:rPr>
              <w:t>$</w:t>
            </w:r>
            <w:r w:rsidR="003666AE" w:rsidRPr="003666AE">
              <w:rPr>
                <w:rFonts w:ascii="Arial Narrow" w:hAnsi="Arial Narrow"/>
                <w:color w:val="000000"/>
                <w:sz w:val="20"/>
                <w:szCs w:val="20"/>
                <w:shd w:val="solid" w:color="000000" w:fill="000000"/>
                <w14:textFill>
                  <w14:solidFill>
                    <w14:srgbClr w14:val="000000">
                      <w14:alpha w14:val="100000"/>
                    </w14:srgbClr>
                  </w14:solidFill>
                </w14:textFill>
              </w:rPr>
              <w:t>|</w:t>
            </w:r>
          </w:p>
        </w:tc>
      </w:tr>
      <w:tr w:rsidR="00F94A93" w:rsidRPr="00AB34C7" w14:paraId="3376DDE3" w14:textId="77777777" w:rsidTr="008C232C">
        <w:tc>
          <w:tcPr>
            <w:tcW w:w="1838" w:type="dxa"/>
            <w:vAlign w:val="center"/>
          </w:tcPr>
          <w:p w14:paraId="3B66A176" w14:textId="77777777" w:rsidR="00F94A93" w:rsidRPr="00AB34C7" w:rsidRDefault="00F94A93" w:rsidP="00F94A93">
            <w:pPr>
              <w:keepNext/>
              <w:jc w:val="left"/>
              <w:rPr>
                <w:rFonts w:ascii="Arial Narrow" w:hAnsi="Arial Narrow"/>
                <w:sz w:val="20"/>
                <w:szCs w:val="20"/>
                <w:highlight w:val="yellow"/>
              </w:rPr>
            </w:pPr>
            <w:r w:rsidRPr="00AB34C7">
              <w:rPr>
                <w:rFonts w:ascii="Arial Narrow" w:hAnsi="Arial Narrow"/>
                <w:sz w:val="20"/>
                <w:szCs w:val="20"/>
              </w:rPr>
              <w:t>Compliance</w:t>
            </w:r>
          </w:p>
        </w:tc>
        <w:tc>
          <w:tcPr>
            <w:tcW w:w="2393" w:type="dxa"/>
            <w:vAlign w:val="center"/>
          </w:tcPr>
          <w:p w14:paraId="6B4D10CB" w14:textId="77777777" w:rsidR="00F94A93" w:rsidRPr="00AB34C7" w:rsidRDefault="00F94A93" w:rsidP="00F94A93">
            <w:pPr>
              <w:keepNext/>
              <w:jc w:val="center"/>
              <w:rPr>
                <w:rFonts w:ascii="Arial Narrow" w:hAnsi="Arial Narrow"/>
                <w:sz w:val="20"/>
                <w:szCs w:val="20"/>
              </w:rPr>
            </w:pPr>
            <w:r w:rsidRPr="00AB34C7">
              <w:rPr>
                <w:rFonts w:ascii="Arial Narrow" w:hAnsi="Arial Narrow"/>
                <w:sz w:val="20"/>
                <w:szCs w:val="20"/>
              </w:rPr>
              <w:t>7.355 scripts/course</w:t>
            </w:r>
          </w:p>
        </w:tc>
        <w:tc>
          <w:tcPr>
            <w:tcW w:w="2393" w:type="dxa"/>
            <w:vAlign w:val="center"/>
          </w:tcPr>
          <w:p w14:paraId="068A2F4A" w14:textId="77777777" w:rsidR="00F94A93" w:rsidRPr="00AB34C7" w:rsidRDefault="00F94A93" w:rsidP="00F94A93">
            <w:pPr>
              <w:keepNext/>
              <w:jc w:val="center"/>
              <w:rPr>
                <w:rFonts w:ascii="Arial Narrow" w:hAnsi="Arial Narrow"/>
                <w:sz w:val="20"/>
                <w:szCs w:val="20"/>
                <w:highlight w:val="yellow"/>
              </w:rPr>
            </w:pPr>
            <w:r w:rsidRPr="00AB34C7">
              <w:rPr>
                <w:rFonts w:ascii="Arial Narrow" w:hAnsi="Arial Narrow"/>
                <w:sz w:val="20"/>
                <w:szCs w:val="20"/>
              </w:rPr>
              <w:t>7.355 scripts/course</w:t>
            </w:r>
          </w:p>
        </w:tc>
        <w:tc>
          <w:tcPr>
            <w:tcW w:w="2393" w:type="dxa"/>
            <w:vAlign w:val="center"/>
          </w:tcPr>
          <w:p w14:paraId="7E44E0F4" w14:textId="05920CF5" w:rsidR="00F94A93" w:rsidRPr="00AB34C7" w:rsidRDefault="00B072BB" w:rsidP="00F94A93">
            <w:pPr>
              <w:keepNext/>
              <w:jc w:val="center"/>
              <w:rPr>
                <w:rFonts w:ascii="Arial Narrow" w:hAnsi="Arial Narrow"/>
                <w:sz w:val="20"/>
                <w:szCs w:val="20"/>
                <w:highlight w:val="yellow"/>
              </w:rPr>
            </w:pPr>
            <w:r w:rsidRPr="00AB34C7">
              <w:rPr>
                <w:rFonts w:ascii="Arial Narrow" w:hAnsi="Arial Narrow"/>
                <w:sz w:val="20"/>
                <w:szCs w:val="20"/>
              </w:rPr>
              <w:t>7.355 scripts/course</w:t>
            </w:r>
          </w:p>
        </w:tc>
      </w:tr>
      <w:tr w:rsidR="00F94A93" w:rsidRPr="00AB34C7" w14:paraId="42E8D01C" w14:textId="77777777" w:rsidTr="008C232C">
        <w:trPr>
          <w:trHeight w:val="70"/>
        </w:trPr>
        <w:tc>
          <w:tcPr>
            <w:tcW w:w="1838" w:type="dxa"/>
            <w:vAlign w:val="center"/>
          </w:tcPr>
          <w:p w14:paraId="722B2102" w14:textId="77777777" w:rsidR="00F94A93" w:rsidRPr="00AB34C7" w:rsidRDefault="00F94A93" w:rsidP="00F94A93">
            <w:pPr>
              <w:keepNext/>
              <w:jc w:val="left"/>
              <w:rPr>
                <w:rFonts w:ascii="Arial Narrow" w:hAnsi="Arial Narrow"/>
                <w:sz w:val="20"/>
                <w:szCs w:val="20"/>
                <w:highlight w:val="yellow"/>
              </w:rPr>
            </w:pPr>
            <w:r w:rsidRPr="00AB34C7">
              <w:rPr>
                <w:rFonts w:ascii="Arial Narrow" w:hAnsi="Arial Narrow"/>
                <w:sz w:val="20"/>
                <w:szCs w:val="20"/>
              </w:rPr>
              <w:t>Cost per course</w:t>
            </w:r>
          </w:p>
        </w:tc>
        <w:tc>
          <w:tcPr>
            <w:tcW w:w="2393" w:type="dxa"/>
            <w:vAlign w:val="center"/>
          </w:tcPr>
          <w:p w14:paraId="7B9E37DE" w14:textId="77777777" w:rsidR="00F94A93" w:rsidRPr="00AB34C7" w:rsidRDefault="00F94A93" w:rsidP="00F94A93">
            <w:pPr>
              <w:keepNext/>
              <w:jc w:val="center"/>
              <w:rPr>
                <w:rFonts w:ascii="Arial Narrow" w:hAnsi="Arial Narrow"/>
                <w:sz w:val="20"/>
                <w:szCs w:val="20"/>
              </w:rPr>
            </w:pPr>
            <w:r w:rsidRPr="00AB34C7">
              <w:rPr>
                <w:rFonts w:ascii="Arial Narrow" w:hAnsi="Arial Narrow"/>
                <w:sz w:val="20"/>
                <w:szCs w:val="20"/>
              </w:rPr>
              <w:t>-</w:t>
            </w:r>
          </w:p>
        </w:tc>
        <w:tc>
          <w:tcPr>
            <w:tcW w:w="2393" w:type="dxa"/>
            <w:vAlign w:val="center"/>
          </w:tcPr>
          <w:p w14:paraId="7FD24072" w14:textId="0602B567" w:rsidR="00F94A93" w:rsidRPr="00AB34C7" w:rsidRDefault="00F94A93" w:rsidP="00F94A93">
            <w:pPr>
              <w:keepNext/>
              <w:jc w:val="center"/>
              <w:rPr>
                <w:rFonts w:ascii="Arial Narrow" w:hAnsi="Arial Narrow"/>
                <w:sz w:val="20"/>
                <w:szCs w:val="20"/>
                <w:highlight w:val="yellow"/>
              </w:rPr>
            </w:pPr>
            <w:r w:rsidRPr="00AB34C7">
              <w:rPr>
                <w:rFonts w:ascii="Arial Narrow" w:hAnsi="Arial Narrow"/>
                <w:sz w:val="20"/>
                <w:szCs w:val="20"/>
              </w:rPr>
              <w:t>$</w:t>
            </w:r>
            <w:r w:rsidR="003666AE" w:rsidRPr="003666AE">
              <w:rPr>
                <w:rFonts w:ascii="Arial Narrow" w:hAnsi="Arial Narrow"/>
                <w:color w:val="000000"/>
                <w:sz w:val="20"/>
                <w:szCs w:val="20"/>
                <w:shd w:val="solid" w:color="000000" w:fill="000000"/>
                <w14:textFill>
                  <w14:solidFill>
                    <w14:srgbClr w14:val="000000">
                      <w14:alpha w14:val="100000"/>
                    </w14:srgbClr>
                  </w14:solidFill>
                </w14:textFill>
              </w:rPr>
              <w:t>|</w:t>
            </w:r>
          </w:p>
        </w:tc>
        <w:tc>
          <w:tcPr>
            <w:tcW w:w="2393" w:type="dxa"/>
            <w:vAlign w:val="center"/>
          </w:tcPr>
          <w:p w14:paraId="3FFF5EE8" w14:textId="5E2A7EC9" w:rsidR="00F94A93" w:rsidRPr="00AB34C7" w:rsidRDefault="003A74D5" w:rsidP="00F94A93">
            <w:pPr>
              <w:keepNext/>
              <w:jc w:val="center"/>
              <w:rPr>
                <w:rFonts w:ascii="Arial Narrow" w:hAnsi="Arial Narrow"/>
                <w:sz w:val="20"/>
                <w:szCs w:val="20"/>
                <w:highlight w:val="yellow"/>
              </w:rPr>
            </w:pPr>
            <w:r w:rsidRPr="00AB34C7">
              <w:rPr>
                <w:rFonts w:ascii="Arial Narrow" w:hAnsi="Arial Narrow"/>
                <w:sz w:val="20"/>
                <w:szCs w:val="20"/>
              </w:rPr>
              <w:t>$</w:t>
            </w:r>
            <w:r w:rsidR="003666AE" w:rsidRPr="003666AE">
              <w:rPr>
                <w:rFonts w:ascii="Arial Narrow" w:hAnsi="Arial Narrow"/>
                <w:color w:val="000000"/>
                <w:sz w:val="20"/>
                <w:szCs w:val="20"/>
                <w:shd w:val="solid" w:color="000000" w:fill="000000"/>
                <w14:textFill>
                  <w14:solidFill>
                    <w14:srgbClr w14:val="000000">
                      <w14:alpha w14:val="100000"/>
                    </w14:srgbClr>
                  </w14:solidFill>
                </w14:textFill>
              </w:rPr>
              <w:t>|</w:t>
            </w:r>
          </w:p>
        </w:tc>
      </w:tr>
      <w:bookmarkEnd w:id="54"/>
      <w:tr w:rsidR="00912877" w:rsidRPr="00AB34C7" w14:paraId="4295CF0E" w14:textId="77777777" w:rsidTr="008C232C">
        <w:trPr>
          <w:trHeight w:val="70"/>
        </w:trPr>
        <w:tc>
          <w:tcPr>
            <w:tcW w:w="1838" w:type="dxa"/>
            <w:vAlign w:val="center"/>
          </w:tcPr>
          <w:p w14:paraId="1CB08DE3" w14:textId="44E0963F" w:rsidR="00912877" w:rsidRPr="00AB34C7" w:rsidRDefault="00912877" w:rsidP="00912877">
            <w:pPr>
              <w:keepNext/>
              <w:jc w:val="left"/>
              <w:rPr>
                <w:rFonts w:ascii="Arial Narrow" w:hAnsi="Arial Narrow"/>
                <w:b/>
                <w:bCs/>
                <w:sz w:val="20"/>
                <w:szCs w:val="20"/>
              </w:rPr>
            </w:pPr>
            <w:r w:rsidRPr="00AB34C7">
              <w:rPr>
                <w:rFonts w:ascii="Arial Narrow" w:hAnsi="Arial Narrow"/>
                <w:b/>
                <w:bCs/>
                <w:sz w:val="20"/>
                <w:szCs w:val="20"/>
              </w:rPr>
              <w:t>Total cost per course</w:t>
            </w:r>
          </w:p>
        </w:tc>
        <w:tc>
          <w:tcPr>
            <w:tcW w:w="2393" w:type="dxa"/>
            <w:vAlign w:val="center"/>
          </w:tcPr>
          <w:p w14:paraId="3C3FED7F" w14:textId="071CDA0C" w:rsidR="00912877" w:rsidRPr="00AB34C7" w:rsidRDefault="00912877" w:rsidP="00912877">
            <w:pPr>
              <w:keepNext/>
              <w:jc w:val="center"/>
              <w:rPr>
                <w:rFonts w:ascii="Arial Narrow" w:hAnsi="Arial Narrow"/>
                <w:sz w:val="20"/>
                <w:szCs w:val="20"/>
              </w:rPr>
            </w:pPr>
            <w:r w:rsidRPr="00AB34C7">
              <w:rPr>
                <w:rFonts w:ascii="Arial Narrow" w:hAnsi="Arial Narrow"/>
                <w:sz w:val="20"/>
                <w:szCs w:val="20"/>
              </w:rPr>
              <w:t>-</w:t>
            </w:r>
          </w:p>
        </w:tc>
        <w:tc>
          <w:tcPr>
            <w:tcW w:w="2393" w:type="dxa"/>
            <w:vAlign w:val="center"/>
          </w:tcPr>
          <w:p w14:paraId="7B86E52B" w14:textId="36E7BC42" w:rsidR="00912877" w:rsidRPr="00AB34C7" w:rsidRDefault="00912877" w:rsidP="00912877">
            <w:pPr>
              <w:keepNext/>
              <w:jc w:val="center"/>
              <w:rPr>
                <w:rFonts w:ascii="Arial Narrow" w:hAnsi="Arial Narrow"/>
                <w:b/>
                <w:bCs/>
                <w:sz w:val="20"/>
                <w:szCs w:val="20"/>
              </w:rPr>
            </w:pPr>
            <w:r w:rsidRPr="00AB34C7">
              <w:rPr>
                <w:rFonts w:ascii="Arial Narrow" w:hAnsi="Arial Narrow"/>
                <w:b/>
                <w:bCs/>
                <w:sz w:val="20"/>
                <w:szCs w:val="20"/>
              </w:rPr>
              <w:t>$</w:t>
            </w:r>
            <w:r w:rsidR="003666AE" w:rsidRPr="003666AE">
              <w:rPr>
                <w:rFonts w:ascii="Arial Narrow" w:hAnsi="Arial Narrow"/>
                <w:b/>
                <w:bCs/>
                <w:color w:val="000000"/>
                <w:sz w:val="20"/>
                <w:szCs w:val="20"/>
                <w:shd w:val="solid" w:color="000000" w:fill="000000"/>
                <w14:textFill>
                  <w14:solidFill>
                    <w14:srgbClr w14:val="000000">
                      <w14:alpha w14:val="100000"/>
                    </w14:srgbClr>
                  </w14:solidFill>
                </w14:textFill>
              </w:rPr>
              <w:t>|</w:t>
            </w:r>
          </w:p>
        </w:tc>
        <w:tc>
          <w:tcPr>
            <w:tcW w:w="2393" w:type="dxa"/>
            <w:vAlign w:val="center"/>
          </w:tcPr>
          <w:p w14:paraId="0112A021" w14:textId="7B8EB41B" w:rsidR="00912877" w:rsidRPr="00AB34C7" w:rsidRDefault="00912877" w:rsidP="00912877">
            <w:pPr>
              <w:keepNext/>
              <w:jc w:val="center"/>
              <w:rPr>
                <w:rFonts w:ascii="Arial Narrow" w:hAnsi="Arial Narrow"/>
                <w:b/>
                <w:bCs/>
                <w:sz w:val="20"/>
                <w:szCs w:val="20"/>
              </w:rPr>
            </w:pPr>
            <w:r w:rsidRPr="00AB34C7">
              <w:rPr>
                <w:rFonts w:ascii="Arial Narrow" w:hAnsi="Arial Narrow"/>
                <w:b/>
                <w:bCs/>
                <w:sz w:val="20"/>
                <w:szCs w:val="20"/>
              </w:rPr>
              <w:t>$</w:t>
            </w:r>
            <w:r w:rsidR="003666AE" w:rsidRPr="003666AE">
              <w:rPr>
                <w:rFonts w:ascii="Arial Narrow" w:hAnsi="Arial Narrow"/>
                <w:b/>
                <w:bCs/>
                <w:color w:val="000000"/>
                <w:sz w:val="20"/>
                <w:szCs w:val="20"/>
                <w:shd w:val="solid" w:color="000000" w:fill="000000"/>
                <w14:textFill>
                  <w14:solidFill>
                    <w14:srgbClr w14:val="000000">
                      <w14:alpha w14:val="100000"/>
                    </w14:srgbClr>
                  </w14:solidFill>
                </w14:textFill>
              </w:rPr>
              <w:t>|</w:t>
            </w:r>
          </w:p>
        </w:tc>
      </w:tr>
    </w:tbl>
    <w:p w14:paraId="4012DD87" w14:textId="168674DF" w:rsidR="00033154" w:rsidRPr="00AB34C7" w:rsidRDefault="00033154" w:rsidP="00033154">
      <w:pPr>
        <w:pStyle w:val="COMTablefooter"/>
      </w:pPr>
      <w:r w:rsidRPr="00AB34C7">
        <w:t xml:space="preserve">Source: </w:t>
      </w:r>
      <w:r w:rsidR="009C4A43" w:rsidRPr="00AB34C7">
        <w:t xml:space="preserve">Table 7, pp52-53 of the GLOW trial clinical study report (primary analysis); </w:t>
      </w:r>
      <w:r w:rsidR="002B7288" w:rsidRPr="00AB34C7">
        <w:t>Section 3 economic analysis Excel workbook; Section 4 financial estimates Excel workbook.</w:t>
      </w:r>
    </w:p>
    <w:p w14:paraId="62EAE0CE" w14:textId="3C9DEB2B" w:rsidR="00CD7FB7" w:rsidRPr="00AB34C7" w:rsidRDefault="00033154" w:rsidP="00033154">
      <w:pPr>
        <w:pStyle w:val="COMTablefooter"/>
      </w:pPr>
      <w:r w:rsidRPr="00AB34C7">
        <w:t>Abbreviations:</w:t>
      </w:r>
      <w:r w:rsidR="00B072BB" w:rsidRPr="00AB34C7">
        <w:t xml:space="preserve"> NE, not estimable.</w:t>
      </w:r>
    </w:p>
    <w:p w14:paraId="2CE6DAE9" w14:textId="77777777" w:rsidR="007F4D2B" w:rsidRPr="00AB34C7" w:rsidRDefault="009C4A43" w:rsidP="00033154">
      <w:pPr>
        <w:pStyle w:val="COMTablefooter"/>
      </w:pPr>
      <w:r w:rsidRPr="00AB34C7">
        <w:rPr>
          <w:vertAlign w:val="superscript"/>
        </w:rPr>
        <w:t>a</w:t>
      </w:r>
      <w:r w:rsidRPr="00AB34C7">
        <w:t xml:space="preserve"> Based on the GLOW trial for ibrutinib + venetoclax and the CLL-14 trial for venetoclax + obinutuzumab.</w:t>
      </w:r>
    </w:p>
    <w:p w14:paraId="29766A76" w14:textId="3D2F4D39" w:rsidR="00896D5D" w:rsidRPr="00AB34C7" w:rsidRDefault="003A74D5" w:rsidP="00033154">
      <w:pPr>
        <w:pStyle w:val="COMTablefooter"/>
      </w:pPr>
      <w:r w:rsidRPr="00AB34C7">
        <w:rPr>
          <w:vertAlign w:val="superscript"/>
        </w:rPr>
        <w:t>b</w:t>
      </w:r>
      <w:r w:rsidR="00CD7FB7" w:rsidRPr="00AB34C7">
        <w:t xml:space="preserve"> Estimated effective AEMP based on effective price of venetoclax in the relapsed/refractory setting.</w:t>
      </w:r>
    </w:p>
    <w:p w14:paraId="3F45C723" w14:textId="7A930EFC" w:rsidR="00B97462" w:rsidRPr="00AB34C7" w:rsidRDefault="00B97462" w:rsidP="00B97462">
      <w:pPr>
        <w:pStyle w:val="COMH2-non-numbered"/>
      </w:pPr>
      <w:bookmarkStart w:id="55" w:name="_Toc22897647"/>
      <w:bookmarkStart w:id="56" w:name="_Toc118449724"/>
      <w:bookmarkStart w:id="57" w:name="_Toc156912607"/>
      <w:bookmarkStart w:id="58" w:name="_Hlk107307804"/>
      <w:r w:rsidRPr="00AB34C7">
        <w:t>Estimated PBS usage &amp; financial implications</w:t>
      </w:r>
      <w:bookmarkEnd w:id="55"/>
      <w:bookmarkEnd w:id="56"/>
      <w:bookmarkEnd w:id="57"/>
    </w:p>
    <w:p w14:paraId="72F5552A" w14:textId="63D95583" w:rsidR="00B97462" w:rsidRPr="00AB34C7" w:rsidRDefault="00B97462" w:rsidP="004405B8">
      <w:pPr>
        <w:pStyle w:val="COMexecsumnumberedpara"/>
        <w:ind w:hanging="720"/>
      </w:pPr>
      <w:r w:rsidRPr="00AB34C7">
        <w:t xml:space="preserve">This submission </w:t>
      </w:r>
      <w:r w:rsidR="008D3560" w:rsidRPr="00AB34C7">
        <w:t>was not</w:t>
      </w:r>
      <w:r w:rsidRPr="00AB34C7">
        <w:t xml:space="preserve"> considered by DUSC.</w:t>
      </w:r>
    </w:p>
    <w:p w14:paraId="48D12917" w14:textId="77777777" w:rsidR="00B97462" w:rsidRPr="00AB34C7" w:rsidRDefault="00B97462" w:rsidP="00AA787B">
      <w:pPr>
        <w:pStyle w:val="COMexecsumnumberedpara"/>
        <w:ind w:hanging="720"/>
      </w:pPr>
      <w:r w:rsidRPr="00AB34C7">
        <w:t>A comparison of the budget impact implications between the current resubmission and the December 2022 submission was not considered to be informative given the substantial changes in patient population, intervention, comparator and methodology for utilisation estimates between submissions.</w:t>
      </w:r>
    </w:p>
    <w:p w14:paraId="1B222283" w14:textId="744BE84D" w:rsidR="00B97462" w:rsidRPr="00AB34C7" w:rsidRDefault="00B97462" w:rsidP="00AA787B">
      <w:pPr>
        <w:pStyle w:val="COMexecsumnumberedpara"/>
        <w:ind w:hanging="720"/>
      </w:pPr>
      <w:r w:rsidRPr="00AB34C7">
        <w:t xml:space="preserve">The resubmission used a market share approach to estimate the utilisation and financial implications of listing </w:t>
      </w:r>
      <w:r w:rsidR="003F7508" w:rsidRPr="00AB34C7">
        <w:t>ibrutinib + venetoclax</w:t>
      </w:r>
      <w:r w:rsidRPr="00AB34C7">
        <w:t xml:space="preserve"> on the PBS/RPBS for the first-line treatment of CLL/SLL. Key inputs relied on in the financial estimates are summarised in </w:t>
      </w:r>
      <w:r w:rsidR="00E909C1" w:rsidRPr="00AB34C7">
        <w:fldChar w:fldCharType="begin" w:fldLock="1"/>
      </w:r>
      <w:r w:rsidR="00E909C1" w:rsidRPr="00AB34C7">
        <w:instrText xml:space="preserve"> REF _Ref153202885 \h </w:instrText>
      </w:r>
      <w:r w:rsidR="00E909C1" w:rsidRPr="00AB34C7">
        <w:fldChar w:fldCharType="separate"/>
      </w:r>
      <w:r w:rsidR="008A42E6" w:rsidRPr="00AB34C7">
        <w:t xml:space="preserve">Table </w:t>
      </w:r>
      <w:r w:rsidR="008A42E6" w:rsidRPr="00B95C74">
        <w:t>17</w:t>
      </w:r>
      <w:r w:rsidR="00E909C1" w:rsidRPr="00AB34C7">
        <w:fldChar w:fldCharType="end"/>
      </w:r>
      <w:r w:rsidR="00364CFE" w:rsidRPr="00AB34C7">
        <w:t>.</w:t>
      </w:r>
    </w:p>
    <w:p w14:paraId="0792B630" w14:textId="60EB44E1" w:rsidR="00B97462" w:rsidRPr="00B95C74" w:rsidRDefault="00E909C1" w:rsidP="001C30EF">
      <w:pPr>
        <w:keepNext/>
        <w:jc w:val="left"/>
        <w:rPr>
          <w:rFonts w:ascii="Arial Narrow" w:eastAsiaTheme="majorEastAsia" w:hAnsi="Arial Narrow" w:cs="Times New Roman"/>
          <w:b/>
          <w:bCs/>
          <w:sz w:val="20"/>
          <w:szCs w:val="20"/>
        </w:rPr>
      </w:pPr>
      <w:bookmarkStart w:id="59" w:name="_Ref153202885"/>
      <w:r w:rsidRPr="00AB34C7">
        <w:rPr>
          <w:rFonts w:ascii="Arial Narrow" w:hAnsi="Arial Narrow"/>
          <w:b/>
          <w:bCs/>
          <w:sz w:val="20"/>
          <w:szCs w:val="20"/>
        </w:rPr>
        <w:lastRenderedPageBreak/>
        <w:t xml:space="preserve">Table </w:t>
      </w:r>
      <w:r w:rsidRPr="00B95C74">
        <w:rPr>
          <w:rFonts w:ascii="Arial Narrow" w:hAnsi="Arial Narrow"/>
          <w:b/>
          <w:bCs/>
          <w:sz w:val="20"/>
          <w:szCs w:val="20"/>
        </w:rPr>
        <w:fldChar w:fldCharType="begin" w:fldLock="1"/>
      </w:r>
      <w:r w:rsidRPr="00AB34C7">
        <w:rPr>
          <w:rFonts w:ascii="Arial Narrow" w:hAnsi="Arial Narrow"/>
          <w:b/>
          <w:bCs/>
          <w:sz w:val="20"/>
          <w:szCs w:val="20"/>
        </w:rPr>
        <w:instrText xml:space="preserve"> SEQ Table \* ARABIC </w:instrText>
      </w:r>
      <w:r w:rsidRPr="00B95C74">
        <w:rPr>
          <w:rFonts w:ascii="Arial Narrow" w:hAnsi="Arial Narrow"/>
          <w:b/>
          <w:bCs/>
          <w:sz w:val="20"/>
          <w:szCs w:val="20"/>
        </w:rPr>
        <w:fldChar w:fldCharType="separate"/>
      </w:r>
      <w:r w:rsidR="008A42E6" w:rsidRPr="00B95C74">
        <w:rPr>
          <w:rFonts w:ascii="Arial Narrow" w:hAnsi="Arial Narrow"/>
          <w:b/>
          <w:bCs/>
          <w:sz w:val="20"/>
          <w:szCs w:val="20"/>
        </w:rPr>
        <w:t>17</w:t>
      </w:r>
      <w:r w:rsidRPr="00B95C74">
        <w:rPr>
          <w:rFonts w:ascii="Arial Narrow" w:hAnsi="Arial Narrow"/>
          <w:b/>
          <w:bCs/>
          <w:sz w:val="20"/>
          <w:szCs w:val="20"/>
        </w:rPr>
        <w:fldChar w:fldCharType="end"/>
      </w:r>
      <w:bookmarkEnd w:id="59"/>
      <w:r w:rsidRPr="00AB34C7">
        <w:rPr>
          <w:rFonts w:ascii="Arial Narrow" w:hAnsi="Arial Narrow"/>
          <w:b/>
          <w:bCs/>
          <w:sz w:val="20"/>
          <w:szCs w:val="20"/>
        </w:rPr>
        <w:t xml:space="preserve">: </w:t>
      </w:r>
      <w:r w:rsidR="00B97462" w:rsidRPr="00AB34C7">
        <w:rPr>
          <w:rFonts w:ascii="Arial Narrow" w:hAnsi="Arial Narrow"/>
          <w:b/>
          <w:bCs/>
          <w:sz w:val="20"/>
          <w:szCs w:val="20"/>
        </w:rPr>
        <w:t>Data sources and parameter values applied in the utilisation and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7: Data sources and parameter values applied in the utilisation and financial estimates"/>
      </w:tblPr>
      <w:tblGrid>
        <w:gridCol w:w="1526"/>
        <w:gridCol w:w="4423"/>
        <w:gridCol w:w="3231"/>
      </w:tblGrid>
      <w:tr w:rsidR="00B97462" w:rsidRPr="00AB34C7" w14:paraId="4BD4FEB5" w14:textId="77777777" w:rsidTr="00051E04">
        <w:trPr>
          <w:tblHeader/>
        </w:trPr>
        <w:tc>
          <w:tcPr>
            <w:tcW w:w="1526" w:type="dxa"/>
            <w:vAlign w:val="center"/>
          </w:tcPr>
          <w:p w14:paraId="22640490" w14:textId="77777777" w:rsidR="00B97462" w:rsidRPr="00AB34C7" w:rsidRDefault="00B97462" w:rsidP="001C30EF">
            <w:pPr>
              <w:pStyle w:val="COMTableheadingrow"/>
              <w:rPr>
                <w:lang w:val="en-AU"/>
              </w:rPr>
            </w:pPr>
            <w:r w:rsidRPr="00AB34C7">
              <w:rPr>
                <w:lang w:val="en-AU"/>
              </w:rPr>
              <w:t>Data</w:t>
            </w:r>
          </w:p>
        </w:tc>
        <w:tc>
          <w:tcPr>
            <w:tcW w:w="4423" w:type="dxa"/>
            <w:vAlign w:val="center"/>
          </w:tcPr>
          <w:p w14:paraId="720FD9D5" w14:textId="77777777" w:rsidR="00B97462" w:rsidRPr="00AB34C7" w:rsidRDefault="00B97462" w:rsidP="001C30EF">
            <w:pPr>
              <w:pStyle w:val="COMTableheadingrow"/>
              <w:jc w:val="center"/>
              <w:rPr>
                <w:lang w:val="en-AU"/>
              </w:rPr>
            </w:pPr>
            <w:r w:rsidRPr="00AB34C7">
              <w:rPr>
                <w:lang w:val="en-AU"/>
              </w:rPr>
              <w:t>Value applied and source</w:t>
            </w:r>
          </w:p>
        </w:tc>
        <w:tc>
          <w:tcPr>
            <w:tcW w:w="3231" w:type="dxa"/>
            <w:vAlign w:val="center"/>
          </w:tcPr>
          <w:p w14:paraId="6524B231" w14:textId="77777777" w:rsidR="00B97462" w:rsidRPr="00AB34C7" w:rsidRDefault="00B97462" w:rsidP="001C30EF">
            <w:pPr>
              <w:pStyle w:val="COMTableheadingrow"/>
              <w:jc w:val="center"/>
              <w:rPr>
                <w:lang w:val="en-AU"/>
              </w:rPr>
            </w:pPr>
            <w:r w:rsidRPr="00AB34C7">
              <w:rPr>
                <w:lang w:val="en-AU"/>
              </w:rPr>
              <w:t>Comment</w:t>
            </w:r>
          </w:p>
        </w:tc>
      </w:tr>
      <w:tr w:rsidR="00B97462" w:rsidRPr="00AB34C7" w14:paraId="3232A979" w14:textId="77777777" w:rsidTr="00CE0FAC">
        <w:tc>
          <w:tcPr>
            <w:tcW w:w="9180" w:type="dxa"/>
            <w:gridSpan w:val="3"/>
            <w:vAlign w:val="center"/>
          </w:tcPr>
          <w:p w14:paraId="453C37BA" w14:textId="77777777" w:rsidR="00B97462" w:rsidRPr="00AB34C7" w:rsidRDefault="00B97462" w:rsidP="001C30EF">
            <w:pPr>
              <w:pStyle w:val="COMTableheadingrow"/>
              <w:rPr>
                <w:lang w:val="en-AU"/>
              </w:rPr>
            </w:pPr>
            <w:r w:rsidRPr="00AB34C7">
              <w:rPr>
                <w:lang w:val="en-AU"/>
              </w:rPr>
              <w:t>Treatment utilisation</w:t>
            </w:r>
          </w:p>
        </w:tc>
      </w:tr>
      <w:tr w:rsidR="00B97462" w:rsidRPr="00AB34C7" w14:paraId="56A033BB" w14:textId="77777777" w:rsidTr="000B1EFA">
        <w:trPr>
          <w:trHeight w:val="2404"/>
        </w:trPr>
        <w:tc>
          <w:tcPr>
            <w:tcW w:w="1526" w:type="dxa"/>
            <w:vAlign w:val="center"/>
          </w:tcPr>
          <w:p w14:paraId="5C9C44B2" w14:textId="77777777" w:rsidR="00B97462" w:rsidRPr="00AB34C7" w:rsidRDefault="00B97462" w:rsidP="00507D72">
            <w:pPr>
              <w:pStyle w:val="COMTabletext"/>
              <w:keepNext w:val="0"/>
            </w:pPr>
            <w:r w:rsidRPr="00AB34C7">
              <w:rPr>
                <w:iCs/>
              </w:rPr>
              <w:t>Obinutuzumab scripts (projected current market)</w:t>
            </w:r>
          </w:p>
        </w:tc>
        <w:tc>
          <w:tcPr>
            <w:tcW w:w="4423" w:type="dxa"/>
            <w:vAlign w:val="center"/>
          </w:tcPr>
          <w:p w14:paraId="72045447" w14:textId="7CED74F4" w:rsidR="00B97462" w:rsidRPr="00AB34C7" w:rsidRDefault="00B97462" w:rsidP="00507D72">
            <w:pPr>
              <w:pStyle w:val="COMTabletext"/>
              <w:keepNext w:val="0"/>
            </w:pPr>
            <w:r w:rsidRPr="00AB34C7">
              <w:t xml:space="preserve">From </w:t>
            </w:r>
            <w:r w:rsidR="003666AE" w:rsidRPr="003666AE">
              <w:rPr>
                <w:color w:val="000000"/>
                <w:spacing w:val="53"/>
                <w:shd w:val="solid" w:color="000000" w:fill="000000"/>
                <w:fitText w:val="330" w:id="-962324992"/>
                <w14:textFill>
                  <w14:solidFill>
                    <w14:srgbClr w14:val="000000">
                      <w14:alpha w14:val="100000"/>
                    </w14:srgbClr>
                  </w14:solidFill>
                </w14:textFill>
              </w:rPr>
              <w:t>|||</w:t>
            </w:r>
            <w:r w:rsidR="003666AE" w:rsidRPr="003666AE">
              <w:rPr>
                <w:color w:val="000000"/>
                <w:spacing w:val="1"/>
                <w:shd w:val="solid" w:color="000000" w:fill="000000"/>
                <w:fitText w:val="330" w:id="-962324992"/>
                <w14:textFill>
                  <w14:solidFill>
                    <w14:srgbClr w14:val="000000">
                      <w14:alpha w14:val="100000"/>
                    </w14:srgbClr>
                  </w14:solidFill>
                </w14:textFill>
              </w:rPr>
              <w:t>|</w:t>
            </w:r>
            <w:r w:rsidR="00D92693" w:rsidRPr="001C30EF">
              <w:rPr>
                <w:vertAlign w:val="superscript"/>
              </w:rPr>
              <w:t>1</w:t>
            </w:r>
            <w:r w:rsidRPr="00AB34C7">
              <w:t xml:space="preserve"> in Year 1 to </w:t>
            </w:r>
            <w:r w:rsidR="003666AE" w:rsidRPr="003666AE">
              <w:rPr>
                <w:color w:val="000000"/>
                <w:spacing w:val="53"/>
                <w:shd w:val="solid" w:color="000000" w:fill="000000"/>
                <w:fitText w:val="330" w:id="-962324991"/>
                <w14:textFill>
                  <w14:solidFill>
                    <w14:srgbClr w14:val="000000">
                      <w14:alpha w14:val="100000"/>
                    </w14:srgbClr>
                  </w14:solidFill>
                </w14:textFill>
              </w:rPr>
              <w:t>|||</w:t>
            </w:r>
            <w:r w:rsidR="003666AE" w:rsidRPr="003666AE">
              <w:rPr>
                <w:color w:val="000000"/>
                <w:spacing w:val="1"/>
                <w:shd w:val="solid" w:color="000000" w:fill="000000"/>
                <w:fitText w:val="330" w:id="-962324991"/>
                <w14:textFill>
                  <w14:solidFill>
                    <w14:srgbClr w14:val="000000">
                      <w14:alpha w14:val="100000"/>
                    </w14:srgbClr>
                  </w14:solidFill>
                </w14:textFill>
              </w:rPr>
              <w:t>|</w:t>
            </w:r>
            <w:r w:rsidR="00D92693" w:rsidRPr="00162C9D">
              <w:rPr>
                <w:vertAlign w:val="superscript"/>
              </w:rPr>
              <w:t>1</w:t>
            </w:r>
            <w:r w:rsidRPr="00AB34C7">
              <w:t xml:space="preserve"> in Year 6. Based on PBS script data for obinutuzumab items used in combination with venetoclax between 2020 and 2022. Total script count extrapolated using the logarithmic trend line function in Excel.</w:t>
            </w:r>
          </w:p>
        </w:tc>
        <w:tc>
          <w:tcPr>
            <w:tcW w:w="3231" w:type="dxa"/>
            <w:vMerge w:val="restart"/>
            <w:vAlign w:val="center"/>
          </w:tcPr>
          <w:p w14:paraId="2B220C0C" w14:textId="33B36FD8" w:rsidR="00B97462" w:rsidRPr="00AB34C7" w:rsidRDefault="00B97462" w:rsidP="00507D72">
            <w:pPr>
              <w:pStyle w:val="COMTabletext"/>
              <w:keepNext w:val="0"/>
              <w:rPr>
                <w:iCs/>
              </w:rPr>
            </w:pPr>
            <w:r w:rsidRPr="00AB34C7">
              <w:rPr>
                <w:iCs/>
              </w:rPr>
              <w:t xml:space="preserve">Estimates do not account for the change in the listings of </w:t>
            </w:r>
            <w:r w:rsidR="0074509F" w:rsidRPr="00AB34C7">
              <w:rPr>
                <w:iCs/>
              </w:rPr>
              <w:t>venetoclax</w:t>
            </w:r>
            <w:r w:rsidRPr="00AB34C7">
              <w:rPr>
                <w:iCs/>
              </w:rPr>
              <w:t xml:space="preserve"> and </w:t>
            </w:r>
            <w:r w:rsidR="0074509F" w:rsidRPr="00AB34C7">
              <w:rPr>
                <w:iCs/>
              </w:rPr>
              <w:t>obinutuzumab</w:t>
            </w:r>
            <w:r w:rsidRPr="00AB34C7">
              <w:rPr>
                <w:iCs/>
              </w:rPr>
              <w:t xml:space="preserve"> in September 2023 which broadened the eligibility criteria for these therapies from unfit patients only to any patient requiring first-line treatment for CLL/SLL. However, the ESC previously noted that the expansion of the venetoclax with obinutuzumab listing was unlikely to substantially affect utilisation estimates (para 6.59, acalabrutinib PSD, July 2023 PBAC meeting).</w:t>
            </w:r>
          </w:p>
          <w:p w14:paraId="543503B2" w14:textId="77777777" w:rsidR="00B97462" w:rsidRPr="00AB34C7" w:rsidRDefault="00B97462" w:rsidP="00507D72">
            <w:pPr>
              <w:pStyle w:val="COMTabletext"/>
              <w:keepNext w:val="0"/>
              <w:rPr>
                <w:iCs/>
              </w:rPr>
            </w:pPr>
          </w:p>
          <w:p w14:paraId="10DBAD9E" w14:textId="11F8EF64" w:rsidR="00B97462" w:rsidRPr="00AB34C7" w:rsidRDefault="00B97462" w:rsidP="00507D72">
            <w:pPr>
              <w:pStyle w:val="COMTabletext"/>
              <w:keepNext w:val="0"/>
              <w:rPr>
                <w:iCs/>
              </w:rPr>
            </w:pPr>
            <w:r w:rsidRPr="00AB34C7">
              <w:rPr>
                <w:iCs/>
              </w:rPr>
              <w:t xml:space="preserve">Estimates of utilisation between 2020 and 2022 may be affected by the </w:t>
            </w:r>
            <w:r w:rsidR="00394F8F" w:rsidRPr="00AB34C7">
              <w:rPr>
                <w:iCs/>
              </w:rPr>
              <w:t>COVID</w:t>
            </w:r>
            <w:r w:rsidRPr="00AB34C7">
              <w:rPr>
                <w:iCs/>
              </w:rPr>
              <w:t xml:space="preserve">-19 pandemic and may not be representative of </w:t>
            </w:r>
            <w:r w:rsidR="0074509F" w:rsidRPr="00AB34C7">
              <w:rPr>
                <w:iCs/>
              </w:rPr>
              <w:t>longer-term</w:t>
            </w:r>
            <w:r w:rsidRPr="00AB34C7">
              <w:rPr>
                <w:iCs/>
              </w:rPr>
              <w:t xml:space="preserve"> utilisation patterns. Additionally, </w:t>
            </w:r>
            <w:r w:rsidR="0002393C" w:rsidRPr="00AB34C7">
              <w:rPr>
                <w:iCs/>
              </w:rPr>
              <w:t>venetoclax + obinutuzumab</w:t>
            </w:r>
            <w:r w:rsidRPr="00AB34C7">
              <w:rPr>
                <w:iCs/>
              </w:rPr>
              <w:t xml:space="preserve"> has only been subsidised under the PBS since December 2020 and market dynamics may change over time.</w:t>
            </w:r>
          </w:p>
        </w:tc>
      </w:tr>
      <w:tr w:rsidR="00B97462" w:rsidRPr="00AB34C7" w14:paraId="2BEBA917" w14:textId="77777777" w:rsidTr="000B1EFA">
        <w:trPr>
          <w:trHeight w:val="2405"/>
        </w:trPr>
        <w:tc>
          <w:tcPr>
            <w:tcW w:w="1526" w:type="dxa"/>
            <w:vAlign w:val="center"/>
          </w:tcPr>
          <w:p w14:paraId="5AED62A6" w14:textId="77777777" w:rsidR="00B97462" w:rsidRPr="00AB34C7" w:rsidRDefault="00B97462" w:rsidP="00507D72">
            <w:pPr>
              <w:pStyle w:val="COMTabletext"/>
              <w:keepNext w:val="0"/>
            </w:pPr>
            <w:r w:rsidRPr="00AB34C7">
              <w:rPr>
                <w:iCs/>
              </w:rPr>
              <w:t>Venetoclax scripts (projected current market)</w:t>
            </w:r>
          </w:p>
        </w:tc>
        <w:tc>
          <w:tcPr>
            <w:tcW w:w="4423" w:type="dxa"/>
            <w:vAlign w:val="center"/>
          </w:tcPr>
          <w:p w14:paraId="5FEE72B6" w14:textId="1BD04199" w:rsidR="00B97462" w:rsidRPr="00AB34C7" w:rsidRDefault="00B97462" w:rsidP="00507D72">
            <w:pPr>
              <w:pStyle w:val="COMTabletext"/>
              <w:keepNext w:val="0"/>
            </w:pPr>
            <w:r w:rsidRPr="00AB34C7">
              <w:t xml:space="preserve">From </w:t>
            </w:r>
            <w:r w:rsidR="003666AE" w:rsidRPr="003666AE">
              <w:rPr>
                <w:color w:val="000000"/>
                <w:spacing w:val="53"/>
                <w:shd w:val="solid" w:color="000000" w:fill="000000"/>
                <w:fitText w:val="330" w:id="-962324990"/>
                <w14:textFill>
                  <w14:solidFill>
                    <w14:srgbClr w14:val="000000">
                      <w14:alpha w14:val="100000"/>
                    </w14:srgbClr>
                  </w14:solidFill>
                </w14:textFill>
              </w:rPr>
              <w:t>|||</w:t>
            </w:r>
            <w:r w:rsidR="003666AE" w:rsidRPr="003666AE">
              <w:rPr>
                <w:color w:val="000000"/>
                <w:spacing w:val="1"/>
                <w:shd w:val="solid" w:color="000000" w:fill="000000"/>
                <w:fitText w:val="330" w:id="-962324990"/>
                <w14:textFill>
                  <w14:solidFill>
                    <w14:srgbClr w14:val="000000">
                      <w14:alpha w14:val="100000"/>
                    </w14:srgbClr>
                  </w14:solidFill>
                </w14:textFill>
              </w:rPr>
              <w:t>|</w:t>
            </w:r>
            <w:r w:rsidR="00D92693" w:rsidRPr="00162C9D">
              <w:rPr>
                <w:vertAlign w:val="superscript"/>
              </w:rPr>
              <w:t>1</w:t>
            </w:r>
            <w:r w:rsidRPr="00AB34C7">
              <w:t xml:space="preserve"> in Year 1 to </w:t>
            </w:r>
            <w:r w:rsidR="003666AE" w:rsidRPr="003666AE">
              <w:rPr>
                <w:color w:val="000000"/>
                <w:spacing w:val="53"/>
                <w:shd w:val="solid" w:color="000000" w:fill="000000"/>
                <w:fitText w:val="330" w:id="-962324989"/>
                <w14:textFill>
                  <w14:solidFill>
                    <w14:srgbClr w14:val="000000">
                      <w14:alpha w14:val="100000"/>
                    </w14:srgbClr>
                  </w14:solidFill>
                </w14:textFill>
              </w:rPr>
              <w:t>|||</w:t>
            </w:r>
            <w:r w:rsidR="003666AE" w:rsidRPr="003666AE">
              <w:rPr>
                <w:color w:val="000000"/>
                <w:spacing w:val="1"/>
                <w:shd w:val="solid" w:color="000000" w:fill="000000"/>
                <w:fitText w:val="330" w:id="-962324989"/>
                <w14:textFill>
                  <w14:solidFill>
                    <w14:srgbClr w14:val="000000">
                      <w14:alpha w14:val="100000"/>
                    </w14:srgbClr>
                  </w14:solidFill>
                </w14:textFill>
              </w:rPr>
              <w:t>|</w:t>
            </w:r>
            <w:r w:rsidR="00D92693" w:rsidRPr="00162C9D">
              <w:rPr>
                <w:vertAlign w:val="superscript"/>
              </w:rPr>
              <w:t>1</w:t>
            </w:r>
            <w:r w:rsidR="00D92693">
              <w:rPr>
                <w:vertAlign w:val="superscript"/>
              </w:rPr>
              <w:t xml:space="preserve"> </w:t>
            </w:r>
            <w:r w:rsidRPr="00AB34C7">
              <w:t>in Year 6. Based on</w:t>
            </w:r>
          </w:p>
          <w:p w14:paraId="59B3AC59" w14:textId="77777777" w:rsidR="00B97462" w:rsidRPr="00AB34C7" w:rsidRDefault="00B97462" w:rsidP="00507D72">
            <w:pPr>
              <w:pStyle w:val="COMTabletext"/>
              <w:keepNext w:val="0"/>
            </w:pPr>
            <w:r w:rsidRPr="00AB34C7">
              <w:t>PBS script data for venetoclax items used in combination with obinutuzumab between 2020 and 2022. Total script count extrapolated using the logarithmic trend line function in Excel.</w:t>
            </w:r>
          </w:p>
          <w:p w14:paraId="5CE7B250" w14:textId="77777777" w:rsidR="00B97462" w:rsidRPr="00AB34C7" w:rsidRDefault="00B97462" w:rsidP="00507D72">
            <w:pPr>
              <w:pStyle w:val="COMTabletext"/>
              <w:keepNext w:val="0"/>
            </w:pPr>
          </w:p>
          <w:p w14:paraId="3FB09B0D" w14:textId="390BA761" w:rsidR="00B97462" w:rsidRPr="00AB34C7" w:rsidRDefault="00B97462" w:rsidP="00507D72">
            <w:pPr>
              <w:pStyle w:val="COMTabletext"/>
              <w:keepNext w:val="0"/>
            </w:pPr>
            <w:r w:rsidRPr="00AB34C7">
              <w:t>After extrapolation of the combined venetoclax scripts the resubmission disaggregated project</w:t>
            </w:r>
            <w:r w:rsidR="00394F8F" w:rsidRPr="00AB34C7">
              <w:t>ed</w:t>
            </w:r>
            <w:r w:rsidRPr="00AB34C7">
              <w:t xml:space="preserve"> scripts assuming the distribution in 2022 between initial, 1</w:t>
            </w:r>
            <w:r w:rsidRPr="00AB34C7">
              <w:rPr>
                <w:vertAlign w:val="superscript"/>
              </w:rPr>
              <w:t>st</w:t>
            </w:r>
            <w:r w:rsidRPr="00AB34C7">
              <w:t xml:space="preserve"> continuing and 2</w:t>
            </w:r>
            <w:r w:rsidRPr="00AB34C7">
              <w:rPr>
                <w:vertAlign w:val="superscript"/>
              </w:rPr>
              <w:t>nd</w:t>
            </w:r>
            <w:r w:rsidRPr="00AB34C7">
              <w:t xml:space="preserve"> continuing scripts remains constant over time</w:t>
            </w:r>
            <w:r w:rsidR="00394F8F" w:rsidRPr="00AB34C7">
              <w:t>.</w:t>
            </w:r>
          </w:p>
        </w:tc>
        <w:tc>
          <w:tcPr>
            <w:tcW w:w="3231" w:type="dxa"/>
            <w:vMerge/>
            <w:vAlign w:val="center"/>
          </w:tcPr>
          <w:p w14:paraId="75392274" w14:textId="77777777" w:rsidR="00B97462" w:rsidRPr="00AB34C7" w:rsidRDefault="00B97462" w:rsidP="00507D72">
            <w:pPr>
              <w:pStyle w:val="COMTabletext"/>
              <w:keepNext w:val="0"/>
              <w:rPr>
                <w:iCs/>
              </w:rPr>
            </w:pPr>
          </w:p>
        </w:tc>
      </w:tr>
      <w:tr w:rsidR="00B97462" w:rsidRPr="00AB34C7" w14:paraId="2AB0E51E" w14:textId="77777777" w:rsidTr="00552FF8">
        <w:tc>
          <w:tcPr>
            <w:tcW w:w="1526" w:type="dxa"/>
            <w:vAlign w:val="center"/>
          </w:tcPr>
          <w:p w14:paraId="0AC28F08" w14:textId="0FC3A7A1" w:rsidR="00B97462" w:rsidRPr="00AB34C7" w:rsidRDefault="003F7508" w:rsidP="00507D72">
            <w:pPr>
              <w:pStyle w:val="COMTabletext"/>
              <w:keepNext w:val="0"/>
            </w:pPr>
            <w:r w:rsidRPr="00AB34C7">
              <w:rPr>
                <w:iCs/>
              </w:rPr>
              <w:t>Ibrutinib + venetoclax</w:t>
            </w:r>
            <w:r w:rsidR="00B97462" w:rsidRPr="00AB34C7">
              <w:rPr>
                <w:iCs/>
              </w:rPr>
              <w:t xml:space="preserve"> substitution rate</w:t>
            </w:r>
          </w:p>
        </w:tc>
        <w:tc>
          <w:tcPr>
            <w:tcW w:w="4423" w:type="dxa"/>
            <w:vAlign w:val="center"/>
          </w:tcPr>
          <w:p w14:paraId="64F5D7CE" w14:textId="7872900F" w:rsidR="00B97462" w:rsidRPr="00AB34C7" w:rsidRDefault="00B97462" w:rsidP="00507D72">
            <w:pPr>
              <w:pStyle w:val="COMTabletext"/>
              <w:keepNext w:val="0"/>
            </w:pPr>
            <w:r w:rsidRPr="00AB34C7">
              <w:t>From 25% in Year 1 to 60% in Year</w:t>
            </w:r>
            <w:r w:rsidR="00C86836" w:rsidRPr="00AB34C7">
              <w:t>s</w:t>
            </w:r>
            <w:r w:rsidRPr="00AB34C7">
              <w:t xml:space="preserve"> 5-6. Estimates were assumed based on the expectation of a relatively high substitution rate as </w:t>
            </w:r>
            <w:r w:rsidR="003F7508" w:rsidRPr="00AB34C7">
              <w:t>ibrutinib + venetoclax</w:t>
            </w:r>
            <w:r w:rsidRPr="00AB34C7">
              <w:t xml:space="preserve"> would be the only available all-oral, fixed duration treatment option.</w:t>
            </w:r>
          </w:p>
        </w:tc>
        <w:tc>
          <w:tcPr>
            <w:tcW w:w="3231" w:type="dxa"/>
            <w:vAlign w:val="center"/>
          </w:tcPr>
          <w:p w14:paraId="4664F8FD" w14:textId="7E93BF97" w:rsidR="00B97462" w:rsidRPr="00AB34C7" w:rsidRDefault="00B97462" w:rsidP="00507D72">
            <w:pPr>
              <w:pStyle w:val="COMTabletext"/>
              <w:keepNext w:val="0"/>
              <w:rPr>
                <w:iCs/>
              </w:rPr>
            </w:pPr>
            <w:r w:rsidRPr="00AB34C7">
              <w:rPr>
                <w:iCs/>
              </w:rPr>
              <w:t xml:space="preserve">The substitution rate appeared </w:t>
            </w:r>
            <w:r w:rsidR="00C86836" w:rsidRPr="00AB34C7">
              <w:rPr>
                <w:iCs/>
              </w:rPr>
              <w:t>high</w:t>
            </w:r>
            <w:r w:rsidRPr="00AB34C7">
              <w:rPr>
                <w:iCs/>
              </w:rPr>
              <w:t xml:space="preserve"> given the other potential treatment options for first-line treatment of patients for CLL/SLL. In particular, the zanubrutinib PBAC submission assumed that zanubrutinib monotherapy would capture 40% of the </w:t>
            </w:r>
            <w:r w:rsidR="0002393C" w:rsidRPr="00AB34C7">
              <w:rPr>
                <w:iCs/>
              </w:rPr>
              <w:t>venetoclax + obinutuzumab</w:t>
            </w:r>
            <w:r w:rsidRPr="00AB34C7">
              <w:rPr>
                <w:iCs/>
              </w:rPr>
              <w:t xml:space="preserve"> market (Table 14, zanubrutinib PSD, March 2023 PBAC meeting)</w:t>
            </w:r>
            <w:r w:rsidR="00C86836" w:rsidRPr="00AB34C7">
              <w:rPr>
                <w:iCs/>
              </w:rPr>
              <w:t>, w</w:t>
            </w:r>
            <w:r w:rsidRPr="00AB34C7">
              <w:rPr>
                <w:iCs/>
              </w:rPr>
              <w:t xml:space="preserve">hile the acalabrutinib PBAC submission assumed that acalabrutinib with or without obinutuzumab would capture 30-50% of the </w:t>
            </w:r>
            <w:r w:rsidR="0002393C" w:rsidRPr="00AB34C7">
              <w:rPr>
                <w:iCs/>
              </w:rPr>
              <w:t>venetoclax + obinutuzumab</w:t>
            </w:r>
            <w:r w:rsidRPr="00AB34C7">
              <w:rPr>
                <w:iCs/>
              </w:rPr>
              <w:t xml:space="preserve"> market (Table 19, acalabrutinib PSD, July 2023 PBAC meeting). </w:t>
            </w:r>
          </w:p>
        </w:tc>
      </w:tr>
      <w:tr w:rsidR="00B97462" w:rsidRPr="00AB34C7" w14:paraId="755802BE" w14:textId="77777777" w:rsidTr="001C30EF">
        <w:trPr>
          <w:trHeight w:val="3969"/>
        </w:trPr>
        <w:tc>
          <w:tcPr>
            <w:tcW w:w="1526" w:type="dxa"/>
            <w:vAlign w:val="center"/>
          </w:tcPr>
          <w:p w14:paraId="5F527641" w14:textId="398B4445" w:rsidR="00B97462" w:rsidRPr="00AB34C7" w:rsidRDefault="003F7508" w:rsidP="00507D72">
            <w:pPr>
              <w:pStyle w:val="COMTabletext"/>
              <w:keepNext w:val="0"/>
            </w:pPr>
            <w:r w:rsidRPr="00AB34C7">
              <w:t>Ibrutinib + venetoclax</w:t>
            </w:r>
            <w:r w:rsidR="00B97462" w:rsidRPr="00AB34C7">
              <w:t xml:space="preserve"> script adjustment factors</w:t>
            </w:r>
          </w:p>
        </w:tc>
        <w:tc>
          <w:tcPr>
            <w:tcW w:w="4423" w:type="dxa"/>
            <w:vAlign w:val="center"/>
          </w:tcPr>
          <w:p w14:paraId="798F8AF4" w14:textId="77777777" w:rsidR="00B97462" w:rsidRPr="00AB34C7" w:rsidRDefault="00B97462" w:rsidP="00507D72">
            <w:pPr>
              <w:pStyle w:val="COMTabletext"/>
              <w:keepNext w:val="0"/>
            </w:pPr>
            <w:r w:rsidRPr="00AB34C7">
              <w:t>- 3 initial ibrutinib scripts vs. 1 initial venetoclax script</w:t>
            </w:r>
          </w:p>
          <w:p w14:paraId="12D2AFB3" w14:textId="001C92D4" w:rsidR="00B97462" w:rsidRPr="00AB34C7" w:rsidRDefault="00B97462" w:rsidP="00507D72">
            <w:pPr>
              <w:pStyle w:val="COMTabletext"/>
              <w:keepNext w:val="0"/>
            </w:pPr>
            <w:r w:rsidRPr="00AB34C7">
              <w:t xml:space="preserve">- 1.2 </w:t>
            </w:r>
            <w:r w:rsidR="00C86836" w:rsidRPr="00AB34C7">
              <w:t>first</w:t>
            </w:r>
            <w:r w:rsidRPr="00AB34C7">
              <w:t xml:space="preserve"> continuing ibrutinib scripts vs. 1 </w:t>
            </w:r>
            <w:r w:rsidR="00C86836" w:rsidRPr="00AB34C7">
              <w:t>first</w:t>
            </w:r>
            <w:r w:rsidRPr="00AB34C7">
              <w:t xml:space="preserve"> continuing venetoclax script</w:t>
            </w:r>
          </w:p>
          <w:p w14:paraId="37AB1FA6" w14:textId="6A72403E" w:rsidR="00B97462" w:rsidRPr="00AB34C7" w:rsidRDefault="00B97462" w:rsidP="00507D72">
            <w:pPr>
              <w:pStyle w:val="COMTabletext"/>
              <w:keepNext w:val="0"/>
            </w:pPr>
            <w:r w:rsidRPr="00AB34C7">
              <w:t xml:space="preserve">-  0.83 </w:t>
            </w:r>
            <w:r w:rsidR="00C86836" w:rsidRPr="00AB34C7">
              <w:t>second</w:t>
            </w:r>
            <w:r w:rsidRPr="00AB34C7">
              <w:t xml:space="preserve"> continuing ibrutinib scripts vs. 1 </w:t>
            </w:r>
            <w:r w:rsidR="00C86836" w:rsidRPr="00AB34C7">
              <w:t>second</w:t>
            </w:r>
            <w:r w:rsidR="00EC4F11" w:rsidRPr="00AB34C7">
              <w:t xml:space="preserve"> </w:t>
            </w:r>
            <w:r w:rsidR="00EC4F11" w:rsidRPr="00AB34C7">
              <w:rPr>
                <w:bCs w:val="0"/>
              </w:rPr>
              <w:t>c</w:t>
            </w:r>
            <w:r w:rsidRPr="00AB34C7">
              <w:t>ontinuing venetoclax script</w:t>
            </w:r>
          </w:p>
          <w:p w14:paraId="3AE9F0EE" w14:textId="77777777" w:rsidR="00B97462" w:rsidRPr="00AB34C7" w:rsidRDefault="00B97462" w:rsidP="00507D72">
            <w:pPr>
              <w:pStyle w:val="COMTabletext"/>
            </w:pPr>
            <w:r w:rsidRPr="00AB34C7">
              <w:t>- 1.41 venetoclax scripts vs. 1 obinutuzumab script</w:t>
            </w:r>
          </w:p>
          <w:p w14:paraId="3BCCBB32" w14:textId="77777777" w:rsidR="00B97462" w:rsidRPr="00AB34C7" w:rsidRDefault="00B97462" w:rsidP="00507D72">
            <w:pPr>
              <w:pStyle w:val="COMTabletext"/>
              <w:keepNext w:val="0"/>
            </w:pPr>
          </w:p>
          <w:p w14:paraId="383633BF" w14:textId="3C177167" w:rsidR="00B97462" w:rsidRPr="00AB34C7" w:rsidRDefault="00B97462" w:rsidP="00507D72">
            <w:pPr>
              <w:pStyle w:val="COMTabletext"/>
              <w:keepNext w:val="0"/>
            </w:pPr>
            <w:r w:rsidRPr="00AB34C7">
              <w:t>Based on the dosing relativities used in the cost-minimisation assuming that patients are fully adherent to recommended dosing schedules and the differences in treatment duration are due to non-persistence.</w:t>
            </w:r>
          </w:p>
          <w:p w14:paraId="126C0446" w14:textId="77777777" w:rsidR="00B97462" w:rsidRPr="00AB34C7" w:rsidRDefault="00B97462" w:rsidP="00507D72">
            <w:pPr>
              <w:pStyle w:val="COMTabletext"/>
              <w:keepNext w:val="0"/>
            </w:pPr>
          </w:p>
          <w:p w14:paraId="54ECBBC2" w14:textId="64918F61" w:rsidR="00B97462" w:rsidRPr="00AB34C7" w:rsidRDefault="00B97462" w:rsidP="00507D72">
            <w:pPr>
              <w:pStyle w:val="COMTabletext"/>
              <w:keepNext w:val="0"/>
            </w:pPr>
            <w:r w:rsidRPr="00AB34C7">
              <w:t xml:space="preserve">The script estimates assumed that the full course of treatment is administered in a single year (the recommended treatment duration for </w:t>
            </w:r>
            <w:r w:rsidR="003F7508" w:rsidRPr="00AB34C7">
              <w:t>ibrutinib + venetoclax</w:t>
            </w:r>
            <w:r w:rsidRPr="00AB34C7">
              <w:t xml:space="preserve"> is 15 months and the recommended treatment duration for </w:t>
            </w:r>
            <w:r w:rsidR="005408D4" w:rsidRPr="00AB34C7">
              <w:t>venetoclax + obinutuzumab</w:t>
            </w:r>
            <w:r w:rsidRPr="00AB34C7">
              <w:t xml:space="preserve"> is 12 months).</w:t>
            </w:r>
          </w:p>
        </w:tc>
        <w:tc>
          <w:tcPr>
            <w:tcW w:w="3231" w:type="dxa"/>
            <w:vAlign w:val="center"/>
          </w:tcPr>
          <w:p w14:paraId="18C541FA" w14:textId="77777777" w:rsidR="00B97462" w:rsidRPr="00AB34C7" w:rsidRDefault="00B97462" w:rsidP="00507D72">
            <w:pPr>
              <w:pStyle w:val="COMTabletext"/>
              <w:rPr>
                <w:iCs/>
              </w:rPr>
            </w:pPr>
            <w:r w:rsidRPr="00AB34C7">
              <w:rPr>
                <w:iCs/>
              </w:rPr>
              <w:t>The resubmission did not adequately justify the mapping of individual components of the new treatment regimen to individual components of the current treatment regimen (new ibrutinib mapped to current venetoclax, new venetoclax mapped to current obinutuzumab).</w:t>
            </w:r>
          </w:p>
          <w:p w14:paraId="6280DFA5" w14:textId="77777777" w:rsidR="00B97462" w:rsidRPr="00AB34C7" w:rsidRDefault="00B97462" w:rsidP="00507D72">
            <w:pPr>
              <w:pStyle w:val="COMTabletext"/>
              <w:rPr>
                <w:iCs/>
              </w:rPr>
            </w:pPr>
          </w:p>
          <w:p w14:paraId="0510B641" w14:textId="77777777" w:rsidR="00B97462" w:rsidRPr="00AB34C7" w:rsidRDefault="00B97462" w:rsidP="00507D72">
            <w:pPr>
              <w:pStyle w:val="COMTabletext"/>
              <w:rPr>
                <w:iCs/>
              </w:rPr>
            </w:pPr>
            <w:r w:rsidRPr="00AB34C7">
              <w:rPr>
                <w:iCs/>
              </w:rPr>
              <w:t>The assumption that patients are fully adherent to the dosing schedule of treatment was unlikely to be representative of clinical practice.</w:t>
            </w:r>
          </w:p>
          <w:p w14:paraId="6D2C9202" w14:textId="77777777" w:rsidR="00B97462" w:rsidRPr="00AB34C7" w:rsidRDefault="00B97462" w:rsidP="00507D72">
            <w:pPr>
              <w:pStyle w:val="COMTabletext"/>
              <w:rPr>
                <w:iCs/>
              </w:rPr>
            </w:pPr>
          </w:p>
          <w:p w14:paraId="61EA51FB" w14:textId="77777777" w:rsidR="00B97462" w:rsidRPr="00AB34C7" w:rsidRDefault="00B97462" w:rsidP="00507D72">
            <w:pPr>
              <w:pStyle w:val="COMTabletext"/>
              <w:rPr>
                <w:iCs/>
              </w:rPr>
            </w:pPr>
            <w:r w:rsidRPr="00AB34C7">
              <w:rPr>
                <w:iCs/>
              </w:rPr>
              <w:t>The assumption that all treatments would be administered within a year appeared to be a reasonable simplifying assumption.</w:t>
            </w:r>
          </w:p>
        </w:tc>
      </w:tr>
    </w:tbl>
    <w:p w14:paraId="4C6E16D4" w14:textId="32986E99" w:rsidR="00B97462" w:rsidRPr="00AB34C7" w:rsidRDefault="00B97462" w:rsidP="00B97462">
      <w:pPr>
        <w:pStyle w:val="COMTablefooter"/>
      </w:pPr>
      <w:r w:rsidRPr="00AB34C7">
        <w:lastRenderedPageBreak/>
        <w:t>Source: Section 4.1</w:t>
      </w:r>
      <w:r w:rsidR="00F17978">
        <w:t xml:space="preserve"> </w:t>
      </w:r>
      <w:r w:rsidRPr="00AB34C7">
        <w:t>of the resubmission</w:t>
      </w:r>
    </w:p>
    <w:p w14:paraId="366E9AC2" w14:textId="0ED2DABA" w:rsidR="00B97462" w:rsidRDefault="00B97462" w:rsidP="001C30EF">
      <w:pPr>
        <w:pStyle w:val="COMTablefooter"/>
        <w:spacing w:after="0"/>
      </w:pPr>
      <w:r w:rsidRPr="00AB34C7">
        <w:t>Abbreviations: CLL, chronic lymphocytic leukaemia;</w:t>
      </w:r>
      <w:r w:rsidR="003739E9" w:rsidRPr="00AB34C7">
        <w:t xml:space="preserve"> </w:t>
      </w:r>
      <w:r w:rsidRPr="00AB34C7">
        <w:t xml:space="preserve">ESC, </w:t>
      </w:r>
      <w:r w:rsidR="005408D4" w:rsidRPr="00AB34C7">
        <w:t>E</w:t>
      </w:r>
      <w:r w:rsidRPr="00AB34C7">
        <w:t xml:space="preserve">conomic </w:t>
      </w:r>
      <w:r w:rsidR="005408D4" w:rsidRPr="00AB34C7">
        <w:t>S</w:t>
      </w:r>
      <w:r w:rsidRPr="00AB34C7">
        <w:t>ub-</w:t>
      </w:r>
      <w:r w:rsidR="005408D4" w:rsidRPr="00AB34C7">
        <w:t>C</w:t>
      </w:r>
      <w:r w:rsidRPr="00AB34C7">
        <w:t xml:space="preserve">ommittee; PBAC, Pharmaceutical Benefits Advisory Committee; PBS, Pharmaceutical Benefits Scheme; PSD, </w:t>
      </w:r>
      <w:r w:rsidR="003739E9" w:rsidRPr="00AB34C7">
        <w:t>P</w:t>
      </w:r>
      <w:r w:rsidRPr="00AB34C7">
        <w:t xml:space="preserve">ublic </w:t>
      </w:r>
      <w:r w:rsidR="003739E9" w:rsidRPr="00AB34C7">
        <w:t>S</w:t>
      </w:r>
      <w:r w:rsidRPr="00AB34C7">
        <w:t xml:space="preserve">ummary </w:t>
      </w:r>
      <w:r w:rsidR="003739E9" w:rsidRPr="00AB34C7">
        <w:t>D</w:t>
      </w:r>
      <w:r w:rsidRPr="00AB34C7">
        <w:t>ocument; SLL, small lymphocytic lymphoma</w:t>
      </w:r>
      <w:r w:rsidR="003739E9" w:rsidRPr="00AB34C7">
        <w:t>.</w:t>
      </w:r>
    </w:p>
    <w:p w14:paraId="315A83E5" w14:textId="77777777" w:rsidR="00D92693" w:rsidRPr="009A6D58" w:rsidRDefault="00D92693" w:rsidP="00D92693">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85288E5" w14:textId="263BAA4A" w:rsidR="00D92693" w:rsidRPr="00D92693" w:rsidRDefault="00D92693" w:rsidP="001C30EF">
      <w:pPr>
        <w:spacing w:after="120"/>
      </w:pPr>
      <w:r w:rsidRPr="009A6D58">
        <w:rPr>
          <w:rFonts w:ascii="Arial Narrow" w:hAnsi="Arial Narrow"/>
          <w:i/>
          <w:sz w:val="18"/>
          <w:szCs w:val="18"/>
          <w:vertAlign w:val="superscript"/>
        </w:rPr>
        <w:t>1</w:t>
      </w:r>
      <w:r>
        <w:rPr>
          <w:rFonts w:ascii="Arial Narrow" w:hAnsi="Arial Narrow"/>
          <w:i/>
          <w:sz w:val="18"/>
          <w:szCs w:val="18"/>
        </w:rPr>
        <w:t xml:space="preserve"> </w:t>
      </w:r>
      <w:r w:rsidRPr="00D92693">
        <w:rPr>
          <w:rFonts w:ascii="Arial Narrow" w:hAnsi="Arial Narrow"/>
          <w:i/>
          <w:sz w:val="18"/>
          <w:szCs w:val="18"/>
        </w:rPr>
        <w:t>5,000 to &lt; 10,000</w:t>
      </w:r>
    </w:p>
    <w:p w14:paraId="4C33D2DA" w14:textId="33143887" w:rsidR="00B97462" w:rsidRPr="00AB34C7" w:rsidRDefault="00B97462" w:rsidP="00AA787B">
      <w:pPr>
        <w:pStyle w:val="COMexecsumnumberedpara"/>
        <w:ind w:hanging="720"/>
      </w:pPr>
      <w:r w:rsidRPr="00AB34C7">
        <w:t xml:space="preserve">The estimated utilisation and financial implications (using the </w:t>
      </w:r>
      <w:r w:rsidR="003739E9" w:rsidRPr="00AB34C7">
        <w:t xml:space="preserve">estimated </w:t>
      </w:r>
      <w:r w:rsidRPr="00AB34C7">
        <w:t xml:space="preserve">effective DPMQ) of a PBS listing of </w:t>
      </w:r>
      <w:r w:rsidR="003F7508" w:rsidRPr="00AB34C7">
        <w:t>ibrutinib + venetoclax</w:t>
      </w:r>
      <w:r w:rsidRPr="00AB34C7">
        <w:t xml:space="preserve"> for the first-line treatment of CLL/SLL is summarised in </w:t>
      </w:r>
      <w:r w:rsidR="00E909C1" w:rsidRPr="00AB34C7">
        <w:fldChar w:fldCharType="begin" w:fldLock="1"/>
      </w:r>
      <w:r w:rsidR="00E909C1" w:rsidRPr="00AB34C7">
        <w:instrText xml:space="preserve"> REF _Ref104805295 \h </w:instrText>
      </w:r>
      <w:r w:rsidR="00E909C1" w:rsidRPr="00AB34C7">
        <w:fldChar w:fldCharType="separate"/>
      </w:r>
      <w:r w:rsidR="008A42E6" w:rsidRPr="00AB34C7">
        <w:t xml:space="preserve">Table </w:t>
      </w:r>
      <w:r w:rsidR="008A42E6" w:rsidRPr="00B95C74">
        <w:t>18</w:t>
      </w:r>
      <w:r w:rsidR="00E909C1" w:rsidRPr="00AB34C7">
        <w:fldChar w:fldCharType="end"/>
      </w:r>
      <w:r w:rsidRPr="00AB34C7">
        <w:t>.</w:t>
      </w:r>
      <w:r w:rsidR="004E3EC5" w:rsidRPr="00AB34C7">
        <w:t xml:space="preserve"> </w:t>
      </w:r>
    </w:p>
    <w:p w14:paraId="7B2CCEE2" w14:textId="062D35D2" w:rsidR="00B97462" w:rsidRPr="00AB34C7" w:rsidRDefault="00B97462" w:rsidP="001C30EF">
      <w:pPr>
        <w:pStyle w:val="COMtablefigcaption"/>
        <w:keepLines/>
      </w:pPr>
      <w:bookmarkStart w:id="60" w:name="_Ref104805295"/>
      <w:r w:rsidRPr="00AB34C7">
        <w:t xml:space="preserve">Table </w:t>
      </w:r>
      <w:fldSimple w:instr=" SEQ Table \* ARABIC " w:fldLock="1">
        <w:r w:rsidR="008A42E6" w:rsidRPr="00B95C74">
          <w:t>18</w:t>
        </w:r>
      </w:fldSimple>
      <w:bookmarkEnd w:id="60"/>
      <w:r w:rsidRPr="00AB34C7">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8: Estimated use and financial implications"/>
      </w:tblPr>
      <w:tblGrid>
        <w:gridCol w:w="2405"/>
        <w:gridCol w:w="1102"/>
        <w:gridCol w:w="1102"/>
        <w:gridCol w:w="1102"/>
        <w:gridCol w:w="1102"/>
        <w:gridCol w:w="1102"/>
        <w:gridCol w:w="1102"/>
      </w:tblGrid>
      <w:tr w:rsidR="00B97462" w:rsidRPr="00AB34C7" w14:paraId="0A707CF3" w14:textId="77777777" w:rsidTr="008A3158">
        <w:trPr>
          <w:tblHeader/>
        </w:trPr>
        <w:tc>
          <w:tcPr>
            <w:tcW w:w="1334" w:type="pct"/>
            <w:shd w:val="clear" w:color="auto" w:fill="auto"/>
            <w:vAlign w:val="center"/>
          </w:tcPr>
          <w:p w14:paraId="01099E34" w14:textId="77777777" w:rsidR="00B97462" w:rsidRPr="00B95C74" w:rsidRDefault="00B97462" w:rsidP="001C30EF">
            <w:pPr>
              <w:pStyle w:val="COMTableheadingrow"/>
              <w:keepLines/>
              <w:jc w:val="center"/>
              <w:rPr>
                <w:lang w:val="en-AU"/>
              </w:rPr>
            </w:pPr>
          </w:p>
        </w:tc>
        <w:tc>
          <w:tcPr>
            <w:tcW w:w="611" w:type="pct"/>
            <w:shd w:val="clear" w:color="auto" w:fill="auto"/>
            <w:vAlign w:val="center"/>
          </w:tcPr>
          <w:p w14:paraId="6906EC28" w14:textId="77777777" w:rsidR="00B97462" w:rsidRPr="00B95C74" w:rsidRDefault="00B97462" w:rsidP="001C30EF">
            <w:pPr>
              <w:pStyle w:val="COMTableheadingrow"/>
              <w:keepLines/>
              <w:jc w:val="center"/>
              <w:rPr>
                <w:lang w:val="en-AU"/>
              </w:rPr>
            </w:pPr>
            <w:r w:rsidRPr="00B95C74">
              <w:rPr>
                <w:lang w:val="en-AU"/>
              </w:rPr>
              <w:t>Year 1</w:t>
            </w:r>
          </w:p>
        </w:tc>
        <w:tc>
          <w:tcPr>
            <w:tcW w:w="611" w:type="pct"/>
            <w:shd w:val="clear" w:color="auto" w:fill="auto"/>
            <w:vAlign w:val="center"/>
          </w:tcPr>
          <w:p w14:paraId="499EAE5F" w14:textId="77777777" w:rsidR="00B97462" w:rsidRPr="00B95C74" w:rsidRDefault="00B97462" w:rsidP="001C30EF">
            <w:pPr>
              <w:pStyle w:val="COMTableheadingrow"/>
              <w:keepLines/>
              <w:jc w:val="center"/>
              <w:rPr>
                <w:lang w:val="en-AU"/>
              </w:rPr>
            </w:pPr>
            <w:r w:rsidRPr="00B95C74">
              <w:rPr>
                <w:lang w:val="en-AU"/>
              </w:rPr>
              <w:t>Year 2</w:t>
            </w:r>
          </w:p>
        </w:tc>
        <w:tc>
          <w:tcPr>
            <w:tcW w:w="611" w:type="pct"/>
            <w:shd w:val="clear" w:color="auto" w:fill="auto"/>
            <w:vAlign w:val="center"/>
          </w:tcPr>
          <w:p w14:paraId="679450C5" w14:textId="77777777" w:rsidR="00B97462" w:rsidRPr="00B95C74" w:rsidRDefault="00B97462" w:rsidP="001C30EF">
            <w:pPr>
              <w:pStyle w:val="COMTableheadingrow"/>
              <w:keepLines/>
              <w:jc w:val="center"/>
              <w:rPr>
                <w:lang w:val="en-AU"/>
              </w:rPr>
            </w:pPr>
            <w:r w:rsidRPr="00B95C74">
              <w:rPr>
                <w:lang w:val="en-AU"/>
              </w:rPr>
              <w:t>Year 3</w:t>
            </w:r>
          </w:p>
        </w:tc>
        <w:tc>
          <w:tcPr>
            <w:tcW w:w="611" w:type="pct"/>
            <w:shd w:val="clear" w:color="auto" w:fill="auto"/>
            <w:vAlign w:val="center"/>
          </w:tcPr>
          <w:p w14:paraId="3FEB82BD" w14:textId="77777777" w:rsidR="00B97462" w:rsidRPr="00B95C74" w:rsidRDefault="00B97462" w:rsidP="001C30EF">
            <w:pPr>
              <w:pStyle w:val="COMTableheadingrow"/>
              <w:keepLines/>
              <w:jc w:val="center"/>
              <w:rPr>
                <w:lang w:val="en-AU"/>
              </w:rPr>
            </w:pPr>
            <w:r w:rsidRPr="00B95C74">
              <w:rPr>
                <w:lang w:val="en-AU"/>
              </w:rPr>
              <w:t>Year 4</w:t>
            </w:r>
          </w:p>
        </w:tc>
        <w:tc>
          <w:tcPr>
            <w:tcW w:w="611" w:type="pct"/>
            <w:shd w:val="clear" w:color="auto" w:fill="auto"/>
            <w:vAlign w:val="center"/>
          </w:tcPr>
          <w:p w14:paraId="49035916" w14:textId="77777777" w:rsidR="00B97462" w:rsidRPr="00B95C74" w:rsidRDefault="00B97462" w:rsidP="001C30EF">
            <w:pPr>
              <w:pStyle w:val="COMTableheadingrow"/>
              <w:keepLines/>
              <w:jc w:val="center"/>
              <w:rPr>
                <w:lang w:val="en-AU"/>
              </w:rPr>
            </w:pPr>
            <w:r w:rsidRPr="00B95C74">
              <w:rPr>
                <w:lang w:val="en-AU"/>
              </w:rPr>
              <w:t>Year 5</w:t>
            </w:r>
          </w:p>
        </w:tc>
        <w:tc>
          <w:tcPr>
            <w:tcW w:w="611" w:type="pct"/>
          </w:tcPr>
          <w:p w14:paraId="207D8553" w14:textId="77777777" w:rsidR="00B97462" w:rsidRPr="00B95C74" w:rsidRDefault="00B97462" w:rsidP="001C30EF">
            <w:pPr>
              <w:pStyle w:val="COMTableheadingrow"/>
              <w:keepLines/>
              <w:jc w:val="center"/>
              <w:rPr>
                <w:lang w:val="en-AU"/>
              </w:rPr>
            </w:pPr>
            <w:r w:rsidRPr="00B95C74">
              <w:rPr>
                <w:lang w:val="en-AU"/>
              </w:rPr>
              <w:t>Year 6</w:t>
            </w:r>
          </w:p>
        </w:tc>
      </w:tr>
      <w:tr w:rsidR="00B97462" w:rsidRPr="00AB34C7" w14:paraId="07E1E627" w14:textId="77777777" w:rsidTr="009C3A3A">
        <w:tc>
          <w:tcPr>
            <w:tcW w:w="5000" w:type="pct"/>
            <w:gridSpan w:val="7"/>
            <w:shd w:val="clear" w:color="auto" w:fill="auto"/>
            <w:vAlign w:val="center"/>
          </w:tcPr>
          <w:p w14:paraId="187627CF" w14:textId="77777777" w:rsidR="00B97462" w:rsidRPr="00B95C74" w:rsidRDefault="00B97462" w:rsidP="001C30EF">
            <w:pPr>
              <w:pStyle w:val="COMTableheadingrow"/>
              <w:keepLines/>
              <w:rPr>
                <w:bCs/>
                <w:color w:val="000000"/>
                <w:lang w:val="en-AU"/>
              </w:rPr>
            </w:pPr>
            <w:r w:rsidRPr="00B95C74">
              <w:rPr>
                <w:bCs/>
                <w:color w:val="000000"/>
                <w:lang w:val="en-AU"/>
              </w:rPr>
              <w:t>Estimated extent of use</w:t>
            </w:r>
          </w:p>
        </w:tc>
      </w:tr>
      <w:tr w:rsidR="00B97462" w:rsidRPr="00AB34C7" w14:paraId="31F51267" w14:textId="77777777" w:rsidTr="000A29F8">
        <w:tc>
          <w:tcPr>
            <w:tcW w:w="1334" w:type="pct"/>
            <w:shd w:val="clear" w:color="auto" w:fill="auto"/>
            <w:vAlign w:val="center"/>
          </w:tcPr>
          <w:p w14:paraId="00471142" w14:textId="77777777" w:rsidR="00B97462" w:rsidRPr="00AB34C7" w:rsidRDefault="00B97462" w:rsidP="001C30EF">
            <w:pPr>
              <w:pStyle w:val="COMTabletext"/>
              <w:keepLines/>
              <w:rPr>
                <w:rFonts w:ascii="Times" w:hAnsi="Times"/>
              </w:rPr>
            </w:pPr>
            <w:r w:rsidRPr="00AB34C7">
              <w:t>Number of ibrutinib scripts dispensed</w:t>
            </w:r>
          </w:p>
        </w:tc>
        <w:tc>
          <w:tcPr>
            <w:tcW w:w="611" w:type="pct"/>
            <w:shd w:val="clear" w:color="auto" w:fill="auto"/>
            <w:vAlign w:val="center"/>
          </w:tcPr>
          <w:p w14:paraId="416DAF19" w14:textId="49D15317" w:rsidR="00B97462" w:rsidRPr="001C30EF" w:rsidRDefault="003666AE" w:rsidP="001C30EF">
            <w:pPr>
              <w:pStyle w:val="COMTabletext"/>
              <w:keepLines/>
              <w:jc w:val="center"/>
              <w:rPr>
                <w:color w:val="000000"/>
                <w:highlight w:val="lightGray"/>
              </w:rPr>
            </w:pPr>
            <w:r w:rsidRPr="003666AE">
              <w:rPr>
                <w:rFonts w:hint="eastAsia"/>
                <w:color w:val="000000"/>
                <w:w w:val="15"/>
                <w:shd w:val="solid" w:color="000000" w:fill="000000"/>
                <w:fitText w:val="45" w:id="-962324988"/>
                <w14:textFill>
                  <w14:solidFill>
                    <w14:srgbClr w14:val="000000">
                      <w14:alpha w14:val="100000"/>
                    </w14:srgbClr>
                  </w14:solidFill>
                </w14:textFill>
              </w:rPr>
              <w:t xml:space="preserve">　</w:t>
            </w:r>
            <w:r w:rsidRPr="003666AE">
              <w:rPr>
                <w:color w:val="000000"/>
                <w:w w:val="15"/>
                <w:shd w:val="solid" w:color="000000" w:fill="000000"/>
                <w:fitText w:val="45" w:id="-962324988"/>
                <w14:textFill>
                  <w14:solidFill>
                    <w14:srgbClr w14:val="000000">
                      <w14:alpha w14:val="100000"/>
                    </w14:srgbClr>
                  </w14:solidFill>
                </w14:textFill>
              </w:rPr>
              <w:t>|</w:t>
            </w:r>
            <w:r w:rsidRPr="003666AE">
              <w:rPr>
                <w:rFonts w:hint="eastAsia"/>
                <w:color w:val="000000"/>
                <w:spacing w:val="-20"/>
                <w:w w:val="15"/>
                <w:shd w:val="solid" w:color="000000" w:fill="000000"/>
                <w:fitText w:val="45" w:id="-962324988"/>
                <w14:textFill>
                  <w14:solidFill>
                    <w14:srgbClr w14:val="000000">
                      <w14:alpha w14:val="100000"/>
                    </w14:srgbClr>
                  </w14:solidFill>
                </w14:textFill>
              </w:rPr>
              <w:t xml:space="preserve">　</w:t>
            </w:r>
            <w:r w:rsidR="00C1630B" w:rsidRPr="00162C9D">
              <w:rPr>
                <w:vertAlign w:val="superscript"/>
              </w:rPr>
              <w:t>1</w:t>
            </w:r>
          </w:p>
        </w:tc>
        <w:tc>
          <w:tcPr>
            <w:tcW w:w="611" w:type="pct"/>
            <w:shd w:val="clear" w:color="auto" w:fill="auto"/>
            <w:vAlign w:val="center"/>
          </w:tcPr>
          <w:p w14:paraId="27E32CAC" w14:textId="6758593D" w:rsidR="00B97462" w:rsidRPr="001C30EF" w:rsidRDefault="003666AE" w:rsidP="001C30EF">
            <w:pPr>
              <w:pStyle w:val="COMTabletext"/>
              <w:keepLines/>
              <w:jc w:val="center"/>
              <w:rPr>
                <w:color w:val="000000"/>
                <w:highlight w:val="lightGray"/>
              </w:rPr>
            </w:pPr>
            <w:r w:rsidRPr="003666AE">
              <w:rPr>
                <w:rFonts w:hint="eastAsia"/>
                <w:color w:val="000000"/>
                <w:w w:val="15"/>
                <w:shd w:val="solid" w:color="000000" w:fill="000000"/>
                <w:fitText w:val="45" w:id="-962324987"/>
                <w14:textFill>
                  <w14:solidFill>
                    <w14:srgbClr w14:val="000000">
                      <w14:alpha w14:val="100000"/>
                    </w14:srgbClr>
                  </w14:solidFill>
                </w14:textFill>
              </w:rPr>
              <w:t xml:space="preserve">　</w:t>
            </w:r>
            <w:r w:rsidRPr="003666AE">
              <w:rPr>
                <w:color w:val="000000"/>
                <w:w w:val="15"/>
                <w:shd w:val="solid" w:color="000000" w:fill="000000"/>
                <w:fitText w:val="45" w:id="-962324987"/>
                <w14:textFill>
                  <w14:solidFill>
                    <w14:srgbClr w14:val="000000">
                      <w14:alpha w14:val="100000"/>
                    </w14:srgbClr>
                  </w14:solidFill>
                </w14:textFill>
              </w:rPr>
              <w:t>|</w:t>
            </w:r>
            <w:r w:rsidRPr="003666AE">
              <w:rPr>
                <w:rFonts w:hint="eastAsia"/>
                <w:color w:val="000000"/>
                <w:spacing w:val="-20"/>
                <w:w w:val="15"/>
                <w:shd w:val="solid" w:color="000000" w:fill="000000"/>
                <w:fitText w:val="45" w:id="-962324987"/>
                <w14:textFill>
                  <w14:solidFill>
                    <w14:srgbClr w14:val="000000">
                      <w14:alpha w14:val="100000"/>
                    </w14:srgbClr>
                  </w14:solidFill>
                </w14:textFill>
              </w:rPr>
              <w:t xml:space="preserve">　</w:t>
            </w:r>
            <w:r w:rsidR="00C1630B" w:rsidRPr="00162C9D">
              <w:rPr>
                <w:vertAlign w:val="superscript"/>
              </w:rPr>
              <w:t>1</w:t>
            </w:r>
          </w:p>
        </w:tc>
        <w:tc>
          <w:tcPr>
            <w:tcW w:w="611" w:type="pct"/>
            <w:shd w:val="clear" w:color="auto" w:fill="auto"/>
            <w:vAlign w:val="center"/>
          </w:tcPr>
          <w:p w14:paraId="51359B80" w14:textId="4F34D984" w:rsidR="00B97462" w:rsidRPr="001C30EF" w:rsidRDefault="003666AE" w:rsidP="001C30EF">
            <w:pPr>
              <w:pStyle w:val="COMTabletext"/>
              <w:keepLines/>
              <w:jc w:val="center"/>
              <w:rPr>
                <w:color w:val="000000"/>
                <w:highlight w:val="lightGray"/>
              </w:rPr>
            </w:pPr>
            <w:r w:rsidRPr="003666AE">
              <w:rPr>
                <w:rFonts w:hint="eastAsia"/>
                <w:color w:val="000000"/>
                <w:w w:val="15"/>
                <w:shd w:val="solid" w:color="000000" w:fill="000000"/>
                <w:fitText w:val="45" w:id="-962324986"/>
                <w14:textFill>
                  <w14:solidFill>
                    <w14:srgbClr w14:val="000000">
                      <w14:alpha w14:val="100000"/>
                    </w14:srgbClr>
                  </w14:solidFill>
                </w14:textFill>
              </w:rPr>
              <w:t xml:space="preserve">　</w:t>
            </w:r>
            <w:r w:rsidRPr="003666AE">
              <w:rPr>
                <w:color w:val="000000"/>
                <w:w w:val="15"/>
                <w:shd w:val="solid" w:color="000000" w:fill="000000"/>
                <w:fitText w:val="45" w:id="-962324986"/>
                <w14:textFill>
                  <w14:solidFill>
                    <w14:srgbClr w14:val="000000">
                      <w14:alpha w14:val="100000"/>
                    </w14:srgbClr>
                  </w14:solidFill>
                </w14:textFill>
              </w:rPr>
              <w:t>|</w:t>
            </w:r>
            <w:r w:rsidRPr="003666AE">
              <w:rPr>
                <w:rFonts w:hint="eastAsia"/>
                <w:color w:val="000000"/>
                <w:spacing w:val="-20"/>
                <w:w w:val="15"/>
                <w:shd w:val="solid" w:color="000000" w:fill="000000"/>
                <w:fitText w:val="45" w:id="-962324986"/>
                <w14:textFill>
                  <w14:solidFill>
                    <w14:srgbClr w14:val="000000">
                      <w14:alpha w14:val="100000"/>
                    </w14:srgbClr>
                  </w14:solidFill>
                </w14:textFill>
              </w:rPr>
              <w:t xml:space="preserve">　</w:t>
            </w:r>
            <w:r w:rsidR="00C1630B" w:rsidRPr="00162C9D">
              <w:rPr>
                <w:vertAlign w:val="superscript"/>
              </w:rPr>
              <w:t>1</w:t>
            </w:r>
          </w:p>
        </w:tc>
        <w:tc>
          <w:tcPr>
            <w:tcW w:w="611" w:type="pct"/>
            <w:shd w:val="clear" w:color="auto" w:fill="auto"/>
            <w:vAlign w:val="center"/>
          </w:tcPr>
          <w:p w14:paraId="109B4F40" w14:textId="02162F37" w:rsidR="00B97462" w:rsidRPr="001C30EF" w:rsidRDefault="003666AE" w:rsidP="001C30EF">
            <w:pPr>
              <w:pStyle w:val="COMTabletext"/>
              <w:keepLines/>
              <w:jc w:val="center"/>
              <w:rPr>
                <w:color w:val="000000"/>
                <w:highlight w:val="lightGray"/>
              </w:rPr>
            </w:pPr>
            <w:r w:rsidRPr="003666AE">
              <w:rPr>
                <w:rFonts w:hint="eastAsia"/>
                <w:color w:val="000000"/>
                <w:w w:val="15"/>
                <w:shd w:val="solid" w:color="000000" w:fill="000000"/>
                <w:fitText w:val="45" w:id="-962324985"/>
                <w14:textFill>
                  <w14:solidFill>
                    <w14:srgbClr w14:val="000000">
                      <w14:alpha w14:val="100000"/>
                    </w14:srgbClr>
                  </w14:solidFill>
                </w14:textFill>
              </w:rPr>
              <w:t xml:space="preserve">　</w:t>
            </w:r>
            <w:r w:rsidRPr="003666AE">
              <w:rPr>
                <w:color w:val="000000"/>
                <w:w w:val="15"/>
                <w:shd w:val="solid" w:color="000000" w:fill="000000"/>
                <w:fitText w:val="45" w:id="-962324985"/>
                <w14:textFill>
                  <w14:solidFill>
                    <w14:srgbClr w14:val="000000">
                      <w14:alpha w14:val="100000"/>
                    </w14:srgbClr>
                  </w14:solidFill>
                </w14:textFill>
              </w:rPr>
              <w:t>|</w:t>
            </w:r>
            <w:r w:rsidRPr="003666AE">
              <w:rPr>
                <w:rFonts w:hint="eastAsia"/>
                <w:color w:val="000000"/>
                <w:spacing w:val="-20"/>
                <w:w w:val="15"/>
                <w:shd w:val="solid" w:color="000000" w:fill="000000"/>
                <w:fitText w:val="45" w:id="-962324985"/>
                <w14:textFill>
                  <w14:solidFill>
                    <w14:srgbClr w14:val="000000">
                      <w14:alpha w14:val="100000"/>
                    </w14:srgbClr>
                  </w14:solidFill>
                </w14:textFill>
              </w:rPr>
              <w:t xml:space="preserve">　</w:t>
            </w:r>
            <w:r w:rsidR="00C1630B" w:rsidRPr="00162C9D">
              <w:rPr>
                <w:vertAlign w:val="superscript"/>
              </w:rPr>
              <w:t>2</w:t>
            </w:r>
          </w:p>
        </w:tc>
        <w:tc>
          <w:tcPr>
            <w:tcW w:w="611" w:type="pct"/>
            <w:shd w:val="clear" w:color="auto" w:fill="auto"/>
            <w:vAlign w:val="center"/>
          </w:tcPr>
          <w:p w14:paraId="313C043F" w14:textId="3C5693DD" w:rsidR="00B97462" w:rsidRPr="001C30EF" w:rsidRDefault="003666AE" w:rsidP="001C30EF">
            <w:pPr>
              <w:pStyle w:val="COMTabletext"/>
              <w:keepLines/>
              <w:jc w:val="center"/>
              <w:rPr>
                <w:color w:val="000000"/>
                <w:highlight w:val="lightGray"/>
              </w:rPr>
            </w:pPr>
            <w:r w:rsidRPr="003666AE">
              <w:rPr>
                <w:rFonts w:hint="eastAsia"/>
                <w:color w:val="000000"/>
                <w:w w:val="15"/>
                <w:shd w:val="solid" w:color="000000" w:fill="000000"/>
                <w:fitText w:val="45" w:id="-962324984"/>
                <w14:textFill>
                  <w14:solidFill>
                    <w14:srgbClr w14:val="000000">
                      <w14:alpha w14:val="100000"/>
                    </w14:srgbClr>
                  </w14:solidFill>
                </w14:textFill>
              </w:rPr>
              <w:t xml:space="preserve">　</w:t>
            </w:r>
            <w:r w:rsidRPr="003666AE">
              <w:rPr>
                <w:color w:val="000000"/>
                <w:w w:val="15"/>
                <w:shd w:val="solid" w:color="000000" w:fill="000000"/>
                <w:fitText w:val="45" w:id="-962324984"/>
                <w14:textFill>
                  <w14:solidFill>
                    <w14:srgbClr w14:val="000000">
                      <w14:alpha w14:val="100000"/>
                    </w14:srgbClr>
                  </w14:solidFill>
                </w14:textFill>
              </w:rPr>
              <w:t>|</w:t>
            </w:r>
            <w:r w:rsidRPr="003666AE">
              <w:rPr>
                <w:rFonts w:hint="eastAsia"/>
                <w:color w:val="000000"/>
                <w:spacing w:val="-20"/>
                <w:w w:val="15"/>
                <w:shd w:val="solid" w:color="000000" w:fill="000000"/>
                <w:fitText w:val="45" w:id="-962324984"/>
                <w14:textFill>
                  <w14:solidFill>
                    <w14:srgbClr w14:val="000000">
                      <w14:alpha w14:val="100000"/>
                    </w14:srgbClr>
                  </w14:solidFill>
                </w14:textFill>
              </w:rPr>
              <w:t xml:space="preserve">　</w:t>
            </w:r>
            <w:r w:rsidR="00C1630B" w:rsidRPr="00162C9D">
              <w:rPr>
                <w:vertAlign w:val="superscript"/>
              </w:rPr>
              <w:t>2</w:t>
            </w:r>
          </w:p>
        </w:tc>
        <w:tc>
          <w:tcPr>
            <w:tcW w:w="611" w:type="pct"/>
            <w:vAlign w:val="center"/>
          </w:tcPr>
          <w:p w14:paraId="667BAEFD" w14:textId="5E7D5EB7" w:rsidR="00B97462" w:rsidRPr="001C30EF" w:rsidRDefault="003666AE" w:rsidP="001C30EF">
            <w:pPr>
              <w:pStyle w:val="COMTabletext"/>
              <w:keepLines/>
              <w:jc w:val="center"/>
              <w:rPr>
                <w:color w:val="000000"/>
                <w:highlight w:val="lightGray"/>
              </w:rPr>
            </w:pPr>
            <w:r w:rsidRPr="003666AE">
              <w:rPr>
                <w:rFonts w:hint="eastAsia"/>
                <w:color w:val="000000"/>
                <w:w w:val="15"/>
                <w:shd w:val="solid" w:color="000000" w:fill="000000"/>
                <w:fitText w:val="45" w:id="-962324983"/>
                <w14:textFill>
                  <w14:solidFill>
                    <w14:srgbClr w14:val="000000">
                      <w14:alpha w14:val="100000"/>
                    </w14:srgbClr>
                  </w14:solidFill>
                </w14:textFill>
              </w:rPr>
              <w:t xml:space="preserve">　</w:t>
            </w:r>
            <w:r w:rsidRPr="003666AE">
              <w:rPr>
                <w:color w:val="000000"/>
                <w:w w:val="15"/>
                <w:shd w:val="solid" w:color="000000" w:fill="000000"/>
                <w:fitText w:val="45" w:id="-962324983"/>
                <w14:textFill>
                  <w14:solidFill>
                    <w14:srgbClr w14:val="000000">
                      <w14:alpha w14:val="100000"/>
                    </w14:srgbClr>
                  </w14:solidFill>
                </w14:textFill>
              </w:rPr>
              <w:t>|</w:t>
            </w:r>
            <w:r w:rsidRPr="003666AE">
              <w:rPr>
                <w:rFonts w:hint="eastAsia"/>
                <w:color w:val="000000"/>
                <w:spacing w:val="-20"/>
                <w:w w:val="15"/>
                <w:shd w:val="solid" w:color="000000" w:fill="000000"/>
                <w:fitText w:val="45" w:id="-962324983"/>
                <w14:textFill>
                  <w14:solidFill>
                    <w14:srgbClr w14:val="000000">
                      <w14:alpha w14:val="100000"/>
                    </w14:srgbClr>
                  </w14:solidFill>
                </w14:textFill>
              </w:rPr>
              <w:t xml:space="preserve">　</w:t>
            </w:r>
            <w:r w:rsidR="00C1630B" w:rsidRPr="00162C9D">
              <w:rPr>
                <w:vertAlign w:val="superscript"/>
              </w:rPr>
              <w:t>2</w:t>
            </w:r>
          </w:p>
        </w:tc>
      </w:tr>
      <w:tr w:rsidR="00B97462" w:rsidRPr="00AB34C7" w14:paraId="6EF929A8" w14:textId="77777777" w:rsidTr="008D28CC">
        <w:tc>
          <w:tcPr>
            <w:tcW w:w="1334" w:type="pct"/>
            <w:shd w:val="clear" w:color="auto" w:fill="auto"/>
            <w:vAlign w:val="center"/>
          </w:tcPr>
          <w:p w14:paraId="21CFC1E0" w14:textId="77777777" w:rsidR="00B97462" w:rsidRPr="00AB34C7" w:rsidRDefault="00B97462" w:rsidP="001C30EF">
            <w:pPr>
              <w:pStyle w:val="COMTabletext"/>
              <w:keepLines/>
            </w:pPr>
            <w:r w:rsidRPr="00AB34C7">
              <w:t>Number of venetoclax scripts dispensed</w:t>
            </w:r>
          </w:p>
        </w:tc>
        <w:tc>
          <w:tcPr>
            <w:tcW w:w="611" w:type="pct"/>
            <w:shd w:val="clear" w:color="auto" w:fill="auto"/>
            <w:vAlign w:val="center"/>
          </w:tcPr>
          <w:p w14:paraId="3A4D7AA7" w14:textId="6FD5ABAC" w:rsidR="00B97462" w:rsidRPr="001C30EF" w:rsidRDefault="003666AE" w:rsidP="001C30EF">
            <w:pPr>
              <w:pStyle w:val="COMTabletext"/>
              <w:keepLines/>
              <w:jc w:val="center"/>
              <w:rPr>
                <w:color w:val="000000"/>
                <w:highlight w:val="lightGray"/>
              </w:rPr>
            </w:pPr>
            <w:r w:rsidRPr="003666AE">
              <w:rPr>
                <w:rFonts w:hint="eastAsia"/>
                <w:color w:val="000000"/>
                <w:w w:val="15"/>
                <w:shd w:val="solid" w:color="000000" w:fill="000000"/>
                <w:fitText w:val="45" w:id="-962324982"/>
                <w14:textFill>
                  <w14:solidFill>
                    <w14:srgbClr w14:val="000000">
                      <w14:alpha w14:val="100000"/>
                    </w14:srgbClr>
                  </w14:solidFill>
                </w14:textFill>
              </w:rPr>
              <w:t xml:space="preserve">　</w:t>
            </w:r>
            <w:r w:rsidRPr="003666AE">
              <w:rPr>
                <w:color w:val="000000"/>
                <w:w w:val="15"/>
                <w:shd w:val="solid" w:color="000000" w:fill="000000"/>
                <w:fitText w:val="45" w:id="-962324982"/>
                <w14:textFill>
                  <w14:solidFill>
                    <w14:srgbClr w14:val="000000">
                      <w14:alpha w14:val="100000"/>
                    </w14:srgbClr>
                  </w14:solidFill>
                </w14:textFill>
              </w:rPr>
              <w:t>|</w:t>
            </w:r>
            <w:r w:rsidRPr="003666AE">
              <w:rPr>
                <w:rFonts w:hint="eastAsia"/>
                <w:color w:val="000000"/>
                <w:spacing w:val="-20"/>
                <w:w w:val="15"/>
                <w:shd w:val="solid" w:color="000000" w:fill="000000"/>
                <w:fitText w:val="45" w:id="-962324982"/>
                <w14:textFill>
                  <w14:solidFill>
                    <w14:srgbClr w14:val="000000">
                      <w14:alpha w14:val="100000"/>
                    </w14:srgbClr>
                  </w14:solidFill>
                </w14:textFill>
              </w:rPr>
              <w:t xml:space="preserve">　</w:t>
            </w:r>
            <w:r w:rsidR="00C1630B" w:rsidRPr="00162C9D">
              <w:rPr>
                <w:vertAlign w:val="superscript"/>
              </w:rPr>
              <w:t>1</w:t>
            </w:r>
          </w:p>
        </w:tc>
        <w:tc>
          <w:tcPr>
            <w:tcW w:w="611" w:type="pct"/>
            <w:shd w:val="clear" w:color="auto" w:fill="auto"/>
            <w:vAlign w:val="center"/>
          </w:tcPr>
          <w:p w14:paraId="49672F0F" w14:textId="6948AA5B" w:rsidR="00B97462" w:rsidRPr="001C30EF" w:rsidRDefault="003666AE" w:rsidP="001C30EF">
            <w:pPr>
              <w:pStyle w:val="COMTabletext"/>
              <w:keepLines/>
              <w:jc w:val="center"/>
              <w:rPr>
                <w:color w:val="000000"/>
                <w:highlight w:val="lightGray"/>
              </w:rPr>
            </w:pPr>
            <w:r w:rsidRPr="003666AE">
              <w:rPr>
                <w:rFonts w:hint="eastAsia"/>
                <w:color w:val="000000"/>
                <w:w w:val="15"/>
                <w:shd w:val="solid" w:color="000000" w:fill="000000"/>
                <w:fitText w:val="45" w:id="-962324981"/>
                <w14:textFill>
                  <w14:solidFill>
                    <w14:srgbClr w14:val="000000">
                      <w14:alpha w14:val="100000"/>
                    </w14:srgbClr>
                  </w14:solidFill>
                </w14:textFill>
              </w:rPr>
              <w:t xml:space="preserve">　</w:t>
            </w:r>
            <w:r w:rsidRPr="003666AE">
              <w:rPr>
                <w:color w:val="000000"/>
                <w:w w:val="15"/>
                <w:shd w:val="solid" w:color="000000" w:fill="000000"/>
                <w:fitText w:val="45" w:id="-962324981"/>
                <w14:textFill>
                  <w14:solidFill>
                    <w14:srgbClr w14:val="000000">
                      <w14:alpha w14:val="100000"/>
                    </w14:srgbClr>
                  </w14:solidFill>
                </w14:textFill>
              </w:rPr>
              <w:t>|</w:t>
            </w:r>
            <w:r w:rsidRPr="003666AE">
              <w:rPr>
                <w:rFonts w:hint="eastAsia"/>
                <w:color w:val="000000"/>
                <w:spacing w:val="-20"/>
                <w:w w:val="15"/>
                <w:shd w:val="solid" w:color="000000" w:fill="000000"/>
                <w:fitText w:val="45" w:id="-962324981"/>
                <w14:textFill>
                  <w14:solidFill>
                    <w14:srgbClr w14:val="000000">
                      <w14:alpha w14:val="100000"/>
                    </w14:srgbClr>
                  </w14:solidFill>
                </w14:textFill>
              </w:rPr>
              <w:t xml:space="preserve">　</w:t>
            </w:r>
            <w:r w:rsidR="00C1630B" w:rsidRPr="00162C9D">
              <w:rPr>
                <w:vertAlign w:val="superscript"/>
              </w:rPr>
              <w:t>1</w:t>
            </w:r>
          </w:p>
        </w:tc>
        <w:tc>
          <w:tcPr>
            <w:tcW w:w="611" w:type="pct"/>
            <w:shd w:val="clear" w:color="auto" w:fill="auto"/>
            <w:vAlign w:val="center"/>
          </w:tcPr>
          <w:p w14:paraId="16853CDA" w14:textId="27052B1B" w:rsidR="00B97462" w:rsidRPr="001C30EF" w:rsidRDefault="003666AE" w:rsidP="001C30EF">
            <w:pPr>
              <w:pStyle w:val="COMTabletext"/>
              <w:keepLines/>
              <w:jc w:val="center"/>
              <w:rPr>
                <w:color w:val="000000"/>
                <w:highlight w:val="lightGray"/>
              </w:rPr>
            </w:pPr>
            <w:r w:rsidRPr="003666AE">
              <w:rPr>
                <w:rFonts w:hint="eastAsia"/>
                <w:color w:val="000000"/>
                <w:w w:val="15"/>
                <w:shd w:val="solid" w:color="000000" w:fill="000000"/>
                <w:fitText w:val="45" w:id="-962324980"/>
                <w14:textFill>
                  <w14:solidFill>
                    <w14:srgbClr w14:val="000000">
                      <w14:alpha w14:val="100000"/>
                    </w14:srgbClr>
                  </w14:solidFill>
                </w14:textFill>
              </w:rPr>
              <w:t xml:space="preserve">　</w:t>
            </w:r>
            <w:r w:rsidRPr="003666AE">
              <w:rPr>
                <w:color w:val="000000"/>
                <w:w w:val="15"/>
                <w:shd w:val="solid" w:color="000000" w:fill="000000"/>
                <w:fitText w:val="45" w:id="-962324980"/>
                <w14:textFill>
                  <w14:solidFill>
                    <w14:srgbClr w14:val="000000">
                      <w14:alpha w14:val="100000"/>
                    </w14:srgbClr>
                  </w14:solidFill>
                </w14:textFill>
              </w:rPr>
              <w:t>|</w:t>
            </w:r>
            <w:r w:rsidRPr="003666AE">
              <w:rPr>
                <w:rFonts w:hint="eastAsia"/>
                <w:color w:val="000000"/>
                <w:spacing w:val="-20"/>
                <w:w w:val="15"/>
                <w:shd w:val="solid" w:color="000000" w:fill="000000"/>
                <w:fitText w:val="45" w:id="-962324980"/>
                <w14:textFill>
                  <w14:solidFill>
                    <w14:srgbClr w14:val="000000">
                      <w14:alpha w14:val="100000"/>
                    </w14:srgbClr>
                  </w14:solidFill>
                </w14:textFill>
              </w:rPr>
              <w:t xml:space="preserve">　</w:t>
            </w:r>
            <w:r w:rsidR="00C1630B" w:rsidRPr="00162C9D">
              <w:rPr>
                <w:vertAlign w:val="superscript"/>
              </w:rPr>
              <w:t>1</w:t>
            </w:r>
          </w:p>
        </w:tc>
        <w:tc>
          <w:tcPr>
            <w:tcW w:w="611" w:type="pct"/>
            <w:shd w:val="clear" w:color="auto" w:fill="auto"/>
            <w:vAlign w:val="center"/>
          </w:tcPr>
          <w:p w14:paraId="107C27FA" w14:textId="3D37AB68" w:rsidR="00B97462" w:rsidRPr="001C30EF" w:rsidRDefault="003666AE" w:rsidP="001C30EF">
            <w:pPr>
              <w:pStyle w:val="COMTabletext"/>
              <w:keepLines/>
              <w:jc w:val="center"/>
              <w:rPr>
                <w:color w:val="000000"/>
                <w:highlight w:val="lightGray"/>
              </w:rPr>
            </w:pPr>
            <w:r w:rsidRPr="003666AE">
              <w:rPr>
                <w:rFonts w:hint="eastAsia"/>
                <w:color w:val="000000"/>
                <w:w w:val="15"/>
                <w:shd w:val="solid" w:color="000000" w:fill="000000"/>
                <w:fitText w:val="45" w:id="-962324979"/>
                <w14:textFill>
                  <w14:solidFill>
                    <w14:srgbClr w14:val="000000">
                      <w14:alpha w14:val="100000"/>
                    </w14:srgbClr>
                  </w14:solidFill>
                </w14:textFill>
              </w:rPr>
              <w:t xml:space="preserve">　</w:t>
            </w:r>
            <w:r w:rsidRPr="003666AE">
              <w:rPr>
                <w:color w:val="000000"/>
                <w:w w:val="15"/>
                <w:shd w:val="solid" w:color="000000" w:fill="000000"/>
                <w:fitText w:val="45" w:id="-962324979"/>
                <w14:textFill>
                  <w14:solidFill>
                    <w14:srgbClr w14:val="000000">
                      <w14:alpha w14:val="100000"/>
                    </w14:srgbClr>
                  </w14:solidFill>
                </w14:textFill>
              </w:rPr>
              <w:t>|</w:t>
            </w:r>
            <w:r w:rsidRPr="003666AE">
              <w:rPr>
                <w:rFonts w:hint="eastAsia"/>
                <w:color w:val="000000"/>
                <w:spacing w:val="-20"/>
                <w:w w:val="15"/>
                <w:shd w:val="solid" w:color="000000" w:fill="000000"/>
                <w:fitText w:val="45" w:id="-962324979"/>
                <w14:textFill>
                  <w14:solidFill>
                    <w14:srgbClr w14:val="000000">
                      <w14:alpha w14:val="100000"/>
                    </w14:srgbClr>
                  </w14:solidFill>
                </w14:textFill>
              </w:rPr>
              <w:t xml:space="preserve">　</w:t>
            </w:r>
            <w:r w:rsidR="00C1630B" w:rsidRPr="00162C9D">
              <w:rPr>
                <w:vertAlign w:val="superscript"/>
              </w:rPr>
              <w:t>2</w:t>
            </w:r>
          </w:p>
        </w:tc>
        <w:tc>
          <w:tcPr>
            <w:tcW w:w="611" w:type="pct"/>
            <w:shd w:val="clear" w:color="auto" w:fill="auto"/>
            <w:vAlign w:val="center"/>
          </w:tcPr>
          <w:p w14:paraId="06165ED1" w14:textId="28DA4F99" w:rsidR="00B97462" w:rsidRPr="001C30EF" w:rsidRDefault="003666AE" w:rsidP="001C30EF">
            <w:pPr>
              <w:pStyle w:val="COMTabletext"/>
              <w:keepLines/>
              <w:jc w:val="center"/>
              <w:rPr>
                <w:color w:val="000000"/>
                <w:highlight w:val="lightGray"/>
              </w:rPr>
            </w:pPr>
            <w:r w:rsidRPr="003666AE">
              <w:rPr>
                <w:rFonts w:hint="eastAsia"/>
                <w:color w:val="000000"/>
                <w:w w:val="15"/>
                <w:shd w:val="solid" w:color="000000" w:fill="000000"/>
                <w:fitText w:val="45" w:id="-962324978"/>
                <w14:textFill>
                  <w14:solidFill>
                    <w14:srgbClr w14:val="000000">
                      <w14:alpha w14:val="100000"/>
                    </w14:srgbClr>
                  </w14:solidFill>
                </w14:textFill>
              </w:rPr>
              <w:t xml:space="preserve">　</w:t>
            </w:r>
            <w:r w:rsidRPr="003666AE">
              <w:rPr>
                <w:color w:val="000000"/>
                <w:w w:val="15"/>
                <w:shd w:val="solid" w:color="000000" w:fill="000000"/>
                <w:fitText w:val="45" w:id="-962324978"/>
                <w14:textFill>
                  <w14:solidFill>
                    <w14:srgbClr w14:val="000000">
                      <w14:alpha w14:val="100000"/>
                    </w14:srgbClr>
                  </w14:solidFill>
                </w14:textFill>
              </w:rPr>
              <w:t>|</w:t>
            </w:r>
            <w:r w:rsidRPr="003666AE">
              <w:rPr>
                <w:rFonts w:hint="eastAsia"/>
                <w:color w:val="000000"/>
                <w:spacing w:val="-20"/>
                <w:w w:val="15"/>
                <w:shd w:val="solid" w:color="000000" w:fill="000000"/>
                <w:fitText w:val="45" w:id="-962324978"/>
                <w14:textFill>
                  <w14:solidFill>
                    <w14:srgbClr w14:val="000000">
                      <w14:alpha w14:val="100000"/>
                    </w14:srgbClr>
                  </w14:solidFill>
                </w14:textFill>
              </w:rPr>
              <w:t xml:space="preserve">　</w:t>
            </w:r>
            <w:r w:rsidR="00C1630B" w:rsidRPr="00162C9D">
              <w:rPr>
                <w:vertAlign w:val="superscript"/>
              </w:rPr>
              <w:t>2</w:t>
            </w:r>
          </w:p>
        </w:tc>
        <w:tc>
          <w:tcPr>
            <w:tcW w:w="611" w:type="pct"/>
            <w:vAlign w:val="center"/>
          </w:tcPr>
          <w:p w14:paraId="234025DC" w14:textId="2455D928" w:rsidR="00B97462" w:rsidRPr="001C30EF" w:rsidRDefault="003666AE" w:rsidP="001C30EF">
            <w:pPr>
              <w:pStyle w:val="COMTabletext"/>
              <w:keepLines/>
              <w:jc w:val="center"/>
              <w:rPr>
                <w:color w:val="000000"/>
                <w:highlight w:val="lightGray"/>
              </w:rPr>
            </w:pPr>
            <w:r w:rsidRPr="003666AE">
              <w:rPr>
                <w:rFonts w:hint="eastAsia"/>
                <w:color w:val="000000"/>
                <w:w w:val="15"/>
                <w:shd w:val="solid" w:color="000000" w:fill="000000"/>
                <w:fitText w:val="45" w:id="-962324977"/>
                <w14:textFill>
                  <w14:solidFill>
                    <w14:srgbClr w14:val="000000">
                      <w14:alpha w14:val="100000"/>
                    </w14:srgbClr>
                  </w14:solidFill>
                </w14:textFill>
              </w:rPr>
              <w:t xml:space="preserve">　</w:t>
            </w:r>
            <w:r w:rsidRPr="003666AE">
              <w:rPr>
                <w:color w:val="000000"/>
                <w:w w:val="15"/>
                <w:shd w:val="solid" w:color="000000" w:fill="000000"/>
                <w:fitText w:val="45" w:id="-962324977"/>
                <w14:textFill>
                  <w14:solidFill>
                    <w14:srgbClr w14:val="000000">
                      <w14:alpha w14:val="100000"/>
                    </w14:srgbClr>
                  </w14:solidFill>
                </w14:textFill>
              </w:rPr>
              <w:t>|</w:t>
            </w:r>
            <w:r w:rsidRPr="003666AE">
              <w:rPr>
                <w:rFonts w:hint="eastAsia"/>
                <w:color w:val="000000"/>
                <w:spacing w:val="-20"/>
                <w:w w:val="15"/>
                <w:shd w:val="solid" w:color="000000" w:fill="000000"/>
                <w:fitText w:val="45" w:id="-962324977"/>
                <w14:textFill>
                  <w14:solidFill>
                    <w14:srgbClr w14:val="000000">
                      <w14:alpha w14:val="100000"/>
                    </w14:srgbClr>
                  </w14:solidFill>
                </w14:textFill>
              </w:rPr>
              <w:t xml:space="preserve">　</w:t>
            </w:r>
            <w:r w:rsidR="00C1630B" w:rsidRPr="00162C9D">
              <w:rPr>
                <w:vertAlign w:val="superscript"/>
              </w:rPr>
              <w:t>2</w:t>
            </w:r>
          </w:p>
        </w:tc>
      </w:tr>
      <w:tr w:rsidR="00B97462" w:rsidRPr="00AB34C7" w14:paraId="4E2C5DAE" w14:textId="77777777" w:rsidTr="009C3A3A">
        <w:tc>
          <w:tcPr>
            <w:tcW w:w="5000" w:type="pct"/>
            <w:gridSpan w:val="7"/>
            <w:shd w:val="clear" w:color="auto" w:fill="auto"/>
            <w:vAlign w:val="center"/>
          </w:tcPr>
          <w:p w14:paraId="67C00FD5" w14:textId="77777777" w:rsidR="00B97462" w:rsidRPr="00B95C74" w:rsidRDefault="00B97462" w:rsidP="001C30EF">
            <w:pPr>
              <w:pStyle w:val="COMTableheadingrow"/>
              <w:keepLines/>
              <w:rPr>
                <w:lang w:val="en-AU"/>
              </w:rPr>
            </w:pPr>
            <w:r w:rsidRPr="00B95C74">
              <w:rPr>
                <w:lang w:val="en-AU"/>
              </w:rPr>
              <w:t>Cost to the PBS/RPBS (less copayments)</w:t>
            </w:r>
          </w:p>
        </w:tc>
      </w:tr>
      <w:tr w:rsidR="00B97462" w:rsidRPr="00AB34C7" w14:paraId="5032328F" w14:textId="77777777" w:rsidTr="008D28CC">
        <w:tc>
          <w:tcPr>
            <w:tcW w:w="1334" w:type="pct"/>
            <w:shd w:val="clear" w:color="auto" w:fill="auto"/>
            <w:vAlign w:val="center"/>
          </w:tcPr>
          <w:p w14:paraId="1712CD5B" w14:textId="789D3C5B" w:rsidR="00B97462" w:rsidRPr="00AB34C7" w:rsidRDefault="00B97462" w:rsidP="001C30EF">
            <w:pPr>
              <w:pStyle w:val="COMTabletext"/>
              <w:keepLines/>
              <w:rPr>
                <w:sz w:val="19"/>
                <w:szCs w:val="19"/>
              </w:rPr>
            </w:pPr>
            <w:r w:rsidRPr="00AB34C7">
              <w:rPr>
                <w:sz w:val="19"/>
                <w:szCs w:val="19"/>
              </w:rPr>
              <w:t xml:space="preserve">Cost to PBS/RPBS for </w:t>
            </w:r>
            <w:r w:rsidR="003F7508" w:rsidRPr="00AB34C7">
              <w:rPr>
                <w:sz w:val="19"/>
                <w:szCs w:val="19"/>
              </w:rPr>
              <w:t>ibrutinib + venetoclax</w:t>
            </w:r>
          </w:p>
        </w:tc>
        <w:tc>
          <w:tcPr>
            <w:tcW w:w="611" w:type="pct"/>
            <w:shd w:val="clear" w:color="auto" w:fill="auto"/>
            <w:vAlign w:val="center"/>
          </w:tcPr>
          <w:p w14:paraId="475CDA2D" w14:textId="69EAFDF5" w:rsidR="00B97462" w:rsidRPr="001C30EF" w:rsidRDefault="003666AE" w:rsidP="001C30EF">
            <w:pPr>
              <w:pStyle w:val="COMTabletext"/>
              <w:keepLines/>
              <w:jc w:val="center"/>
              <w:rPr>
                <w:highlight w:val="lightGray"/>
                <w:vertAlign w:val="superscript"/>
              </w:rPr>
            </w:pPr>
            <w:r w:rsidRPr="003666AE">
              <w:rPr>
                <w:rFonts w:hint="eastAsia"/>
                <w:color w:val="000000"/>
                <w:w w:val="15"/>
                <w:shd w:val="solid" w:color="000000" w:fill="000000"/>
                <w:fitText w:val="45" w:id="-962324976"/>
                <w14:textFill>
                  <w14:solidFill>
                    <w14:srgbClr w14:val="000000">
                      <w14:alpha w14:val="100000"/>
                    </w14:srgbClr>
                  </w14:solidFill>
                </w14:textFill>
              </w:rPr>
              <w:t xml:space="preserve">　</w:t>
            </w:r>
            <w:r w:rsidRPr="003666AE">
              <w:rPr>
                <w:color w:val="000000"/>
                <w:w w:val="15"/>
                <w:shd w:val="solid" w:color="000000" w:fill="000000"/>
                <w:fitText w:val="45" w:id="-962324976"/>
                <w14:textFill>
                  <w14:solidFill>
                    <w14:srgbClr w14:val="000000">
                      <w14:alpha w14:val="100000"/>
                    </w14:srgbClr>
                  </w14:solidFill>
                </w14:textFill>
              </w:rPr>
              <w:t>|</w:t>
            </w:r>
            <w:r w:rsidRPr="003666AE">
              <w:rPr>
                <w:rFonts w:hint="eastAsia"/>
                <w:color w:val="000000"/>
                <w:spacing w:val="-20"/>
                <w:w w:val="15"/>
                <w:shd w:val="solid" w:color="000000" w:fill="000000"/>
                <w:fitText w:val="45" w:id="-962324976"/>
                <w14:textFill>
                  <w14:solidFill>
                    <w14:srgbClr w14:val="000000">
                      <w14:alpha w14:val="100000"/>
                    </w14:srgbClr>
                  </w14:solidFill>
                </w14:textFill>
              </w:rPr>
              <w:t xml:space="preserve">　</w:t>
            </w:r>
            <w:r w:rsidR="00C1630B">
              <w:rPr>
                <w:vertAlign w:val="superscript"/>
              </w:rPr>
              <w:t>3</w:t>
            </w:r>
          </w:p>
        </w:tc>
        <w:tc>
          <w:tcPr>
            <w:tcW w:w="611" w:type="pct"/>
            <w:shd w:val="clear" w:color="auto" w:fill="auto"/>
            <w:vAlign w:val="center"/>
          </w:tcPr>
          <w:p w14:paraId="502ABA14" w14:textId="4C12B180" w:rsidR="00B97462" w:rsidRPr="001C30EF" w:rsidRDefault="003666AE" w:rsidP="001C30EF">
            <w:pPr>
              <w:pStyle w:val="COMTabletext"/>
              <w:keepLines/>
              <w:jc w:val="center"/>
              <w:rPr>
                <w:highlight w:val="lightGray"/>
                <w:vertAlign w:val="superscript"/>
              </w:rPr>
            </w:pPr>
            <w:r w:rsidRPr="003666AE">
              <w:rPr>
                <w:rFonts w:hint="eastAsia"/>
                <w:color w:val="000000"/>
                <w:w w:val="15"/>
                <w:shd w:val="solid" w:color="000000" w:fill="000000"/>
                <w:fitText w:val="45" w:id="-962324992"/>
                <w14:textFill>
                  <w14:solidFill>
                    <w14:srgbClr w14:val="000000">
                      <w14:alpha w14:val="100000"/>
                    </w14:srgbClr>
                  </w14:solidFill>
                </w14:textFill>
              </w:rPr>
              <w:t xml:space="preserve">　</w:t>
            </w:r>
            <w:r w:rsidRPr="003666AE">
              <w:rPr>
                <w:color w:val="000000"/>
                <w:w w:val="15"/>
                <w:shd w:val="solid" w:color="000000" w:fill="000000"/>
                <w:fitText w:val="45" w:id="-962324992"/>
                <w14:textFill>
                  <w14:solidFill>
                    <w14:srgbClr w14:val="000000">
                      <w14:alpha w14:val="100000"/>
                    </w14:srgbClr>
                  </w14:solidFill>
                </w14:textFill>
              </w:rPr>
              <w:t>|</w:t>
            </w:r>
            <w:r w:rsidRPr="003666AE">
              <w:rPr>
                <w:rFonts w:hint="eastAsia"/>
                <w:color w:val="000000"/>
                <w:spacing w:val="-20"/>
                <w:w w:val="15"/>
                <w:shd w:val="solid" w:color="000000" w:fill="000000"/>
                <w:fitText w:val="45" w:id="-962324992"/>
                <w14:textFill>
                  <w14:solidFill>
                    <w14:srgbClr w14:val="000000">
                      <w14:alpha w14:val="100000"/>
                    </w14:srgbClr>
                  </w14:solidFill>
                </w14:textFill>
              </w:rPr>
              <w:t xml:space="preserve">　</w:t>
            </w:r>
            <w:r w:rsidR="00C1630B">
              <w:rPr>
                <w:vertAlign w:val="superscript"/>
              </w:rPr>
              <w:t>4</w:t>
            </w:r>
          </w:p>
        </w:tc>
        <w:tc>
          <w:tcPr>
            <w:tcW w:w="611" w:type="pct"/>
            <w:shd w:val="clear" w:color="auto" w:fill="auto"/>
            <w:vAlign w:val="center"/>
          </w:tcPr>
          <w:p w14:paraId="123160EB" w14:textId="059ED2AE" w:rsidR="00B97462" w:rsidRPr="001C30EF" w:rsidRDefault="003666AE" w:rsidP="001C30EF">
            <w:pPr>
              <w:pStyle w:val="COMTabletext"/>
              <w:keepLines/>
              <w:jc w:val="center"/>
              <w:rPr>
                <w:highlight w:val="lightGray"/>
                <w:vertAlign w:val="superscript"/>
              </w:rPr>
            </w:pPr>
            <w:r w:rsidRPr="003666AE">
              <w:rPr>
                <w:rFonts w:hint="eastAsia"/>
                <w:color w:val="000000"/>
                <w:w w:val="15"/>
                <w:shd w:val="solid" w:color="000000" w:fill="000000"/>
                <w:fitText w:val="45" w:id="-962324991"/>
                <w14:textFill>
                  <w14:solidFill>
                    <w14:srgbClr w14:val="000000">
                      <w14:alpha w14:val="100000"/>
                    </w14:srgbClr>
                  </w14:solidFill>
                </w14:textFill>
              </w:rPr>
              <w:t xml:space="preserve">　</w:t>
            </w:r>
            <w:r w:rsidRPr="003666AE">
              <w:rPr>
                <w:color w:val="000000"/>
                <w:w w:val="15"/>
                <w:shd w:val="solid" w:color="000000" w:fill="000000"/>
                <w:fitText w:val="45" w:id="-962324991"/>
                <w14:textFill>
                  <w14:solidFill>
                    <w14:srgbClr w14:val="000000">
                      <w14:alpha w14:val="100000"/>
                    </w14:srgbClr>
                  </w14:solidFill>
                </w14:textFill>
              </w:rPr>
              <w:t>|</w:t>
            </w:r>
            <w:r w:rsidRPr="003666AE">
              <w:rPr>
                <w:rFonts w:hint="eastAsia"/>
                <w:color w:val="000000"/>
                <w:spacing w:val="-20"/>
                <w:w w:val="15"/>
                <w:shd w:val="solid" w:color="000000" w:fill="000000"/>
                <w:fitText w:val="45" w:id="-962324991"/>
                <w14:textFill>
                  <w14:solidFill>
                    <w14:srgbClr w14:val="000000">
                      <w14:alpha w14:val="100000"/>
                    </w14:srgbClr>
                  </w14:solidFill>
                </w14:textFill>
              </w:rPr>
              <w:t xml:space="preserve">　</w:t>
            </w:r>
            <w:r w:rsidR="00C1630B">
              <w:rPr>
                <w:vertAlign w:val="superscript"/>
              </w:rPr>
              <w:t>4</w:t>
            </w:r>
          </w:p>
        </w:tc>
        <w:tc>
          <w:tcPr>
            <w:tcW w:w="611" w:type="pct"/>
            <w:shd w:val="clear" w:color="auto" w:fill="auto"/>
            <w:vAlign w:val="center"/>
          </w:tcPr>
          <w:p w14:paraId="0B5FCE13" w14:textId="4BEE0A15"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90"/>
                <w14:textFill>
                  <w14:solidFill>
                    <w14:srgbClr w14:val="000000">
                      <w14:alpha w14:val="100000"/>
                    </w14:srgbClr>
                  </w14:solidFill>
                </w14:textFill>
              </w:rPr>
              <w:t xml:space="preserve">　</w:t>
            </w:r>
            <w:r w:rsidRPr="003666AE">
              <w:rPr>
                <w:color w:val="000000"/>
                <w:w w:val="15"/>
                <w:shd w:val="solid" w:color="000000" w:fill="000000"/>
                <w:fitText w:val="45" w:id="-962324990"/>
                <w14:textFill>
                  <w14:solidFill>
                    <w14:srgbClr w14:val="000000">
                      <w14:alpha w14:val="100000"/>
                    </w14:srgbClr>
                  </w14:solidFill>
                </w14:textFill>
              </w:rPr>
              <w:t>|</w:t>
            </w:r>
            <w:r w:rsidRPr="003666AE">
              <w:rPr>
                <w:rFonts w:hint="eastAsia"/>
                <w:color w:val="000000"/>
                <w:spacing w:val="-20"/>
                <w:w w:val="15"/>
                <w:shd w:val="solid" w:color="000000" w:fill="000000"/>
                <w:fitText w:val="45" w:id="-962324990"/>
                <w14:textFill>
                  <w14:solidFill>
                    <w14:srgbClr w14:val="000000">
                      <w14:alpha w14:val="100000"/>
                    </w14:srgbClr>
                  </w14:solidFill>
                </w14:textFill>
              </w:rPr>
              <w:t xml:space="preserve">　</w:t>
            </w:r>
            <w:r w:rsidR="00C1630B">
              <w:rPr>
                <w:vertAlign w:val="superscript"/>
              </w:rPr>
              <w:t>5</w:t>
            </w:r>
          </w:p>
        </w:tc>
        <w:tc>
          <w:tcPr>
            <w:tcW w:w="611" w:type="pct"/>
            <w:shd w:val="clear" w:color="auto" w:fill="auto"/>
            <w:vAlign w:val="center"/>
          </w:tcPr>
          <w:p w14:paraId="757152F1" w14:textId="0A010B2C"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89"/>
                <w14:textFill>
                  <w14:solidFill>
                    <w14:srgbClr w14:val="000000">
                      <w14:alpha w14:val="100000"/>
                    </w14:srgbClr>
                  </w14:solidFill>
                </w14:textFill>
              </w:rPr>
              <w:t xml:space="preserve">　</w:t>
            </w:r>
            <w:r w:rsidRPr="003666AE">
              <w:rPr>
                <w:color w:val="000000"/>
                <w:w w:val="15"/>
                <w:shd w:val="solid" w:color="000000" w:fill="000000"/>
                <w:fitText w:val="45" w:id="-962324989"/>
                <w14:textFill>
                  <w14:solidFill>
                    <w14:srgbClr w14:val="000000">
                      <w14:alpha w14:val="100000"/>
                    </w14:srgbClr>
                  </w14:solidFill>
                </w14:textFill>
              </w:rPr>
              <w:t>|</w:t>
            </w:r>
            <w:r w:rsidRPr="003666AE">
              <w:rPr>
                <w:rFonts w:hint="eastAsia"/>
                <w:color w:val="000000"/>
                <w:spacing w:val="-20"/>
                <w:w w:val="15"/>
                <w:shd w:val="solid" w:color="000000" w:fill="000000"/>
                <w:fitText w:val="45" w:id="-962324989"/>
                <w14:textFill>
                  <w14:solidFill>
                    <w14:srgbClr w14:val="000000">
                      <w14:alpha w14:val="100000"/>
                    </w14:srgbClr>
                  </w14:solidFill>
                </w14:textFill>
              </w:rPr>
              <w:t xml:space="preserve">　</w:t>
            </w:r>
            <w:r w:rsidR="00C1630B">
              <w:rPr>
                <w:vertAlign w:val="superscript"/>
              </w:rPr>
              <w:t>5</w:t>
            </w:r>
          </w:p>
        </w:tc>
        <w:tc>
          <w:tcPr>
            <w:tcW w:w="611" w:type="pct"/>
            <w:vAlign w:val="center"/>
          </w:tcPr>
          <w:p w14:paraId="1787CF8E" w14:textId="2770B766"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88"/>
                <w14:textFill>
                  <w14:solidFill>
                    <w14:srgbClr w14:val="000000">
                      <w14:alpha w14:val="100000"/>
                    </w14:srgbClr>
                  </w14:solidFill>
                </w14:textFill>
              </w:rPr>
              <w:t xml:space="preserve">　</w:t>
            </w:r>
            <w:r w:rsidRPr="003666AE">
              <w:rPr>
                <w:color w:val="000000"/>
                <w:w w:val="15"/>
                <w:shd w:val="solid" w:color="000000" w:fill="000000"/>
                <w:fitText w:val="45" w:id="-962324988"/>
                <w14:textFill>
                  <w14:solidFill>
                    <w14:srgbClr w14:val="000000">
                      <w14:alpha w14:val="100000"/>
                    </w14:srgbClr>
                  </w14:solidFill>
                </w14:textFill>
              </w:rPr>
              <w:t>|</w:t>
            </w:r>
            <w:r w:rsidRPr="003666AE">
              <w:rPr>
                <w:rFonts w:hint="eastAsia"/>
                <w:color w:val="000000"/>
                <w:spacing w:val="-20"/>
                <w:w w:val="15"/>
                <w:shd w:val="solid" w:color="000000" w:fill="000000"/>
                <w:fitText w:val="45" w:id="-962324988"/>
                <w14:textFill>
                  <w14:solidFill>
                    <w14:srgbClr w14:val="000000">
                      <w14:alpha w14:val="100000"/>
                    </w14:srgbClr>
                  </w14:solidFill>
                </w14:textFill>
              </w:rPr>
              <w:t xml:space="preserve">　</w:t>
            </w:r>
            <w:r w:rsidR="00C1630B">
              <w:rPr>
                <w:vertAlign w:val="superscript"/>
              </w:rPr>
              <w:t>6</w:t>
            </w:r>
          </w:p>
        </w:tc>
      </w:tr>
      <w:tr w:rsidR="00B97462" w:rsidRPr="00AB34C7" w14:paraId="5DCD185B" w14:textId="77777777" w:rsidTr="008D28CC">
        <w:tc>
          <w:tcPr>
            <w:tcW w:w="1334" w:type="pct"/>
            <w:shd w:val="clear" w:color="auto" w:fill="auto"/>
            <w:vAlign w:val="center"/>
          </w:tcPr>
          <w:p w14:paraId="30CA65BA" w14:textId="2AB5A0CE" w:rsidR="00B97462" w:rsidRPr="00AB34C7" w:rsidRDefault="00B97462" w:rsidP="001C30EF">
            <w:pPr>
              <w:pStyle w:val="COMTabletext"/>
              <w:keepLines/>
              <w:rPr>
                <w:sz w:val="19"/>
                <w:szCs w:val="19"/>
              </w:rPr>
            </w:pPr>
            <w:r w:rsidRPr="00AB34C7">
              <w:rPr>
                <w:sz w:val="19"/>
                <w:szCs w:val="19"/>
              </w:rPr>
              <w:t xml:space="preserve">Cost-offsets for reduced use of </w:t>
            </w:r>
            <w:r w:rsidR="0002393C" w:rsidRPr="00AB34C7">
              <w:rPr>
                <w:sz w:val="19"/>
                <w:szCs w:val="19"/>
              </w:rPr>
              <w:t>venetoclax + obinutuzumab</w:t>
            </w:r>
            <w:r w:rsidRPr="00AB34C7">
              <w:rPr>
                <w:sz w:val="19"/>
                <w:szCs w:val="19"/>
              </w:rPr>
              <w:t xml:space="preserve"> </w:t>
            </w:r>
          </w:p>
        </w:tc>
        <w:tc>
          <w:tcPr>
            <w:tcW w:w="611" w:type="pct"/>
            <w:shd w:val="clear" w:color="auto" w:fill="auto"/>
            <w:vAlign w:val="center"/>
          </w:tcPr>
          <w:p w14:paraId="5FAD58E0" w14:textId="70D3BD0B"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87"/>
                <w14:textFill>
                  <w14:solidFill>
                    <w14:srgbClr w14:val="000000">
                      <w14:alpha w14:val="100000"/>
                    </w14:srgbClr>
                  </w14:solidFill>
                </w14:textFill>
              </w:rPr>
              <w:t xml:space="preserve">　</w:t>
            </w:r>
            <w:r w:rsidRPr="003666AE">
              <w:rPr>
                <w:color w:val="000000"/>
                <w:w w:val="15"/>
                <w:shd w:val="solid" w:color="000000" w:fill="000000"/>
                <w:fitText w:val="45" w:id="-962324987"/>
                <w14:textFill>
                  <w14:solidFill>
                    <w14:srgbClr w14:val="000000">
                      <w14:alpha w14:val="100000"/>
                    </w14:srgbClr>
                  </w14:solidFill>
                </w14:textFill>
              </w:rPr>
              <w:t>|</w:t>
            </w:r>
            <w:r w:rsidRPr="003666AE">
              <w:rPr>
                <w:rFonts w:hint="eastAsia"/>
                <w:color w:val="000000"/>
                <w:spacing w:val="-20"/>
                <w:w w:val="15"/>
                <w:shd w:val="solid" w:color="000000" w:fill="000000"/>
                <w:fitText w:val="45" w:id="-962324987"/>
                <w14:textFill>
                  <w14:solidFill>
                    <w14:srgbClr w14:val="000000">
                      <w14:alpha w14:val="100000"/>
                    </w14:srgbClr>
                  </w14:solidFill>
                </w14:textFill>
              </w:rPr>
              <w:t xml:space="preserve">　</w:t>
            </w:r>
            <w:r w:rsidR="00C1630B">
              <w:rPr>
                <w:vertAlign w:val="superscript"/>
              </w:rPr>
              <w:t>7</w:t>
            </w:r>
          </w:p>
        </w:tc>
        <w:tc>
          <w:tcPr>
            <w:tcW w:w="611" w:type="pct"/>
            <w:shd w:val="clear" w:color="auto" w:fill="auto"/>
            <w:vAlign w:val="center"/>
          </w:tcPr>
          <w:p w14:paraId="18376E15" w14:textId="624A980B"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86"/>
                <w14:textFill>
                  <w14:solidFill>
                    <w14:srgbClr w14:val="000000">
                      <w14:alpha w14:val="100000"/>
                    </w14:srgbClr>
                  </w14:solidFill>
                </w14:textFill>
              </w:rPr>
              <w:t xml:space="preserve">　</w:t>
            </w:r>
            <w:r w:rsidRPr="003666AE">
              <w:rPr>
                <w:color w:val="000000"/>
                <w:w w:val="15"/>
                <w:shd w:val="solid" w:color="000000" w:fill="000000"/>
                <w:fitText w:val="45" w:id="-962324986"/>
                <w14:textFill>
                  <w14:solidFill>
                    <w14:srgbClr w14:val="000000">
                      <w14:alpha w14:val="100000"/>
                    </w14:srgbClr>
                  </w14:solidFill>
                </w14:textFill>
              </w:rPr>
              <w:t>|</w:t>
            </w:r>
            <w:r w:rsidRPr="003666AE">
              <w:rPr>
                <w:rFonts w:hint="eastAsia"/>
                <w:color w:val="000000"/>
                <w:spacing w:val="-20"/>
                <w:w w:val="15"/>
                <w:shd w:val="solid" w:color="000000" w:fill="000000"/>
                <w:fitText w:val="45" w:id="-962324986"/>
                <w14:textFill>
                  <w14:solidFill>
                    <w14:srgbClr w14:val="000000">
                      <w14:alpha w14:val="100000"/>
                    </w14:srgbClr>
                  </w14:solidFill>
                </w14:textFill>
              </w:rPr>
              <w:t xml:space="preserve">　</w:t>
            </w:r>
            <w:r w:rsidR="00C1630B">
              <w:rPr>
                <w:vertAlign w:val="superscript"/>
              </w:rPr>
              <w:t>7</w:t>
            </w:r>
          </w:p>
        </w:tc>
        <w:tc>
          <w:tcPr>
            <w:tcW w:w="611" w:type="pct"/>
            <w:shd w:val="clear" w:color="auto" w:fill="auto"/>
            <w:vAlign w:val="center"/>
          </w:tcPr>
          <w:p w14:paraId="2186D3E7" w14:textId="36D7C046"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85"/>
                <w14:textFill>
                  <w14:solidFill>
                    <w14:srgbClr w14:val="000000">
                      <w14:alpha w14:val="100000"/>
                    </w14:srgbClr>
                  </w14:solidFill>
                </w14:textFill>
              </w:rPr>
              <w:t xml:space="preserve">　</w:t>
            </w:r>
            <w:r w:rsidRPr="003666AE">
              <w:rPr>
                <w:color w:val="000000"/>
                <w:w w:val="15"/>
                <w:shd w:val="solid" w:color="000000" w:fill="000000"/>
                <w:fitText w:val="45" w:id="-962324985"/>
                <w14:textFill>
                  <w14:solidFill>
                    <w14:srgbClr w14:val="000000">
                      <w14:alpha w14:val="100000"/>
                    </w14:srgbClr>
                  </w14:solidFill>
                </w14:textFill>
              </w:rPr>
              <w:t>|</w:t>
            </w:r>
            <w:r w:rsidRPr="003666AE">
              <w:rPr>
                <w:rFonts w:hint="eastAsia"/>
                <w:color w:val="000000"/>
                <w:spacing w:val="-20"/>
                <w:w w:val="15"/>
                <w:shd w:val="solid" w:color="000000" w:fill="000000"/>
                <w:fitText w:val="45" w:id="-962324985"/>
                <w14:textFill>
                  <w14:solidFill>
                    <w14:srgbClr w14:val="000000">
                      <w14:alpha w14:val="100000"/>
                    </w14:srgbClr>
                  </w14:solidFill>
                </w14:textFill>
              </w:rPr>
              <w:t xml:space="preserve">　</w:t>
            </w:r>
            <w:r w:rsidR="00C1630B">
              <w:rPr>
                <w:vertAlign w:val="superscript"/>
              </w:rPr>
              <w:t>7</w:t>
            </w:r>
          </w:p>
        </w:tc>
        <w:tc>
          <w:tcPr>
            <w:tcW w:w="611" w:type="pct"/>
            <w:shd w:val="clear" w:color="auto" w:fill="auto"/>
            <w:vAlign w:val="center"/>
          </w:tcPr>
          <w:p w14:paraId="4C7C0834" w14:textId="44F80D2F"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84"/>
                <w14:textFill>
                  <w14:solidFill>
                    <w14:srgbClr w14:val="000000">
                      <w14:alpha w14:val="100000"/>
                    </w14:srgbClr>
                  </w14:solidFill>
                </w14:textFill>
              </w:rPr>
              <w:t xml:space="preserve">　</w:t>
            </w:r>
            <w:r w:rsidRPr="003666AE">
              <w:rPr>
                <w:color w:val="000000"/>
                <w:w w:val="15"/>
                <w:shd w:val="solid" w:color="000000" w:fill="000000"/>
                <w:fitText w:val="45" w:id="-962324984"/>
                <w14:textFill>
                  <w14:solidFill>
                    <w14:srgbClr w14:val="000000">
                      <w14:alpha w14:val="100000"/>
                    </w14:srgbClr>
                  </w14:solidFill>
                </w14:textFill>
              </w:rPr>
              <w:t>|</w:t>
            </w:r>
            <w:r w:rsidRPr="003666AE">
              <w:rPr>
                <w:rFonts w:hint="eastAsia"/>
                <w:color w:val="000000"/>
                <w:spacing w:val="-20"/>
                <w:w w:val="15"/>
                <w:shd w:val="solid" w:color="000000" w:fill="000000"/>
                <w:fitText w:val="45" w:id="-962324984"/>
                <w14:textFill>
                  <w14:solidFill>
                    <w14:srgbClr w14:val="000000">
                      <w14:alpha w14:val="100000"/>
                    </w14:srgbClr>
                  </w14:solidFill>
                </w14:textFill>
              </w:rPr>
              <w:t xml:space="preserve">　</w:t>
            </w:r>
            <w:r w:rsidR="00C1630B">
              <w:rPr>
                <w:vertAlign w:val="superscript"/>
              </w:rPr>
              <w:t>7</w:t>
            </w:r>
          </w:p>
        </w:tc>
        <w:tc>
          <w:tcPr>
            <w:tcW w:w="611" w:type="pct"/>
            <w:shd w:val="clear" w:color="auto" w:fill="auto"/>
            <w:vAlign w:val="center"/>
          </w:tcPr>
          <w:p w14:paraId="4D539113" w14:textId="3FF0DFE2"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83"/>
                <w14:textFill>
                  <w14:solidFill>
                    <w14:srgbClr w14:val="000000">
                      <w14:alpha w14:val="100000"/>
                    </w14:srgbClr>
                  </w14:solidFill>
                </w14:textFill>
              </w:rPr>
              <w:t xml:space="preserve">　</w:t>
            </w:r>
            <w:r w:rsidRPr="003666AE">
              <w:rPr>
                <w:color w:val="000000"/>
                <w:w w:val="15"/>
                <w:shd w:val="solid" w:color="000000" w:fill="000000"/>
                <w:fitText w:val="45" w:id="-962324983"/>
                <w14:textFill>
                  <w14:solidFill>
                    <w14:srgbClr w14:val="000000">
                      <w14:alpha w14:val="100000"/>
                    </w14:srgbClr>
                  </w14:solidFill>
                </w14:textFill>
              </w:rPr>
              <w:t>|</w:t>
            </w:r>
            <w:r w:rsidRPr="003666AE">
              <w:rPr>
                <w:rFonts w:hint="eastAsia"/>
                <w:color w:val="000000"/>
                <w:spacing w:val="-20"/>
                <w:w w:val="15"/>
                <w:shd w:val="solid" w:color="000000" w:fill="000000"/>
                <w:fitText w:val="45" w:id="-962324983"/>
                <w14:textFill>
                  <w14:solidFill>
                    <w14:srgbClr w14:val="000000">
                      <w14:alpha w14:val="100000"/>
                    </w14:srgbClr>
                  </w14:solidFill>
                </w14:textFill>
              </w:rPr>
              <w:t xml:space="preserve">　</w:t>
            </w:r>
            <w:r w:rsidR="00C1630B">
              <w:rPr>
                <w:vertAlign w:val="superscript"/>
              </w:rPr>
              <w:t>7</w:t>
            </w:r>
          </w:p>
        </w:tc>
        <w:tc>
          <w:tcPr>
            <w:tcW w:w="611" w:type="pct"/>
            <w:vAlign w:val="center"/>
          </w:tcPr>
          <w:p w14:paraId="19F16C1B" w14:textId="0AC174A3"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82"/>
                <w14:textFill>
                  <w14:solidFill>
                    <w14:srgbClr w14:val="000000">
                      <w14:alpha w14:val="100000"/>
                    </w14:srgbClr>
                  </w14:solidFill>
                </w14:textFill>
              </w:rPr>
              <w:t xml:space="preserve">　</w:t>
            </w:r>
            <w:r w:rsidRPr="003666AE">
              <w:rPr>
                <w:color w:val="000000"/>
                <w:w w:val="15"/>
                <w:shd w:val="solid" w:color="000000" w:fill="000000"/>
                <w:fitText w:val="45" w:id="-962324982"/>
                <w14:textFill>
                  <w14:solidFill>
                    <w14:srgbClr w14:val="000000">
                      <w14:alpha w14:val="100000"/>
                    </w14:srgbClr>
                  </w14:solidFill>
                </w14:textFill>
              </w:rPr>
              <w:t>|</w:t>
            </w:r>
            <w:r w:rsidRPr="003666AE">
              <w:rPr>
                <w:rFonts w:hint="eastAsia"/>
                <w:color w:val="000000"/>
                <w:spacing w:val="-20"/>
                <w:w w:val="15"/>
                <w:shd w:val="solid" w:color="000000" w:fill="000000"/>
                <w:fitText w:val="45" w:id="-962324982"/>
                <w14:textFill>
                  <w14:solidFill>
                    <w14:srgbClr w14:val="000000">
                      <w14:alpha w14:val="100000"/>
                    </w14:srgbClr>
                  </w14:solidFill>
                </w14:textFill>
              </w:rPr>
              <w:t xml:space="preserve">　</w:t>
            </w:r>
            <w:r w:rsidR="00C1630B">
              <w:rPr>
                <w:vertAlign w:val="superscript"/>
              </w:rPr>
              <w:t>7</w:t>
            </w:r>
          </w:p>
        </w:tc>
      </w:tr>
      <w:tr w:rsidR="00B97462" w:rsidRPr="00AB34C7" w14:paraId="0027AEE5" w14:textId="77777777" w:rsidTr="008D28CC">
        <w:tc>
          <w:tcPr>
            <w:tcW w:w="1334" w:type="pct"/>
            <w:shd w:val="clear" w:color="auto" w:fill="auto"/>
            <w:vAlign w:val="center"/>
          </w:tcPr>
          <w:p w14:paraId="202C3F04" w14:textId="2757C66C" w:rsidR="00B97462" w:rsidRPr="00AB34C7" w:rsidRDefault="00B97462" w:rsidP="001C30EF">
            <w:pPr>
              <w:pStyle w:val="COMTabletext"/>
              <w:keepLines/>
              <w:rPr>
                <w:sz w:val="19"/>
                <w:szCs w:val="19"/>
              </w:rPr>
            </w:pPr>
            <w:r w:rsidRPr="00AB34C7">
              <w:rPr>
                <w:sz w:val="19"/>
                <w:szCs w:val="19"/>
              </w:rPr>
              <w:t xml:space="preserve">Costs for increased use of </w:t>
            </w:r>
            <w:r w:rsidR="000B3BC2" w:rsidRPr="00AB34C7">
              <w:rPr>
                <w:sz w:val="19"/>
                <w:szCs w:val="19"/>
              </w:rPr>
              <w:t>apixaban</w:t>
            </w:r>
            <w:r w:rsidRPr="00AB34C7">
              <w:rPr>
                <w:sz w:val="19"/>
                <w:szCs w:val="19"/>
              </w:rPr>
              <w:t xml:space="preserve"> for atrial fibrillation</w:t>
            </w:r>
          </w:p>
        </w:tc>
        <w:tc>
          <w:tcPr>
            <w:tcW w:w="611" w:type="pct"/>
            <w:shd w:val="clear" w:color="auto" w:fill="auto"/>
            <w:vAlign w:val="center"/>
          </w:tcPr>
          <w:p w14:paraId="5C7A3BC4" w14:textId="6C84DEEC"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81"/>
                <w14:textFill>
                  <w14:solidFill>
                    <w14:srgbClr w14:val="000000">
                      <w14:alpha w14:val="100000"/>
                    </w14:srgbClr>
                  </w14:solidFill>
                </w14:textFill>
              </w:rPr>
              <w:t xml:space="preserve">　</w:t>
            </w:r>
            <w:r w:rsidRPr="003666AE">
              <w:rPr>
                <w:color w:val="000000"/>
                <w:w w:val="15"/>
                <w:shd w:val="solid" w:color="000000" w:fill="000000"/>
                <w:fitText w:val="45" w:id="-962324981"/>
                <w14:textFill>
                  <w14:solidFill>
                    <w14:srgbClr w14:val="000000">
                      <w14:alpha w14:val="100000"/>
                    </w14:srgbClr>
                  </w14:solidFill>
                </w14:textFill>
              </w:rPr>
              <w:t>|</w:t>
            </w:r>
            <w:r w:rsidRPr="003666AE">
              <w:rPr>
                <w:rFonts w:hint="eastAsia"/>
                <w:color w:val="000000"/>
                <w:spacing w:val="-20"/>
                <w:w w:val="15"/>
                <w:shd w:val="solid" w:color="000000" w:fill="000000"/>
                <w:fitText w:val="45" w:id="-962324981"/>
                <w14:textFill>
                  <w14:solidFill>
                    <w14:srgbClr w14:val="000000">
                      <w14:alpha w14:val="100000"/>
                    </w14:srgbClr>
                  </w14:solidFill>
                </w14:textFill>
              </w:rPr>
              <w:t xml:space="preserve">　</w:t>
            </w:r>
            <w:r w:rsidR="00C1630B">
              <w:rPr>
                <w:vertAlign w:val="superscript"/>
              </w:rPr>
              <w:t>8</w:t>
            </w:r>
          </w:p>
        </w:tc>
        <w:tc>
          <w:tcPr>
            <w:tcW w:w="611" w:type="pct"/>
            <w:shd w:val="clear" w:color="auto" w:fill="auto"/>
            <w:vAlign w:val="center"/>
          </w:tcPr>
          <w:p w14:paraId="5853BAB3" w14:textId="1EE8B17A"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80"/>
                <w14:textFill>
                  <w14:solidFill>
                    <w14:srgbClr w14:val="000000">
                      <w14:alpha w14:val="100000"/>
                    </w14:srgbClr>
                  </w14:solidFill>
                </w14:textFill>
              </w:rPr>
              <w:t xml:space="preserve">　</w:t>
            </w:r>
            <w:r w:rsidRPr="003666AE">
              <w:rPr>
                <w:color w:val="000000"/>
                <w:w w:val="15"/>
                <w:shd w:val="solid" w:color="000000" w:fill="000000"/>
                <w:fitText w:val="45" w:id="-962324980"/>
                <w14:textFill>
                  <w14:solidFill>
                    <w14:srgbClr w14:val="000000">
                      <w14:alpha w14:val="100000"/>
                    </w14:srgbClr>
                  </w14:solidFill>
                </w14:textFill>
              </w:rPr>
              <w:t>|</w:t>
            </w:r>
            <w:r w:rsidRPr="003666AE">
              <w:rPr>
                <w:rFonts w:hint="eastAsia"/>
                <w:color w:val="000000"/>
                <w:spacing w:val="-20"/>
                <w:w w:val="15"/>
                <w:shd w:val="solid" w:color="000000" w:fill="000000"/>
                <w:fitText w:val="45" w:id="-962324980"/>
                <w14:textFill>
                  <w14:solidFill>
                    <w14:srgbClr w14:val="000000">
                      <w14:alpha w14:val="100000"/>
                    </w14:srgbClr>
                  </w14:solidFill>
                </w14:textFill>
              </w:rPr>
              <w:t xml:space="preserve">　</w:t>
            </w:r>
            <w:r w:rsidR="00C1630B">
              <w:rPr>
                <w:vertAlign w:val="superscript"/>
              </w:rPr>
              <w:t>8</w:t>
            </w:r>
          </w:p>
        </w:tc>
        <w:tc>
          <w:tcPr>
            <w:tcW w:w="611" w:type="pct"/>
            <w:shd w:val="clear" w:color="auto" w:fill="auto"/>
            <w:vAlign w:val="center"/>
          </w:tcPr>
          <w:p w14:paraId="1F2E3F78" w14:textId="4D3A547B"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79"/>
                <w14:textFill>
                  <w14:solidFill>
                    <w14:srgbClr w14:val="000000">
                      <w14:alpha w14:val="100000"/>
                    </w14:srgbClr>
                  </w14:solidFill>
                </w14:textFill>
              </w:rPr>
              <w:t xml:space="preserve">　</w:t>
            </w:r>
            <w:r w:rsidRPr="003666AE">
              <w:rPr>
                <w:color w:val="000000"/>
                <w:w w:val="15"/>
                <w:shd w:val="solid" w:color="000000" w:fill="000000"/>
                <w:fitText w:val="45" w:id="-962324979"/>
                <w14:textFill>
                  <w14:solidFill>
                    <w14:srgbClr w14:val="000000">
                      <w14:alpha w14:val="100000"/>
                    </w14:srgbClr>
                  </w14:solidFill>
                </w14:textFill>
              </w:rPr>
              <w:t>|</w:t>
            </w:r>
            <w:r w:rsidRPr="003666AE">
              <w:rPr>
                <w:rFonts w:hint="eastAsia"/>
                <w:color w:val="000000"/>
                <w:spacing w:val="-20"/>
                <w:w w:val="15"/>
                <w:shd w:val="solid" w:color="000000" w:fill="000000"/>
                <w:fitText w:val="45" w:id="-962324979"/>
                <w14:textFill>
                  <w14:solidFill>
                    <w14:srgbClr w14:val="000000">
                      <w14:alpha w14:val="100000"/>
                    </w14:srgbClr>
                  </w14:solidFill>
                </w14:textFill>
              </w:rPr>
              <w:t xml:space="preserve">　</w:t>
            </w:r>
            <w:r w:rsidR="00C1630B">
              <w:rPr>
                <w:vertAlign w:val="superscript"/>
              </w:rPr>
              <w:t>8</w:t>
            </w:r>
          </w:p>
        </w:tc>
        <w:tc>
          <w:tcPr>
            <w:tcW w:w="611" w:type="pct"/>
            <w:shd w:val="clear" w:color="auto" w:fill="auto"/>
            <w:vAlign w:val="center"/>
          </w:tcPr>
          <w:p w14:paraId="4C459B49" w14:textId="42FCFC11"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78"/>
                <w14:textFill>
                  <w14:solidFill>
                    <w14:srgbClr w14:val="000000">
                      <w14:alpha w14:val="100000"/>
                    </w14:srgbClr>
                  </w14:solidFill>
                </w14:textFill>
              </w:rPr>
              <w:t xml:space="preserve">　</w:t>
            </w:r>
            <w:r w:rsidRPr="003666AE">
              <w:rPr>
                <w:color w:val="000000"/>
                <w:w w:val="15"/>
                <w:shd w:val="solid" w:color="000000" w:fill="000000"/>
                <w:fitText w:val="45" w:id="-962324978"/>
                <w14:textFill>
                  <w14:solidFill>
                    <w14:srgbClr w14:val="000000">
                      <w14:alpha w14:val="100000"/>
                    </w14:srgbClr>
                  </w14:solidFill>
                </w14:textFill>
              </w:rPr>
              <w:t>|</w:t>
            </w:r>
            <w:r w:rsidRPr="003666AE">
              <w:rPr>
                <w:rFonts w:hint="eastAsia"/>
                <w:color w:val="000000"/>
                <w:spacing w:val="-20"/>
                <w:w w:val="15"/>
                <w:shd w:val="solid" w:color="000000" w:fill="000000"/>
                <w:fitText w:val="45" w:id="-962324978"/>
                <w14:textFill>
                  <w14:solidFill>
                    <w14:srgbClr w14:val="000000">
                      <w14:alpha w14:val="100000"/>
                    </w14:srgbClr>
                  </w14:solidFill>
                </w14:textFill>
              </w:rPr>
              <w:t xml:space="preserve">　</w:t>
            </w:r>
            <w:r w:rsidR="00C1630B">
              <w:rPr>
                <w:vertAlign w:val="superscript"/>
              </w:rPr>
              <w:t>8</w:t>
            </w:r>
          </w:p>
        </w:tc>
        <w:tc>
          <w:tcPr>
            <w:tcW w:w="611" w:type="pct"/>
            <w:shd w:val="clear" w:color="auto" w:fill="auto"/>
            <w:vAlign w:val="center"/>
          </w:tcPr>
          <w:p w14:paraId="25631E4E" w14:textId="525CCD69"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77"/>
                <w14:textFill>
                  <w14:solidFill>
                    <w14:srgbClr w14:val="000000">
                      <w14:alpha w14:val="100000"/>
                    </w14:srgbClr>
                  </w14:solidFill>
                </w14:textFill>
              </w:rPr>
              <w:t xml:space="preserve">　</w:t>
            </w:r>
            <w:r w:rsidRPr="003666AE">
              <w:rPr>
                <w:color w:val="000000"/>
                <w:w w:val="15"/>
                <w:shd w:val="solid" w:color="000000" w:fill="000000"/>
                <w:fitText w:val="45" w:id="-962324977"/>
                <w14:textFill>
                  <w14:solidFill>
                    <w14:srgbClr w14:val="000000">
                      <w14:alpha w14:val="100000"/>
                    </w14:srgbClr>
                  </w14:solidFill>
                </w14:textFill>
              </w:rPr>
              <w:t>|</w:t>
            </w:r>
            <w:r w:rsidRPr="003666AE">
              <w:rPr>
                <w:rFonts w:hint="eastAsia"/>
                <w:color w:val="000000"/>
                <w:spacing w:val="-20"/>
                <w:w w:val="15"/>
                <w:shd w:val="solid" w:color="000000" w:fill="000000"/>
                <w:fitText w:val="45" w:id="-962324977"/>
                <w14:textFill>
                  <w14:solidFill>
                    <w14:srgbClr w14:val="000000">
                      <w14:alpha w14:val="100000"/>
                    </w14:srgbClr>
                  </w14:solidFill>
                </w14:textFill>
              </w:rPr>
              <w:t xml:space="preserve">　</w:t>
            </w:r>
            <w:r w:rsidR="00C1630B">
              <w:rPr>
                <w:vertAlign w:val="superscript"/>
              </w:rPr>
              <w:t>8</w:t>
            </w:r>
          </w:p>
        </w:tc>
        <w:tc>
          <w:tcPr>
            <w:tcW w:w="611" w:type="pct"/>
            <w:vAlign w:val="center"/>
          </w:tcPr>
          <w:p w14:paraId="668E678E" w14:textId="1444D103"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76"/>
                <w14:textFill>
                  <w14:solidFill>
                    <w14:srgbClr w14:val="000000">
                      <w14:alpha w14:val="100000"/>
                    </w14:srgbClr>
                  </w14:solidFill>
                </w14:textFill>
              </w:rPr>
              <w:t xml:space="preserve">　</w:t>
            </w:r>
            <w:r w:rsidRPr="003666AE">
              <w:rPr>
                <w:color w:val="000000"/>
                <w:w w:val="15"/>
                <w:shd w:val="solid" w:color="000000" w:fill="000000"/>
                <w:fitText w:val="45" w:id="-962324976"/>
                <w14:textFill>
                  <w14:solidFill>
                    <w14:srgbClr w14:val="000000">
                      <w14:alpha w14:val="100000"/>
                    </w14:srgbClr>
                  </w14:solidFill>
                </w14:textFill>
              </w:rPr>
              <w:t>|</w:t>
            </w:r>
            <w:r w:rsidRPr="003666AE">
              <w:rPr>
                <w:rFonts w:hint="eastAsia"/>
                <w:color w:val="000000"/>
                <w:spacing w:val="-20"/>
                <w:w w:val="15"/>
                <w:shd w:val="solid" w:color="000000" w:fill="000000"/>
                <w:fitText w:val="45" w:id="-962324976"/>
                <w14:textFill>
                  <w14:solidFill>
                    <w14:srgbClr w14:val="000000">
                      <w14:alpha w14:val="100000"/>
                    </w14:srgbClr>
                  </w14:solidFill>
                </w14:textFill>
              </w:rPr>
              <w:t xml:space="preserve">　</w:t>
            </w:r>
            <w:r w:rsidR="00C1630B">
              <w:rPr>
                <w:vertAlign w:val="superscript"/>
              </w:rPr>
              <w:t>8</w:t>
            </w:r>
          </w:p>
        </w:tc>
      </w:tr>
      <w:tr w:rsidR="00B97462" w:rsidRPr="00AB34C7" w14:paraId="6D78CB20" w14:textId="77777777" w:rsidTr="008D28CC">
        <w:tc>
          <w:tcPr>
            <w:tcW w:w="1334" w:type="pct"/>
            <w:shd w:val="clear" w:color="auto" w:fill="auto"/>
            <w:vAlign w:val="center"/>
          </w:tcPr>
          <w:p w14:paraId="0D6D47C8" w14:textId="3A517567" w:rsidR="00B97462" w:rsidRPr="00AB34C7" w:rsidRDefault="00B97462" w:rsidP="001C30EF">
            <w:pPr>
              <w:pStyle w:val="COMTabletext"/>
              <w:keepLines/>
              <w:rPr>
                <w:sz w:val="19"/>
                <w:szCs w:val="19"/>
              </w:rPr>
            </w:pPr>
            <w:r w:rsidRPr="00AB34C7">
              <w:rPr>
                <w:sz w:val="19"/>
                <w:szCs w:val="19"/>
              </w:rPr>
              <w:t xml:space="preserve">Net </w:t>
            </w:r>
            <w:r w:rsidR="006A3350" w:rsidRPr="00AB34C7">
              <w:rPr>
                <w:sz w:val="19"/>
                <w:szCs w:val="19"/>
              </w:rPr>
              <w:t xml:space="preserve">cost </w:t>
            </w:r>
            <w:r w:rsidRPr="00AB34C7">
              <w:rPr>
                <w:sz w:val="19"/>
                <w:szCs w:val="19"/>
              </w:rPr>
              <w:t>to PBS/RPBS</w:t>
            </w:r>
          </w:p>
        </w:tc>
        <w:tc>
          <w:tcPr>
            <w:tcW w:w="611" w:type="pct"/>
            <w:shd w:val="clear" w:color="auto" w:fill="auto"/>
            <w:vAlign w:val="center"/>
          </w:tcPr>
          <w:p w14:paraId="34678D2A" w14:textId="1E24E262"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92"/>
                <w14:textFill>
                  <w14:solidFill>
                    <w14:srgbClr w14:val="000000">
                      <w14:alpha w14:val="100000"/>
                    </w14:srgbClr>
                  </w14:solidFill>
                </w14:textFill>
              </w:rPr>
              <w:t xml:space="preserve">　</w:t>
            </w:r>
            <w:r w:rsidRPr="003666AE">
              <w:rPr>
                <w:color w:val="000000"/>
                <w:w w:val="15"/>
                <w:shd w:val="solid" w:color="000000" w:fill="000000"/>
                <w:fitText w:val="45" w:id="-962324992"/>
                <w14:textFill>
                  <w14:solidFill>
                    <w14:srgbClr w14:val="000000">
                      <w14:alpha w14:val="100000"/>
                    </w14:srgbClr>
                  </w14:solidFill>
                </w14:textFill>
              </w:rPr>
              <w:t>|</w:t>
            </w:r>
            <w:r w:rsidRPr="003666AE">
              <w:rPr>
                <w:rFonts w:hint="eastAsia"/>
                <w:color w:val="000000"/>
                <w:spacing w:val="-20"/>
                <w:w w:val="15"/>
                <w:shd w:val="solid" w:color="000000" w:fill="000000"/>
                <w:fitText w:val="45" w:id="-962324992"/>
                <w14:textFill>
                  <w14:solidFill>
                    <w14:srgbClr w14:val="000000">
                      <w14:alpha w14:val="100000"/>
                    </w14:srgbClr>
                  </w14:solidFill>
                </w14:textFill>
              </w:rPr>
              <w:t xml:space="preserve">　</w:t>
            </w:r>
            <w:r w:rsidR="00C1630B">
              <w:rPr>
                <w:vertAlign w:val="superscript"/>
              </w:rPr>
              <w:t>8</w:t>
            </w:r>
          </w:p>
        </w:tc>
        <w:tc>
          <w:tcPr>
            <w:tcW w:w="611" w:type="pct"/>
            <w:shd w:val="clear" w:color="auto" w:fill="auto"/>
            <w:vAlign w:val="center"/>
          </w:tcPr>
          <w:p w14:paraId="039F4D60" w14:textId="786E03A1"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91"/>
                <w14:textFill>
                  <w14:solidFill>
                    <w14:srgbClr w14:val="000000">
                      <w14:alpha w14:val="100000"/>
                    </w14:srgbClr>
                  </w14:solidFill>
                </w14:textFill>
              </w:rPr>
              <w:t xml:space="preserve">　</w:t>
            </w:r>
            <w:r w:rsidRPr="003666AE">
              <w:rPr>
                <w:color w:val="000000"/>
                <w:w w:val="15"/>
                <w:shd w:val="solid" w:color="000000" w:fill="000000"/>
                <w:fitText w:val="45" w:id="-962324991"/>
                <w14:textFill>
                  <w14:solidFill>
                    <w14:srgbClr w14:val="000000">
                      <w14:alpha w14:val="100000"/>
                    </w14:srgbClr>
                  </w14:solidFill>
                </w14:textFill>
              </w:rPr>
              <w:t>|</w:t>
            </w:r>
            <w:r w:rsidRPr="003666AE">
              <w:rPr>
                <w:rFonts w:hint="eastAsia"/>
                <w:color w:val="000000"/>
                <w:spacing w:val="-20"/>
                <w:w w:val="15"/>
                <w:shd w:val="solid" w:color="000000" w:fill="000000"/>
                <w:fitText w:val="45" w:id="-962324991"/>
                <w14:textFill>
                  <w14:solidFill>
                    <w14:srgbClr w14:val="000000">
                      <w14:alpha w14:val="100000"/>
                    </w14:srgbClr>
                  </w14:solidFill>
                </w14:textFill>
              </w:rPr>
              <w:t xml:space="preserve">　</w:t>
            </w:r>
            <w:r w:rsidR="00C1630B">
              <w:rPr>
                <w:vertAlign w:val="superscript"/>
              </w:rPr>
              <w:t>8</w:t>
            </w:r>
          </w:p>
        </w:tc>
        <w:tc>
          <w:tcPr>
            <w:tcW w:w="611" w:type="pct"/>
            <w:shd w:val="clear" w:color="auto" w:fill="auto"/>
            <w:vAlign w:val="center"/>
          </w:tcPr>
          <w:p w14:paraId="1167FBA6" w14:textId="664C6C59"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90"/>
                <w14:textFill>
                  <w14:solidFill>
                    <w14:srgbClr w14:val="000000">
                      <w14:alpha w14:val="100000"/>
                    </w14:srgbClr>
                  </w14:solidFill>
                </w14:textFill>
              </w:rPr>
              <w:t xml:space="preserve">　</w:t>
            </w:r>
            <w:r w:rsidRPr="003666AE">
              <w:rPr>
                <w:color w:val="000000"/>
                <w:w w:val="15"/>
                <w:shd w:val="solid" w:color="000000" w:fill="000000"/>
                <w:fitText w:val="45" w:id="-962324990"/>
                <w14:textFill>
                  <w14:solidFill>
                    <w14:srgbClr w14:val="000000">
                      <w14:alpha w14:val="100000"/>
                    </w14:srgbClr>
                  </w14:solidFill>
                </w14:textFill>
              </w:rPr>
              <w:t>|</w:t>
            </w:r>
            <w:r w:rsidRPr="003666AE">
              <w:rPr>
                <w:rFonts w:hint="eastAsia"/>
                <w:color w:val="000000"/>
                <w:spacing w:val="-20"/>
                <w:w w:val="15"/>
                <w:shd w:val="solid" w:color="000000" w:fill="000000"/>
                <w:fitText w:val="45" w:id="-962324990"/>
                <w14:textFill>
                  <w14:solidFill>
                    <w14:srgbClr w14:val="000000">
                      <w14:alpha w14:val="100000"/>
                    </w14:srgbClr>
                  </w14:solidFill>
                </w14:textFill>
              </w:rPr>
              <w:t xml:space="preserve">　</w:t>
            </w:r>
            <w:r w:rsidR="00C1630B">
              <w:rPr>
                <w:vertAlign w:val="superscript"/>
              </w:rPr>
              <w:t>8</w:t>
            </w:r>
          </w:p>
        </w:tc>
        <w:tc>
          <w:tcPr>
            <w:tcW w:w="611" w:type="pct"/>
            <w:shd w:val="clear" w:color="auto" w:fill="auto"/>
            <w:vAlign w:val="center"/>
          </w:tcPr>
          <w:p w14:paraId="5D2DC361" w14:textId="32EF9B7B"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89"/>
                <w14:textFill>
                  <w14:solidFill>
                    <w14:srgbClr w14:val="000000">
                      <w14:alpha w14:val="100000"/>
                    </w14:srgbClr>
                  </w14:solidFill>
                </w14:textFill>
              </w:rPr>
              <w:t xml:space="preserve">　</w:t>
            </w:r>
            <w:r w:rsidRPr="003666AE">
              <w:rPr>
                <w:color w:val="000000"/>
                <w:w w:val="15"/>
                <w:shd w:val="solid" w:color="000000" w:fill="000000"/>
                <w:fitText w:val="45" w:id="-962324989"/>
                <w14:textFill>
                  <w14:solidFill>
                    <w14:srgbClr w14:val="000000">
                      <w14:alpha w14:val="100000"/>
                    </w14:srgbClr>
                  </w14:solidFill>
                </w14:textFill>
              </w:rPr>
              <w:t>|</w:t>
            </w:r>
            <w:r w:rsidRPr="003666AE">
              <w:rPr>
                <w:rFonts w:hint="eastAsia"/>
                <w:color w:val="000000"/>
                <w:spacing w:val="-20"/>
                <w:w w:val="15"/>
                <w:shd w:val="solid" w:color="000000" w:fill="000000"/>
                <w:fitText w:val="45" w:id="-962324989"/>
                <w14:textFill>
                  <w14:solidFill>
                    <w14:srgbClr w14:val="000000">
                      <w14:alpha w14:val="100000"/>
                    </w14:srgbClr>
                  </w14:solidFill>
                </w14:textFill>
              </w:rPr>
              <w:t xml:space="preserve">　</w:t>
            </w:r>
            <w:r w:rsidR="00C1630B">
              <w:rPr>
                <w:vertAlign w:val="superscript"/>
              </w:rPr>
              <w:t>8</w:t>
            </w:r>
          </w:p>
        </w:tc>
        <w:tc>
          <w:tcPr>
            <w:tcW w:w="611" w:type="pct"/>
            <w:shd w:val="clear" w:color="auto" w:fill="auto"/>
            <w:vAlign w:val="center"/>
          </w:tcPr>
          <w:p w14:paraId="3FAD434B" w14:textId="40EFE858"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88"/>
                <w14:textFill>
                  <w14:solidFill>
                    <w14:srgbClr w14:val="000000">
                      <w14:alpha w14:val="100000"/>
                    </w14:srgbClr>
                  </w14:solidFill>
                </w14:textFill>
              </w:rPr>
              <w:t xml:space="preserve">　</w:t>
            </w:r>
            <w:r w:rsidRPr="003666AE">
              <w:rPr>
                <w:color w:val="000000"/>
                <w:w w:val="15"/>
                <w:shd w:val="solid" w:color="000000" w:fill="000000"/>
                <w:fitText w:val="45" w:id="-962324988"/>
                <w14:textFill>
                  <w14:solidFill>
                    <w14:srgbClr w14:val="000000">
                      <w14:alpha w14:val="100000"/>
                    </w14:srgbClr>
                  </w14:solidFill>
                </w14:textFill>
              </w:rPr>
              <w:t>|</w:t>
            </w:r>
            <w:r w:rsidRPr="003666AE">
              <w:rPr>
                <w:rFonts w:hint="eastAsia"/>
                <w:color w:val="000000"/>
                <w:spacing w:val="-20"/>
                <w:w w:val="15"/>
                <w:shd w:val="solid" w:color="000000" w:fill="000000"/>
                <w:fitText w:val="45" w:id="-962324988"/>
                <w14:textFill>
                  <w14:solidFill>
                    <w14:srgbClr w14:val="000000">
                      <w14:alpha w14:val="100000"/>
                    </w14:srgbClr>
                  </w14:solidFill>
                </w14:textFill>
              </w:rPr>
              <w:t xml:space="preserve">　</w:t>
            </w:r>
            <w:r w:rsidR="00C1630B">
              <w:rPr>
                <w:vertAlign w:val="superscript"/>
              </w:rPr>
              <w:t>8</w:t>
            </w:r>
          </w:p>
        </w:tc>
        <w:tc>
          <w:tcPr>
            <w:tcW w:w="611" w:type="pct"/>
            <w:vAlign w:val="center"/>
          </w:tcPr>
          <w:p w14:paraId="74FB7307" w14:textId="4BF89DF5"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87"/>
                <w14:textFill>
                  <w14:solidFill>
                    <w14:srgbClr w14:val="000000">
                      <w14:alpha w14:val="100000"/>
                    </w14:srgbClr>
                  </w14:solidFill>
                </w14:textFill>
              </w:rPr>
              <w:t xml:space="preserve">　</w:t>
            </w:r>
            <w:r w:rsidRPr="003666AE">
              <w:rPr>
                <w:color w:val="000000"/>
                <w:w w:val="15"/>
                <w:shd w:val="solid" w:color="000000" w:fill="000000"/>
                <w:fitText w:val="45" w:id="-962324987"/>
                <w14:textFill>
                  <w14:solidFill>
                    <w14:srgbClr w14:val="000000">
                      <w14:alpha w14:val="100000"/>
                    </w14:srgbClr>
                  </w14:solidFill>
                </w14:textFill>
              </w:rPr>
              <w:t>|</w:t>
            </w:r>
            <w:r w:rsidRPr="003666AE">
              <w:rPr>
                <w:rFonts w:hint="eastAsia"/>
                <w:color w:val="000000"/>
                <w:spacing w:val="-20"/>
                <w:w w:val="15"/>
                <w:shd w:val="solid" w:color="000000" w:fill="000000"/>
                <w:fitText w:val="45" w:id="-962324987"/>
                <w14:textFill>
                  <w14:solidFill>
                    <w14:srgbClr w14:val="000000">
                      <w14:alpha w14:val="100000"/>
                    </w14:srgbClr>
                  </w14:solidFill>
                </w14:textFill>
              </w:rPr>
              <w:t xml:space="preserve">　</w:t>
            </w:r>
            <w:r w:rsidR="00C1630B">
              <w:rPr>
                <w:vertAlign w:val="superscript"/>
              </w:rPr>
              <w:t>8</w:t>
            </w:r>
          </w:p>
        </w:tc>
      </w:tr>
      <w:tr w:rsidR="00B97462" w:rsidRPr="00AB34C7" w14:paraId="2AE63F7D" w14:textId="77777777" w:rsidTr="009C3A3A">
        <w:tc>
          <w:tcPr>
            <w:tcW w:w="5000" w:type="pct"/>
            <w:gridSpan w:val="7"/>
            <w:shd w:val="clear" w:color="auto" w:fill="auto"/>
            <w:vAlign w:val="center"/>
          </w:tcPr>
          <w:p w14:paraId="4E1586EE" w14:textId="77777777" w:rsidR="00B97462" w:rsidRPr="00B95C74" w:rsidRDefault="00B97462" w:rsidP="001C30EF">
            <w:pPr>
              <w:pStyle w:val="COMTableheadingrow"/>
              <w:keepLines/>
              <w:rPr>
                <w:lang w:val="en-AU"/>
              </w:rPr>
            </w:pPr>
            <w:r w:rsidRPr="00B95C74">
              <w:rPr>
                <w:lang w:val="en-AU"/>
              </w:rPr>
              <w:t>Cost to the MBS</w:t>
            </w:r>
          </w:p>
        </w:tc>
      </w:tr>
      <w:tr w:rsidR="00B97462" w:rsidRPr="00AB34C7" w14:paraId="0F712F0E" w14:textId="77777777" w:rsidTr="00BB74CF">
        <w:tc>
          <w:tcPr>
            <w:tcW w:w="1334" w:type="pct"/>
            <w:shd w:val="clear" w:color="auto" w:fill="auto"/>
            <w:vAlign w:val="center"/>
          </w:tcPr>
          <w:p w14:paraId="5E1E6EE2" w14:textId="619B9CDC" w:rsidR="00B97462" w:rsidRPr="00AB34C7" w:rsidRDefault="00B97462" w:rsidP="001C30EF">
            <w:pPr>
              <w:pStyle w:val="COMTabletext"/>
              <w:keepLines/>
              <w:rPr>
                <w:sz w:val="19"/>
                <w:szCs w:val="19"/>
              </w:rPr>
            </w:pPr>
            <w:r w:rsidRPr="00AB34C7">
              <w:rPr>
                <w:sz w:val="19"/>
                <w:szCs w:val="19"/>
              </w:rPr>
              <w:t>Costs for increased monitoring associated with atrial fibrillation</w:t>
            </w:r>
          </w:p>
        </w:tc>
        <w:tc>
          <w:tcPr>
            <w:tcW w:w="611" w:type="pct"/>
            <w:shd w:val="clear" w:color="auto" w:fill="auto"/>
            <w:vAlign w:val="center"/>
          </w:tcPr>
          <w:p w14:paraId="5090B116" w14:textId="68749D8E"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86"/>
                <w14:textFill>
                  <w14:solidFill>
                    <w14:srgbClr w14:val="000000">
                      <w14:alpha w14:val="100000"/>
                    </w14:srgbClr>
                  </w14:solidFill>
                </w14:textFill>
              </w:rPr>
              <w:t xml:space="preserve">　</w:t>
            </w:r>
            <w:r w:rsidRPr="003666AE">
              <w:rPr>
                <w:color w:val="000000"/>
                <w:w w:val="15"/>
                <w:shd w:val="solid" w:color="000000" w:fill="000000"/>
                <w:fitText w:val="45" w:id="-962324986"/>
                <w14:textFill>
                  <w14:solidFill>
                    <w14:srgbClr w14:val="000000">
                      <w14:alpha w14:val="100000"/>
                    </w14:srgbClr>
                  </w14:solidFill>
                </w14:textFill>
              </w:rPr>
              <w:t>|</w:t>
            </w:r>
            <w:r w:rsidRPr="003666AE">
              <w:rPr>
                <w:rFonts w:hint="eastAsia"/>
                <w:color w:val="000000"/>
                <w:spacing w:val="-20"/>
                <w:w w:val="15"/>
                <w:shd w:val="solid" w:color="000000" w:fill="000000"/>
                <w:fitText w:val="45" w:id="-962324986"/>
                <w14:textFill>
                  <w14:solidFill>
                    <w14:srgbClr w14:val="000000">
                      <w14:alpha w14:val="100000"/>
                    </w14:srgbClr>
                  </w14:solidFill>
                </w14:textFill>
              </w:rPr>
              <w:t xml:space="preserve">　</w:t>
            </w:r>
            <w:r w:rsidR="00C1630B">
              <w:rPr>
                <w:vertAlign w:val="superscript"/>
              </w:rPr>
              <w:t>8</w:t>
            </w:r>
          </w:p>
        </w:tc>
        <w:tc>
          <w:tcPr>
            <w:tcW w:w="611" w:type="pct"/>
            <w:shd w:val="clear" w:color="auto" w:fill="auto"/>
            <w:vAlign w:val="center"/>
          </w:tcPr>
          <w:p w14:paraId="59E682CA" w14:textId="18289196"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85"/>
                <w14:textFill>
                  <w14:solidFill>
                    <w14:srgbClr w14:val="000000">
                      <w14:alpha w14:val="100000"/>
                    </w14:srgbClr>
                  </w14:solidFill>
                </w14:textFill>
              </w:rPr>
              <w:t xml:space="preserve">　</w:t>
            </w:r>
            <w:r w:rsidRPr="003666AE">
              <w:rPr>
                <w:color w:val="000000"/>
                <w:w w:val="15"/>
                <w:shd w:val="solid" w:color="000000" w:fill="000000"/>
                <w:fitText w:val="45" w:id="-962324985"/>
                <w14:textFill>
                  <w14:solidFill>
                    <w14:srgbClr w14:val="000000">
                      <w14:alpha w14:val="100000"/>
                    </w14:srgbClr>
                  </w14:solidFill>
                </w14:textFill>
              </w:rPr>
              <w:t>|</w:t>
            </w:r>
            <w:r w:rsidRPr="003666AE">
              <w:rPr>
                <w:rFonts w:hint="eastAsia"/>
                <w:color w:val="000000"/>
                <w:spacing w:val="-20"/>
                <w:w w:val="15"/>
                <w:shd w:val="solid" w:color="000000" w:fill="000000"/>
                <w:fitText w:val="45" w:id="-962324985"/>
                <w14:textFill>
                  <w14:solidFill>
                    <w14:srgbClr w14:val="000000">
                      <w14:alpha w14:val="100000"/>
                    </w14:srgbClr>
                  </w14:solidFill>
                </w14:textFill>
              </w:rPr>
              <w:t xml:space="preserve">　</w:t>
            </w:r>
            <w:r w:rsidR="00C1630B">
              <w:rPr>
                <w:vertAlign w:val="superscript"/>
              </w:rPr>
              <w:t>8</w:t>
            </w:r>
          </w:p>
        </w:tc>
        <w:tc>
          <w:tcPr>
            <w:tcW w:w="611" w:type="pct"/>
            <w:shd w:val="clear" w:color="auto" w:fill="auto"/>
            <w:vAlign w:val="center"/>
          </w:tcPr>
          <w:p w14:paraId="7B346B80" w14:textId="2B2C3ED5"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84"/>
                <w14:textFill>
                  <w14:solidFill>
                    <w14:srgbClr w14:val="000000">
                      <w14:alpha w14:val="100000"/>
                    </w14:srgbClr>
                  </w14:solidFill>
                </w14:textFill>
              </w:rPr>
              <w:t xml:space="preserve">　</w:t>
            </w:r>
            <w:r w:rsidRPr="003666AE">
              <w:rPr>
                <w:color w:val="000000"/>
                <w:w w:val="15"/>
                <w:shd w:val="solid" w:color="000000" w:fill="000000"/>
                <w:fitText w:val="45" w:id="-962324984"/>
                <w14:textFill>
                  <w14:solidFill>
                    <w14:srgbClr w14:val="000000">
                      <w14:alpha w14:val="100000"/>
                    </w14:srgbClr>
                  </w14:solidFill>
                </w14:textFill>
              </w:rPr>
              <w:t>|</w:t>
            </w:r>
            <w:r w:rsidRPr="003666AE">
              <w:rPr>
                <w:rFonts w:hint="eastAsia"/>
                <w:color w:val="000000"/>
                <w:spacing w:val="-20"/>
                <w:w w:val="15"/>
                <w:shd w:val="solid" w:color="000000" w:fill="000000"/>
                <w:fitText w:val="45" w:id="-962324984"/>
                <w14:textFill>
                  <w14:solidFill>
                    <w14:srgbClr w14:val="000000">
                      <w14:alpha w14:val="100000"/>
                    </w14:srgbClr>
                  </w14:solidFill>
                </w14:textFill>
              </w:rPr>
              <w:t xml:space="preserve">　</w:t>
            </w:r>
            <w:r w:rsidR="00C1630B">
              <w:rPr>
                <w:vertAlign w:val="superscript"/>
              </w:rPr>
              <w:t>8</w:t>
            </w:r>
          </w:p>
        </w:tc>
        <w:tc>
          <w:tcPr>
            <w:tcW w:w="611" w:type="pct"/>
            <w:shd w:val="clear" w:color="auto" w:fill="auto"/>
            <w:vAlign w:val="center"/>
          </w:tcPr>
          <w:p w14:paraId="250D11D3" w14:textId="260034DF"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83"/>
                <w14:textFill>
                  <w14:solidFill>
                    <w14:srgbClr w14:val="000000">
                      <w14:alpha w14:val="100000"/>
                    </w14:srgbClr>
                  </w14:solidFill>
                </w14:textFill>
              </w:rPr>
              <w:t xml:space="preserve">　</w:t>
            </w:r>
            <w:r w:rsidRPr="003666AE">
              <w:rPr>
                <w:color w:val="000000"/>
                <w:w w:val="15"/>
                <w:shd w:val="solid" w:color="000000" w:fill="000000"/>
                <w:fitText w:val="45" w:id="-962324983"/>
                <w14:textFill>
                  <w14:solidFill>
                    <w14:srgbClr w14:val="000000">
                      <w14:alpha w14:val="100000"/>
                    </w14:srgbClr>
                  </w14:solidFill>
                </w14:textFill>
              </w:rPr>
              <w:t>|</w:t>
            </w:r>
            <w:r w:rsidRPr="003666AE">
              <w:rPr>
                <w:rFonts w:hint="eastAsia"/>
                <w:color w:val="000000"/>
                <w:spacing w:val="-20"/>
                <w:w w:val="15"/>
                <w:shd w:val="solid" w:color="000000" w:fill="000000"/>
                <w:fitText w:val="45" w:id="-962324983"/>
                <w14:textFill>
                  <w14:solidFill>
                    <w14:srgbClr w14:val="000000">
                      <w14:alpha w14:val="100000"/>
                    </w14:srgbClr>
                  </w14:solidFill>
                </w14:textFill>
              </w:rPr>
              <w:t xml:space="preserve">　</w:t>
            </w:r>
            <w:r w:rsidR="00C1630B">
              <w:rPr>
                <w:vertAlign w:val="superscript"/>
              </w:rPr>
              <w:t>8</w:t>
            </w:r>
          </w:p>
        </w:tc>
        <w:tc>
          <w:tcPr>
            <w:tcW w:w="611" w:type="pct"/>
            <w:shd w:val="clear" w:color="auto" w:fill="auto"/>
            <w:vAlign w:val="center"/>
          </w:tcPr>
          <w:p w14:paraId="01719D1B" w14:textId="63939D04"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82"/>
                <w14:textFill>
                  <w14:solidFill>
                    <w14:srgbClr w14:val="000000">
                      <w14:alpha w14:val="100000"/>
                    </w14:srgbClr>
                  </w14:solidFill>
                </w14:textFill>
              </w:rPr>
              <w:t xml:space="preserve">　</w:t>
            </w:r>
            <w:r w:rsidRPr="003666AE">
              <w:rPr>
                <w:color w:val="000000"/>
                <w:w w:val="15"/>
                <w:shd w:val="solid" w:color="000000" w:fill="000000"/>
                <w:fitText w:val="45" w:id="-962324982"/>
                <w14:textFill>
                  <w14:solidFill>
                    <w14:srgbClr w14:val="000000">
                      <w14:alpha w14:val="100000"/>
                    </w14:srgbClr>
                  </w14:solidFill>
                </w14:textFill>
              </w:rPr>
              <w:t>|</w:t>
            </w:r>
            <w:r w:rsidRPr="003666AE">
              <w:rPr>
                <w:rFonts w:hint="eastAsia"/>
                <w:color w:val="000000"/>
                <w:spacing w:val="-20"/>
                <w:w w:val="15"/>
                <w:shd w:val="solid" w:color="000000" w:fill="000000"/>
                <w:fitText w:val="45" w:id="-962324982"/>
                <w14:textFill>
                  <w14:solidFill>
                    <w14:srgbClr w14:val="000000">
                      <w14:alpha w14:val="100000"/>
                    </w14:srgbClr>
                  </w14:solidFill>
                </w14:textFill>
              </w:rPr>
              <w:t xml:space="preserve">　</w:t>
            </w:r>
            <w:r w:rsidR="00C1630B">
              <w:rPr>
                <w:vertAlign w:val="superscript"/>
              </w:rPr>
              <w:t>8</w:t>
            </w:r>
          </w:p>
        </w:tc>
        <w:tc>
          <w:tcPr>
            <w:tcW w:w="611" w:type="pct"/>
            <w:vAlign w:val="center"/>
          </w:tcPr>
          <w:p w14:paraId="7EA4B2ED" w14:textId="3184CF3A"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81"/>
                <w14:textFill>
                  <w14:solidFill>
                    <w14:srgbClr w14:val="000000">
                      <w14:alpha w14:val="100000"/>
                    </w14:srgbClr>
                  </w14:solidFill>
                </w14:textFill>
              </w:rPr>
              <w:t xml:space="preserve">　</w:t>
            </w:r>
            <w:r w:rsidRPr="003666AE">
              <w:rPr>
                <w:color w:val="000000"/>
                <w:w w:val="15"/>
                <w:shd w:val="solid" w:color="000000" w:fill="000000"/>
                <w:fitText w:val="45" w:id="-962324981"/>
                <w14:textFill>
                  <w14:solidFill>
                    <w14:srgbClr w14:val="000000">
                      <w14:alpha w14:val="100000"/>
                    </w14:srgbClr>
                  </w14:solidFill>
                </w14:textFill>
              </w:rPr>
              <w:t>|</w:t>
            </w:r>
            <w:r w:rsidRPr="003666AE">
              <w:rPr>
                <w:rFonts w:hint="eastAsia"/>
                <w:color w:val="000000"/>
                <w:spacing w:val="-20"/>
                <w:w w:val="15"/>
                <w:shd w:val="solid" w:color="000000" w:fill="000000"/>
                <w:fitText w:val="45" w:id="-962324981"/>
                <w14:textFill>
                  <w14:solidFill>
                    <w14:srgbClr w14:val="000000">
                      <w14:alpha w14:val="100000"/>
                    </w14:srgbClr>
                  </w14:solidFill>
                </w14:textFill>
              </w:rPr>
              <w:t xml:space="preserve">　</w:t>
            </w:r>
            <w:r w:rsidR="00C1630B">
              <w:rPr>
                <w:vertAlign w:val="superscript"/>
              </w:rPr>
              <w:t>8</w:t>
            </w:r>
          </w:p>
        </w:tc>
      </w:tr>
      <w:tr w:rsidR="00B97462" w:rsidRPr="00AB34C7" w14:paraId="61D16F31" w14:textId="77777777" w:rsidTr="004400CB">
        <w:tc>
          <w:tcPr>
            <w:tcW w:w="5000" w:type="pct"/>
            <w:gridSpan w:val="7"/>
            <w:shd w:val="clear" w:color="auto" w:fill="auto"/>
            <w:vAlign w:val="center"/>
          </w:tcPr>
          <w:p w14:paraId="0426DBF8" w14:textId="77777777" w:rsidR="00B97462" w:rsidRPr="00AB34C7" w:rsidRDefault="00B97462" w:rsidP="001C30EF">
            <w:pPr>
              <w:pStyle w:val="COMTabletext"/>
              <w:keepLines/>
              <w:rPr>
                <w:b/>
                <w:bCs w:val="0"/>
              </w:rPr>
            </w:pPr>
            <w:r w:rsidRPr="00AB34C7">
              <w:rPr>
                <w:b/>
                <w:bCs w:val="0"/>
                <w:sz w:val="19"/>
                <w:szCs w:val="19"/>
              </w:rPr>
              <w:t>Net financial implications</w:t>
            </w:r>
          </w:p>
        </w:tc>
      </w:tr>
      <w:tr w:rsidR="00B97462" w:rsidRPr="00AB34C7" w14:paraId="67D0A73E" w14:textId="77777777" w:rsidTr="008A3158">
        <w:tc>
          <w:tcPr>
            <w:tcW w:w="1334" w:type="pct"/>
            <w:shd w:val="clear" w:color="auto" w:fill="auto"/>
            <w:vAlign w:val="center"/>
          </w:tcPr>
          <w:p w14:paraId="3AA38A2F" w14:textId="7F74796A" w:rsidR="00B97462" w:rsidRPr="00AB34C7" w:rsidRDefault="00B97462" w:rsidP="001C30EF">
            <w:pPr>
              <w:pStyle w:val="COMTabletext"/>
              <w:keepLines/>
              <w:rPr>
                <w:sz w:val="19"/>
                <w:szCs w:val="19"/>
              </w:rPr>
            </w:pPr>
            <w:r w:rsidRPr="00AB34C7">
              <w:rPr>
                <w:sz w:val="19"/>
                <w:szCs w:val="19"/>
              </w:rPr>
              <w:t>Net cost to PBS/RPBS/MBS</w:t>
            </w:r>
          </w:p>
        </w:tc>
        <w:tc>
          <w:tcPr>
            <w:tcW w:w="611" w:type="pct"/>
            <w:shd w:val="clear" w:color="auto" w:fill="auto"/>
            <w:vAlign w:val="center"/>
          </w:tcPr>
          <w:p w14:paraId="2EF90FAE" w14:textId="0B762A76"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80"/>
                <w14:textFill>
                  <w14:solidFill>
                    <w14:srgbClr w14:val="000000">
                      <w14:alpha w14:val="100000"/>
                    </w14:srgbClr>
                  </w14:solidFill>
                </w14:textFill>
              </w:rPr>
              <w:t xml:space="preserve">　</w:t>
            </w:r>
            <w:r w:rsidRPr="003666AE">
              <w:rPr>
                <w:color w:val="000000"/>
                <w:w w:val="15"/>
                <w:shd w:val="solid" w:color="000000" w:fill="000000"/>
                <w:fitText w:val="45" w:id="-962324980"/>
                <w14:textFill>
                  <w14:solidFill>
                    <w14:srgbClr w14:val="000000">
                      <w14:alpha w14:val="100000"/>
                    </w14:srgbClr>
                  </w14:solidFill>
                </w14:textFill>
              </w:rPr>
              <w:t>|</w:t>
            </w:r>
            <w:r w:rsidRPr="003666AE">
              <w:rPr>
                <w:rFonts w:hint="eastAsia"/>
                <w:color w:val="000000"/>
                <w:spacing w:val="-20"/>
                <w:w w:val="15"/>
                <w:shd w:val="solid" w:color="000000" w:fill="000000"/>
                <w:fitText w:val="45" w:id="-962324980"/>
                <w14:textFill>
                  <w14:solidFill>
                    <w14:srgbClr w14:val="000000">
                      <w14:alpha w14:val="100000"/>
                    </w14:srgbClr>
                  </w14:solidFill>
                </w14:textFill>
              </w:rPr>
              <w:t xml:space="preserve">　</w:t>
            </w:r>
            <w:r w:rsidR="00C1630B">
              <w:rPr>
                <w:vertAlign w:val="superscript"/>
              </w:rPr>
              <w:t>8</w:t>
            </w:r>
          </w:p>
        </w:tc>
        <w:tc>
          <w:tcPr>
            <w:tcW w:w="611" w:type="pct"/>
            <w:shd w:val="clear" w:color="auto" w:fill="auto"/>
            <w:vAlign w:val="center"/>
          </w:tcPr>
          <w:p w14:paraId="23DB618D" w14:textId="0C187B08"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79"/>
                <w14:textFill>
                  <w14:solidFill>
                    <w14:srgbClr w14:val="000000">
                      <w14:alpha w14:val="100000"/>
                    </w14:srgbClr>
                  </w14:solidFill>
                </w14:textFill>
              </w:rPr>
              <w:t xml:space="preserve">　</w:t>
            </w:r>
            <w:r w:rsidRPr="003666AE">
              <w:rPr>
                <w:color w:val="000000"/>
                <w:w w:val="15"/>
                <w:shd w:val="solid" w:color="000000" w:fill="000000"/>
                <w:fitText w:val="45" w:id="-962324979"/>
                <w14:textFill>
                  <w14:solidFill>
                    <w14:srgbClr w14:val="000000">
                      <w14:alpha w14:val="100000"/>
                    </w14:srgbClr>
                  </w14:solidFill>
                </w14:textFill>
              </w:rPr>
              <w:t>|</w:t>
            </w:r>
            <w:r w:rsidRPr="003666AE">
              <w:rPr>
                <w:rFonts w:hint="eastAsia"/>
                <w:color w:val="000000"/>
                <w:spacing w:val="-20"/>
                <w:w w:val="15"/>
                <w:shd w:val="solid" w:color="000000" w:fill="000000"/>
                <w:fitText w:val="45" w:id="-962324979"/>
                <w14:textFill>
                  <w14:solidFill>
                    <w14:srgbClr w14:val="000000">
                      <w14:alpha w14:val="100000"/>
                    </w14:srgbClr>
                  </w14:solidFill>
                </w14:textFill>
              </w:rPr>
              <w:t xml:space="preserve">　</w:t>
            </w:r>
            <w:r w:rsidR="00C1630B">
              <w:rPr>
                <w:vertAlign w:val="superscript"/>
              </w:rPr>
              <w:t>8</w:t>
            </w:r>
          </w:p>
        </w:tc>
        <w:tc>
          <w:tcPr>
            <w:tcW w:w="611" w:type="pct"/>
            <w:shd w:val="clear" w:color="auto" w:fill="auto"/>
            <w:vAlign w:val="center"/>
          </w:tcPr>
          <w:p w14:paraId="323A21CF" w14:textId="7310FB38"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78"/>
                <w14:textFill>
                  <w14:solidFill>
                    <w14:srgbClr w14:val="000000">
                      <w14:alpha w14:val="100000"/>
                    </w14:srgbClr>
                  </w14:solidFill>
                </w14:textFill>
              </w:rPr>
              <w:t xml:space="preserve">　</w:t>
            </w:r>
            <w:r w:rsidRPr="003666AE">
              <w:rPr>
                <w:color w:val="000000"/>
                <w:w w:val="15"/>
                <w:shd w:val="solid" w:color="000000" w:fill="000000"/>
                <w:fitText w:val="45" w:id="-962324978"/>
                <w14:textFill>
                  <w14:solidFill>
                    <w14:srgbClr w14:val="000000">
                      <w14:alpha w14:val="100000"/>
                    </w14:srgbClr>
                  </w14:solidFill>
                </w14:textFill>
              </w:rPr>
              <w:t>|</w:t>
            </w:r>
            <w:r w:rsidRPr="003666AE">
              <w:rPr>
                <w:rFonts w:hint="eastAsia"/>
                <w:color w:val="000000"/>
                <w:spacing w:val="-20"/>
                <w:w w:val="15"/>
                <w:shd w:val="solid" w:color="000000" w:fill="000000"/>
                <w:fitText w:val="45" w:id="-962324978"/>
                <w14:textFill>
                  <w14:solidFill>
                    <w14:srgbClr w14:val="000000">
                      <w14:alpha w14:val="100000"/>
                    </w14:srgbClr>
                  </w14:solidFill>
                </w14:textFill>
              </w:rPr>
              <w:t xml:space="preserve">　</w:t>
            </w:r>
            <w:r w:rsidR="00C1630B">
              <w:rPr>
                <w:vertAlign w:val="superscript"/>
              </w:rPr>
              <w:t>8</w:t>
            </w:r>
          </w:p>
        </w:tc>
        <w:tc>
          <w:tcPr>
            <w:tcW w:w="611" w:type="pct"/>
            <w:shd w:val="clear" w:color="auto" w:fill="auto"/>
            <w:vAlign w:val="center"/>
          </w:tcPr>
          <w:p w14:paraId="7B2FD5E4" w14:textId="39992167"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77"/>
                <w14:textFill>
                  <w14:solidFill>
                    <w14:srgbClr w14:val="000000">
                      <w14:alpha w14:val="100000"/>
                    </w14:srgbClr>
                  </w14:solidFill>
                </w14:textFill>
              </w:rPr>
              <w:t xml:space="preserve">　</w:t>
            </w:r>
            <w:r w:rsidRPr="003666AE">
              <w:rPr>
                <w:color w:val="000000"/>
                <w:w w:val="15"/>
                <w:shd w:val="solid" w:color="000000" w:fill="000000"/>
                <w:fitText w:val="45" w:id="-962324977"/>
                <w14:textFill>
                  <w14:solidFill>
                    <w14:srgbClr w14:val="000000">
                      <w14:alpha w14:val="100000"/>
                    </w14:srgbClr>
                  </w14:solidFill>
                </w14:textFill>
              </w:rPr>
              <w:t>|</w:t>
            </w:r>
            <w:r w:rsidRPr="003666AE">
              <w:rPr>
                <w:rFonts w:hint="eastAsia"/>
                <w:color w:val="000000"/>
                <w:spacing w:val="-20"/>
                <w:w w:val="15"/>
                <w:shd w:val="solid" w:color="000000" w:fill="000000"/>
                <w:fitText w:val="45" w:id="-962324977"/>
                <w14:textFill>
                  <w14:solidFill>
                    <w14:srgbClr w14:val="000000">
                      <w14:alpha w14:val="100000"/>
                    </w14:srgbClr>
                  </w14:solidFill>
                </w14:textFill>
              </w:rPr>
              <w:t xml:space="preserve">　</w:t>
            </w:r>
            <w:r w:rsidR="00C1630B">
              <w:rPr>
                <w:vertAlign w:val="superscript"/>
              </w:rPr>
              <w:t>8</w:t>
            </w:r>
          </w:p>
        </w:tc>
        <w:tc>
          <w:tcPr>
            <w:tcW w:w="611" w:type="pct"/>
            <w:shd w:val="clear" w:color="auto" w:fill="auto"/>
            <w:vAlign w:val="center"/>
          </w:tcPr>
          <w:p w14:paraId="752D87E8" w14:textId="4148A913"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76"/>
                <w14:textFill>
                  <w14:solidFill>
                    <w14:srgbClr w14:val="000000">
                      <w14:alpha w14:val="100000"/>
                    </w14:srgbClr>
                  </w14:solidFill>
                </w14:textFill>
              </w:rPr>
              <w:t xml:space="preserve">　</w:t>
            </w:r>
            <w:r w:rsidRPr="003666AE">
              <w:rPr>
                <w:color w:val="000000"/>
                <w:w w:val="15"/>
                <w:shd w:val="solid" w:color="000000" w:fill="000000"/>
                <w:fitText w:val="45" w:id="-962324976"/>
                <w14:textFill>
                  <w14:solidFill>
                    <w14:srgbClr w14:val="000000">
                      <w14:alpha w14:val="100000"/>
                    </w14:srgbClr>
                  </w14:solidFill>
                </w14:textFill>
              </w:rPr>
              <w:t>|</w:t>
            </w:r>
            <w:r w:rsidRPr="003666AE">
              <w:rPr>
                <w:rFonts w:hint="eastAsia"/>
                <w:color w:val="000000"/>
                <w:spacing w:val="-20"/>
                <w:w w:val="15"/>
                <w:shd w:val="solid" w:color="000000" w:fill="000000"/>
                <w:fitText w:val="45" w:id="-962324976"/>
                <w14:textFill>
                  <w14:solidFill>
                    <w14:srgbClr w14:val="000000">
                      <w14:alpha w14:val="100000"/>
                    </w14:srgbClr>
                  </w14:solidFill>
                </w14:textFill>
              </w:rPr>
              <w:t xml:space="preserve">　</w:t>
            </w:r>
            <w:r w:rsidR="00C1630B">
              <w:rPr>
                <w:vertAlign w:val="superscript"/>
              </w:rPr>
              <w:t>8</w:t>
            </w:r>
          </w:p>
        </w:tc>
        <w:tc>
          <w:tcPr>
            <w:tcW w:w="611" w:type="pct"/>
          </w:tcPr>
          <w:p w14:paraId="6EC3C7B0" w14:textId="79EBDAAF" w:rsidR="00B97462" w:rsidRPr="001C30EF" w:rsidRDefault="003666AE" w:rsidP="001C30EF">
            <w:pPr>
              <w:pStyle w:val="COMTabletext"/>
              <w:keepLines/>
              <w:jc w:val="center"/>
              <w:rPr>
                <w:highlight w:val="lightGray"/>
              </w:rPr>
            </w:pPr>
            <w:r w:rsidRPr="003666AE">
              <w:rPr>
                <w:rFonts w:hint="eastAsia"/>
                <w:color w:val="000000"/>
                <w:w w:val="15"/>
                <w:shd w:val="solid" w:color="000000" w:fill="000000"/>
                <w:fitText w:val="45" w:id="-962324992"/>
                <w14:textFill>
                  <w14:solidFill>
                    <w14:srgbClr w14:val="000000">
                      <w14:alpha w14:val="100000"/>
                    </w14:srgbClr>
                  </w14:solidFill>
                </w14:textFill>
              </w:rPr>
              <w:t xml:space="preserve">　</w:t>
            </w:r>
            <w:r w:rsidRPr="003666AE">
              <w:rPr>
                <w:color w:val="000000"/>
                <w:w w:val="15"/>
                <w:shd w:val="solid" w:color="000000" w:fill="000000"/>
                <w:fitText w:val="45" w:id="-962324992"/>
                <w14:textFill>
                  <w14:solidFill>
                    <w14:srgbClr w14:val="000000">
                      <w14:alpha w14:val="100000"/>
                    </w14:srgbClr>
                  </w14:solidFill>
                </w14:textFill>
              </w:rPr>
              <w:t>|</w:t>
            </w:r>
            <w:r w:rsidRPr="003666AE">
              <w:rPr>
                <w:rFonts w:hint="eastAsia"/>
                <w:color w:val="000000"/>
                <w:spacing w:val="-20"/>
                <w:w w:val="15"/>
                <w:shd w:val="solid" w:color="000000" w:fill="000000"/>
                <w:fitText w:val="45" w:id="-962324992"/>
                <w14:textFill>
                  <w14:solidFill>
                    <w14:srgbClr w14:val="000000">
                      <w14:alpha w14:val="100000"/>
                    </w14:srgbClr>
                  </w14:solidFill>
                </w14:textFill>
              </w:rPr>
              <w:t xml:space="preserve">　</w:t>
            </w:r>
            <w:r w:rsidR="00C1630B">
              <w:rPr>
                <w:vertAlign w:val="superscript"/>
              </w:rPr>
              <w:t>8</w:t>
            </w:r>
          </w:p>
        </w:tc>
      </w:tr>
    </w:tbl>
    <w:p w14:paraId="4AACDC8D" w14:textId="77DD23DF" w:rsidR="00B97462" w:rsidRPr="00AB34C7" w:rsidRDefault="00B97462" w:rsidP="001C30EF">
      <w:pPr>
        <w:pStyle w:val="COMTablefooter"/>
        <w:keepNext/>
        <w:keepLines/>
      </w:pPr>
      <w:r w:rsidRPr="00AB34C7">
        <w:t>Source: Table 4.4; Table 4.9, Table 4.15, Table 4.15; Table 4.20 of the resubmission</w:t>
      </w:r>
    </w:p>
    <w:p w14:paraId="6495DDB2" w14:textId="77777777" w:rsidR="00B97462" w:rsidRDefault="00B97462" w:rsidP="001C30EF">
      <w:pPr>
        <w:pStyle w:val="COMTablefooter"/>
        <w:keepNext/>
        <w:keepLines/>
        <w:spacing w:after="0"/>
      </w:pPr>
      <w:r w:rsidRPr="00AB34C7">
        <w:t>Abbreviations: MBS, Medicare Benefits Schedule; PBS, Pharmaceutical Benefits Scheme; RPBS, Repatriation Pharmaceutical Benefits Scheme</w:t>
      </w:r>
    </w:p>
    <w:p w14:paraId="05B107D5" w14:textId="77777777" w:rsidR="00C1630B" w:rsidRPr="001C30EF" w:rsidRDefault="00C1630B" w:rsidP="001C30EF">
      <w:pPr>
        <w:keepNext/>
        <w:keepLines/>
        <w:jc w:val="left"/>
        <w:rPr>
          <w:rFonts w:ascii="Arial Narrow" w:hAnsi="Arial Narrow" w:cstheme="minorHAnsi"/>
          <w:bCs/>
          <w:i/>
          <w:iCs/>
          <w:sz w:val="18"/>
          <w:szCs w:val="18"/>
        </w:rPr>
      </w:pPr>
      <w:r w:rsidRPr="001C30EF">
        <w:rPr>
          <w:rFonts w:ascii="Arial Narrow" w:hAnsi="Arial Narrow" w:cstheme="minorHAnsi"/>
          <w:bCs/>
          <w:i/>
          <w:iCs/>
          <w:sz w:val="18"/>
          <w:szCs w:val="18"/>
        </w:rPr>
        <w:t xml:space="preserve">The redacted values correspond to the following ranges: </w:t>
      </w:r>
    </w:p>
    <w:p w14:paraId="738620DC" w14:textId="0EEBA043" w:rsidR="00C1630B" w:rsidRPr="001C30EF" w:rsidRDefault="00C1630B" w:rsidP="001C30EF">
      <w:pPr>
        <w:keepNext/>
        <w:keepLines/>
        <w:jc w:val="left"/>
        <w:rPr>
          <w:rFonts w:ascii="Arial Narrow" w:hAnsi="Arial Narrow" w:cstheme="minorHAnsi"/>
          <w:bCs/>
          <w:i/>
          <w:iCs/>
          <w:sz w:val="18"/>
          <w:szCs w:val="18"/>
        </w:rPr>
      </w:pPr>
      <w:r w:rsidRPr="001C30EF">
        <w:rPr>
          <w:rFonts w:ascii="Arial Narrow" w:hAnsi="Arial Narrow" w:cstheme="minorHAnsi"/>
          <w:bCs/>
          <w:i/>
          <w:iCs/>
          <w:sz w:val="18"/>
          <w:szCs w:val="18"/>
          <w:vertAlign w:val="superscript"/>
        </w:rPr>
        <w:t>1</w:t>
      </w:r>
      <w:r w:rsidRPr="001C30EF">
        <w:rPr>
          <w:rFonts w:ascii="Arial Narrow" w:hAnsi="Arial Narrow" w:cstheme="minorHAnsi"/>
          <w:bCs/>
          <w:i/>
          <w:iCs/>
          <w:sz w:val="18"/>
          <w:szCs w:val="18"/>
        </w:rPr>
        <w:t xml:space="preserve"> 500 to &lt; 5,000</w:t>
      </w:r>
    </w:p>
    <w:p w14:paraId="7BA797BF" w14:textId="18E3AD54" w:rsidR="00C1630B" w:rsidRPr="001C30EF" w:rsidRDefault="00C1630B" w:rsidP="001C30EF">
      <w:pPr>
        <w:keepNext/>
        <w:keepLines/>
        <w:jc w:val="left"/>
        <w:rPr>
          <w:rFonts w:ascii="Arial Narrow" w:hAnsi="Arial Narrow" w:cstheme="minorHAnsi"/>
          <w:bCs/>
          <w:i/>
          <w:iCs/>
          <w:sz w:val="18"/>
          <w:szCs w:val="18"/>
        </w:rPr>
      </w:pPr>
      <w:r w:rsidRPr="001C30EF">
        <w:rPr>
          <w:rFonts w:ascii="Arial Narrow" w:hAnsi="Arial Narrow" w:cstheme="minorHAnsi"/>
          <w:bCs/>
          <w:i/>
          <w:iCs/>
          <w:sz w:val="18"/>
          <w:szCs w:val="18"/>
          <w:vertAlign w:val="superscript"/>
        </w:rPr>
        <w:t>2</w:t>
      </w:r>
      <w:r w:rsidRPr="001C30EF">
        <w:rPr>
          <w:rFonts w:ascii="Arial Narrow" w:hAnsi="Arial Narrow" w:cstheme="minorHAnsi"/>
          <w:bCs/>
          <w:i/>
          <w:iCs/>
          <w:sz w:val="18"/>
          <w:szCs w:val="18"/>
        </w:rPr>
        <w:t xml:space="preserve"> 5,000 to &lt; 10,000</w:t>
      </w:r>
    </w:p>
    <w:p w14:paraId="67757617" w14:textId="6FA252F0" w:rsidR="00C1630B" w:rsidRPr="001C30EF" w:rsidRDefault="00C1630B" w:rsidP="001C30EF">
      <w:pPr>
        <w:keepNext/>
        <w:keepLines/>
        <w:jc w:val="left"/>
        <w:rPr>
          <w:rFonts w:ascii="Arial Narrow" w:hAnsi="Arial Narrow" w:cstheme="minorHAnsi"/>
          <w:bCs/>
          <w:i/>
          <w:iCs/>
          <w:sz w:val="18"/>
          <w:szCs w:val="18"/>
        </w:rPr>
      </w:pPr>
      <w:r w:rsidRPr="001C30EF">
        <w:rPr>
          <w:rFonts w:ascii="Arial Narrow" w:hAnsi="Arial Narrow" w:cstheme="minorHAnsi"/>
          <w:bCs/>
          <w:i/>
          <w:iCs/>
          <w:sz w:val="18"/>
          <w:szCs w:val="18"/>
          <w:vertAlign w:val="superscript"/>
        </w:rPr>
        <w:t>3</w:t>
      </w:r>
      <w:r w:rsidRPr="001C30EF">
        <w:rPr>
          <w:rFonts w:ascii="Arial Narrow" w:hAnsi="Arial Narrow" w:cstheme="minorHAnsi"/>
          <w:bCs/>
          <w:i/>
          <w:iCs/>
          <w:sz w:val="18"/>
          <w:szCs w:val="18"/>
        </w:rPr>
        <w:t xml:space="preserve"> $10 million to &lt; $20 million</w:t>
      </w:r>
    </w:p>
    <w:p w14:paraId="20404C5D" w14:textId="12A5AB1A" w:rsidR="00C1630B" w:rsidRPr="001C30EF" w:rsidRDefault="00C1630B" w:rsidP="001C30EF">
      <w:pPr>
        <w:keepNext/>
        <w:keepLines/>
        <w:jc w:val="left"/>
        <w:rPr>
          <w:rFonts w:ascii="Arial Narrow" w:hAnsi="Arial Narrow" w:cstheme="minorHAnsi"/>
          <w:bCs/>
          <w:i/>
          <w:iCs/>
          <w:sz w:val="18"/>
          <w:szCs w:val="18"/>
        </w:rPr>
      </w:pPr>
      <w:r w:rsidRPr="001C30EF">
        <w:rPr>
          <w:rFonts w:ascii="Arial Narrow" w:hAnsi="Arial Narrow" w:cstheme="minorHAnsi"/>
          <w:bCs/>
          <w:i/>
          <w:iCs/>
          <w:sz w:val="18"/>
          <w:szCs w:val="18"/>
          <w:vertAlign w:val="superscript"/>
        </w:rPr>
        <w:t>4</w:t>
      </w:r>
      <w:r w:rsidRPr="001C30EF">
        <w:rPr>
          <w:rFonts w:ascii="Arial Narrow" w:hAnsi="Arial Narrow" w:cstheme="minorHAnsi"/>
          <w:bCs/>
          <w:i/>
          <w:iCs/>
          <w:sz w:val="18"/>
          <w:szCs w:val="18"/>
        </w:rPr>
        <w:t xml:space="preserve"> $20 million to &lt; $30 million</w:t>
      </w:r>
    </w:p>
    <w:p w14:paraId="5DBE56DD" w14:textId="4A1F574F" w:rsidR="00C1630B" w:rsidRPr="001C30EF" w:rsidRDefault="00C1630B" w:rsidP="001C30EF">
      <w:pPr>
        <w:keepNext/>
        <w:keepLines/>
        <w:jc w:val="left"/>
        <w:rPr>
          <w:rFonts w:ascii="Arial Narrow" w:hAnsi="Arial Narrow" w:cstheme="minorHAnsi"/>
          <w:bCs/>
          <w:i/>
          <w:iCs/>
          <w:sz w:val="18"/>
          <w:szCs w:val="18"/>
        </w:rPr>
      </w:pPr>
      <w:r w:rsidRPr="001C30EF">
        <w:rPr>
          <w:rFonts w:ascii="Arial Narrow" w:hAnsi="Arial Narrow" w:cstheme="minorHAnsi"/>
          <w:bCs/>
          <w:i/>
          <w:iCs/>
          <w:sz w:val="18"/>
          <w:szCs w:val="18"/>
          <w:vertAlign w:val="superscript"/>
        </w:rPr>
        <w:t>5</w:t>
      </w:r>
      <w:r w:rsidRPr="001C30EF">
        <w:rPr>
          <w:rFonts w:ascii="Arial Narrow" w:hAnsi="Arial Narrow" w:cstheme="minorHAnsi"/>
          <w:bCs/>
          <w:i/>
          <w:iCs/>
          <w:sz w:val="18"/>
          <w:szCs w:val="18"/>
        </w:rPr>
        <w:t xml:space="preserve"> $30 million to &lt; $40 million</w:t>
      </w:r>
    </w:p>
    <w:p w14:paraId="6A173646" w14:textId="4DA7E17B" w:rsidR="00C1630B" w:rsidRPr="001C30EF" w:rsidRDefault="00C1630B" w:rsidP="001C30EF">
      <w:pPr>
        <w:keepNext/>
        <w:keepLines/>
        <w:jc w:val="left"/>
        <w:rPr>
          <w:rFonts w:ascii="Arial Narrow" w:hAnsi="Arial Narrow" w:cstheme="minorHAnsi"/>
          <w:bCs/>
          <w:i/>
          <w:iCs/>
          <w:sz w:val="18"/>
          <w:szCs w:val="18"/>
        </w:rPr>
      </w:pPr>
      <w:r w:rsidRPr="001C30EF">
        <w:rPr>
          <w:rFonts w:ascii="Arial Narrow" w:hAnsi="Arial Narrow" w:cstheme="minorHAnsi"/>
          <w:bCs/>
          <w:i/>
          <w:iCs/>
          <w:sz w:val="18"/>
          <w:szCs w:val="18"/>
          <w:vertAlign w:val="superscript"/>
        </w:rPr>
        <w:t>6</w:t>
      </w:r>
      <w:r w:rsidRPr="001C30EF">
        <w:rPr>
          <w:rFonts w:ascii="Arial Narrow" w:hAnsi="Arial Narrow" w:cstheme="minorHAnsi"/>
          <w:bCs/>
          <w:i/>
          <w:iCs/>
          <w:sz w:val="18"/>
          <w:szCs w:val="18"/>
        </w:rPr>
        <w:t xml:space="preserve"> $40 million to &lt; $50 million</w:t>
      </w:r>
    </w:p>
    <w:p w14:paraId="0F097870" w14:textId="24792482" w:rsidR="00C1630B" w:rsidRPr="001C30EF" w:rsidRDefault="00C1630B" w:rsidP="001C30EF">
      <w:pPr>
        <w:keepNext/>
        <w:keepLines/>
        <w:jc w:val="left"/>
        <w:rPr>
          <w:rFonts w:ascii="Arial Narrow" w:hAnsi="Arial Narrow" w:cstheme="minorHAnsi"/>
          <w:bCs/>
          <w:i/>
          <w:iCs/>
          <w:sz w:val="18"/>
          <w:szCs w:val="18"/>
        </w:rPr>
      </w:pPr>
      <w:r w:rsidRPr="001C30EF">
        <w:rPr>
          <w:rFonts w:ascii="Arial Narrow" w:hAnsi="Arial Narrow" w:cstheme="minorHAnsi"/>
          <w:bCs/>
          <w:i/>
          <w:iCs/>
          <w:sz w:val="18"/>
          <w:szCs w:val="18"/>
          <w:vertAlign w:val="superscript"/>
        </w:rPr>
        <w:t>7</w:t>
      </w:r>
      <w:r w:rsidRPr="001C30EF">
        <w:rPr>
          <w:rFonts w:ascii="Arial Narrow" w:hAnsi="Arial Narrow" w:cstheme="minorHAnsi"/>
          <w:bCs/>
          <w:i/>
          <w:iCs/>
          <w:sz w:val="18"/>
          <w:szCs w:val="18"/>
        </w:rPr>
        <w:t xml:space="preserve"> net cost saving</w:t>
      </w:r>
    </w:p>
    <w:p w14:paraId="1123BEC5" w14:textId="0804FEFF" w:rsidR="00C1630B" w:rsidRPr="00C1630B" w:rsidRDefault="00C1630B" w:rsidP="001C30EF">
      <w:pPr>
        <w:spacing w:after="120"/>
      </w:pPr>
      <w:r w:rsidRPr="001C30EF">
        <w:rPr>
          <w:rFonts w:ascii="Arial Narrow" w:hAnsi="Arial Narrow" w:cstheme="minorHAnsi"/>
          <w:bCs/>
          <w:i/>
          <w:iCs/>
          <w:sz w:val="18"/>
          <w:szCs w:val="18"/>
          <w:vertAlign w:val="superscript"/>
        </w:rPr>
        <w:t>8</w:t>
      </w:r>
      <w:r w:rsidRPr="001C30EF">
        <w:rPr>
          <w:rFonts w:ascii="Arial Narrow" w:hAnsi="Arial Narrow" w:cstheme="minorHAnsi"/>
          <w:bCs/>
          <w:i/>
          <w:iCs/>
          <w:sz w:val="18"/>
          <w:szCs w:val="18"/>
        </w:rPr>
        <w:t xml:space="preserve"> </w:t>
      </w:r>
      <w:bookmarkStart w:id="61" w:name="_Hlk166249803"/>
      <w:r w:rsidR="00C26DC4">
        <w:rPr>
          <w:rFonts w:ascii="Arial Narrow" w:hAnsi="Arial Narrow" w:cstheme="minorHAnsi"/>
          <w:bCs/>
          <w:i/>
          <w:iCs/>
          <w:sz w:val="18"/>
          <w:szCs w:val="18"/>
        </w:rPr>
        <w:t>$</w:t>
      </w:r>
      <w:r w:rsidRPr="001C30EF">
        <w:rPr>
          <w:rFonts w:ascii="Arial Narrow" w:hAnsi="Arial Narrow" w:cstheme="minorHAnsi"/>
          <w:bCs/>
          <w:i/>
          <w:iCs/>
          <w:sz w:val="18"/>
          <w:szCs w:val="18"/>
        </w:rPr>
        <w:t>0 to &lt; $10 million</w:t>
      </w:r>
      <w:bookmarkEnd w:id="61"/>
    </w:p>
    <w:p w14:paraId="6466D2A6" w14:textId="0AA73584" w:rsidR="00B97462" w:rsidRPr="00AB34C7" w:rsidRDefault="00B97462" w:rsidP="00AA787B">
      <w:pPr>
        <w:pStyle w:val="COMexecsumnumberedpara"/>
        <w:ind w:hanging="720"/>
      </w:pPr>
      <w:r w:rsidRPr="00AB34C7">
        <w:t>The estimated net cost to the PBS/RPBS was $</w:t>
      </w:r>
      <w:r w:rsidR="00F17978" w:rsidRPr="00F17978">
        <w:t>0 to &lt; $10 million</w:t>
      </w:r>
      <w:r w:rsidR="00F17978">
        <w:t xml:space="preserve"> </w:t>
      </w:r>
      <w:r w:rsidRPr="00AB34C7">
        <w:t>in Year 1, increasing to $</w:t>
      </w:r>
      <w:r w:rsidR="00F17978" w:rsidRPr="00F17978">
        <w:t>0 to &lt; $10 million</w:t>
      </w:r>
      <w:r w:rsidR="00F17978">
        <w:t xml:space="preserve"> </w:t>
      </w:r>
      <w:r w:rsidRPr="00AB34C7">
        <w:t>in Year 6, with a cumulative total of $</w:t>
      </w:r>
      <w:r w:rsidR="00F17978" w:rsidRPr="00F17978">
        <w:t>0 to &lt; $10 million</w:t>
      </w:r>
      <w:r w:rsidRPr="00AB34C7">
        <w:t xml:space="preserve"> over the first 6 years of listing. The estimated costs from changes to the use of MBS services was $</w:t>
      </w:r>
      <w:r w:rsidR="00F17978" w:rsidRPr="00F17978">
        <w:t>0 to &lt; $10 million</w:t>
      </w:r>
      <w:r w:rsidR="00F17978">
        <w:t xml:space="preserve"> </w:t>
      </w:r>
      <w:r w:rsidRPr="00AB34C7">
        <w:t>in Year 1, increasing to $</w:t>
      </w:r>
      <w:r w:rsidR="00F17978" w:rsidRPr="00F17978">
        <w:t>0 to &lt; $10 million</w:t>
      </w:r>
      <w:r w:rsidRPr="00AB34C7">
        <w:t xml:space="preserve"> in Year 6, with a cumulative total of </w:t>
      </w:r>
      <w:r w:rsidR="000B3BC2" w:rsidRPr="00AB34C7">
        <w:t>$</w:t>
      </w:r>
      <w:r w:rsidR="00F17978" w:rsidRPr="00F17978">
        <w:t>0 to &lt; $10 million</w:t>
      </w:r>
      <w:r w:rsidR="00F17978">
        <w:t xml:space="preserve"> </w:t>
      </w:r>
      <w:r w:rsidRPr="00AB34C7">
        <w:t>over the first 6 years of listing.</w:t>
      </w:r>
    </w:p>
    <w:p w14:paraId="57AC141A" w14:textId="4BBCD0BC" w:rsidR="00B97462" w:rsidRPr="00AB34C7" w:rsidRDefault="00B97462" w:rsidP="00AA787B">
      <w:pPr>
        <w:pStyle w:val="COMexecsumnumberedpara"/>
        <w:ind w:hanging="720"/>
      </w:pPr>
      <w:r w:rsidRPr="00AB34C7">
        <w:t xml:space="preserve">The estimated cumulative net cost to </w:t>
      </w:r>
      <w:r w:rsidR="0019581D" w:rsidRPr="00AB34C7">
        <w:t>the PBS/RPBS/MBS</w:t>
      </w:r>
      <w:r w:rsidRPr="00AB34C7">
        <w:t xml:space="preserve"> was $</w:t>
      </w:r>
      <w:r w:rsidR="00F17978" w:rsidRPr="00F17978">
        <w:t>0 to &lt; $10 million</w:t>
      </w:r>
      <w:r w:rsidR="00F17978">
        <w:t xml:space="preserve"> </w:t>
      </w:r>
      <w:r w:rsidRPr="00AB34C7">
        <w:t>over the first 6 years of listing.</w:t>
      </w:r>
    </w:p>
    <w:p w14:paraId="7F8C1590" w14:textId="34402181" w:rsidR="00B97462" w:rsidRPr="00AB34C7" w:rsidRDefault="00B97462" w:rsidP="00AA787B">
      <w:pPr>
        <w:pStyle w:val="COMexecsumnumberedpara"/>
        <w:ind w:hanging="720"/>
      </w:pPr>
      <w:r w:rsidRPr="00AB34C7">
        <w:t xml:space="preserve">The proposed listing of </w:t>
      </w:r>
      <w:r w:rsidR="003F7508" w:rsidRPr="00AB34C7">
        <w:t>ibrutinib + venetoclax</w:t>
      </w:r>
      <w:r w:rsidRPr="00AB34C7">
        <w:t xml:space="preserve"> was associated with an overall net cost primarily due to the exclusion of some cost-offsets from the budget impact analyses </w:t>
      </w:r>
      <w:r w:rsidRPr="00AB34C7">
        <w:lastRenderedPageBreak/>
        <w:t>which were included in the cost-minimisation (i.e.</w:t>
      </w:r>
      <w:r w:rsidR="0019581D" w:rsidRPr="00AB34C7">
        <w:t>,</w:t>
      </w:r>
      <w:r w:rsidRPr="00AB34C7">
        <w:t xml:space="preserve"> cost offsets for obinutuzumab premedication, administration and monitoring).</w:t>
      </w:r>
    </w:p>
    <w:p w14:paraId="54C3F3A9" w14:textId="77777777" w:rsidR="00B97462" w:rsidRPr="00AB34C7" w:rsidRDefault="00B97462" w:rsidP="00AA787B">
      <w:pPr>
        <w:pStyle w:val="COMH2-non-numbered"/>
        <w:ind w:left="720" w:hanging="720"/>
      </w:pPr>
      <w:bookmarkStart w:id="62" w:name="_Toc22897648"/>
      <w:bookmarkStart w:id="63" w:name="_Toc118449725"/>
      <w:bookmarkStart w:id="64" w:name="_Toc156912608"/>
      <w:r w:rsidRPr="00AB34C7">
        <w:t>Quality Use of Medicines</w:t>
      </w:r>
      <w:bookmarkEnd w:id="62"/>
      <w:bookmarkEnd w:id="63"/>
      <w:bookmarkEnd w:id="64"/>
    </w:p>
    <w:p w14:paraId="7C67853D" w14:textId="29651B98" w:rsidR="00B97462" w:rsidRPr="00AB34C7" w:rsidRDefault="00B97462" w:rsidP="00AA787B">
      <w:pPr>
        <w:pStyle w:val="COMexecsumnumberedpara"/>
        <w:ind w:hanging="720"/>
      </w:pPr>
      <w:r w:rsidRPr="00AB34C7">
        <w:t>The resubmission stated that the sponsor will provide education</w:t>
      </w:r>
      <w:r w:rsidR="0019581D" w:rsidRPr="00AB34C7">
        <w:t>al</w:t>
      </w:r>
      <w:r w:rsidRPr="00AB34C7">
        <w:t xml:space="preserve"> support to patients, doctors, pharmacists and other healthcare professionals</w:t>
      </w:r>
      <w:r w:rsidR="00B82253" w:rsidRPr="00AB34C7">
        <w:t>, including</w:t>
      </w:r>
      <w:r w:rsidRPr="00AB34C7">
        <w:t xml:space="preserve"> education regarding the use of ibrutinib as a fixed duration therapy rather than as an ongoing therapy for existing indications</w:t>
      </w:r>
      <w:r w:rsidR="00B82253" w:rsidRPr="00AB34C7">
        <w:t xml:space="preserve">, and </w:t>
      </w:r>
      <w:r w:rsidRPr="00AB34C7">
        <w:t>additional education on the management of atrial fibrillation associated with ibrutinib treatment.</w:t>
      </w:r>
    </w:p>
    <w:p w14:paraId="2A6F761D" w14:textId="77777777" w:rsidR="00B97462" w:rsidRPr="00AB34C7" w:rsidRDefault="00B97462" w:rsidP="00AA787B">
      <w:pPr>
        <w:pStyle w:val="COMH2-non-numbered"/>
        <w:ind w:left="720" w:hanging="720"/>
      </w:pPr>
      <w:bookmarkStart w:id="65" w:name="_Toc22897649"/>
      <w:bookmarkStart w:id="66" w:name="_Toc118449726"/>
      <w:bookmarkStart w:id="67" w:name="_Toc156912609"/>
      <w:r w:rsidRPr="00AB34C7">
        <w:t>Financial Management – Risk Sharing Arrangements</w:t>
      </w:r>
      <w:bookmarkEnd w:id="65"/>
      <w:bookmarkEnd w:id="66"/>
      <w:bookmarkEnd w:id="67"/>
    </w:p>
    <w:p w14:paraId="1113013E" w14:textId="0FCD6413" w:rsidR="00B97462" w:rsidRPr="00AB34C7" w:rsidRDefault="00B97462" w:rsidP="00AA787B">
      <w:pPr>
        <w:pStyle w:val="COMexecsumnumberedpara"/>
        <w:ind w:hanging="720"/>
      </w:pPr>
      <w:r w:rsidRPr="00AB34C7">
        <w:t xml:space="preserve">The </w:t>
      </w:r>
      <w:r w:rsidR="00653AB8" w:rsidRPr="00AB34C7">
        <w:t xml:space="preserve">ESC noted that while the </w:t>
      </w:r>
      <w:r w:rsidRPr="00AB34C7">
        <w:t xml:space="preserve">resubmission did not propose a </w:t>
      </w:r>
      <w:r w:rsidR="0071625D" w:rsidRPr="00AB34C7">
        <w:t>Risk Sharing Arrangement (</w:t>
      </w:r>
      <w:r w:rsidR="00C02DBA" w:rsidRPr="00AB34C7">
        <w:t>RSA</w:t>
      </w:r>
      <w:r w:rsidR="0071625D" w:rsidRPr="00AB34C7">
        <w:t>)</w:t>
      </w:r>
      <w:r w:rsidR="00653AB8" w:rsidRPr="00AB34C7">
        <w:t>,</w:t>
      </w:r>
      <w:r w:rsidR="00B82253" w:rsidRPr="00AB34C7">
        <w:t xml:space="preserve"> </w:t>
      </w:r>
      <w:r w:rsidRPr="00AB34C7">
        <w:t xml:space="preserve">the </w:t>
      </w:r>
      <w:r w:rsidR="0019581D" w:rsidRPr="00AB34C7">
        <w:t>s</w:t>
      </w:r>
      <w:r w:rsidRPr="00AB34C7">
        <w:t xml:space="preserve">ponsor </w:t>
      </w:r>
      <w:r w:rsidR="00653AB8" w:rsidRPr="00AB34C7">
        <w:t>stated they would be</w:t>
      </w:r>
      <w:r w:rsidRPr="00AB34C7">
        <w:t xml:space="preserve"> amenable to an arrangement if deemed appropriate by the PBAC. The resubmission noted that the </w:t>
      </w:r>
      <w:r w:rsidR="0019581D" w:rsidRPr="00AB34C7">
        <w:t>s</w:t>
      </w:r>
      <w:r w:rsidRPr="00AB34C7">
        <w:t xml:space="preserve">ponsor is aware that the current listing of </w:t>
      </w:r>
      <w:r w:rsidR="0002393C" w:rsidRPr="00AB34C7">
        <w:t xml:space="preserve">venetoclax </w:t>
      </w:r>
      <w:r w:rsidRPr="00AB34C7">
        <w:t xml:space="preserve">as a first-line therapy for CLL/SLL is subject to a </w:t>
      </w:r>
      <w:r w:rsidR="00B27945" w:rsidRPr="00AB34C7">
        <w:t>RSA</w:t>
      </w:r>
      <w:r w:rsidRPr="00AB34C7">
        <w:t>.</w:t>
      </w:r>
    </w:p>
    <w:p w14:paraId="4AB14F49" w14:textId="2A2911DF" w:rsidR="00B97462" w:rsidRPr="00AB34C7" w:rsidRDefault="00B97462" w:rsidP="00AA787B">
      <w:pPr>
        <w:pStyle w:val="COMexecsumnumberedpara"/>
        <w:ind w:hanging="720"/>
      </w:pPr>
      <w:r w:rsidRPr="00AB34C7">
        <w:t xml:space="preserve">It is unclear whether the sponsor for venetoclax would be willing to agree to the proposed </w:t>
      </w:r>
      <w:r w:rsidR="00C46C32" w:rsidRPr="00AB34C7">
        <w:t>restriction</w:t>
      </w:r>
      <w:r w:rsidRPr="00AB34C7">
        <w:t xml:space="preserve"> and any consequent changes to existing RSAs (in the first-line and/or subsequent-line setting).</w:t>
      </w:r>
    </w:p>
    <w:p w14:paraId="613CFCF6" w14:textId="525F327E" w:rsidR="00362963" w:rsidRPr="00AB34C7" w:rsidRDefault="00362963" w:rsidP="00AA787B">
      <w:pPr>
        <w:pStyle w:val="COMexecsumnumberedpara"/>
        <w:numPr>
          <w:ilvl w:val="0"/>
          <w:numId w:val="0"/>
        </w:numPr>
        <w:ind w:left="720"/>
        <w:rPr>
          <w:i/>
          <w:iCs/>
        </w:rPr>
      </w:pPr>
      <w:r w:rsidRPr="00AB34C7">
        <w:rPr>
          <w:i/>
          <w:iCs/>
        </w:rPr>
        <w:t>For more detail on PBAC’s view, see section 7 PBAC outcome.</w:t>
      </w:r>
    </w:p>
    <w:p w14:paraId="23A8BABF" w14:textId="77777777" w:rsidR="004A1F23" w:rsidRPr="00AB34C7" w:rsidRDefault="004A1F23" w:rsidP="00F0309A">
      <w:pPr>
        <w:pStyle w:val="COMH1numbered"/>
      </w:pPr>
      <w:bookmarkStart w:id="68" w:name="_Hlk76381249"/>
      <w:bookmarkStart w:id="69" w:name="_Hlk76377955"/>
      <w:r w:rsidRPr="00AB34C7">
        <w:t>PBAC Outcome</w:t>
      </w:r>
    </w:p>
    <w:p w14:paraId="1602AFA5" w14:textId="05FC4E55" w:rsidR="00F74BE4" w:rsidRPr="00AB34C7" w:rsidRDefault="009556D8" w:rsidP="009A6EFF">
      <w:pPr>
        <w:widowControl w:val="0"/>
        <w:numPr>
          <w:ilvl w:val="1"/>
          <w:numId w:val="1"/>
        </w:numPr>
        <w:spacing w:after="120"/>
        <w:ind w:left="720" w:hanging="720"/>
        <w:rPr>
          <w:rFonts w:asciiTheme="minorHAnsi" w:hAnsiTheme="minorHAnsi"/>
          <w:bCs/>
          <w:snapToGrid w:val="0"/>
        </w:rPr>
      </w:pPr>
      <w:bookmarkStart w:id="70" w:name="_Hlk111543188"/>
      <w:r w:rsidRPr="00AB34C7">
        <w:rPr>
          <w:rFonts w:asciiTheme="minorHAnsi" w:hAnsiTheme="minorHAnsi"/>
          <w:bCs/>
          <w:snapToGrid w:val="0"/>
        </w:rPr>
        <w:t xml:space="preserve">The PBAC recommended </w:t>
      </w:r>
      <w:r w:rsidR="00C9558C" w:rsidRPr="00AB34C7">
        <w:rPr>
          <w:rFonts w:asciiTheme="minorHAnsi" w:hAnsiTheme="minorHAnsi"/>
          <w:bCs/>
          <w:snapToGrid w:val="0"/>
        </w:rPr>
        <w:t>extending the</w:t>
      </w:r>
      <w:r w:rsidRPr="00AB34C7">
        <w:rPr>
          <w:rFonts w:asciiTheme="minorHAnsi" w:hAnsiTheme="minorHAnsi"/>
          <w:bCs/>
          <w:snapToGrid w:val="0"/>
        </w:rPr>
        <w:t xml:space="preserve"> listing of ibrutinib, </w:t>
      </w:r>
      <w:r w:rsidR="00C9558C" w:rsidRPr="00AB34C7">
        <w:rPr>
          <w:rFonts w:asciiTheme="minorHAnsi" w:hAnsiTheme="minorHAnsi"/>
          <w:bCs/>
          <w:snapToGrid w:val="0"/>
        </w:rPr>
        <w:t xml:space="preserve">to include use </w:t>
      </w:r>
      <w:r w:rsidRPr="00AB34C7">
        <w:rPr>
          <w:rFonts w:asciiTheme="minorHAnsi" w:hAnsiTheme="minorHAnsi"/>
          <w:bCs/>
          <w:snapToGrid w:val="0"/>
        </w:rPr>
        <w:t xml:space="preserve">in combination with venetoclax (IBR+VEN), for the treatment of patients with previously untreated chronic lymphocytic leukaemia (CLL) or small lymphocytic lymphoma (SLL). </w:t>
      </w:r>
      <w:r w:rsidR="00F74BE4" w:rsidRPr="00AB34C7">
        <w:rPr>
          <w:rFonts w:asciiTheme="minorHAnsi" w:hAnsiTheme="minorHAnsi"/>
          <w:bCs/>
          <w:snapToGrid w:val="0"/>
        </w:rPr>
        <w:t>The PBAC’s recommendation for listing was based on</w:t>
      </w:r>
      <w:r w:rsidR="00D34C7D" w:rsidRPr="00AB34C7">
        <w:rPr>
          <w:rFonts w:asciiTheme="minorHAnsi" w:hAnsiTheme="minorHAnsi"/>
          <w:bCs/>
          <w:snapToGrid w:val="0"/>
        </w:rPr>
        <w:t xml:space="preserve"> </w:t>
      </w:r>
      <w:r w:rsidR="00F74BE4" w:rsidRPr="00AB34C7">
        <w:rPr>
          <w:rFonts w:asciiTheme="minorHAnsi" w:hAnsiTheme="minorHAnsi"/>
          <w:bCs/>
          <w:snapToGrid w:val="0"/>
        </w:rPr>
        <w:t xml:space="preserve">its assessment that the cost-effectiveness of IBR+VEN would be acceptable if it were cost-minimised against venetoclax in combination with obinutuzumab (VEN+OBI). </w:t>
      </w:r>
      <w:r w:rsidR="00D34C7D" w:rsidRPr="00AB34C7">
        <w:rPr>
          <w:rFonts w:asciiTheme="minorHAnsi" w:hAnsiTheme="minorHAnsi"/>
          <w:bCs/>
          <w:snapToGrid w:val="0"/>
        </w:rPr>
        <w:t>In making its recommendation, the PBAC also considered the clinical need and the equity of access advantages associated with an all-oral therapy</w:t>
      </w:r>
      <w:r w:rsidR="00AB34C7">
        <w:rPr>
          <w:rFonts w:asciiTheme="minorHAnsi" w:hAnsiTheme="minorHAnsi"/>
          <w:bCs/>
          <w:snapToGrid w:val="0"/>
        </w:rPr>
        <w:t xml:space="preserve">. </w:t>
      </w:r>
    </w:p>
    <w:p w14:paraId="3AFFFC64" w14:textId="25EAC41D" w:rsidR="0027430B" w:rsidRPr="00B95C74" w:rsidRDefault="009C471A" w:rsidP="004A1F23">
      <w:pPr>
        <w:widowControl w:val="0"/>
        <w:numPr>
          <w:ilvl w:val="1"/>
          <w:numId w:val="1"/>
        </w:numPr>
        <w:spacing w:after="120"/>
        <w:ind w:left="720" w:hanging="720"/>
        <w:rPr>
          <w:rFonts w:asciiTheme="minorHAnsi" w:hAnsiTheme="minorHAnsi"/>
          <w:snapToGrid w:val="0"/>
        </w:rPr>
      </w:pPr>
      <w:r w:rsidRPr="00AB34C7">
        <w:rPr>
          <w:rFonts w:asciiTheme="minorHAnsi" w:hAnsiTheme="minorHAnsi"/>
          <w:bCs/>
          <w:snapToGrid w:val="0"/>
        </w:rPr>
        <w:t>The PBAC noted and welcomed the input from 73 respondents (including 64 individuals), with the main comment being that</w:t>
      </w:r>
      <w:r w:rsidR="001A6350" w:rsidRPr="00AB34C7">
        <w:rPr>
          <w:rFonts w:asciiTheme="minorHAnsi" w:hAnsiTheme="minorHAnsi"/>
          <w:bCs/>
          <w:snapToGrid w:val="0"/>
        </w:rPr>
        <w:t>,</w:t>
      </w:r>
      <w:r w:rsidRPr="00AB34C7">
        <w:rPr>
          <w:rFonts w:asciiTheme="minorHAnsi" w:hAnsiTheme="minorHAnsi"/>
          <w:bCs/>
          <w:snapToGrid w:val="0"/>
        </w:rPr>
        <w:t xml:space="preserve"> </w:t>
      </w:r>
      <w:r w:rsidR="001A6350" w:rsidRPr="00AB34C7">
        <w:rPr>
          <w:rFonts w:asciiTheme="minorHAnsi" w:hAnsiTheme="minorHAnsi"/>
          <w:bCs/>
          <w:snapToGrid w:val="0"/>
        </w:rPr>
        <w:t>compared with V</w:t>
      </w:r>
      <w:r w:rsidR="00040518" w:rsidRPr="00AB34C7">
        <w:rPr>
          <w:rFonts w:asciiTheme="minorHAnsi" w:hAnsiTheme="minorHAnsi"/>
          <w:bCs/>
          <w:snapToGrid w:val="0"/>
        </w:rPr>
        <w:t>EN</w:t>
      </w:r>
      <w:r w:rsidR="001A6350" w:rsidRPr="00AB34C7">
        <w:rPr>
          <w:rFonts w:asciiTheme="minorHAnsi" w:hAnsiTheme="minorHAnsi"/>
          <w:bCs/>
          <w:snapToGrid w:val="0"/>
        </w:rPr>
        <w:t xml:space="preserve">+OBI (where OBI requires an IV infusion), </w:t>
      </w:r>
      <w:r w:rsidRPr="00AB34C7">
        <w:rPr>
          <w:rFonts w:asciiTheme="minorHAnsi" w:hAnsiTheme="minorHAnsi"/>
          <w:bCs/>
          <w:snapToGrid w:val="0"/>
        </w:rPr>
        <w:t>the availability of</w:t>
      </w:r>
      <w:r w:rsidR="001A6350" w:rsidRPr="00AB34C7">
        <w:rPr>
          <w:rFonts w:asciiTheme="minorHAnsi" w:hAnsiTheme="minorHAnsi"/>
          <w:bCs/>
          <w:snapToGrid w:val="0"/>
        </w:rPr>
        <w:t xml:space="preserve"> an</w:t>
      </w:r>
      <w:r w:rsidRPr="00AB34C7">
        <w:rPr>
          <w:rFonts w:asciiTheme="minorHAnsi" w:hAnsiTheme="minorHAnsi"/>
          <w:bCs/>
          <w:snapToGrid w:val="0"/>
        </w:rPr>
        <w:t xml:space="preserve"> all-oral combination of IBR+V</w:t>
      </w:r>
      <w:r w:rsidR="00040518" w:rsidRPr="00AB34C7">
        <w:rPr>
          <w:rFonts w:asciiTheme="minorHAnsi" w:hAnsiTheme="minorHAnsi"/>
          <w:bCs/>
          <w:snapToGrid w:val="0"/>
        </w:rPr>
        <w:t>EN</w:t>
      </w:r>
      <w:r w:rsidRPr="00AB34C7">
        <w:rPr>
          <w:rFonts w:asciiTheme="minorHAnsi" w:hAnsiTheme="minorHAnsi"/>
          <w:bCs/>
          <w:snapToGrid w:val="0"/>
        </w:rPr>
        <w:t xml:space="preserve"> would </w:t>
      </w:r>
      <w:r w:rsidR="001A6350" w:rsidRPr="00AB34C7">
        <w:rPr>
          <w:rFonts w:asciiTheme="minorHAnsi" w:hAnsiTheme="minorHAnsi"/>
          <w:bCs/>
          <w:snapToGrid w:val="0"/>
        </w:rPr>
        <w:t xml:space="preserve">provide improved </w:t>
      </w:r>
      <w:r w:rsidRPr="00AB34C7">
        <w:rPr>
          <w:rFonts w:asciiTheme="minorHAnsi" w:hAnsiTheme="minorHAnsi"/>
          <w:bCs/>
          <w:snapToGrid w:val="0"/>
        </w:rPr>
        <w:t>patient access and convenience given there is no need for in-hospital/clinic treatment or time away from work for infusions, and more equitable access for rural and remote patients</w:t>
      </w:r>
      <w:r w:rsidR="001A6350" w:rsidRPr="00AB34C7">
        <w:rPr>
          <w:rFonts w:asciiTheme="minorHAnsi" w:hAnsiTheme="minorHAnsi"/>
          <w:bCs/>
          <w:snapToGrid w:val="0"/>
        </w:rPr>
        <w:t xml:space="preserve">. </w:t>
      </w:r>
    </w:p>
    <w:p w14:paraId="762AE2E1" w14:textId="13C8A529" w:rsidR="001A6350" w:rsidRPr="00B95C74" w:rsidRDefault="001A6350" w:rsidP="004A1F23">
      <w:pPr>
        <w:widowControl w:val="0"/>
        <w:numPr>
          <w:ilvl w:val="1"/>
          <w:numId w:val="1"/>
        </w:numPr>
        <w:spacing w:after="120"/>
        <w:ind w:left="720" w:hanging="720"/>
        <w:rPr>
          <w:rFonts w:asciiTheme="minorHAnsi" w:hAnsiTheme="minorHAnsi"/>
          <w:snapToGrid w:val="0"/>
        </w:rPr>
      </w:pPr>
      <w:r w:rsidRPr="00AB34C7">
        <w:rPr>
          <w:rFonts w:asciiTheme="minorHAnsi" w:hAnsiTheme="minorHAnsi"/>
          <w:snapToGrid w:val="0"/>
          <w:lang w:eastAsia="en-US"/>
        </w:rPr>
        <w:t>The PBAC considered that the nominated main comparator of V</w:t>
      </w:r>
      <w:r w:rsidR="00040518" w:rsidRPr="00AB34C7">
        <w:rPr>
          <w:rFonts w:asciiTheme="minorHAnsi" w:hAnsiTheme="minorHAnsi"/>
          <w:snapToGrid w:val="0"/>
          <w:lang w:eastAsia="en-US"/>
        </w:rPr>
        <w:t>EN</w:t>
      </w:r>
      <w:r w:rsidRPr="00AB34C7">
        <w:rPr>
          <w:rFonts w:asciiTheme="minorHAnsi" w:hAnsiTheme="minorHAnsi"/>
          <w:snapToGrid w:val="0"/>
          <w:lang w:eastAsia="en-US"/>
        </w:rPr>
        <w:t xml:space="preserve">+OBI was appropriate. The PBAC noted that zanubrutinib had been included as a supplementary comparator. </w:t>
      </w:r>
    </w:p>
    <w:p w14:paraId="3555BB5D" w14:textId="667ECD85" w:rsidR="001A6350" w:rsidRPr="00B95C74" w:rsidRDefault="001A6350" w:rsidP="004A1F23">
      <w:pPr>
        <w:widowControl w:val="0"/>
        <w:numPr>
          <w:ilvl w:val="1"/>
          <w:numId w:val="1"/>
        </w:numPr>
        <w:spacing w:after="120"/>
        <w:ind w:left="720" w:hanging="720"/>
        <w:rPr>
          <w:rFonts w:asciiTheme="minorHAnsi" w:hAnsiTheme="minorHAnsi"/>
          <w:snapToGrid w:val="0"/>
        </w:rPr>
      </w:pPr>
      <w:r w:rsidRPr="00B95C74">
        <w:rPr>
          <w:rFonts w:asciiTheme="minorHAnsi" w:hAnsiTheme="minorHAnsi"/>
          <w:snapToGrid w:val="0"/>
        </w:rPr>
        <w:t xml:space="preserve">The PBAC noted this was the </w:t>
      </w:r>
      <w:r w:rsidR="006D6195" w:rsidRPr="00B95C74">
        <w:rPr>
          <w:rFonts w:asciiTheme="minorHAnsi" w:hAnsiTheme="minorHAnsi"/>
          <w:snapToGrid w:val="0"/>
        </w:rPr>
        <w:t>second submission for IBR</w:t>
      </w:r>
      <w:r w:rsidRPr="00B95C74">
        <w:rPr>
          <w:rFonts w:asciiTheme="minorHAnsi" w:hAnsiTheme="minorHAnsi"/>
          <w:snapToGrid w:val="0"/>
        </w:rPr>
        <w:t xml:space="preserve"> for this indication, and that this resubmission </w:t>
      </w:r>
      <w:r w:rsidR="006D6195" w:rsidRPr="00B95C74">
        <w:rPr>
          <w:rFonts w:asciiTheme="minorHAnsi" w:hAnsiTheme="minorHAnsi"/>
          <w:snapToGrid w:val="0"/>
        </w:rPr>
        <w:t xml:space="preserve">had addressed PBAC concerns raised in their assessment of the </w:t>
      </w:r>
      <w:r w:rsidR="006D6195" w:rsidRPr="00B95C74">
        <w:rPr>
          <w:rFonts w:asciiTheme="minorHAnsi" w:hAnsiTheme="minorHAnsi"/>
          <w:snapToGrid w:val="0"/>
        </w:rPr>
        <w:lastRenderedPageBreak/>
        <w:t xml:space="preserve">previous submission </w:t>
      </w:r>
      <w:r w:rsidR="003A1FDF" w:rsidRPr="00B95C74">
        <w:rPr>
          <w:rFonts w:asciiTheme="minorHAnsi" w:hAnsiTheme="minorHAnsi"/>
          <w:snapToGrid w:val="0"/>
        </w:rPr>
        <w:t>at the</w:t>
      </w:r>
      <w:r w:rsidR="006D6195" w:rsidRPr="00B95C74">
        <w:rPr>
          <w:rFonts w:asciiTheme="minorHAnsi" w:hAnsiTheme="minorHAnsi"/>
          <w:snapToGrid w:val="0"/>
        </w:rPr>
        <w:t xml:space="preserve"> December 2022</w:t>
      </w:r>
      <w:r w:rsidR="003A1FDF" w:rsidRPr="00B95C74">
        <w:rPr>
          <w:rFonts w:asciiTheme="minorHAnsi" w:hAnsiTheme="minorHAnsi"/>
          <w:snapToGrid w:val="0"/>
        </w:rPr>
        <w:t xml:space="preserve"> intracycle meeting</w:t>
      </w:r>
      <w:r w:rsidR="006D6195" w:rsidRPr="00B95C74">
        <w:rPr>
          <w:rFonts w:asciiTheme="minorHAnsi" w:hAnsiTheme="minorHAnsi"/>
          <w:snapToGrid w:val="0"/>
        </w:rPr>
        <w:t xml:space="preserve">. Changes included removing the requirement for patients to be considered fit for treatment with fludarabine based chemoimmunotherapy </w:t>
      </w:r>
      <w:r w:rsidR="003A1FDF" w:rsidRPr="00B95C74">
        <w:rPr>
          <w:rFonts w:asciiTheme="minorHAnsi" w:hAnsiTheme="minorHAnsi"/>
          <w:snapToGrid w:val="0"/>
        </w:rPr>
        <w:t xml:space="preserve">and, based on the expanded patient population, </w:t>
      </w:r>
      <w:r w:rsidR="006D6195" w:rsidRPr="00B95C74">
        <w:rPr>
          <w:rFonts w:asciiTheme="minorHAnsi" w:hAnsiTheme="minorHAnsi"/>
          <w:snapToGrid w:val="0"/>
        </w:rPr>
        <w:t xml:space="preserve">changing the comparator from fixed duration fludarabine + cyclophosphamide to </w:t>
      </w:r>
      <w:r w:rsidR="00040518" w:rsidRPr="00B95C74">
        <w:rPr>
          <w:rFonts w:asciiTheme="minorHAnsi" w:hAnsiTheme="minorHAnsi"/>
          <w:snapToGrid w:val="0"/>
        </w:rPr>
        <w:t>VEN</w:t>
      </w:r>
      <w:r w:rsidR="006D6195" w:rsidRPr="00B95C74">
        <w:rPr>
          <w:rFonts w:asciiTheme="minorHAnsi" w:hAnsiTheme="minorHAnsi"/>
          <w:snapToGrid w:val="0"/>
        </w:rPr>
        <w:t xml:space="preserve">+OBI (main comparator) and </w:t>
      </w:r>
      <w:r w:rsidR="002653D4" w:rsidRPr="00B95C74">
        <w:rPr>
          <w:rFonts w:asciiTheme="minorHAnsi" w:hAnsiTheme="minorHAnsi"/>
          <w:snapToGrid w:val="0"/>
        </w:rPr>
        <w:t xml:space="preserve">zanubrutinib </w:t>
      </w:r>
      <w:r w:rsidR="006D6195" w:rsidRPr="00B95C74">
        <w:rPr>
          <w:rFonts w:asciiTheme="minorHAnsi" w:hAnsiTheme="minorHAnsi"/>
          <w:snapToGrid w:val="0"/>
        </w:rPr>
        <w:t>(supplementary comparator)</w:t>
      </w:r>
      <w:r w:rsidR="00AB34C7">
        <w:rPr>
          <w:rFonts w:asciiTheme="minorHAnsi" w:hAnsiTheme="minorHAnsi"/>
          <w:snapToGrid w:val="0"/>
        </w:rPr>
        <w:t xml:space="preserve">. </w:t>
      </w:r>
    </w:p>
    <w:p w14:paraId="4BCFA012" w14:textId="3F474E06" w:rsidR="003A1FDF" w:rsidRPr="00AB34C7" w:rsidRDefault="003A1FDF" w:rsidP="003A1FDF">
      <w:pPr>
        <w:widowControl w:val="0"/>
        <w:numPr>
          <w:ilvl w:val="1"/>
          <w:numId w:val="1"/>
        </w:numPr>
        <w:spacing w:after="120"/>
        <w:ind w:left="720" w:hanging="720"/>
        <w:rPr>
          <w:rFonts w:asciiTheme="minorHAnsi" w:hAnsiTheme="minorHAnsi"/>
          <w:snapToGrid w:val="0"/>
          <w:lang w:eastAsia="en-US"/>
        </w:rPr>
      </w:pPr>
      <w:r w:rsidRPr="00AB34C7">
        <w:rPr>
          <w:rFonts w:asciiTheme="minorHAnsi" w:hAnsiTheme="minorHAnsi"/>
          <w:snapToGrid w:val="0"/>
          <w:lang w:eastAsia="en-US"/>
        </w:rPr>
        <w:t xml:space="preserve">The PBAC noted </w:t>
      </w:r>
      <w:r w:rsidR="00B27945" w:rsidRPr="00AB34C7">
        <w:rPr>
          <w:rFonts w:asciiTheme="minorHAnsi" w:hAnsiTheme="minorHAnsi"/>
          <w:snapToGrid w:val="0"/>
          <w:lang w:eastAsia="en-US"/>
        </w:rPr>
        <w:t xml:space="preserve">that as </w:t>
      </w:r>
      <w:r w:rsidRPr="00AB34C7">
        <w:rPr>
          <w:rFonts w:asciiTheme="minorHAnsi" w:hAnsiTheme="minorHAnsi"/>
          <w:snapToGrid w:val="0"/>
          <w:lang w:eastAsia="en-US"/>
        </w:rPr>
        <w:t>there were no head-to-head trials available comparing IBR+</w:t>
      </w:r>
      <w:r w:rsidR="00040518" w:rsidRPr="00AB34C7">
        <w:rPr>
          <w:rFonts w:asciiTheme="minorHAnsi" w:hAnsiTheme="minorHAnsi"/>
          <w:snapToGrid w:val="0"/>
          <w:lang w:eastAsia="en-US"/>
        </w:rPr>
        <w:t>VEN</w:t>
      </w:r>
      <w:r w:rsidRPr="00AB34C7">
        <w:rPr>
          <w:rFonts w:asciiTheme="minorHAnsi" w:hAnsiTheme="minorHAnsi"/>
          <w:snapToGrid w:val="0"/>
          <w:lang w:eastAsia="en-US"/>
        </w:rPr>
        <w:t xml:space="preserve"> and </w:t>
      </w:r>
      <w:r w:rsidR="00040518" w:rsidRPr="00AB34C7">
        <w:rPr>
          <w:rFonts w:asciiTheme="minorHAnsi" w:hAnsiTheme="minorHAnsi"/>
          <w:snapToGrid w:val="0"/>
          <w:lang w:eastAsia="en-US"/>
        </w:rPr>
        <w:t>VEN</w:t>
      </w:r>
      <w:r w:rsidRPr="00AB34C7">
        <w:rPr>
          <w:rFonts w:asciiTheme="minorHAnsi" w:hAnsiTheme="minorHAnsi"/>
          <w:snapToGrid w:val="0"/>
          <w:lang w:eastAsia="en-US"/>
        </w:rPr>
        <w:t xml:space="preserve">+OBI, </w:t>
      </w:r>
      <w:r w:rsidR="00B27945" w:rsidRPr="00AB34C7">
        <w:rPr>
          <w:rFonts w:asciiTheme="minorHAnsi" w:hAnsiTheme="minorHAnsi"/>
          <w:snapToGrid w:val="0"/>
          <w:lang w:eastAsia="en-US"/>
        </w:rPr>
        <w:t>the submission presented</w:t>
      </w:r>
      <w:r w:rsidRPr="00AB34C7">
        <w:rPr>
          <w:rFonts w:asciiTheme="minorHAnsi" w:hAnsiTheme="minorHAnsi"/>
          <w:snapToGrid w:val="0"/>
          <w:lang w:eastAsia="en-US"/>
        </w:rPr>
        <w:t xml:space="preserve"> indirect comparisons utilising data from the following randomised trials: GLOW (IBR+</w:t>
      </w:r>
      <w:r w:rsidR="00040518" w:rsidRPr="00AB34C7">
        <w:rPr>
          <w:rFonts w:asciiTheme="minorHAnsi" w:hAnsiTheme="minorHAnsi"/>
          <w:snapToGrid w:val="0"/>
          <w:lang w:eastAsia="en-US"/>
        </w:rPr>
        <w:t>VEN</w:t>
      </w:r>
      <w:r w:rsidRPr="00AB34C7">
        <w:rPr>
          <w:rFonts w:asciiTheme="minorHAnsi" w:hAnsiTheme="minorHAnsi"/>
          <w:snapToGrid w:val="0"/>
          <w:lang w:eastAsia="en-US"/>
        </w:rPr>
        <w:t xml:space="preserve"> versus chlorambucil versus OBI [CHL+OBI]), CLL-14 (</w:t>
      </w:r>
      <w:r w:rsidR="00040518" w:rsidRPr="00AB34C7">
        <w:rPr>
          <w:rFonts w:asciiTheme="minorHAnsi" w:hAnsiTheme="minorHAnsi"/>
          <w:snapToGrid w:val="0"/>
          <w:lang w:eastAsia="en-US"/>
        </w:rPr>
        <w:t>VEN</w:t>
      </w:r>
      <w:r w:rsidRPr="00AB34C7">
        <w:rPr>
          <w:rFonts w:asciiTheme="minorHAnsi" w:hAnsiTheme="minorHAnsi"/>
          <w:snapToGrid w:val="0"/>
          <w:lang w:eastAsia="en-US"/>
        </w:rPr>
        <w:t>+OBI versus CHL+OBI) and SEQUOIA (</w:t>
      </w:r>
      <w:r w:rsidR="00E31D8F" w:rsidRPr="00AB34C7">
        <w:rPr>
          <w:rFonts w:asciiTheme="minorHAnsi" w:hAnsiTheme="minorHAnsi"/>
          <w:snapToGrid w:val="0"/>
          <w:lang w:eastAsia="en-US"/>
        </w:rPr>
        <w:t>zanubrutinib</w:t>
      </w:r>
      <w:r w:rsidRPr="00AB34C7">
        <w:rPr>
          <w:rFonts w:asciiTheme="minorHAnsi" w:hAnsiTheme="minorHAnsi"/>
          <w:snapToGrid w:val="0"/>
          <w:lang w:eastAsia="en-US"/>
        </w:rPr>
        <w:t xml:space="preserve"> versus bendamustine + rituximab). An additional single-arm </w:t>
      </w:r>
      <w:r w:rsidR="008F6F10" w:rsidRPr="00AB34C7">
        <w:rPr>
          <w:rFonts w:asciiTheme="minorHAnsi" w:hAnsiTheme="minorHAnsi"/>
          <w:snapToGrid w:val="0"/>
          <w:lang w:eastAsia="en-US"/>
        </w:rPr>
        <w:t>IBR+</w:t>
      </w:r>
      <w:r w:rsidR="00040518" w:rsidRPr="00AB34C7">
        <w:rPr>
          <w:rFonts w:asciiTheme="minorHAnsi" w:hAnsiTheme="minorHAnsi"/>
          <w:snapToGrid w:val="0"/>
          <w:lang w:eastAsia="en-US"/>
        </w:rPr>
        <w:t>VEN</w:t>
      </w:r>
      <w:r w:rsidR="008F6F10" w:rsidRPr="00AB34C7">
        <w:rPr>
          <w:rFonts w:asciiTheme="minorHAnsi" w:hAnsiTheme="minorHAnsi"/>
          <w:snapToGrid w:val="0"/>
          <w:lang w:eastAsia="en-US"/>
        </w:rPr>
        <w:t xml:space="preserve"> study (CAPTIVATE) was also included because it provided data in </w:t>
      </w:r>
      <w:r w:rsidR="00D34C7D" w:rsidRPr="00AB34C7">
        <w:rPr>
          <w:rFonts w:asciiTheme="minorHAnsi" w:hAnsiTheme="minorHAnsi"/>
          <w:snapToGrid w:val="0"/>
          <w:lang w:eastAsia="en-US"/>
        </w:rPr>
        <w:t xml:space="preserve">a </w:t>
      </w:r>
      <w:r w:rsidR="00040518" w:rsidRPr="00AB34C7">
        <w:rPr>
          <w:rFonts w:asciiTheme="minorHAnsi" w:hAnsiTheme="minorHAnsi"/>
          <w:snapToGrid w:val="0"/>
          <w:lang w:eastAsia="en-US"/>
        </w:rPr>
        <w:t>younger</w:t>
      </w:r>
      <w:r w:rsidR="00D34C7D" w:rsidRPr="00AB34C7">
        <w:rPr>
          <w:rFonts w:asciiTheme="minorHAnsi" w:hAnsiTheme="minorHAnsi"/>
          <w:snapToGrid w:val="0"/>
          <w:lang w:eastAsia="en-US"/>
        </w:rPr>
        <w:t xml:space="preserve"> (</w:t>
      </w:r>
      <w:r w:rsidR="008F6F10" w:rsidRPr="00AB34C7">
        <w:rPr>
          <w:rFonts w:asciiTheme="minorHAnsi" w:hAnsiTheme="minorHAnsi"/>
          <w:snapToGrid w:val="0"/>
          <w:lang w:eastAsia="en-US"/>
        </w:rPr>
        <w:t>more “fit”</w:t>
      </w:r>
      <w:r w:rsidR="00D34C7D" w:rsidRPr="00AB34C7">
        <w:rPr>
          <w:rFonts w:asciiTheme="minorHAnsi" w:hAnsiTheme="minorHAnsi"/>
          <w:snapToGrid w:val="0"/>
          <w:lang w:eastAsia="en-US"/>
        </w:rPr>
        <w:t>)</w:t>
      </w:r>
      <w:r w:rsidR="008F6F10" w:rsidRPr="00AB34C7">
        <w:rPr>
          <w:rFonts w:asciiTheme="minorHAnsi" w:hAnsiTheme="minorHAnsi"/>
          <w:snapToGrid w:val="0"/>
          <w:lang w:eastAsia="en-US"/>
        </w:rPr>
        <w:t xml:space="preserve"> patient population. </w:t>
      </w:r>
    </w:p>
    <w:p w14:paraId="62BF2A54" w14:textId="25A09696" w:rsidR="00AA1273" w:rsidRPr="00AB34C7" w:rsidRDefault="008F6F10" w:rsidP="008F6F10">
      <w:pPr>
        <w:widowControl w:val="0"/>
        <w:numPr>
          <w:ilvl w:val="1"/>
          <w:numId w:val="1"/>
        </w:numPr>
        <w:spacing w:after="120"/>
        <w:ind w:left="720" w:hanging="720"/>
        <w:rPr>
          <w:rFonts w:asciiTheme="minorHAnsi" w:hAnsiTheme="minorHAnsi"/>
          <w:snapToGrid w:val="0"/>
          <w:lang w:eastAsia="en-US"/>
        </w:rPr>
      </w:pPr>
      <w:r w:rsidRPr="00AB34C7">
        <w:rPr>
          <w:rFonts w:asciiTheme="minorHAnsi" w:hAnsiTheme="minorHAnsi"/>
          <w:snapToGrid w:val="0"/>
          <w:lang w:eastAsia="en-US"/>
        </w:rPr>
        <w:t xml:space="preserve">The PBAC noted that </w:t>
      </w:r>
      <w:r w:rsidR="008C7EBD" w:rsidRPr="00AB34C7">
        <w:rPr>
          <w:rFonts w:asciiTheme="minorHAnsi" w:hAnsiTheme="minorHAnsi"/>
          <w:snapToGrid w:val="0"/>
          <w:lang w:eastAsia="en-US"/>
        </w:rPr>
        <w:t>the resubmission had presented an</w:t>
      </w:r>
      <w:r w:rsidRPr="00AB34C7">
        <w:rPr>
          <w:rFonts w:asciiTheme="minorHAnsi" w:hAnsiTheme="minorHAnsi"/>
          <w:snapToGrid w:val="0"/>
          <w:lang w:eastAsia="en-US"/>
        </w:rPr>
        <w:t xml:space="preserve"> anchored Bucher indirect treatment comparison (ITC) using </w:t>
      </w:r>
      <w:r w:rsidR="00C05660" w:rsidRPr="00AB34C7">
        <w:rPr>
          <w:rFonts w:asciiTheme="minorHAnsi" w:hAnsiTheme="minorHAnsi"/>
          <w:snapToGrid w:val="0"/>
          <w:lang w:eastAsia="en-US"/>
        </w:rPr>
        <w:t xml:space="preserve">CHL+OBI </w:t>
      </w:r>
      <w:r w:rsidRPr="00AB34C7">
        <w:rPr>
          <w:rFonts w:asciiTheme="minorHAnsi" w:hAnsiTheme="minorHAnsi"/>
          <w:snapToGrid w:val="0"/>
          <w:lang w:eastAsia="en-US"/>
        </w:rPr>
        <w:t xml:space="preserve">as a common comparator, </w:t>
      </w:r>
      <w:r w:rsidR="00B27945" w:rsidRPr="00AB34C7">
        <w:rPr>
          <w:rFonts w:asciiTheme="minorHAnsi" w:hAnsiTheme="minorHAnsi"/>
          <w:snapToGrid w:val="0"/>
          <w:lang w:eastAsia="en-US"/>
        </w:rPr>
        <w:t xml:space="preserve">which showed </w:t>
      </w:r>
      <w:r w:rsidRPr="00AB34C7">
        <w:rPr>
          <w:rFonts w:asciiTheme="minorHAnsi" w:hAnsiTheme="minorHAnsi"/>
          <w:snapToGrid w:val="0"/>
          <w:lang w:eastAsia="en-US"/>
        </w:rPr>
        <w:t>there was no statistically significant difference betwee</w:t>
      </w:r>
      <w:r w:rsidR="00040518" w:rsidRPr="00AB34C7">
        <w:rPr>
          <w:rFonts w:asciiTheme="minorHAnsi" w:hAnsiTheme="minorHAnsi"/>
          <w:snapToGrid w:val="0"/>
          <w:lang w:eastAsia="en-US"/>
        </w:rPr>
        <w:t>n</w:t>
      </w:r>
      <w:r w:rsidRPr="00AB34C7">
        <w:rPr>
          <w:rFonts w:asciiTheme="minorHAnsi" w:hAnsiTheme="minorHAnsi"/>
          <w:snapToGrid w:val="0"/>
          <w:lang w:eastAsia="en-US"/>
        </w:rPr>
        <w:t xml:space="preserve"> IBR+</w:t>
      </w:r>
      <w:r w:rsidR="00040518" w:rsidRPr="00AB34C7">
        <w:rPr>
          <w:rFonts w:asciiTheme="minorHAnsi" w:hAnsiTheme="minorHAnsi"/>
          <w:snapToGrid w:val="0"/>
          <w:lang w:eastAsia="en-US"/>
        </w:rPr>
        <w:t>VEN</w:t>
      </w:r>
      <w:r w:rsidRPr="00AB34C7">
        <w:rPr>
          <w:rFonts w:asciiTheme="minorHAnsi" w:hAnsiTheme="minorHAnsi"/>
          <w:snapToGrid w:val="0"/>
          <w:lang w:eastAsia="en-US"/>
        </w:rPr>
        <w:t xml:space="preserve"> and </w:t>
      </w:r>
      <w:r w:rsidR="00040518" w:rsidRPr="00AB34C7">
        <w:rPr>
          <w:rFonts w:asciiTheme="minorHAnsi" w:hAnsiTheme="minorHAnsi"/>
          <w:snapToGrid w:val="0"/>
          <w:lang w:eastAsia="en-US"/>
        </w:rPr>
        <w:t>VEN</w:t>
      </w:r>
      <w:r w:rsidRPr="00AB34C7">
        <w:rPr>
          <w:rFonts w:asciiTheme="minorHAnsi" w:hAnsiTheme="minorHAnsi"/>
          <w:snapToGrid w:val="0"/>
          <w:lang w:eastAsia="en-US"/>
        </w:rPr>
        <w:t xml:space="preserve">+OBI in terms of </w:t>
      </w:r>
      <w:r w:rsidR="00AA1273" w:rsidRPr="00AB34C7">
        <w:rPr>
          <w:rFonts w:asciiTheme="minorHAnsi" w:hAnsiTheme="minorHAnsi"/>
          <w:snapToGrid w:val="0"/>
          <w:lang w:eastAsia="en-US"/>
        </w:rPr>
        <w:t xml:space="preserve">progression free survival (PFS; HR 0.69; 95% CI: 0.42, 1.16) and overall survival (OS; HR 0.54; 95% CI: </w:t>
      </w:r>
      <w:r w:rsidR="00713188" w:rsidRPr="00AB34C7">
        <w:rPr>
          <w:rFonts w:asciiTheme="minorHAnsi" w:hAnsiTheme="minorHAnsi"/>
          <w:snapToGrid w:val="0"/>
          <w:lang w:eastAsia="en-US"/>
        </w:rPr>
        <w:t xml:space="preserve">0.26, 1.13). </w:t>
      </w:r>
      <w:r w:rsidR="00E31D8F" w:rsidRPr="00AB34C7">
        <w:rPr>
          <w:rFonts w:asciiTheme="minorHAnsi" w:hAnsiTheme="minorHAnsi"/>
          <w:snapToGrid w:val="0"/>
          <w:lang w:eastAsia="en-US"/>
        </w:rPr>
        <w:t>The PBAC noted lower PFS and OS in the CHL+OBI arm of GLOW versus the CHL+OBI arm of CLL-14 and that these differences may be due to the substantially lower CHL dosing in the GLOW trial. The PBAC noted that in previous instances when CHL has been used as a common comparator that variation</w:t>
      </w:r>
      <w:r w:rsidR="008363AF">
        <w:rPr>
          <w:rFonts w:asciiTheme="minorHAnsi" w:hAnsiTheme="minorHAnsi"/>
          <w:snapToGrid w:val="0"/>
          <w:lang w:eastAsia="en-US"/>
        </w:rPr>
        <w:t>s</w:t>
      </w:r>
      <w:r w:rsidR="00E31D8F" w:rsidRPr="00AB34C7">
        <w:rPr>
          <w:rFonts w:asciiTheme="minorHAnsi" w:hAnsiTheme="minorHAnsi"/>
          <w:snapToGrid w:val="0"/>
          <w:lang w:eastAsia="en-US"/>
        </w:rPr>
        <w:t xml:space="preserve"> in CHL dosing has not been considered a significant issue </w:t>
      </w:r>
      <w:r w:rsidR="008C7EBD" w:rsidRPr="00AB34C7">
        <w:rPr>
          <w:rFonts w:asciiTheme="minorHAnsi" w:hAnsiTheme="minorHAnsi"/>
          <w:snapToGrid w:val="0"/>
          <w:lang w:eastAsia="en-US"/>
        </w:rPr>
        <w:t>(Ofatumumab, November</w:t>
      </w:r>
      <w:r w:rsidR="004F3CA7">
        <w:rPr>
          <w:rFonts w:asciiTheme="minorHAnsi" w:hAnsiTheme="minorHAnsi"/>
          <w:snapToGrid w:val="0"/>
          <w:lang w:eastAsia="en-US"/>
        </w:rPr>
        <w:t> </w:t>
      </w:r>
      <w:r w:rsidR="008C7EBD" w:rsidRPr="00AB34C7">
        <w:rPr>
          <w:rFonts w:asciiTheme="minorHAnsi" w:hAnsiTheme="minorHAnsi"/>
          <w:snapToGrid w:val="0"/>
          <w:lang w:eastAsia="en-US"/>
        </w:rPr>
        <w:t xml:space="preserve">2014; Ibrutinib, November 2017). </w:t>
      </w:r>
    </w:p>
    <w:p w14:paraId="03D12CEC" w14:textId="61AB267F" w:rsidR="008C7EBD" w:rsidRPr="00AB34C7" w:rsidRDefault="008C7EBD" w:rsidP="008F6F10">
      <w:pPr>
        <w:widowControl w:val="0"/>
        <w:numPr>
          <w:ilvl w:val="1"/>
          <w:numId w:val="1"/>
        </w:numPr>
        <w:spacing w:after="120"/>
        <w:ind w:left="720" w:hanging="720"/>
        <w:rPr>
          <w:rFonts w:asciiTheme="minorHAnsi" w:hAnsiTheme="minorHAnsi"/>
          <w:snapToGrid w:val="0"/>
          <w:lang w:eastAsia="en-US"/>
        </w:rPr>
      </w:pPr>
      <w:r w:rsidRPr="00AB34C7">
        <w:rPr>
          <w:rFonts w:asciiTheme="minorHAnsi" w:hAnsiTheme="minorHAnsi"/>
          <w:snapToGrid w:val="0"/>
          <w:lang w:eastAsia="en-US"/>
        </w:rPr>
        <w:t>The PBAC noted that the resubmission also presented an unanchored matching adjusted indirect comparison (MAIC) utilising data from the IBR+V</w:t>
      </w:r>
      <w:r w:rsidR="00040518" w:rsidRPr="00AB34C7">
        <w:rPr>
          <w:rFonts w:asciiTheme="minorHAnsi" w:hAnsiTheme="minorHAnsi"/>
          <w:snapToGrid w:val="0"/>
          <w:lang w:eastAsia="en-US"/>
        </w:rPr>
        <w:t>EN</w:t>
      </w:r>
      <w:r w:rsidRPr="00AB34C7">
        <w:rPr>
          <w:rFonts w:asciiTheme="minorHAnsi" w:hAnsiTheme="minorHAnsi"/>
          <w:snapToGrid w:val="0"/>
          <w:lang w:eastAsia="en-US"/>
        </w:rPr>
        <w:t xml:space="preserve"> and V</w:t>
      </w:r>
      <w:r w:rsidR="00040518" w:rsidRPr="00AB34C7">
        <w:rPr>
          <w:rFonts w:asciiTheme="minorHAnsi" w:hAnsiTheme="minorHAnsi"/>
          <w:snapToGrid w:val="0"/>
          <w:lang w:eastAsia="en-US"/>
        </w:rPr>
        <w:t>EN</w:t>
      </w:r>
      <w:r w:rsidRPr="00AB34C7">
        <w:rPr>
          <w:rFonts w:asciiTheme="minorHAnsi" w:hAnsiTheme="minorHAnsi"/>
          <w:snapToGrid w:val="0"/>
          <w:lang w:eastAsia="en-US"/>
        </w:rPr>
        <w:t xml:space="preserve">+OBI arms only of the GLOW and CLL-14 trials. </w:t>
      </w:r>
      <w:r w:rsidR="00B27945" w:rsidRPr="00AB34C7">
        <w:rPr>
          <w:rFonts w:asciiTheme="minorHAnsi" w:hAnsiTheme="minorHAnsi"/>
          <w:snapToGrid w:val="0"/>
          <w:lang w:eastAsia="en-US"/>
        </w:rPr>
        <w:t xml:space="preserve">The PBAC </w:t>
      </w:r>
      <w:r w:rsidRPr="00AB34C7">
        <w:rPr>
          <w:rFonts w:asciiTheme="minorHAnsi" w:hAnsiTheme="minorHAnsi"/>
          <w:snapToGrid w:val="0"/>
          <w:lang w:eastAsia="en-US"/>
        </w:rPr>
        <w:t>considered the results uncertain due to</w:t>
      </w:r>
      <w:r w:rsidR="001F58C4" w:rsidRPr="00AB34C7">
        <w:rPr>
          <w:rFonts w:asciiTheme="minorHAnsi" w:hAnsiTheme="minorHAnsi"/>
          <w:snapToGrid w:val="0"/>
          <w:lang w:eastAsia="en-US"/>
        </w:rPr>
        <w:t xml:space="preserve"> the unanchored nature of the comparison,</w:t>
      </w:r>
      <w:r w:rsidRPr="00AB34C7">
        <w:rPr>
          <w:rFonts w:asciiTheme="minorHAnsi" w:hAnsiTheme="minorHAnsi"/>
          <w:snapToGrid w:val="0"/>
          <w:lang w:eastAsia="en-US"/>
        </w:rPr>
        <w:t xml:space="preserve"> the limited number of prognostic and treatment effect modifier variables available for matching, limited documentation regarding the methodology used, differences in trial eligibility and the low effective sample size after matching (e.g., n=46 out of 106 patients in GLOW)</w:t>
      </w:r>
      <w:r w:rsidR="00AB34C7">
        <w:rPr>
          <w:rFonts w:asciiTheme="minorHAnsi" w:hAnsiTheme="minorHAnsi"/>
          <w:snapToGrid w:val="0"/>
          <w:lang w:eastAsia="en-US"/>
        </w:rPr>
        <w:t xml:space="preserve">. </w:t>
      </w:r>
    </w:p>
    <w:p w14:paraId="5D05D872" w14:textId="7DF0C181" w:rsidR="00E1672C" w:rsidRPr="00AB34C7" w:rsidRDefault="00E1672C" w:rsidP="008F6F10">
      <w:pPr>
        <w:widowControl w:val="0"/>
        <w:numPr>
          <w:ilvl w:val="1"/>
          <w:numId w:val="1"/>
        </w:numPr>
        <w:spacing w:after="120"/>
        <w:ind w:left="720" w:hanging="720"/>
        <w:rPr>
          <w:rFonts w:asciiTheme="minorHAnsi" w:hAnsiTheme="minorHAnsi"/>
          <w:snapToGrid w:val="0"/>
          <w:lang w:eastAsia="en-US"/>
        </w:rPr>
      </w:pPr>
      <w:r w:rsidRPr="00AB34C7">
        <w:rPr>
          <w:rFonts w:asciiTheme="minorHAnsi" w:hAnsiTheme="minorHAnsi"/>
          <w:snapToGrid w:val="0"/>
          <w:lang w:eastAsia="en-US"/>
        </w:rPr>
        <w:t xml:space="preserve">The PBAC noted that </w:t>
      </w:r>
      <w:r w:rsidR="007543F7" w:rsidRPr="00AB34C7">
        <w:rPr>
          <w:rFonts w:asciiTheme="minorHAnsi" w:hAnsiTheme="minorHAnsi"/>
          <w:snapToGrid w:val="0"/>
          <w:lang w:eastAsia="en-US"/>
        </w:rPr>
        <w:t xml:space="preserve">the rate of Grade </w:t>
      </w:r>
      <w:r w:rsidR="007543F7" w:rsidRPr="00AB34C7">
        <w:rPr>
          <w:rFonts w:asciiTheme="minorHAnsi" w:hAnsiTheme="minorHAnsi" w:cstheme="minorHAnsi"/>
          <w:snapToGrid w:val="0"/>
          <w:lang w:eastAsia="en-US"/>
        </w:rPr>
        <w:t>≥3</w:t>
      </w:r>
      <w:r w:rsidR="007543F7" w:rsidRPr="00AB34C7">
        <w:rPr>
          <w:rFonts w:asciiTheme="minorHAnsi" w:hAnsiTheme="minorHAnsi"/>
          <w:snapToGrid w:val="0"/>
          <w:lang w:eastAsia="en-US"/>
        </w:rPr>
        <w:t xml:space="preserve"> adverse events (AEs) and serious AEs (SAEs) were similar between IBR+V</w:t>
      </w:r>
      <w:r w:rsidR="001F58C4" w:rsidRPr="00AB34C7">
        <w:rPr>
          <w:rFonts w:asciiTheme="minorHAnsi" w:hAnsiTheme="minorHAnsi"/>
          <w:snapToGrid w:val="0"/>
          <w:lang w:eastAsia="en-US"/>
        </w:rPr>
        <w:t>EN</w:t>
      </w:r>
      <w:r w:rsidR="007543F7" w:rsidRPr="00AB34C7">
        <w:rPr>
          <w:rFonts w:asciiTheme="minorHAnsi" w:hAnsiTheme="minorHAnsi"/>
          <w:snapToGrid w:val="0"/>
          <w:lang w:eastAsia="en-US"/>
        </w:rPr>
        <w:t xml:space="preserve"> and V</w:t>
      </w:r>
      <w:r w:rsidR="001F58C4" w:rsidRPr="00AB34C7">
        <w:rPr>
          <w:rFonts w:asciiTheme="minorHAnsi" w:hAnsiTheme="minorHAnsi"/>
          <w:snapToGrid w:val="0"/>
          <w:lang w:eastAsia="en-US"/>
        </w:rPr>
        <w:t>EN</w:t>
      </w:r>
      <w:r w:rsidR="007543F7" w:rsidRPr="00AB34C7">
        <w:rPr>
          <w:rFonts w:asciiTheme="minorHAnsi" w:hAnsiTheme="minorHAnsi"/>
          <w:snapToGrid w:val="0"/>
          <w:lang w:eastAsia="en-US"/>
        </w:rPr>
        <w:t xml:space="preserve">+OBI: 75.5% versus 78.8% for Grade </w:t>
      </w:r>
      <w:r w:rsidR="007543F7" w:rsidRPr="00AB34C7">
        <w:rPr>
          <w:rFonts w:asciiTheme="minorHAnsi" w:hAnsiTheme="minorHAnsi" w:cstheme="minorHAnsi"/>
          <w:snapToGrid w:val="0"/>
          <w:lang w:eastAsia="en-US"/>
        </w:rPr>
        <w:t>≥</w:t>
      </w:r>
      <w:r w:rsidR="007543F7" w:rsidRPr="00AB34C7">
        <w:rPr>
          <w:rFonts w:asciiTheme="minorHAnsi" w:hAnsiTheme="minorHAnsi"/>
          <w:snapToGrid w:val="0"/>
          <w:lang w:eastAsia="en-US"/>
        </w:rPr>
        <w:t>3 AEs, and 46.2% versus 49.1% for SAEs. Grade 5 AEs (causing death) were higher for IBR+V</w:t>
      </w:r>
      <w:r w:rsidR="00040518" w:rsidRPr="00AB34C7">
        <w:rPr>
          <w:rFonts w:asciiTheme="minorHAnsi" w:hAnsiTheme="minorHAnsi"/>
          <w:snapToGrid w:val="0"/>
          <w:lang w:eastAsia="en-US"/>
        </w:rPr>
        <w:t>EN</w:t>
      </w:r>
      <w:r w:rsidR="007543F7" w:rsidRPr="00AB34C7">
        <w:rPr>
          <w:rFonts w:asciiTheme="minorHAnsi" w:hAnsiTheme="minorHAnsi"/>
          <w:snapToGrid w:val="0"/>
          <w:lang w:eastAsia="en-US"/>
        </w:rPr>
        <w:t xml:space="preserve"> (6.6%) and V</w:t>
      </w:r>
      <w:r w:rsidR="00040518" w:rsidRPr="00AB34C7">
        <w:rPr>
          <w:rFonts w:asciiTheme="minorHAnsi" w:hAnsiTheme="minorHAnsi"/>
          <w:snapToGrid w:val="0"/>
          <w:lang w:eastAsia="en-US"/>
        </w:rPr>
        <w:t>EN</w:t>
      </w:r>
      <w:r w:rsidR="007543F7" w:rsidRPr="00AB34C7">
        <w:rPr>
          <w:rFonts w:asciiTheme="minorHAnsi" w:hAnsiTheme="minorHAnsi"/>
          <w:snapToGrid w:val="0"/>
          <w:lang w:eastAsia="en-US"/>
        </w:rPr>
        <w:t>+OBI (7.5%) compared with CHL+OBI (1.9% and 3.7% in the GLOW and CLL</w:t>
      </w:r>
      <w:r w:rsidR="00040518" w:rsidRPr="00AB34C7">
        <w:rPr>
          <w:rFonts w:asciiTheme="minorHAnsi" w:hAnsiTheme="minorHAnsi"/>
          <w:snapToGrid w:val="0"/>
          <w:lang w:eastAsia="en-US"/>
        </w:rPr>
        <w:t>-</w:t>
      </w:r>
      <w:r w:rsidR="007543F7" w:rsidRPr="00AB34C7">
        <w:rPr>
          <w:rFonts w:asciiTheme="minorHAnsi" w:hAnsiTheme="minorHAnsi"/>
          <w:snapToGrid w:val="0"/>
          <w:lang w:eastAsia="en-US"/>
        </w:rPr>
        <w:t xml:space="preserve">14 trials), which the ESC suggested may be more likely due to </w:t>
      </w:r>
      <w:r w:rsidR="001F58C4" w:rsidRPr="00AB34C7">
        <w:rPr>
          <w:rFonts w:asciiTheme="minorHAnsi" w:hAnsiTheme="minorHAnsi"/>
          <w:snapToGrid w:val="0"/>
          <w:lang w:eastAsia="en-US"/>
        </w:rPr>
        <w:t xml:space="preserve">the </w:t>
      </w:r>
      <w:r w:rsidR="00040518" w:rsidRPr="00AB34C7">
        <w:rPr>
          <w:rFonts w:asciiTheme="minorHAnsi" w:hAnsiTheme="minorHAnsi"/>
          <w:snapToGrid w:val="0"/>
          <w:lang w:eastAsia="en-US"/>
        </w:rPr>
        <w:t>VEN</w:t>
      </w:r>
      <w:r w:rsidR="001F58C4" w:rsidRPr="00AB34C7">
        <w:rPr>
          <w:rFonts w:asciiTheme="minorHAnsi" w:hAnsiTheme="minorHAnsi"/>
          <w:snapToGrid w:val="0"/>
          <w:lang w:eastAsia="en-US"/>
        </w:rPr>
        <w:t xml:space="preserve"> component</w:t>
      </w:r>
      <w:r w:rsidR="007543F7" w:rsidRPr="00AB34C7">
        <w:rPr>
          <w:rFonts w:asciiTheme="minorHAnsi" w:hAnsiTheme="minorHAnsi"/>
          <w:snapToGrid w:val="0"/>
          <w:lang w:eastAsia="en-US"/>
        </w:rPr>
        <w:t xml:space="preserve">. However, the PBAC </w:t>
      </w:r>
      <w:r w:rsidR="00DE694F" w:rsidRPr="00AB34C7">
        <w:t xml:space="preserve">noted that 4 of the 7 deaths due to </w:t>
      </w:r>
      <w:r w:rsidR="001F58C4" w:rsidRPr="00AB34C7">
        <w:t>AEs</w:t>
      </w:r>
      <w:r w:rsidR="00DE694F" w:rsidRPr="00AB34C7">
        <w:t xml:space="preserve"> in the </w:t>
      </w:r>
      <w:r w:rsidR="00040518" w:rsidRPr="00AB34C7">
        <w:t>IBR</w:t>
      </w:r>
      <w:r w:rsidR="00DE694F" w:rsidRPr="00AB34C7">
        <w:t xml:space="preserve"> arm of the GLOW trial, and the single death in the CAPTIVATE study, occurred during the </w:t>
      </w:r>
      <w:r w:rsidR="00040518" w:rsidRPr="00AB34C7">
        <w:t>IBR</w:t>
      </w:r>
      <w:r w:rsidR="00DE694F" w:rsidRPr="00AB34C7">
        <w:t xml:space="preserve"> monotherapy lead-in period.</w:t>
      </w:r>
    </w:p>
    <w:p w14:paraId="1CFD63C9" w14:textId="639D1494" w:rsidR="00DE694F" w:rsidRPr="00AB34C7" w:rsidRDefault="00722C32" w:rsidP="008F6F10">
      <w:pPr>
        <w:widowControl w:val="0"/>
        <w:numPr>
          <w:ilvl w:val="1"/>
          <w:numId w:val="1"/>
        </w:numPr>
        <w:spacing w:after="120"/>
        <w:ind w:left="720" w:hanging="720"/>
        <w:rPr>
          <w:rFonts w:asciiTheme="minorHAnsi" w:hAnsiTheme="minorHAnsi"/>
          <w:snapToGrid w:val="0"/>
          <w:lang w:eastAsia="en-US"/>
        </w:rPr>
      </w:pPr>
      <w:r w:rsidRPr="00AB34C7">
        <w:rPr>
          <w:rFonts w:asciiTheme="minorHAnsi" w:hAnsiTheme="minorHAnsi"/>
          <w:snapToGrid w:val="0"/>
          <w:lang w:eastAsia="en-US"/>
        </w:rPr>
        <w:t xml:space="preserve">The PBAC considered that the </w:t>
      </w:r>
      <w:r w:rsidR="002653D4" w:rsidRPr="00AB34C7">
        <w:rPr>
          <w:rFonts w:asciiTheme="minorHAnsi" w:hAnsiTheme="minorHAnsi"/>
          <w:snapToGrid w:val="0"/>
          <w:lang w:eastAsia="en-US"/>
        </w:rPr>
        <w:t xml:space="preserve">clinical </w:t>
      </w:r>
      <w:r w:rsidRPr="00AB34C7">
        <w:rPr>
          <w:rFonts w:asciiTheme="minorHAnsi" w:hAnsiTheme="minorHAnsi"/>
          <w:snapToGrid w:val="0"/>
          <w:lang w:eastAsia="en-US"/>
        </w:rPr>
        <w:t>claim of non-inferior effectiveness between IBR+V</w:t>
      </w:r>
      <w:r w:rsidR="00040518" w:rsidRPr="00AB34C7">
        <w:rPr>
          <w:rFonts w:asciiTheme="minorHAnsi" w:hAnsiTheme="minorHAnsi"/>
          <w:snapToGrid w:val="0"/>
          <w:lang w:eastAsia="en-US"/>
        </w:rPr>
        <w:t>EN</w:t>
      </w:r>
      <w:r w:rsidRPr="00AB34C7">
        <w:rPr>
          <w:rFonts w:asciiTheme="minorHAnsi" w:hAnsiTheme="minorHAnsi"/>
          <w:snapToGrid w:val="0"/>
          <w:lang w:eastAsia="en-US"/>
        </w:rPr>
        <w:t xml:space="preserve"> and V</w:t>
      </w:r>
      <w:r w:rsidR="00040518" w:rsidRPr="00AB34C7">
        <w:rPr>
          <w:rFonts w:asciiTheme="minorHAnsi" w:hAnsiTheme="minorHAnsi"/>
          <w:snapToGrid w:val="0"/>
          <w:lang w:eastAsia="en-US"/>
        </w:rPr>
        <w:t>EN</w:t>
      </w:r>
      <w:r w:rsidRPr="00AB34C7">
        <w:rPr>
          <w:rFonts w:asciiTheme="minorHAnsi" w:hAnsiTheme="minorHAnsi"/>
          <w:snapToGrid w:val="0"/>
          <w:lang w:eastAsia="en-US"/>
        </w:rPr>
        <w:t xml:space="preserve">+OBI is likely supported, but with </w:t>
      </w:r>
      <w:r w:rsidR="002653D4" w:rsidRPr="00AB34C7">
        <w:rPr>
          <w:rFonts w:asciiTheme="minorHAnsi" w:hAnsiTheme="minorHAnsi"/>
          <w:snapToGrid w:val="0"/>
          <w:lang w:eastAsia="en-US"/>
        </w:rPr>
        <w:t>some</w:t>
      </w:r>
      <w:r w:rsidRPr="00AB34C7">
        <w:rPr>
          <w:rFonts w:asciiTheme="minorHAnsi" w:hAnsiTheme="minorHAnsi"/>
          <w:snapToGrid w:val="0"/>
          <w:lang w:eastAsia="en-US"/>
        </w:rPr>
        <w:t xml:space="preserve"> uncertainty due to differences in the </w:t>
      </w:r>
      <w:r w:rsidR="00E31D8F" w:rsidRPr="00AB34C7">
        <w:rPr>
          <w:rFonts w:asciiTheme="minorHAnsi" w:hAnsiTheme="minorHAnsi"/>
          <w:snapToGrid w:val="0"/>
          <w:lang w:eastAsia="en-US"/>
        </w:rPr>
        <w:t xml:space="preserve">CHL </w:t>
      </w:r>
      <w:r w:rsidRPr="00AB34C7">
        <w:rPr>
          <w:rFonts w:asciiTheme="minorHAnsi" w:hAnsiTheme="minorHAnsi"/>
          <w:snapToGrid w:val="0"/>
          <w:lang w:eastAsia="en-US"/>
        </w:rPr>
        <w:t xml:space="preserve">dosing and results </w:t>
      </w:r>
      <w:r w:rsidR="00AE19BD" w:rsidRPr="00AB34C7">
        <w:rPr>
          <w:rFonts w:asciiTheme="minorHAnsi" w:hAnsiTheme="minorHAnsi"/>
          <w:snapToGrid w:val="0"/>
          <w:lang w:eastAsia="en-US"/>
        </w:rPr>
        <w:t>for the common arm</w:t>
      </w:r>
      <w:r w:rsidRPr="00AB34C7">
        <w:rPr>
          <w:rFonts w:asciiTheme="minorHAnsi" w:hAnsiTheme="minorHAnsi"/>
          <w:snapToGrid w:val="0"/>
          <w:lang w:eastAsia="en-US"/>
        </w:rPr>
        <w:t xml:space="preserve"> in the anchored ITC, as well as issues around the selection of variables for the</w:t>
      </w:r>
      <w:r w:rsidR="00AE19BD" w:rsidRPr="00AB34C7">
        <w:rPr>
          <w:rFonts w:asciiTheme="minorHAnsi" w:hAnsiTheme="minorHAnsi"/>
          <w:snapToGrid w:val="0"/>
          <w:lang w:eastAsia="en-US"/>
        </w:rPr>
        <w:t xml:space="preserve"> unanchored</w:t>
      </w:r>
      <w:r w:rsidRPr="00AB34C7">
        <w:rPr>
          <w:rFonts w:asciiTheme="minorHAnsi" w:hAnsiTheme="minorHAnsi"/>
          <w:snapToGrid w:val="0"/>
          <w:lang w:eastAsia="en-US"/>
        </w:rPr>
        <w:t xml:space="preserve"> MAIC, and the lack </w:t>
      </w:r>
      <w:r w:rsidRPr="00AB34C7">
        <w:rPr>
          <w:rFonts w:asciiTheme="minorHAnsi" w:hAnsiTheme="minorHAnsi"/>
          <w:snapToGrid w:val="0"/>
          <w:lang w:eastAsia="en-US"/>
        </w:rPr>
        <w:lastRenderedPageBreak/>
        <w:t xml:space="preserve">of transparency around the methodology used. </w:t>
      </w:r>
    </w:p>
    <w:p w14:paraId="40252C86" w14:textId="3885C0B3" w:rsidR="00D34C7D" w:rsidRPr="00AB34C7" w:rsidRDefault="00722C32" w:rsidP="00D34C7D">
      <w:pPr>
        <w:widowControl w:val="0"/>
        <w:numPr>
          <w:ilvl w:val="1"/>
          <w:numId w:val="1"/>
        </w:numPr>
        <w:spacing w:after="120"/>
        <w:ind w:left="720" w:hanging="720"/>
        <w:rPr>
          <w:rFonts w:asciiTheme="minorHAnsi" w:hAnsiTheme="minorHAnsi"/>
          <w:snapToGrid w:val="0"/>
          <w:lang w:eastAsia="en-US"/>
        </w:rPr>
      </w:pPr>
      <w:r w:rsidRPr="00AB34C7">
        <w:rPr>
          <w:rFonts w:asciiTheme="minorHAnsi" w:hAnsiTheme="minorHAnsi"/>
          <w:snapToGrid w:val="0"/>
          <w:lang w:eastAsia="en-US"/>
        </w:rPr>
        <w:t>The PBAC considered that the safety of IBR+</w:t>
      </w:r>
      <w:r w:rsidR="00040518" w:rsidRPr="00AB34C7">
        <w:rPr>
          <w:rFonts w:asciiTheme="minorHAnsi" w:hAnsiTheme="minorHAnsi"/>
          <w:snapToGrid w:val="0"/>
          <w:lang w:eastAsia="en-US"/>
        </w:rPr>
        <w:t>VEN</w:t>
      </w:r>
      <w:r w:rsidRPr="00AB34C7">
        <w:rPr>
          <w:rFonts w:asciiTheme="minorHAnsi" w:hAnsiTheme="minorHAnsi"/>
          <w:snapToGrid w:val="0"/>
          <w:lang w:eastAsia="en-US"/>
        </w:rPr>
        <w:t xml:space="preserve"> and V</w:t>
      </w:r>
      <w:r w:rsidR="00040518" w:rsidRPr="00AB34C7">
        <w:rPr>
          <w:rFonts w:asciiTheme="minorHAnsi" w:hAnsiTheme="minorHAnsi"/>
          <w:snapToGrid w:val="0"/>
          <w:lang w:eastAsia="en-US"/>
        </w:rPr>
        <w:t>EN</w:t>
      </w:r>
      <w:r w:rsidRPr="00AB34C7">
        <w:rPr>
          <w:rFonts w:asciiTheme="minorHAnsi" w:hAnsiTheme="minorHAnsi"/>
          <w:snapToGrid w:val="0"/>
          <w:lang w:eastAsia="en-US"/>
        </w:rPr>
        <w:t>+OBI is broadly similar, and that the two treatments have different AE profiles (e.g., the increased risk of atrial fibrillation [AF] seen with IBR+V</w:t>
      </w:r>
      <w:r w:rsidR="00040518" w:rsidRPr="00AB34C7">
        <w:rPr>
          <w:rFonts w:asciiTheme="minorHAnsi" w:hAnsiTheme="minorHAnsi"/>
          <w:snapToGrid w:val="0"/>
          <w:lang w:eastAsia="en-US"/>
        </w:rPr>
        <w:t>EN</w:t>
      </w:r>
      <w:r w:rsidRPr="00AB34C7">
        <w:rPr>
          <w:rFonts w:asciiTheme="minorHAnsi" w:hAnsiTheme="minorHAnsi"/>
          <w:snapToGrid w:val="0"/>
          <w:lang w:eastAsia="en-US"/>
        </w:rPr>
        <w:t>) that should inform patient selection and monitoring. While both IBR+V</w:t>
      </w:r>
      <w:r w:rsidR="00040518" w:rsidRPr="00AB34C7">
        <w:rPr>
          <w:rFonts w:asciiTheme="minorHAnsi" w:hAnsiTheme="minorHAnsi"/>
          <w:snapToGrid w:val="0"/>
          <w:lang w:eastAsia="en-US"/>
        </w:rPr>
        <w:t>EN</w:t>
      </w:r>
      <w:r w:rsidRPr="00AB34C7">
        <w:rPr>
          <w:rFonts w:asciiTheme="minorHAnsi" w:hAnsiTheme="minorHAnsi"/>
          <w:snapToGrid w:val="0"/>
          <w:lang w:eastAsia="en-US"/>
        </w:rPr>
        <w:t xml:space="preserve"> and V</w:t>
      </w:r>
      <w:r w:rsidR="00040518" w:rsidRPr="00AB34C7">
        <w:rPr>
          <w:rFonts w:asciiTheme="minorHAnsi" w:hAnsiTheme="minorHAnsi"/>
          <w:snapToGrid w:val="0"/>
          <w:lang w:eastAsia="en-US"/>
        </w:rPr>
        <w:t>EN</w:t>
      </w:r>
      <w:r w:rsidRPr="00AB34C7">
        <w:rPr>
          <w:rFonts w:asciiTheme="minorHAnsi" w:hAnsiTheme="minorHAnsi"/>
          <w:snapToGrid w:val="0"/>
          <w:lang w:eastAsia="en-US"/>
        </w:rPr>
        <w:t>+OBI were associated with more Grade 5 AEs than CHL+OBI, early deaths were not as common in the CAPTIVATE IBR</w:t>
      </w:r>
      <w:r w:rsidR="00E31D8F" w:rsidRPr="00AB34C7">
        <w:rPr>
          <w:rFonts w:asciiTheme="minorHAnsi" w:hAnsiTheme="minorHAnsi"/>
          <w:snapToGrid w:val="0"/>
          <w:lang w:eastAsia="en-US"/>
        </w:rPr>
        <w:t>+</w:t>
      </w:r>
      <w:r w:rsidRPr="00AB34C7">
        <w:rPr>
          <w:rFonts w:asciiTheme="minorHAnsi" w:hAnsiTheme="minorHAnsi"/>
          <w:snapToGrid w:val="0"/>
          <w:lang w:eastAsia="en-US"/>
        </w:rPr>
        <w:t>V</w:t>
      </w:r>
      <w:r w:rsidR="00040518" w:rsidRPr="00AB34C7">
        <w:rPr>
          <w:rFonts w:asciiTheme="minorHAnsi" w:hAnsiTheme="minorHAnsi"/>
          <w:snapToGrid w:val="0"/>
          <w:lang w:eastAsia="en-US"/>
        </w:rPr>
        <w:t>EN</w:t>
      </w:r>
      <w:r w:rsidRPr="00AB34C7">
        <w:rPr>
          <w:rFonts w:asciiTheme="minorHAnsi" w:hAnsiTheme="minorHAnsi"/>
          <w:snapToGrid w:val="0"/>
          <w:lang w:eastAsia="en-US"/>
        </w:rPr>
        <w:t xml:space="preserve"> single-arm study that included a younger, fitter patient group</w:t>
      </w:r>
      <w:r w:rsidR="00AB34C7">
        <w:rPr>
          <w:rFonts w:asciiTheme="minorHAnsi" w:hAnsiTheme="minorHAnsi"/>
          <w:snapToGrid w:val="0"/>
          <w:lang w:eastAsia="en-US"/>
        </w:rPr>
        <w:t>.</w:t>
      </w:r>
    </w:p>
    <w:p w14:paraId="1E029345" w14:textId="39BA6E45" w:rsidR="00E2423D" w:rsidRPr="00AB34C7" w:rsidRDefault="00D34C7D" w:rsidP="00D34C7D">
      <w:pPr>
        <w:widowControl w:val="0"/>
        <w:numPr>
          <w:ilvl w:val="1"/>
          <w:numId w:val="1"/>
        </w:numPr>
        <w:spacing w:after="120"/>
        <w:ind w:left="720" w:hanging="720"/>
        <w:rPr>
          <w:rFonts w:asciiTheme="minorHAnsi" w:hAnsiTheme="minorHAnsi"/>
          <w:snapToGrid w:val="0"/>
          <w:lang w:eastAsia="en-US"/>
        </w:rPr>
      </w:pPr>
      <w:r w:rsidRPr="00AB34C7">
        <w:rPr>
          <w:rFonts w:asciiTheme="minorHAnsi" w:hAnsiTheme="minorHAnsi"/>
          <w:snapToGrid w:val="0"/>
          <w:lang w:eastAsia="en-US"/>
        </w:rPr>
        <w:t>Th</w:t>
      </w:r>
      <w:r w:rsidR="00E2423D" w:rsidRPr="00AB34C7">
        <w:rPr>
          <w:lang w:eastAsia="en-US"/>
        </w:rPr>
        <w:t xml:space="preserve">e PBAC noted that the resubmission presented a cost-minimisation approach (CMA) of IBR+VEN compared to VEN+OBI. The PBAC noted this was in line with its advice from the December 2022 meeting and considered this was appropriate and consistent with the claim of non-inferior efficacy and safety. </w:t>
      </w:r>
    </w:p>
    <w:p w14:paraId="49B7432C" w14:textId="79CF9F8E" w:rsidR="008F6F10" w:rsidRPr="00AB34C7" w:rsidRDefault="00386ACB" w:rsidP="003A1FDF">
      <w:pPr>
        <w:widowControl w:val="0"/>
        <w:numPr>
          <w:ilvl w:val="1"/>
          <w:numId w:val="1"/>
        </w:numPr>
        <w:spacing w:after="120"/>
        <w:ind w:left="720" w:hanging="720"/>
        <w:rPr>
          <w:rFonts w:asciiTheme="minorHAnsi" w:hAnsiTheme="minorHAnsi"/>
          <w:snapToGrid w:val="0"/>
          <w:lang w:eastAsia="en-US"/>
        </w:rPr>
      </w:pPr>
      <w:r w:rsidRPr="00AB34C7">
        <w:rPr>
          <w:rFonts w:asciiTheme="minorHAnsi" w:hAnsiTheme="minorHAnsi"/>
          <w:snapToGrid w:val="0"/>
          <w:lang w:eastAsia="en-US"/>
        </w:rPr>
        <w:t xml:space="preserve">The PBAC noted that the equi-effective doses were </w:t>
      </w:r>
      <w:r w:rsidR="00C807DA" w:rsidRPr="00AB34C7">
        <w:rPr>
          <w:rFonts w:asciiTheme="minorHAnsi" w:hAnsiTheme="minorHAnsi"/>
          <w:snapToGrid w:val="0"/>
          <w:lang w:eastAsia="en-US"/>
        </w:rPr>
        <w:t xml:space="preserve">as follows: </w:t>
      </w:r>
      <w:r w:rsidRPr="00AB34C7">
        <w:rPr>
          <w:rFonts w:asciiTheme="minorHAnsi" w:hAnsiTheme="minorHAnsi"/>
          <w:snapToGrid w:val="0"/>
          <w:lang w:eastAsia="en-US"/>
        </w:rPr>
        <w:t xml:space="preserve">1.0 initial and 8.67 continuing </w:t>
      </w:r>
      <w:r w:rsidR="00AE19BD" w:rsidRPr="00AB34C7">
        <w:rPr>
          <w:rFonts w:asciiTheme="minorHAnsi" w:hAnsiTheme="minorHAnsi"/>
          <w:snapToGrid w:val="0"/>
          <w:lang w:eastAsia="en-US"/>
        </w:rPr>
        <w:t xml:space="preserve">VEN </w:t>
      </w:r>
      <w:r w:rsidRPr="00AB34C7">
        <w:rPr>
          <w:rFonts w:asciiTheme="minorHAnsi" w:hAnsiTheme="minorHAnsi"/>
          <w:snapToGrid w:val="0"/>
          <w:lang w:eastAsia="en-US"/>
        </w:rPr>
        <w:t xml:space="preserve">scripts plus 7.355 </w:t>
      </w:r>
      <w:r w:rsidR="00AE19BD" w:rsidRPr="00AB34C7">
        <w:rPr>
          <w:rFonts w:asciiTheme="minorHAnsi" w:hAnsiTheme="minorHAnsi"/>
          <w:snapToGrid w:val="0"/>
          <w:lang w:eastAsia="en-US"/>
        </w:rPr>
        <w:t xml:space="preserve">OBI </w:t>
      </w:r>
      <w:r w:rsidRPr="00AB34C7">
        <w:rPr>
          <w:rFonts w:asciiTheme="minorHAnsi" w:hAnsiTheme="minorHAnsi"/>
          <w:snapToGrid w:val="0"/>
          <w:lang w:eastAsia="en-US"/>
        </w:rPr>
        <w:t xml:space="preserve">scripts are equivalent to 12.06 </w:t>
      </w:r>
      <w:r w:rsidR="00AE19BD" w:rsidRPr="00AB34C7">
        <w:rPr>
          <w:rFonts w:asciiTheme="minorHAnsi" w:hAnsiTheme="minorHAnsi"/>
          <w:snapToGrid w:val="0"/>
          <w:lang w:eastAsia="en-US"/>
        </w:rPr>
        <w:t xml:space="preserve">IBR </w:t>
      </w:r>
      <w:r w:rsidRPr="00AB34C7">
        <w:rPr>
          <w:rFonts w:asciiTheme="minorHAnsi" w:hAnsiTheme="minorHAnsi"/>
          <w:snapToGrid w:val="0"/>
          <w:lang w:eastAsia="en-US"/>
        </w:rPr>
        <w:t xml:space="preserve">scripts plus 1.0 initial and 9.43 continuing </w:t>
      </w:r>
      <w:r w:rsidR="00AE19BD" w:rsidRPr="00AB34C7">
        <w:rPr>
          <w:rFonts w:asciiTheme="minorHAnsi" w:hAnsiTheme="minorHAnsi"/>
          <w:snapToGrid w:val="0"/>
          <w:lang w:eastAsia="en-US"/>
        </w:rPr>
        <w:t xml:space="preserve">VEN </w:t>
      </w:r>
      <w:r w:rsidRPr="00AB34C7">
        <w:rPr>
          <w:rFonts w:asciiTheme="minorHAnsi" w:hAnsiTheme="minorHAnsi"/>
          <w:snapToGrid w:val="0"/>
          <w:lang w:eastAsia="en-US"/>
        </w:rPr>
        <w:t>scripts</w:t>
      </w:r>
      <w:r w:rsidR="00AB34C7">
        <w:rPr>
          <w:rFonts w:asciiTheme="minorHAnsi" w:hAnsiTheme="minorHAnsi"/>
          <w:snapToGrid w:val="0"/>
          <w:lang w:eastAsia="en-US"/>
        </w:rPr>
        <w:t xml:space="preserve">. </w:t>
      </w:r>
    </w:p>
    <w:p w14:paraId="7B2ECDAC" w14:textId="06117218" w:rsidR="003A1FDF" w:rsidRPr="00B95C74" w:rsidRDefault="00386ACB" w:rsidP="004A1F23">
      <w:pPr>
        <w:widowControl w:val="0"/>
        <w:numPr>
          <w:ilvl w:val="1"/>
          <w:numId w:val="1"/>
        </w:numPr>
        <w:spacing w:after="120"/>
        <w:ind w:left="720" w:hanging="720"/>
        <w:rPr>
          <w:rFonts w:asciiTheme="minorHAnsi" w:hAnsiTheme="minorHAnsi"/>
          <w:snapToGrid w:val="0"/>
        </w:rPr>
      </w:pPr>
      <w:r w:rsidRPr="00B95C74">
        <w:rPr>
          <w:rFonts w:asciiTheme="minorHAnsi" w:hAnsiTheme="minorHAnsi"/>
          <w:snapToGrid w:val="0"/>
        </w:rPr>
        <w:t xml:space="preserve">The PBAC noted that the mean treatment duration </w:t>
      </w:r>
      <w:r w:rsidR="00AE19BD" w:rsidRPr="00B95C74">
        <w:rPr>
          <w:rFonts w:asciiTheme="minorHAnsi" w:hAnsiTheme="minorHAnsi"/>
          <w:snapToGrid w:val="0"/>
        </w:rPr>
        <w:t xml:space="preserve">for IBR+VEN </w:t>
      </w:r>
      <w:r w:rsidRPr="00B95C74">
        <w:rPr>
          <w:rFonts w:asciiTheme="minorHAnsi" w:hAnsiTheme="minorHAnsi"/>
          <w:snapToGrid w:val="0"/>
        </w:rPr>
        <w:t>was based on the GLOW trial, which specifically included older</w:t>
      </w:r>
      <w:r w:rsidR="00C807DA" w:rsidRPr="00B95C74">
        <w:rPr>
          <w:rFonts w:asciiTheme="minorHAnsi" w:hAnsiTheme="minorHAnsi"/>
          <w:snapToGrid w:val="0"/>
        </w:rPr>
        <w:t xml:space="preserve"> or </w:t>
      </w:r>
      <w:r w:rsidRPr="00B95C74">
        <w:rPr>
          <w:rFonts w:asciiTheme="minorHAnsi" w:hAnsiTheme="minorHAnsi"/>
          <w:snapToGrid w:val="0"/>
        </w:rPr>
        <w:t xml:space="preserve">more comorbid patients </w:t>
      </w:r>
      <w:r w:rsidR="00C807DA" w:rsidRPr="00B95C74">
        <w:rPr>
          <w:rFonts w:asciiTheme="minorHAnsi" w:hAnsiTheme="minorHAnsi"/>
          <w:snapToGrid w:val="0"/>
        </w:rPr>
        <w:t>(</w:t>
      </w:r>
      <w:r w:rsidR="00C807DA" w:rsidRPr="00B95C74">
        <w:rPr>
          <w:rFonts w:asciiTheme="minorHAnsi" w:hAnsiTheme="minorHAnsi" w:cstheme="minorHAnsi"/>
          <w:snapToGrid w:val="0"/>
        </w:rPr>
        <w:t>≥</w:t>
      </w:r>
      <w:r w:rsidR="00C807DA" w:rsidRPr="00B95C74">
        <w:rPr>
          <w:rFonts w:asciiTheme="minorHAnsi" w:hAnsiTheme="minorHAnsi"/>
          <w:snapToGrid w:val="0"/>
        </w:rPr>
        <w:t>65 years or 18-64 years and CIRS score &gt;6 or CrCl &lt;70 ml/min)</w:t>
      </w:r>
      <w:r w:rsidRPr="00B95C74">
        <w:rPr>
          <w:rFonts w:asciiTheme="minorHAnsi" w:hAnsiTheme="minorHAnsi"/>
          <w:snapToGrid w:val="0"/>
        </w:rPr>
        <w:t xml:space="preserve">, while the requested population was not limited by </w:t>
      </w:r>
      <w:r w:rsidR="00C807DA" w:rsidRPr="00B95C74">
        <w:rPr>
          <w:rFonts w:asciiTheme="minorHAnsi" w:hAnsiTheme="minorHAnsi"/>
          <w:snapToGrid w:val="0"/>
        </w:rPr>
        <w:t xml:space="preserve">age (other than </w:t>
      </w:r>
      <w:r w:rsidR="00C807DA" w:rsidRPr="00B95C74">
        <w:rPr>
          <w:rFonts w:asciiTheme="minorHAnsi" w:hAnsiTheme="minorHAnsi" w:cstheme="minorHAnsi"/>
          <w:snapToGrid w:val="0"/>
        </w:rPr>
        <w:t>≥</w:t>
      </w:r>
      <w:r w:rsidR="00C807DA" w:rsidRPr="00B95C74">
        <w:rPr>
          <w:rFonts w:asciiTheme="minorHAnsi" w:hAnsiTheme="minorHAnsi"/>
          <w:snapToGrid w:val="0"/>
        </w:rPr>
        <w:t>18 years) or comorbidity</w:t>
      </w:r>
      <w:r w:rsidRPr="00B95C74">
        <w:rPr>
          <w:rFonts w:asciiTheme="minorHAnsi" w:hAnsiTheme="minorHAnsi"/>
          <w:snapToGrid w:val="0"/>
        </w:rPr>
        <w:t>, and as such</w:t>
      </w:r>
      <w:r w:rsidR="00C807DA" w:rsidRPr="00B95C74">
        <w:rPr>
          <w:rFonts w:asciiTheme="minorHAnsi" w:hAnsiTheme="minorHAnsi"/>
          <w:snapToGrid w:val="0"/>
        </w:rPr>
        <w:t>,</w:t>
      </w:r>
      <w:r w:rsidRPr="00B95C74">
        <w:rPr>
          <w:rFonts w:asciiTheme="minorHAnsi" w:hAnsiTheme="minorHAnsi"/>
          <w:snapToGrid w:val="0"/>
        </w:rPr>
        <w:t xml:space="preserve"> treatment duration in clinical practice may be longer than assumed in the CMA. However, the PBAC noted that this broadening of the population also applied to </w:t>
      </w:r>
      <w:r w:rsidR="00C807DA" w:rsidRPr="00B95C74">
        <w:rPr>
          <w:rFonts w:asciiTheme="minorHAnsi" w:hAnsiTheme="minorHAnsi"/>
          <w:snapToGrid w:val="0"/>
        </w:rPr>
        <w:t xml:space="preserve">the listing of </w:t>
      </w:r>
      <w:r w:rsidRPr="00B95C74">
        <w:rPr>
          <w:rFonts w:asciiTheme="minorHAnsi" w:hAnsiTheme="minorHAnsi"/>
          <w:snapToGrid w:val="0"/>
        </w:rPr>
        <w:t>VEN+OBI</w:t>
      </w:r>
      <w:r w:rsidR="00C807DA" w:rsidRPr="00B95C74">
        <w:rPr>
          <w:rFonts w:asciiTheme="minorHAnsi" w:hAnsiTheme="minorHAnsi"/>
          <w:snapToGrid w:val="0"/>
        </w:rPr>
        <w:t>,</w:t>
      </w:r>
      <w:r w:rsidRPr="00B95C74">
        <w:rPr>
          <w:rFonts w:asciiTheme="minorHAnsi" w:hAnsiTheme="minorHAnsi"/>
          <w:snapToGrid w:val="0"/>
        </w:rPr>
        <w:t xml:space="preserve"> </w:t>
      </w:r>
      <w:r w:rsidR="00C807DA" w:rsidRPr="00B95C74">
        <w:rPr>
          <w:rFonts w:asciiTheme="minorHAnsi" w:hAnsiTheme="minorHAnsi"/>
          <w:snapToGrid w:val="0"/>
        </w:rPr>
        <w:t xml:space="preserve">which was based on the CLL-14 trial and which also included an older, more comorbid population </w:t>
      </w:r>
      <w:r w:rsidRPr="00B95C74">
        <w:rPr>
          <w:rFonts w:asciiTheme="minorHAnsi" w:hAnsiTheme="minorHAnsi"/>
          <w:snapToGrid w:val="0"/>
        </w:rPr>
        <w:t>(</w:t>
      </w:r>
      <w:r w:rsidR="00C807DA" w:rsidRPr="00B95C74">
        <w:rPr>
          <w:rFonts w:asciiTheme="minorHAnsi" w:hAnsiTheme="minorHAnsi"/>
          <w:snapToGrid w:val="0"/>
        </w:rPr>
        <w:t>CIRS score &gt;6 or CrCl &lt;70 ml/min</w:t>
      </w:r>
      <w:r w:rsidRPr="00B95C74">
        <w:rPr>
          <w:rFonts w:asciiTheme="minorHAnsi" w:hAnsiTheme="minorHAnsi"/>
          <w:snapToGrid w:val="0"/>
        </w:rPr>
        <w:t>)</w:t>
      </w:r>
      <w:r w:rsidR="00AB34C7">
        <w:rPr>
          <w:rFonts w:asciiTheme="minorHAnsi" w:hAnsiTheme="minorHAnsi"/>
          <w:snapToGrid w:val="0"/>
        </w:rPr>
        <w:t xml:space="preserve">. </w:t>
      </w:r>
      <w:r w:rsidR="00C807DA" w:rsidRPr="00B95C74">
        <w:rPr>
          <w:rFonts w:asciiTheme="minorHAnsi" w:hAnsiTheme="minorHAnsi"/>
          <w:snapToGrid w:val="0"/>
        </w:rPr>
        <w:t xml:space="preserve">Thus, the PBAC considered that this </w:t>
      </w:r>
      <w:r w:rsidR="00AE19BD" w:rsidRPr="00B95C74">
        <w:rPr>
          <w:rFonts w:asciiTheme="minorHAnsi" w:hAnsiTheme="minorHAnsi"/>
          <w:snapToGrid w:val="0"/>
        </w:rPr>
        <w:t xml:space="preserve">was likely to </w:t>
      </w:r>
      <w:r w:rsidR="00C807DA" w:rsidRPr="00B95C74">
        <w:rPr>
          <w:rFonts w:asciiTheme="minorHAnsi" w:hAnsiTheme="minorHAnsi"/>
          <w:snapToGrid w:val="0"/>
        </w:rPr>
        <w:t>have minimal effect on the cost-minimised price</w:t>
      </w:r>
      <w:r w:rsidR="00AB34C7">
        <w:rPr>
          <w:rFonts w:asciiTheme="minorHAnsi" w:hAnsiTheme="minorHAnsi"/>
          <w:snapToGrid w:val="0"/>
        </w:rPr>
        <w:t xml:space="preserve">. </w:t>
      </w:r>
    </w:p>
    <w:p w14:paraId="1936E2BD" w14:textId="06EDE904" w:rsidR="00B714C4" w:rsidRPr="00B95C74" w:rsidRDefault="00B714C4" w:rsidP="00566BEA">
      <w:pPr>
        <w:widowControl w:val="0"/>
        <w:numPr>
          <w:ilvl w:val="1"/>
          <w:numId w:val="1"/>
        </w:numPr>
        <w:spacing w:after="120"/>
        <w:ind w:left="720" w:hanging="720"/>
      </w:pPr>
      <w:r w:rsidRPr="00B95C74">
        <w:t xml:space="preserve">The PBAC noted that the CMA should result in the cost of IBR+VEN being no more than </w:t>
      </w:r>
      <w:r w:rsidRPr="00B95C74">
        <w:rPr>
          <w:rFonts w:asciiTheme="minorHAnsi" w:hAnsiTheme="minorHAnsi"/>
          <w:snapToGrid w:val="0"/>
        </w:rPr>
        <w:t>the</w:t>
      </w:r>
      <w:r w:rsidRPr="00B95C74">
        <w:t xml:space="preserve"> cost of VEN+OBI, based on the effective approved ex-manufacturer prices and </w:t>
      </w:r>
      <w:r w:rsidR="004405B8" w:rsidRPr="00B95C74">
        <w:t xml:space="preserve">accurately </w:t>
      </w:r>
      <w:r w:rsidRPr="00B95C74">
        <w:t xml:space="preserve">accounting for differences in </w:t>
      </w:r>
      <w:r w:rsidR="004405B8" w:rsidRPr="00B95C74">
        <w:t>AF</w:t>
      </w:r>
      <w:r w:rsidRPr="00B95C74">
        <w:t xml:space="preserve"> (i.e.</w:t>
      </w:r>
      <w:r w:rsidR="001672AE" w:rsidRPr="00B95C74">
        <w:t>,</w:t>
      </w:r>
      <w:r w:rsidRPr="00B95C74">
        <w:t xml:space="preserve"> as calculated in </w:t>
      </w:r>
      <w:r w:rsidRPr="00B95C74">
        <w:fldChar w:fldCharType="begin" w:fldLock="1"/>
      </w:r>
      <w:r w:rsidRPr="00B95C74">
        <w:instrText xml:space="preserve"> REF _Ref153201278 \h </w:instrText>
      </w:r>
      <w:r w:rsidRPr="00B95C74">
        <w:fldChar w:fldCharType="separate"/>
      </w:r>
      <w:r w:rsidRPr="00AB34C7">
        <w:t xml:space="preserve">Table </w:t>
      </w:r>
      <w:r w:rsidRPr="00B95C74">
        <w:t>14</w:t>
      </w:r>
      <w:r w:rsidRPr="00B95C74">
        <w:fldChar w:fldCharType="end"/>
      </w:r>
      <w:r w:rsidRPr="00B95C74">
        <w:t>, with an incremental cost of $</w:t>
      </w:r>
      <w:r w:rsidR="003666AE" w:rsidRPr="00BD6269">
        <w:rPr>
          <w:color w:val="000000"/>
          <w:w w:val="15"/>
          <w:shd w:val="solid" w:color="000000" w:fill="000000"/>
          <w:fitText w:val="-20" w:id="-962324991"/>
          <w14:textFill>
            <w14:solidFill>
              <w14:srgbClr w14:val="000000">
                <w14:alpha w14:val="100000"/>
              </w14:srgbClr>
            </w14:solidFill>
          </w14:textFill>
        </w:rPr>
        <w:t xml:space="preserve">|  </w:t>
      </w:r>
      <w:r w:rsidR="003666AE" w:rsidRPr="00BD6269">
        <w:rPr>
          <w:color w:val="000000"/>
          <w:spacing w:val="-69"/>
          <w:w w:val="15"/>
          <w:shd w:val="solid" w:color="000000" w:fill="000000"/>
          <w:fitText w:val="-20" w:id="-962324991"/>
          <w14:textFill>
            <w14:solidFill>
              <w14:srgbClr w14:val="000000">
                <w14:alpha w14:val="100000"/>
              </w14:srgbClr>
            </w14:solidFill>
          </w14:textFill>
        </w:rPr>
        <w:t>|</w:t>
      </w:r>
      <w:r w:rsidRPr="00B95C74">
        <w:t>).</w:t>
      </w:r>
    </w:p>
    <w:p w14:paraId="589B1D3E" w14:textId="22ECC57B" w:rsidR="006378BF" w:rsidRPr="00B95C74" w:rsidRDefault="006378BF" w:rsidP="00566BEA">
      <w:pPr>
        <w:widowControl w:val="0"/>
        <w:numPr>
          <w:ilvl w:val="1"/>
          <w:numId w:val="1"/>
        </w:numPr>
        <w:spacing w:after="120"/>
        <w:ind w:left="720" w:hanging="720"/>
      </w:pPr>
      <w:r w:rsidRPr="00B95C74">
        <w:t xml:space="preserve">The PBAC noted that the </w:t>
      </w:r>
      <w:r w:rsidR="004D4D2E" w:rsidRPr="00B95C74">
        <w:t xml:space="preserve">resubmission’s </w:t>
      </w:r>
      <w:r w:rsidRPr="00B95C74">
        <w:t>utilisation and financial impact estimates for IBR+VEN resulted in a</w:t>
      </w:r>
      <w:r w:rsidR="00E93DEF" w:rsidRPr="00B95C74">
        <w:t xml:space="preserve"> small</w:t>
      </w:r>
      <w:r w:rsidRPr="00B95C74">
        <w:t xml:space="preserve"> overall net </w:t>
      </w:r>
      <w:r w:rsidR="00E93DEF" w:rsidRPr="00B95C74">
        <w:t xml:space="preserve">PBS/RPBS/MBS </w:t>
      </w:r>
      <w:r w:rsidRPr="00B95C74">
        <w:t xml:space="preserve">cost, primarily due to the exclusion of some cost </w:t>
      </w:r>
      <w:r w:rsidR="004D4D2E" w:rsidRPr="00B95C74">
        <w:t>offsets</w:t>
      </w:r>
      <w:r w:rsidRPr="00B95C74">
        <w:t xml:space="preserve"> that were included in the cost-minimisation</w:t>
      </w:r>
      <w:r w:rsidR="004D4D2E" w:rsidRPr="00B95C74">
        <w:t xml:space="preserve">, including </w:t>
      </w:r>
      <w:r w:rsidR="004D4D2E" w:rsidRPr="00AB34C7">
        <w:t xml:space="preserve">the </w:t>
      </w:r>
      <w:r w:rsidR="00905D9B" w:rsidRPr="00AB34C7">
        <w:t xml:space="preserve">IV </w:t>
      </w:r>
      <w:r w:rsidR="004D4D2E" w:rsidRPr="00AB34C7">
        <w:t>administration cost for obinutuzumab</w:t>
      </w:r>
      <w:r w:rsidRPr="00B95C74">
        <w:t xml:space="preserve">. Noting that IBR+VEN would substitute for VEN+OBI, the PBAC considered that the </w:t>
      </w:r>
      <w:r w:rsidR="004D4D2E" w:rsidRPr="00B95C74">
        <w:t xml:space="preserve">listing </w:t>
      </w:r>
      <w:r w:rsidRPr="00B95C74">
        <w:t xml:space="preserve">of IBR+VEN should </w:t>
      </w:r>
      <w:r w:rsidR="004D4D2E" w:rsidRPr="00B95C74">
        <w:t xml:space="preserve">be </w:t>
      </w:r>
      <w:r w:rsidR="00905D9B" w:rsidRPr="00B95C74">
        <w:t xml:space="preserve">overall </w:t>
      </w:r>
      <w:r w:rsidR="004D4D2E" w:rsidRPr="00B95C74">
        <w:t>approximately</w:t>
      </w:r>
      <w:r w:rsidRPr="00B95C74">
        <w:t xml:space="preserve"> cost neutral.</w:t>
      </w:r>
    </w:p>
    <w:p w14:paraId="4DA500B0" w14:textId="2526F0A3" w:rsidR="00A00209" w:rsidRDefault="00A00209" w:rsidP="00BF0DB0">
      <w:pPr>
        <w:widowControl w:val="0"/>
        <w:numPr>
          <w:ilvl w:val="1"/>
          <w:numId w:val="1"/>
        </w:numPr>
        <w:spacing w:after="120"/>
        <w:ind w:left="720" w:hanging="720"/>
        <w:rPr>
          <w:rFonts w:asciiTheme="minorHAnsi" w:hAnsiTheme="minorHAnsi"/>
          <w:snapToGrid w:val="0"/>
        </w:rPr>
      </w:pPr>
      <w:r w:rsidRPr="00A00209">
        <w:rPr>
          <w:rFonts w:asciiTheme="minorHAnsi" w:hAnsiTheme="minorHAnsi"/>
          <w:snapToGrid w:val="0"/>
        </w:rPr>
        <w:t xml:space="preserve">The PBAC noted that a Risk Sharing Arrangement (RSA) consisting of subsidisation caps is in place for </w:t>
      </w:r>
      <w:r>
        <w:rPr>
          <w:rFonts w:asciiTheme="minorHAnsi" w:hAnsiTheme="minorHAnsi"/>
          <w:snapToGrid w:val="0"/>
        </w:rPr>
        <w:t>VEN</w:t>
      </w:r>
      <w:r w:rsidRPr="00A00209">
        <w:rPr>
          <w:rFonts w:asciiTheme="minorHAnsi" w:hAnsiTheme="minorHAnsi"/>
          <w:snapToGrid w:val="0"/>
        </w:rPr>
        <w:t xml:space="preserve"> and that as </w:t>
      </w:r>
      <w:r>
        <w:rPr>
          <w:rFonts w:asciiTheme="minorHAnsi" w:hAnsiTheme="minorHAnsi"/>
          <w:snapToGrid w:val="0"/>
        </w:rPr>
        <w:t>VEN+IBR</w:t>
      </w:r>
      <w:r w:rsidRPr="00A00209">
        <w:rPr>
          <w:rFonts w:asciiTheme="minorHAnsi" w:hAnsiTheme="minorHAnsi"/>
          <w:snapToGrid w:val="0"/>
        </w:rPr>
        <w:t xml:space="preserve"> will replace </w:t>
      </w:r>
      <w:r>
        <w:rPr>
          <w:rFonts w:asciiTheme="minorHAnsi" w:hAnsiTheme="minorHAnsi"/>
          <w:snapToGrid w:val="0"/>
        </w:rPr>
        <w:t>VEN+OBI</w:t>
      </w:r>
      <w:r w:rsidRPr="00A00209">
        <w:rPr>
          <w:rFonts w:asciiTheme="minorHAnsi" w:hAnsiTheme="minorHAnsi"/>
          <w:snapToGrid w:val="0"/>
        </w:rPr>
        <w:t xml:space="preserve"> an increase in the use of </w:t>
      </w:r>
      <w:r>
        <w:rPr>
          <w:rFonts w:asciiTheme="minorHAnsi" w:hAnsiTheme="minorHAnsi"/>
          <w:snapToGrid w:val="0"/>
        </w:rPr>
        <w:t>VEN</w:t>
      </w:r>
      <w:r w:rsidRPr="00A00209">
        <w:rPr>
          <w:rFonts w:asciiTheme="minorHAnsi" w:hAnsiTheme="minorHAnsi"/>
          <w:snapToGrid w:val="0"/>
        </w:rPr>
        <w:t xml:space="preserve"> is not expected and thus no </w:t>
      </w:r>
      <w:r w:rsidR="006E721C">
        <w:rPr>
          <w:rFonts w:asciiTheme="minorHAnsi" w:hAnsiTheme="minorHAnsi"/>
          <w:snapToGrid w:val="0"/>
        </w:rPr>
        <w:t>increase to</w:t>
      </w:r>
      <w:r w:rsidRPr="00A00209">
        <w:rPr>
          <w:rFonts w:asciiTheme="minorHAnsi" w:hAnsiTheme="minorHAnsi"/>
          <w:snapToGrid w:val="0"/>
        </w:rPr>
        <w:t xml:space="preserve"> the financial caps would be required to account for the new listing. Additionally, noting that RSAs are in place for both zanubrutinib and for acalabrutinib for the first-line treatment of CLL/SLL, the Committee considered that a RSA for ibrutinib may also be appropriate.</w:t>
      </w:r>
    </w:p>
    <w:p w14:paraId="0F97633C" w14:textId="4928A1D5" w:rsidR="00EB497D" w:rsidRPr="00B95C74" w:rsidRDefault="00EB497D" w:rsidP="00EB497D">
      <w:pPr>
        <w:widowControl w:val="0"/>
        <w:numPr>
          <w:ilvl w:val="1"/>
          <w:numId w:val="1"/>
        </w:numPr>
        <w:spacing w:after="120"/>
        <w:ind w:left="720" w:hanging="720"/>
        <w:rPr>
          <w:rFonts w:asciiTheme="minorHAnsi" w:hAnsiTheme="minorHAnsi"/>
          <w:snapToGrid w:val="0"/>
        </w:rPr>
      </w:pPr>
      <w:r w:rsidRPr="00B95C74">
        <w:rPr>
          <w:rFonts w:asciiTheme="minorHAnsi" w:hAnsiTheme="minorHAnsi"/>
          <w:snapToGrid w:val="0"/>
        </w:rPr>
        <w:t xml:space="preserve">The PBAC noted the request for a </w:t>
      </w:r>
      <w:r w:rsidR="002653D4" w:rsidRPr="00B95C74">
        <w:rPr>
          <w:rFonts w:asciiTheme="minorHAnsi" w:hAnsiTheme="minorHAnsi"/>
          <w:snapToGrid w:val="0"/>
        </w:rPr>
        <w:t>g</w:t>
      </w:r>
      <w:r w:rsidRPr="00B95C74">
        <w:rPr>
          <w:rFonts w:asciiTheme="minorHAnsi" w:hAnsiTheme="minorHAnsi"/>
          <w:snapToGrid w:val="0"/>
        </w:rPr>
        <w:t xml:space="preserve">randfather restriction due to the planned early </w:t>
      </w:r>
      <w:r w:rsidRPr="00B95C74">
        <w:rPr>
          <w:rFonts w:asciiTheme="minorHAnsi" w:hAnsiTheme="minorHAnsi"/>
          <w:snapToGrid w:val="0"/>
        </w:rPr>
        <w:lastRenderedPageBreak/>
        <w:t xml:space="preserve">access to IBR+VEN 3 months prior to PBS listing and considered this was appropriate. </w:t>
      </w:r>
    </w:p>
    <w:p w14:paraId="0B7AC52C" w14:textId="7BD58BD9" w:rsidR="009E7982" w:rsidRPr="00B95C74" w:rsidRDefault="009E7982" w:rsidP="009E7982">
      <w:pPr>
        <w:widowControl w:val="0"/>
        <w:numPr>
          <w:ilvl w:val="1"/>
          <w:numId w:val="1"/>
        </w:numPr>
        <w:spacing w:after="120"/>
        <w:ind w:left="720" w:hanging="720"/>
        <w:rPr>
          <w:rFonts w:asciiTheme="minorHAnsi" w:hAnsiTheme="minorHAnsi"/>
          <w:snapToGrid w:val="0"/>
        </w:rPr>
      </w:pPr>
      <w:r w:rsidRPr="00B95C74">
        <w:rPr>
          <w:rFonts w:asciiTheme="minorHAnsi" w:hAnsiTheme="minorHAnsi"/>
          <w:snapToGrid w:val="0"/>
        </w:rPr>
        <w:t xml:space="preserve">The PBAC agreed with the ESC that the evidence for retreatment with </w:t>
      </w:r>
      <w:r w:rsidR="001672AE" w:rsidRPr="00B95C74">
        <w:rPr>
          <w:rFonts w:asciiTheme="minorHAnsi" w:hAnsiTheme="minorHAnsi"/>
          <w:snapToGrid w:val="0"/>
        </w:rPr>
        <w:t>ibrutinib</w:t>
      </w:r>
      <w:r w:rsidRPr="00B95C74">
        <w:rPr>
          <w:rFonts w:asciiTheme="minorHAnsi" w:hAnsiTheme="minorHAnsi"/>
          <w:snapToGrid w:val="0"/>
        </w:rPr>
        <w:t xml:space="preserve"> is immature and that patients currently have the option of treatment with other BTK inhibitor therapies that are available in the relapsed/refractory setting, noting that in most cases, the physician will choose another agent due to the better safety profiles of the alternative therapies. </w:t>
      </w:r>
    </w:p>
    <w:p w14:paraId="17D281FD" w14:textId="52FF5AE7" w:rsidR="00337A40" w:rsidRPr="00B95C74" w:rsidRDefault="00B403F3" w:rsidP="00630F0A">
      <w:pPr>
        <w:widowControl w:val="0"/>
        <w:numPr>
          <w:ilvl w:val="1"/>
          <w:numId w:val="1"/>
        </w:numPr>
        <w:spacing w:after="120"/>
        <w:ind w:left="720" w:hanging="720"/>
        <w:rPr>
          <w:rFonts w:asciiTheme="minorHAnsi" w:hAnsiTheme="minorHAnsi"/>
          <w:snapToGrid w:val="0"/>
        </w:rPr>
      </w:pPr>
      <w:r w:rsidRPr="00B95C74">
        <w:rPr>
          <w:rFonts w:asciiTheme="minorHAnsi" w:hAnsiTheme="minorHAnsi"/>
          <w:snapToGrid w:val="0"/>
        </w:rPr>
        <w:t xml:space="preserve">The PBAC advised that flow-on changes would be required to the current </w:t>
      </w:r>
      <w:r w:rsidR="001672AE" w:rsidRPr="00B95C74">
        <w:rPr>
          <w:rFonts w:asciiTheme="minorHAnsi" w:hAnsiTheme="minorHAnsi"/>
          <w:snapToGrid w:val="0"/>
        </w:rPr>
        <w:t>venetoclax</w:t>
      </w:r>
      <w:r w:rsidRPr="00B95C74">
        <w:rPr>
          <w:rFonts w:asciiTheme="minorHAnsi" w:hAnsiTheme="minorHAnsi"/>
          <w:snapToGrid w:val="0"/>
        </w:rPr>
        <w:t xml:space="preserve"> listing to allow its use in combination with </w:t>
      </w:r>
      <w:r w:rsidR="001672AE" w:rsidRPr="00B95C74">
        <w:rPr>
          <w:rFonts w:asciiTheme="minorHAnsi" w:hAnsiTheme="minorHAnsi"/>
          <w:snapToGrid w:val="0"/>
        </w:rPr>
        <w:t>ibrutinib</w:t>
      </w:r>
      <w:r w:rsidRPr="00B95C74">
        <w:rPr>
          <w:rFonts w:asciiTheme="minorHAnsi" w:hAnsiTheme="minorHAnsi"/>
          <w:snapToGrid w:val="0"/>
        </w:rPr>
        <w:t xml:space="preserve"> in CLL/SLL</w:t>
      </w:r>
      <w:r w:rsidR="00D57DDB" w:rsidRPr="00B95C74">
        <w:rPr>
          <w:rFonts w:asciiTheme="minorHAnsi" w:hAnsiTheme="minorHAnsi"/>
          <w:snapToGrid w:val="0"/>
        </w:rPr>
        <w:t>, and noted that the restriction</w:t>
      </w:r>
      <w:r w:rsidR="00006375" w:rsidRPr="00B95C74">
        <w:rPr>
          <w:rFonts w:asciiTheme="minorHAnsi" w:hAnsiTheme="minorHAnsi"/>
          <w:snapToGrid w:val="0"/>
        </w:rPr>
        <w:t>s</w:t>
      </w:r>
      <w:r w:rsidR="00D57DDB" w:rsidRPr="00B95C74">
        <w:rPr>
          <w:rFonts w:asciiTheme="minorHAnsi" w:hAnsiTheme="minorHAnsi"/>
          <w:snapToGrid w:val="0"/>
        </w:rPr>
        <w:t xml:space="preserve"> suggested in the submission would </w:t>
      </w:r>
      <w:r w:rsidR="00006375" w:rsidRPr="00B95C74">
        <w:rPr>
          <w:rFonts w:asciiTheme="minorHAnsi" w:hAnsiTheme="minorHAnsi"/>
          <w:snapToGrid w:val="0"/>
        </w:rPr>
        <w:t xml:space="preserve">provide enough tablets for the initial 5-week ramp-up schedule </w:t>
      </w:r>
      <w:r w:rsidR="00EB497D" w:rsidRPr="00B95C74">
        <w:rPr>
          <w:rFonts w:asciiTheme="minorHAnsi" w:hAnsiTheme="minorHAnsi"/>
          <w:snapToGrid w:val="0"/>
        </w:rPr>
        <w:t xml:space="preserve">added to </w:t>
      </w:r>
      <w:r w:rsidR="001672AE" w:rsidRPr="00B95C74">
        <w:rPr>
          <w:rFonts w:asciiTheme="minorHAnsi" w:hAnsiTheme="minorHAnsi"/>
          <w:snapToGrid w:val="0"/>
        </w:rPr>
        <w:t>ibrutinib</w:t>
      </w:r>
      <w:r w:rsidR="00EB497D" w:rsidRPr="00B95C74">
        <w:rPr>
          <w:rFonts w:asciiTheme="minorHAnsi" w:hAnsiTheme="minorHAnsi"/>
          <w:snapToGrid w:val="0"/>
        </w:rPr>
        <w:t xml:space="preserve"> therapy at Week 4 (</w:t>
      </w:r>
      <w:r w:rsidR="00006375" w:rsidRPr="00B95C74">
        <w:rPr>
          <w:rFonts w:asciiTheme="minorHAnsi" w:hAnsiTheme="minorHAnsi"/>
          <w:snapToGrid w:val="0"/>
        </w:rPr>
        <w:t xml:space="preserve">with dosing increasing </w:t>
      </w:r>
      <w:r w:rsidR="00EB497D" w:rsidRPr="00B95C74">
        <w:rPr>
          <w:rFonts w:asciiTheme="minorHAnsi" w:hAnsiTheme="minorHAnsi"/>
          <w:snapToGrid w:val="0"/>
        </w:rPr>
        <w:t xml:space="preserve">weekly </w:t>
      </w:r>
      <w:r w:rsidR="00006375" w:rsidRPr="00B95C74">
        <w:rPr>
          <w:rFonts w:asciiTheme="minorHAnsi" w:hAnsiTheme="minorHAnsi"/>
          <w:snapToGrid w:val="0"/>
        </w:rPr>
        <w:t xml:space="preserve">from </w:t>
      </w:r>
      <w:r w:rsidR="00EB497D" w:rsidRPr="00B95C74">
        <w:rPr>
          <w:rFonts w:asciiTheme="minorHAnsi" w:hAnsiTheme="minorHAnsi"/>
          <w:snapToGrid w:val="0"/>
        </w:rPr>
        <w:t xml:space="preserve">20 mg to 400 mg), followed by 12 30-day cycles at 400 mg. </w:t>
      </w:r>
    </w:p>
    <w:p w14:paraId="6D1E8582" w14:textId="4CCCC505" w:rsidR="005174A3" w:rsidRPr="00B95C74" w:rsidRDefault="005174A3" w:rsidP="005174A3">
      <w:pPr>
        <w:widowControl w:val="0"/>
        <w:numPr>
          <w:ilvl w:val="1"/>
          <w:numId w:val="1"/>
        </w:numPr>
        <w:spacing w:after="120"/>
        <w:ind w:left="720" w:hanging="720"/>
        <w:rPr>
          <w:rFonts w:asciiTheme="minorHAnsi" w:hAnsiTheme="minorHAnsi"/>
          <w:snapToGrid w:val="0"/>
        </w:rPr>
      </w:pPr>
      <w:r w:rsidRPr="00B95C74">
        <w:rPr>
          <w:rFonts w:asciiTheme="minorHAnsi" w:hAnsiTheme="minorHAnsi"/>
          <w:snapToGrid w:val="0"/>
        </w:rPr>
        <w:t xml:space="preserve">The PBAC considered the restriction </w:t>
      </w:r>
      <w:r w:rsidR="00D34C7D" w:rsidRPr="00B95C74">
        <w:rPr>
          <w:rFonts w:asciiTheme="minorHAnsi" w:hAnsiTheme="minorHAnsi"/>
          <w:snapToGrid w:val="0"/>
        </w:rPr>
        <w:t>to be</w:t>
      </w:r>
      <w:r w:rsidRPr="00B95C74">
        <w:rPr>
          <w:rFonts w:asciiTheme="minorHAnsi" w:hAnsiTheme="minorHAnsi"/>
          <w:snapToGrid w:val="0"/>
        </w:rPr>
        <w:t xml:space="preserve"> complex due to </w:t>
      </w:r>
      <w:r w:rsidR="009E7982" w:rsidRPr="00B95C74">
        <w:rPr>
          <w:rFonts w:asciiTheme="minorHAnsi" w:hAnsiTheme="minorHAnsi"/>
          <w:snapToGrid w:val="0"/>
        </w:rPr>
        <w:t xml:space="preserve">the </w:t>
      </w:r>
      <w:r w:rsidRPr="00B95C74">
        <w:rPr>
          <w:rFonts w:asciiTheme="minorHAnsi" w:hAnsiTheme="minorHAnsi"/>
          <w:snapToGrid w:val="0"/>
        </w:rPr>
        <w:t xml:space="preserve">potential flow on changes to the venetoclax listing. </w:t>
      </w:r>
    </w:p>
    <w:p w14:paraId="16CB3EC9" w14:textId="3DCE1FDA" w:rsidR="00B403F3" w:rsidRPr="00B95C74" w:rsidRDefault="00B403F3" w:rsidP="00B403F3">
      <w:pPr>
        <w:widowControl w:val="0"/>
        <w:numPr>
          <w:ilvl w:val="1"/>
          <w:numId w:val="1"/>
        </w:numPr>
        <w:spacing w:after="120"/>
        <w:ind w:left="720" w:hanging="720"/>
      </w:pPr>
      <w:r w:rsidRPr="00B95C74">
        <w:t xml:space="preserve">The PBAC noted that its recommendation was on a cost-minimisation basis and advised that, because IBR+VEN is not expected to provide a substantial and clinically relevant improvement in efficacy, or reduction of toxicity, over VEN+OBI, or not expected to address a high and urgent unmet clinical need given the presence of alternative therapies, the criteria prescribed by the </w:t>
      </w:r>
      <w:r w:rsidRPr="00B95C74">
        <w:rPr>
          <w:i/>
          <w:iCs/>
        </w:rPr>
        <w:t>National Health (Pharmaceuticals and Vaccines - Cost Recovery) Regulations 20</w:t>
      </w:r>
      <w:r w:rsidR="00C9558C" w:rsidRPr="00B95C74">
        <w:rPr>
          <w:i/>
          <w:iCs/>
        </w:rPr>
        <w:t>22</w:t>
      </w:r>
      <w:r w:rsidRPr="00B95C74">
        <w:t xml:space="preserve"> for Pricing Pathway A were not met.</w:t>
      </w:r>
    </w:p>
    <w:p w14:paraId="195B0895" w14:textId="65B112A4" w:rsidR="00B403F3" w:rsidRPr="00B95C74" w:rsidRDefault="00B403F3" w:rsidP="00566BEA">
      <w:pPr>
        <w:widowControl w:val="0"/>
        <w:numPr>
          <w:ilvl w:val="1"/>
          <w:numId w:val="1"/>
        </w:numPr>
        <w:ind w:left="720" w:hanging="720"/>
        <w:contextualSpacing/>
        <w:rPr>
          <w:rFonts w:asciiTheme="minorHAnsi" w:hAnsiTheme="minorHAnsi"/>
          <w:bCs/>
          <w:snapToGrid w:val="0"/>
        </w:rPr>
      </w:pPr>
      <w:r w:rsidRPr="00B95C74">
        <w:rPr>
          <w:rFonts w:asciiTheme="minorHAnsi" w:hAnsiTheme="minorHAnsi"/>
          <w:bCs/>
          <w:snapToGrid w:val="0"/>
        </w:rPr>
        <w:t xml:space="preserve">The PBAC noted that this submission is not eligible for an Independent Review as it received a positive recommendation. </w:t>
      </w:r>
    </w:p>
    <w:bookmarkEnd w:id="70"/>
    <w:p w14:paraId="03B74312" w14:textId="77777777" w:rsidR="004A1F23" w:rsidRPr="00B95C74" w:rsidRDefault="004A1F23" w:rsidP="004A1F23">
      <w:pPr>
        <w:spacing w:before="240"/>
        <w:rPr>
          <w:rFonts w:asciiTheme="minorHAnsi" w:hAnsiTheme="minorHAnsi"/>
          <w:b/>
          <w:bCs/>
          <w:snapToGrid w:val="0"/>
        </w:rPr>
      </w:pPr>
      <w:r w:rsidRPr="00B95C74">
        <w:rPr>
          <w:rFonts w:asciiTheme="minorHAnsi" w:hAnsiTheme="minorHAnsi"/>
          <w:b/>
          <w:bCs/>
          <w:snapToGrid w:val="0"/>
        </w:rPr>
        <w:t>Outcome:</w:t>
      </w:r>
    </w:p>
    <w:p w14:paraId="6E57A649" w14:textId="2FC76D8A" w:rsidR="004A1F23" w:rsidRPr="00F0309A" w:rsidRDefault="004A1F23" w:rsidP="00F0309A">
      <w:pPr>
        <w:rPr>
          <w:rFonts w:asciiTheme="minorHAnsi" w:hAnsiTheme="minorHAnsi"/>
          <w:bCs/>
          <w:snapToGrid w:val="0"/>
        </w:rPr>
      </w:pPr>
      <w:r w:rsidRPr="00B95C74">
        <w:rPr>
          <w:rFonts w:asciiTheme="minorHAnsi" w:hAnsiTheme="minorHAnsi"/>
          <w:bCs/>
          <w:snapToGrid w:val="0"/>
        </w:rPr>
        <w:t>Recommended</w:t>
      </w:r>
    </w:p>
    <w:p w14:paraId="6D6BD498" w14:textId="77777777" w:rsidR="004A1F23" w:rsidRPr="00F0309A" w:rsidRDefault="004A1F23" w:rsidP="00F0309A">
      <w:pPr>
        <w:pStyle w:val="COMH1numbered"/>
      </w:pPr>
      <w:bookmarkStart w:id="71" w:name="_Hlk162084825"/>
      <w:bookmarkEnd w:id="68"/>
      <w:r w:rsidRPr="00F0309A">
        <w:t>Recommended listing</w:t>
      </w:r>
    </w:p>
    <w:p w14:paraId="7C874103" w14:textId="63E9ED80" w:rsidR="00A60785" w:rsidRPr="00F0309A" w:rsidRDefault="009556D8" w:rsidP="00F0309A">
      <w:pPr>
        <w:widowControl w:val="0"/>
        <w:numPr>
          <w:ilvl w:val="1"/>
          <w:numId w:val="1"/>
        </w:numPr>
        <w:spacing w:after="120"/>
        <w:ind w:left="720" w:hanging="720"/>
      </w:pPr>
      <w:r w:rsidRPr="00F0309A">
        <w:t xml:space="preserve">Add new </w:t>
      </w:r>
      <w:r w:rsidR="002A3D73" w:rsidRPr="00F0309A">
        <w:t>indication as follows</w:t>
      </w:r>
      <w:r w:rsidRPr="00F0309A">
        <w:t>:</w:t>
      </w:r>
    </w:p>
    <w:p w14:paraId="38384E47" w14:textId="5753C215" w:rsidR="002C23BF" w:rsidRPr="00B95C74" w:rsidRDefault="00A60785" w:rsidP="002C23BF">
      <w:pPr>
        <w:pStyle w:val="Tableheadingrow"/>
        <w:keepNext w:val="0"/>
        <w:rPr>
          <w:lang w:val="en-AU"/>
        </w:rPr>
      </w:pPr>
      <w:bookmarkStart w:id="72" w:name="_Hlk161917690"/>
      <w:r w:rsidRPr="00B95C74">
        <w:rPr>
          <w:lang w:val="en-AU"/>
        </w:rPr>
        <w:t>INITIAL TREATMENT (CYCLES 1 TO 3 INCLUSIVE)</w:t>
      </w:r>
    </w:p>
    <w:tbl>
      <w:tblPr>
        <w:tblpPr w:leftFromText="181" w:rightFromText="18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
        <w:gridCol w:w="858"/>
        <w:gridCol w:w="2305"/>
        <w:gridCol w:w="1064"/>
        <w:gridCol w:w="1059"/>
        <w:gridCol w:w="835"/>
        <w:gridCol w:w="817"/>
        <w:gridCol w:w="1776"/>
      </w:tblGrid>
      <w:tr w:rsidR="002C23BF" w:rsidRPr="00AB34C7" w14:paraId="16324799" w14:textId="77777777" w:rsidTr="002C23BF">
        <w:trPr>
          <w:cantSplit/>
          <w:trHeight w:val="471"/>
        </w:trPr>
        <w:tc>
          <w:tcPr>
            <w:tcW w:w="1922" w:type="pct"/>
            <w:gridSpan w:val="3"/>
          </w:tcPr>
          <w:p w14:paraId="631FCCD0" w14:textId="77777777" w:rsidR="002C23BF" w:rsidRPr="00AB34C7" w:rsidRDefault="002C23BF" w:rsidP="002C23BF">
            <w:pPr>
              <w:ind w:left="-57"/>
              <w:rPr>
                <w:rFonts w:ascii="Arial Narrow" w:hAnsi="Arial Narrow"/>
                <w:b/>
                <w:bCs/>
                <w:sz w:val="20"/>
                <w:szCs w:val="20"/>
              </w:rPr>
            </w:pPr>
            <w:r w:rsidRPr="00AB34C7">
              <w:rPr>
                <w:rFonts w:ascii="Arial Narrow" w:hAnsi="Arial Narrow"/>
                <w:b/>
                <w:bCs/>
                <w:sz w:val="20"/>
                <w:szCs w:val="20"/>
              </w:rPr>
              <w:t>MEDICINAL PRODUCT</w:t>
            </w:r>
          </w:p>
          <w:p w14:paraId="56012B4B" w14:textId="77777777" w:rsidR="002C23BF" w:rsidRPr="00AB34C7" w:rsidRDefault="002C23BF" w:rsidP="002C23BF">
            <w:pPr>
              <w:ind w:left="-57"/>
              <w:rPr>
                <w:rFonts w:ascii="Arial Narrow" w:hAnsi="Arial Narrow"/>
                <w:b/>
                <w:sz w:val="20"/>
                <w:szCs w:val="20"/>
              </w:rPr>
            </w:pPr>
            <w:r w:rsidRPr="00AB34C7">
              <w:rPr>
                <w:rFonts w:ascii="Arial Narrow" w:hAnsi="Arial Narrow"/>
                <w:b/>
                <w:bCs/>
                <w:sz w:val="20"/>
                <w:szCs w:val="20"/>
              </w:rPr>
              <w:t>medicinal product pack</w:t>
            </w:r>
          </w:p>
        </w:tc>
        <w:tc>
          <w:tcPr>
            <w:tcW w:w="590" w:type="pct"/>
          </w:tcPr>
          <w:p w14:paraId="05E6AD06" w14:textId="77777777" w:rsidR="002C23BF" w:rsidRPr="00AB34C7" w:rsidRDefault="002C23BF" w:rsidP="002C23BF">
            <w:pPr>
              <w:ind w:left="-108"/>
              <w:jc w:val="center"/>
              <w:rPr>
                <w:rFonts w:ascii="Arial Narrow" w:hAnsi="Arial Narrow"/>
                <w:b/>
                <w:sz w:val="20"/>
                <w:szCs w:val="20"/>
              </w:rPr>
            </w:pPr>
            <w:r w:rsidRPr="00AB34C7">
              <w:rPr>
                <w:rFonts w:ascii="Arial Narrow" w:hAnsi="Arial Narrow"/>
                <w:b/>
                <w:sz w:val="20"/>
                <w:szCs w:val="20"/>
              </w:rPr>
              <w:t>PBS item code</w:t>
            </w:r>
          </w:p>
        </w:tc>
        <w:tc>
          <w:tcPr>
            <w:tcW w:w="587" w:type="pct"/>
          </w:tcPr>
          <w:p w14:paraId="7D886B4F" w14:textId="77777777" w:rsidR="002C23BF" w:rsidRPr="00AB34C7" w:rsidRDefault="002C23BF" w:rsidP="002C23BF">
            <w:pPr>
              <w:ind w:left="-108"/>
              <w:jc w:val="center"/>
              <w:rPr>
                <w:rFonts w:ascii="Arial Narrow" w:hAnsi="Arial Narrow"/>
                <w:b/>
                <w:sz w:val="20"/>
                <w:szCs w:val="20"/>
              </w:rPr>
            </w:pPr>
            <w:r w:rsidRPr="00AB34C7">
              <w:rPr>
                <w:rFonts w:ascii="Arial Narrow" w:hAnsi="Arial Narrow"/>
                <w:b/>
                <w:sz w:val="20"/>
                <w:szCs w:val="20"/>
              </w:rPr>
              <w:t>Max. qty packs</w:t>
            </w:r>
          </w:p>
        </w:tc>
        <w:tc>
          <w:tcPr>
            <w:tcW w:w="463" w:type="pct"/>
          </w:tcPr>
          <w:p w14:paraId="7589B560" w14:textId="77777777" w:rsidR="002C23BF" w:rsidRPr="00AB34C7" w:rsidRDefault="002C23BF" w:rsidP="002C23BF">
            <w:pPr>
              <w:ind w:left="-108"/>
              <w:jc w:val="center"/>
              <w:rPr>
                <w:rFonts w:ascii="Arial Narrow" w:hAnsi="Arial Narrow"/>
                <w:b/>
                <w:sz w:val="20"/>
                <w:szCs w:val="20"/>
              </w:rPr>
            </w:pPr>
            <w:r w:rsidRPr="00AB34C7">
              <w:rPr>
                <w:rFonts w:ascii="Arial Narrow" w:hAnsi="Arial Narrow"/>
                <w:b/>
                <w:sz w:val="20"/>
                <w:szCs w:val="20"/>
              </w:rPr>
              <w:t>Max. qty units</w:t>
            </w:r>
          </w:p>
        </w:tc>
        <w:tc>
          <w:tcPr>
            <w:tcW w:w="453" w:type="pct"/>
          </w:tcPr>
          <w:p w14:paraId="3F00117F" w14:textId="77777777" w:rsidR="002C23BF" w:rsidRPr="00AB34C7" w:rsidRDefault="002C23BF" w:rsidP="002C23BF">
            <w:pPr>
              <w:ind w:left="-108"/>
              <w:jc w:val="center"/>
              <w:rPr>
                <w:rFonts w:ascii="Arial Narrow" w:hAnsi="Arial Narrow"/>
                <w:b/>
                <w:sz w:val="20"/>
                <w:szCs w:val="20"/>
              </w:rPr>
            </w:pPr>
            <w:r w:rsidRPr="00AB34C7">
              <w:rPr>
                <w:rFonts w:ascii="Arial Narrow" w:hAnsi="Arial Narrow"/>
                <w:b/>
                <w:sz w:val="20"/>
                <w:szCs w:val="20"/>
              </w:rPr>
              <w:t>№.of</w:t>
            </w:r>
          </w:p>
          <w:p w14:paraId="00AC0517" w14:textId="77777777" w:rsidR="002C23BF" w:rsidRPr="00AB34C7" w:rsidRDefault="002C23BF" w:rsidP="002C23BF">
            <w:pPr>
              <w:ind w:left="-108"/>
              <w:jc w:val="center"/>
              <w:rPr>
                <w:rFonts w:ascii="Arial Narrow" w:hAnsi="Arial Narrow"/>
                <w:b/>
                <w:sz w:val="20"/>
                <w:szCs w:val="20"/>
              </w:rPr>
            </w:pPr>
            <w:r w:rsidRPr="00AB34C7">
              <w:rPr>
                <w:rFonts w:ascii="Arial Narrow" w:hAnsi="Arial Narrow"/>
                <w:b/>
                <w:sz w:val="20"/>
                <w:szCs w:val="20"/>
              </w:rPr>
              <w:t>Rpts</w:t>
            </w:r>
          </w:p>
        </w:tc>
        <w:tc>
          <w:tcPr>
            <w:tcW w:w="985" w:type="pct"/>
          </w:tcPr>
          <w:p w14:paraId="624BEF90" w14:textId="77777777" w:rsidR="002C23BF" w:rsidRPr="00B95C74" w:rsidRDefault="002C23BF" w:rsidP="002C23BF">
            <w:pPr>
              <w:jc w:val="center"/>
              <w:rPr>
                <w:rFonts w:ascii="Arial Narrow" w:hAnsi="Arial Narrow"/>
                <w:b/>
                <w:sz w:val="20"/>
                <w:szCs w:val="20"/>
              </w:rPr>
            </w:pPr>
            <w:r w:rsidRPr="00AB34C7">
              <w:rPr>
                <w:rFonts w:ascii="Arial Narrow" w:hAnsi="Arial Narrow"/>
                <w:b/>
                <w:sz w:val="20"/>
                <w:szCs w:val="20"/>
              </w:rPr>
              <w:t>Available brands</w:t>
            </w:r>
          </w:p>
        </w:tc>
      </w:tr>
      <w:tr w:rsidR="002C23BF" w:rsidRPr="00AB34C7" w14:paraId="49DBDE4E" w14:textId="77777777" w:rsidTr="002C23BF">
        <w:trPr>
          <w:cantSplit/>
          <w:trHeight w:val="224"/>
        </w:trPr>
        <w:tc>
          <w:tcPr>
            <w:tcW w:w="5000" w:type="pct"/>
            <w:gridSpan w:val="8"/>
          </w:tcPr>
          <w:p w14:paraId="21F1872F" w14:textId="77777777" w:rsidR="002C23BF" w:rsidRPr="00AB34C7" w:rsidRDefault="002C23BF" w:rsidP="002C23BF">
            <w:pPr>
              <w:ind w:left="-57"/>
              <w:rPr>
                <w:rFonts w:ascii="Arial Narrow" w:hAnsi="Arial Narrow"/>
                <w:sz w:val="20"/>
                <w:szCs w:val="20"/>
              </w:rPr>
            </w:pPr>
            <w:r w:rsidRPr="00AB34C7">
              <w:rPr>
                <w:rFonts w:ascii="Arial Narrow" w:hAnsi="Arial Narrow"/>
                <w:sz w:val="20"/>
                <w:szCs w:val="20"/>
              </w:rPr>
              <w:t>IBRUTINIB</w:t>
            </w:r>
          </w:p>
        </w:tc>
      </w:tr>
      <w:tr w:rsidR="002C23BF" w:rsidRPr="00AB34C7" w14:paraId="4FA054AC" w14:textId="77777777" w:rsidTr="002C23BF">
        <w:trPr>
          <w:cantSplit/>
          <w:trHeight w:val="126"/>
        </w:trPr>
        <w:tc>
          <w:tcPr>
            <w:tcW w:w="1922" w:type="pct"/>
            <w:gridSpan w:val="3"/>
          </w:tcPr>
          <w:p w14:paraId="12EC3413" w14:textId="77777777" w:rsidR="002C23BF" w:rsidRPr="00AB34C7" w:rsidRDefault="002C23BF" w:rsidP="002C23BF">
            <w:pPr>
              <w:ind w:left="-57"/>
              <w:rPr>
                <w:rFonts w:ascii="Arial Narrow" w:hAnsi="Arial Narrow"/>
                <w:sz w:val="20"/>
                <w:szCs w:val="20"/>
              </w:rPr>
            </w:pPr>
            <w:r w:rsidRPr="00AB34C7">
              <w:rPr>
                <w:rFonts w:ascii="Arial Narrow" w:hAnsi="Arial Narrow" w:cstheme="minorBidi"/>
                <w:sz w:val="20"/>
                <w:szCs w:val="20"/>
              </w:rPr>
              <w:t>ibrutinib 140 mg capsule, 90</w:t>
            </w:r>
          </w:p>
        </w:tc>
        <w:tc>
          <w:tcPr>
            <w:tcW w:w="590" w:type="pct"/>
          </w:tcPr>
          <w:p w14:paraId="0A96794C" w14:textId="77777777" w:rsidR="002C23BF" w:rsidRPr="00AB34C7" w:rsidRDefault="002C23BF" w:rsidP="002C23BF">
            <w:pPr>
              <w:jc w:val="center"/>
              <w:rPr>
                <w:rFonts w:ascii="Arial Narrow" w:hAnsi="Arial Narrow"/>
                <w:sz w:val="20"/>
                <w:szCs w:val="20"/>
              </w:rPr>
            </w:pPr>
            <w:r w:rsidRPr="00AB34C7">
              <w:rPr>
                <w:rFonts w:ascii="Arial Narrow" w:hAnsi="Arial Narrow"/>
                <w:sz w:val="20"/>
                <w:szCs w:val="20"/>
              </w:rPr>
              <w:t>NEW</w:t>
            </w:r>
          </w:p>
        </w:tc>
        <w:tc>
          <w:tcPr>
            <w:tcW w:w="587" w:type="pct"/>
          </w:tcPr>
          <w:p w14:paraId="49B81B85" w14:textId="77777777" w:rsidR="002C23BF" w:rsidRPr="00AB34C7" w:rsidRDefault="002C23BF" w:rsidP="002C23BF">
            <w:pPr>
              <w:jc w:val="center"/>
              <w:rPr>
                <w:rFonts w:ascii="Arial Narrow" w:hAnsi="Arial Narrow"/>
                <w:sz w:val="20"/>
                <w:szCs w:val="20"/>
              </w:rPr>
            </w:pPr>
            <w:r w:rsidRPr="00AB34C7">
              <w:rPr>
                <w:rFonts w:ascii="Arial Narrow" w:hAnsi="Arial Narrow"/>
                <w:sz w:val="20"/>
                <w:szCs w:val="20"/>
              </w:rPr>
              <w:t>1</w:t>
            </w:r>
          </w:p>
        </w:tc>
        <w:tc>
          <w:tcPr>
            <w:tcW w:w="463" w:type="pct"/>
          </w:tcPr>
          <w:p w14:paraId="37049F06" w14:textId="77777777" w:rsidR="002C23BF" w:rsidRPr="00AB34C7" w:rsidRDefault="002C23BF" w:rsidP="002C23BF">
            <w:pPr>
              <w:jc w:val="center"/>
              <w:rPr>
                <w:rFonts w:ascii="Arial Narrow" w:hAnsi="Arial Narrow"/>
                <w:sz w:val="20"/>
                <w:szCs w:val="20"/>
              </w:rPr>
            </w:pPr>
            <w:r w:rsidRPr="00AB34C7">
              <w:rPr>
                <w:rFonts w:ascii="Arial Narrow" w:hAnsi="Arial Narrow"/>
                <w:sz w:val="20"/>
                <w:szCs w:val="20"/>
              </w:rPr>
              <w:t>90</w:t>
            </w:r>
          </w:p>
        </w:tc>
        <w:tc>
          <w:tcPr>
            <w:tcW w:w="453" w:type="pct"/>
          </w:tcPr>
          <w:p w14:paraId="47557DA0" w14:textId="77777777" w:rsidR="002C23BF" w:rsidRPr="00AB34C7" w:rsidRDefault="002C23BF" w:rsidP="002C23BF">
            <w:pPr>
              <w:jc w:val="center"/>
              <w:rPr>
                <w:rFonts w:ascii="Arial Narrow" w:hAnsi="Arial Narrow"/>
                <w:sz w:val="20"/>
                <w:szCs w:val="20"/>
              </w:rPr>
            </w:pPr>
            <w:r w:rsidRPr="00AB34C7">
              <w:rPr>
                <w:rFonts w:ascii="Arial Narrow" w:hAnsi="Arial Narrow"/>
                <w:sz w:val="20"/>
                <w:szCs w:val="20"/>
              </w:rPr>
              <w:t>2</w:t>
            </w:r>
          </w:p>
        </w:tc>
        <w:tc>
          <w:tcPr>
            <w:tcW w:w="985" w:type="pct"/>
          </w:tcPr>
          <w:p w14:paraId="35C131CD" w14:textId="77777777" w:rsidR="002C23BF" w:rsidRPr="00AB34C7" w:rsidRDefault="002C23BF" w:rsidP="002C23BF">
            <w:pPr>
              <w:jc w:val="center"/>
              <w:rPr>
                <w:rFonts w:ascii="Arial Narrow" w:eastAsiaTheme="majorEastAsia" w:hAnsi="Arial Narrow" w:cstheme="majorBidi"/>
                <w:bCs/>
                <w:sz w:val="20"/>
                <w:szCs w:val="20"/>
              </w:rPr>
            </w:pPr>
            <w:r w:rsidRPr="00AB34C7">
              <w:rPr>
                <w:rFonts w:ascii="Arial Narrow" w:eastAsiaTheme="majorEastAsia" w:hAnsi="Arial Narrow"/>
                <w:bCs/>
                <w:sz w:val="20"/>
                <w:szCs w:val="20"/>
              </w:rPr>
              <w:t>Imbruvica</w:t>
            </w:r>
          </w:p>
        </w:tc>
      </w:tr>
      <w:tr w:rsidR="002C23BF" w:rsidRPr="00AB34C7" w14:paraId="34CFC3E3" w14:textId="77777777" w:rsidTr="002C23BF">
        <w:trPr>
          <w:cantSplit/>
          <w:trHeight w:val="138"/>
        </w:trPr>
        <w:tc>
          <w:tcPr>
            <w:tcW w:w="1922" w:type="pct"/>
            <w:gridSpan w:val="3"/>
          </w:tcPr>
          <w:p w14:paraId="54DD2419" w14:textId="77777777" w:rsidR="002C23BF" w:rsidRPr="00AB34C7" w:rsidRDefault="002C23BF" w:rsidP="002C23BF">
            <w:pPr>
              <w:ind w:left="-57"/>
              <w:rPr>
                <w:rFonts w:ascii="Arial Narrow" w:hAnsi="Arial Narrow" w:cstheme="minorBidi"/>
                <w:sz w:val="20"/>
                <w:szCs w:val="20"/>
              </w:rPr>
            </w:pPr>
            <w:r w:rsidRPr="00AB34C7">
              <w:rPr>
                <w:rFonts w:ascii="Arial Narrow" w:hAnsi="Arial Narrow" w:cstheme="minorBidi"/>
                <w:sz w:val="20"/>
                <w:szCs w:val="20"/>
              </w:rPr>
              <w:t>ibrutinib 280 mg tablet, 30</w:t>
            </w:r>
          </w:p>
        </w:tc>
        <w:tc>
          <w:tcPr>
            <w:tcW w:w="590" w:type="pct"/>
          </w:tcPr>
          <w:p w14:paraId="42BEB636" w14:textId="77777777" w:rsidR="002C23BF" w:rsidRPr="00AB34C7" w:rsidRDefault="002C23BF" w:rsidP="002C23BF">
            <w:pPr>
              <w:jc w:val="center"/>
              <w:rPr>
                <w:rFonts w:ascii="Arial Narrow" w:hAnsi="Arial Narrow"/>
                <w:sz w:val="20"/>
                <w:szCs w:val="20"/>
              </w:rPr>
            </w:pPr>
            <w:r w:rsidRPr="00AB34C7">
              <w:rPr>
                <w:rFonts w:ascii="Arial Narrow" w:hAnsi="Arial Narrow"/>
                <w:sz w:val="20"/>
                <w:szCs w:val="20"/>
              </w:rPr>
              <w:t>NEW</w:t>
            </w:r>
          </w:p>
        </w:tc>
        <w:tc>
          <w:tcPr>
            <w:tcW w:w="587" w:type="pct"/>
          </w:tcPr>
          <w:p w14:paraId="29611B5F" w14:textId="77777777" w:rsidR="002C23BF" w:rsidRPr="00AB34C7" w:rsidRDefault="002C23BF" w:rsidP="002C23BF">
            <w:pPr>
              <w:jc w:val="center"/>
              <w:rPr>
                <w:rFonts w:ascii="Arial Narrow" w:hAnsi="Arial Narrow"/>
                <w:sz w:val="20"/>
                <w:szCs w:val="20"/>
              </w:rPr>
            </w:pPr>
            <w:r w:rsidRPr="00AB34C7">
              <w:rPr>
                <w:rFonts w:ascii="Arial Narrow" w:hAnsi="Arial Narrow"/>
                <w:sz w:val="20"/>
                <w:szCs w:val="20"/>
              </w:rPr>
              <w:t>1</w:t>
            </w:r>
          </w:p>
        </w:tc>
        <w:tc>
          <w:tcPr>
            <w:tcW w:w="463" w:type="pct"/>
          </w:tcPr>
          <w:p w14:paraId="0D63D89E" w14:textId="77777777" w:rsidR="002C23BF" w:rsidRPr="00AB34C7" w:rsidRDefault="002C23BF" w:rsidP="002C23BF">
            <w:pPr>
              <w:jc w:val="center"/>
              <w:rPr>
                <w:rFonts w:ascii="Arial Narrow" w:hAnsi="Arial Narrow"/>
                <w:sz w:val="20"/>
                <w:szCs w:val="20"/>
              </w:rPr>
            </w:pPr>
            <w:r w:rsidRPr="00AB34C7">
              <w:rPr>
                <w:rFonts w:ascii="Arial Narrow" w:hAnsi="Arial Narrow"/>
                <w:sz w:val="20"/>
                <w:szCs w:val="20"/>
              </w:rPr>
              <w:t>30</w:t>
            </w:r>
          </w:p>
        </w:tc>
        <w:tc>
          <w:tcPr>
            <w:tcW w:w="453" w:type="pct"/>
          </w:tcPr>
          <w:p w14:paraId="4A79D55A" w14:textId="77777777" w:rsidR="002C23BF" w:rsidRPr="00AB34C7" w:rsidRDefault="002C23BF" w:rsidP="002C23BF">
            <w:pPr>
              <w:jc w:val="center"/>
              <w:rPr>
                <w:rFonts w:ascii="Arial Narrow" w:hAnsi="Arial Narrow"/>
                <w:sz w:val="20"/>
                <w:szCs w:val="20"/>
              </w:rPr>
            </w:pPr>
            <w:r w:rsidRPr="00AB34C7">
              <w:rPr>
                <w:rFonts w:ascii="Arial Narrow" w:hAnsi="Arial Narrow"/>
                <w:sz w:val="20"/>
                <w:szCs w:val="20"/>
              </w:rPr>
              <w:t>2</w:t>
            </w:r>
          </w:p>
        </w:tc>
        <w:tc>
          <w:tcPr>
            <w:tcW w:w="985" w:type="pct"/>
          </w:tcPr>
          <w:p w14:paraId="3EFAC120" w14:textId="77777777" w:rsidR="002C23BF" w:rsidRPr="00AB34C7" w:rsidRDefault="002C23BF" w:rsidP="002C23BF">
            <w:pPr>
              <w:jc w:val="center"/>
              <w:rPr>
                <w:rFonts w:ascii="Arial Narrow" w:eastAsiaTheme="majorEastAsia" w:hAnsi="Arial Narrow"/>
                <w:bCs/>
                <w:sz w:val="20"/>
                <w:szCs w:val="20"/>
              </w:rPr>
            </w:pPr>
            <w:r w:rsidRPr="00AB34C7">
              <w:rPr>
                <w:rFonts w:ascii="Arial Narrow" w:eastAsiaTheme="majorEastAsia" w:hAnsi="Arial Narrow"/>
                <w:bCs/>
                <w:sz w:val="20"/>
                <w:szCs w:val="20"/>
              </w:rPr>
              <w:t>Imbruvica</w:t>
            </w:r>
          </w:p>
        </w:tc>
      </w:tr>
      <w:tr w:rsidR="002C23BF" w:rsidRPr="00AB34C7" w14:paraId="28A7AFB5" w14:textId="77777777" w:rsidTr="002C23BF">
        <w:trPr>
          <w:cantSplit/>
          <w:trHeight w:val="138"/>
        </w:trPr>
        <w:tc>
          <w:tcPr>
            <w:tcW w:w="1922" w:type="pct"/>
            <w:gridSpan w:val="3"/>
          </w:tcPr>
          <w:p w14:paraId="219ABE73" w14:textId="77777777" w:rsidR="002C23BF" w:rsidRPr="00AB34C7" w:rsidRDefault="002C23BF" w:rsidP="002C23BF">
            <w:pPr>
              <w:ind w:left="-57"/>
              <w:rPr>
                <w:rFonts w:ascii="Arial Narrow" w:hAnsi="Arial Narrow" w:cstheme="minorBidi"/>
                <w:sz w:val="20"/>
                <w:szCs w:val="20"/>
              </w:rPr>
            </w:pPr>
            <w:r w:rsidRPr="00AB34C7">
              <w:rPr>
                <w:rFonts w:ascii="Arial Narrow" w:hAnsi="Arial Narrow" w:cstheme="minorBidi"/>
                <w:sz w:val="20"/>
                <w:szCs w:val="20"/>
              </w:rPr>
              <w:t>ibrutinib 420 mg tablet, 30</w:t>
            </w:r>
          </w:p>
        </w:tc>
        <w:tc>
          <w:tcPr>
            <w:tcW w:w="590" w:type="pct"/>
          </w:tcPr>
          <w:p w14:paraId="4888F33B" w14:textId="77777777" w:rsidR="002C23BF" w:rsidRPr="00AB34C7" w:rsidRDefault="002C23BF" w:rsidP="002C23BF">
            <w:pPr>
              <w:jc w:val="center"/>
              <w:rPr>
                <w:rFonts w:ascii="Arial Narrow" w:hAnsi="Arial Narrow"/>
                <w:sz w:val="20"/>
                <w:szCs w:val="20"/>
              </w:rPr>
            </w:pPr>
            <w:r w:rsidRPr="00AB34C7">
              <w:rPr>
                <w:rFonts w:ascii="Arial Narrow" w:hAnsi="Arial Narrow"/>
                <w:sz w:val="20"/>
                <w:szCs w:val="20"/>
              </w:rPr>
              <w:t>NEW</w:t>
            </w:r>
          </w:p>
        </w:tc>
        <w:tc>
          <w:tcPr>
            <w:tcW w:w="587" w:type="pct"/>
          </w:tcPr>
          <w:p w14:paraId="48E7F3C7" w14:textId="77777777" w:rsidR="002C23BF" w:rsidRPr="00AB34C7" w:rsidRDefault="002C23BF" w:rsidP="002C23BF">
            <w:pPr>
              <w:jc w:val="center"/>
              <w:rPr>
                <w:rFonts w:ascii="Arial Narrow" w:hAnsi="Arial Narrow"/>
                <w:sz w:val="20"/>
                <w:szCs w:val="20"/>
              </w:rPr>
            </w:pPr>
            <w:r w:rsidRPr="00AB34C7">
              <w:rPr>
                <w:rFonts w:ascii="Arial Narrow" w:hAnsi="Arial Narrow"/>
                <w:sz w:val="20"/>
                <w:szCs w:val="20"/>
              </w:rPr>
              <w:t>1</w:t>
            </w:r>
          </w:p>
        </w:tc>
        <w:tc>
          <w:tcPr>
            <w:tcW w:w="463" w:type="pct"/>
          </w:tcPr>
          <w:p w14:paraId="057FEEDD" w14:textId="77777777" w:rsidR="002C23BF" w:rsidRPr="00AB34C7" w:rsidRDefault="002C23BF" w:rsidP="002C23BF">
            <w:pPr>
              <w:jc w:val="center"/>
              <w:rPr>
                <w:rFonts w:ascii="Arial Narrow" w:hAnsi="Arial Narrow"/>
                <w:sz w:val="20"/>
                <w:szCs w:val="20"/>
              </w:rPr>
            </w:pPr>
            <w:r w:rsidRPr="00AB34C7">
              <w:rPr>
                <w:rFonts w:ascii="Arial Narrow" w:hAnsi="Arial Narrow"/>
                <w:sz w:val="20"/>
                <w:szCs w:val="20"/>
              </w:rPr>
              <w:t>30</w:t>
            </w:r>
          </w:p>
        </w:tc>
        <w:tc>
          <w:tcPr>
            <w:tcW w:w="453" w:type="pct"/>
          </w:tcPr>
          <w:p w14:paraId="17FB5866" w14:textId="77777777" w:rsidR="002C23BF" w:rsidRPr="00AB34C7" w:rsidRDefault="002C23BF" w:rsidP="002C23BF">
            <w:pPr>
              <w:jc w:val="center"/>
              <w:rPr>
                <w:rFonts w:ascii="Arial Narrow" w:hAnsi="Arial Narrow"/>
                <w:sz w:val="20"/>
                <w:szCs w:val="20"/>
              </w:rPr>
            </w:pPr>
            <w:r w:rsidRPr="00AB34C7">
              <w:rPr>
                <w:rFonts w:ascii="Arial Narrow" w:hAnsi="Arial Narrow"/>
                <w:sz w:val="20"/>
                <w:szCs w:val="20"/>
              </w:rPr>
              <w:t>2</w:t>
            </w:r>
          </w:p>
        </w:tc>
        <w:tc>
          <w:tcPr>
            <w:tcW w:w="985" w:type="pct"/>
          </w:tcPr>
          <w:p w14:paraId="207AF8CE" w14:textId="77777777" w:rsidR="002C23BF" w:rsidRPr="00AB34C7" w:rsidRDefault="002C23BF" w:rsidP="002C23BF">
            <w:pPr>
              <w:jc w:val="center"/>
              <w:rPr>
                <w:rFonts w:ascii="Arial Narrow" w:eastAsiaTheme="majorEastAsia" w:hAnsi="Arial Narrow"/>
                <w:bCs/>
                <w:sz w:val="20"/>
                <w:szCs w:val="20"/>
              </w:rPr>
            </w:pPr>
            <w:r w:rsidRPr="00AB34C7">
              <w:rPr>
                <w:rFonts w:ascii="Arial Narrow" w:eastAsiaTheme="majorEastAsia" w:hAnsi="Arial Narrow"/>
                <w:bCs/>
                <w:sz w:val="20"/>
                <w:szCs w:val="20"/>
              </w:rPr>
              <w:t>Imbruvica</w:t>
            </w:r>
          </w:p>
        </w:tc>
      </w:tr>
      <w:tr w:rsidR="002C23BF" w:rsidRPr="00AB34C7" w14:paraId="2FB41DD1" w14:textId="77777777" w:rsidTr="002C23BF">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14:paraId="440C876C" w14:textId="77777777" w:rsidR="002C23BF" w:rsidRPr="00AB34C7" w:rsidRDefault="002C23BF" w:rsidP="002C23BF">
            <w:pPr>
              <w:rPr>
                <w:rFonts w:ascii="Arial Narrow" w:hAnsi="Arial Narrow"/>
                <w:sz w:val="20"/>
                <w:szCs w:val="20"/>
              </w:rPr>
            </w:pPr>
          </w:p>
        </w:tc>
      </w:tr>
      <w:tr w:rsidR="002C23BF" w:rsidRPr="00AB34C7" w14:paraId="15F91C95" w14:textId="77777777" w:rsidTr="002C23BF">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14:paraId="2BE89DC3" w14:textId="77777777" w:rsidR="002C23BF" w:rsidRPr="00AB34C7" w:rsidRDefault="002C23BF" w:rsidP="002C23BF">
            <w:pPr>
              <w:rPr>
                <w:rFonts w:ascii="Arial Narrow" w:hAnsi="Arial Narrow"/>
                <w:b/>
                <w:sz w:val="20"/>
                <w:szCs w:val="20"/>
              </w:rPr>
            </w:pPr>
            <w:r w:rsidRPr="00AB34C7">
              <w:rPr>
                <w:rFonts w:ascii="Arial Narrow" w:hAnsi="Arial Narrow"/>
                <w:b/>
                <w:sz w:val="20"/>
                <w:szCs w:val="20"/>
              </w:rPr>
              <w:t xml:space="preserve">Restriction Summary [new] / Treatment of Concept: [new] </w:t>
            </w:r>
          </w:p>
        </w:tc>
      </w:tr>
      <w:tr w:rsidR="002C23BF" w:rsidRPr="00AB34C7" w14:paraId="3721022E" w14:textId="77777777" w:rsidTr="002C23BF">
        <w:tblPrEx>
          <w:tblCellMar>
            <w:top w:w="15" w:type="dxa"/>
            <w:left w:w="15" w:type="dxa"/>
            <w:bottom w:w="15" w:type="dxa"/>
            <w:right w:w="15" w:type="dxa"/>
          </w:tblCellMar>
          <w:tblLook w:val="04A0" w:firstRow="1" w:lastRow="0" w:firstColumn="1" w:lastColumn="0" w:noHBand="0" w:noVBand="1"/>
        </w:tblPrEx>
        <w:tc>
          <w:tcPr>
            <w:tcW w:w="644" w:type="pct"/>
            <w:gridSpan w:val="2"/>
            <w:vMerge w:val="restart"/>
            <w:tcBorders>
              <w:top w:val="single" w:sz="4" w:space="0" w:color="auto"/>
              <w:left w:val="single" w:sz="4" w:space="0" w:color="auto"/>
              <w:right w:val="single" w:sz="4" w:space="0" w:color="auto"/>
            </w:tcBorders>
          </w:tcPr>
          <w:p w14:paraId="37F9B52E" w14:textId="192C8277" w:rsidR="002C23BF" w:rsidRPr="00AB34C7" w:rsidRDefault="002C23BF" w:rsidP="002C23BF">
            <w:pPr>
              <w:jc w:val="center"/>
              <w:rPr>
                <w:rFonts w:ascii="Arial Narrow" w:hAnsi="Arial Narrow"/>
                <w:b/>
                <w:sz w:val="20"/>
                <w:szCs w:val="20"/>
              </w:rPr>
            </w:pPr>
          </w:p>
        </w:tc>
        <w:tc>
          <w:tcPr>
            <w:tcW w:w="4356" w:type="pct"/>
            <w:gridSpan w:val="6"/>
            <w:tcBorders>
              <w:top w:val="single" w:sz="4" w:space="0" w:color="auto"/>
              <w:left w:val="single" w:sz="4" w:space="0" w:color="auto"/>
              <w:bottom w:val="single" w:sz="4" w:space="0" w:color="auto"/>
              <w:right w:val="single" w:sz="4" w:space="0" w:color="auto"/>
            </w:tcBorders>
          </w:tcPr>
          <w:p w14:paraId="01A87870" w14:textId="77777777" w:rsidR="002C23BF" w:rsidRPr="00AB34C7" w:rsidRDefault="002C23BF" w:rsidP="002C23BF">
            <w:pPr>
              <w:rPr>
                <w:rFonts w:ascii="Arial Narrow" w:hAnsi="Arial Narrow"/>
                <w:sz w:val="20"/>
                <w:szCs w:val="20"/>
              </w:rPr>
            </w:pPr>
            <w:r w:rsidRPr="00AB34C7">
              <w:rPr>
                <w:rFonts w:ascii="Arial Narrow" w:hAnsi="Arial Narrow"/>
                <w:b/>
                <w:sz w:val="20"/>
                <w:szCs w:val="20"/>
              </w:rPr>
              <w:t xml:space="preserve">Category / Program: </w:t>
            </w:r>
            <w:r w:rsidRPr="00AB34C7">
              <w:rPr>
                <w:rFonts w:ascii="Arial Narrow" w:hAnsi="Arial Narrow"/>
                <w:sz w:val="20"/>
                <w:szCs w:val="20"/>
              </w:rPr>
              <w:t xml:space="preserve">GENERAL – General Schedule (Code GE) </w:t>
            </w:r>
          </w:p>
        </w:tc>
      </w:tr>
      <w:tr w:rsidR="002C23BF" w:rsidRPr="00AB34C7" w14:paraId="425E0BF8" w14:textId="77777777" w:rsidTr="002C23BF">
        <w:tblPrEx>
          <w:tblCellMar>
            <w:top w:w="15" w:type="dxa"/>
            <w:left w:w="15" w:type="dxa"/>
            <w:bottom w:w="15" w:type="dxa"/>
            <w:right w:w="15" w:type="dxa"/>
          </w:tblCellMar>
          <w:tblLook w:val="04A0" w:firstRow="1" w:lastRow="0" w:firstColumn="1" w:lastColumn="0" w:noHBand="0" w:noVBand="1"/>
        </w:tblPrEx>
        <w:trPr>
          <w:trHeight w:val="240"/>
        </w:trPr>
        <w:tc>
          <w:tcPr>
            <w:tcW w:w="644" w:type="pct"/>
            <w:gridSpan w:val="2"/>
            <w:vMerge/>
            <w:tcBorders>
              <w:left w:val="single" w:sz="4" w:space="0" w:color="auto"/>
              <w:right w:val="single" w:sz="4" w:space="0" w:color="auto"/>
            </w:tcBorders>
          </w:tcPr>
          <w:p w14:paraId="085D7FF9" w14:textId="77777777" w:rsidR="002C23BF" w:rsidRPr="00AB34C7" w:rsidRDefault="002C23BF" w:rsidP="002C23BF">
            <w:pPr>
              <w:rPr>
                <w:rFonts w:ascii="Arial Narrow" w:hAnsi="Arial Narrow"/>
                <w:sz w:val="20"/>
                <w:szCs w:val="20"/>
              </w:rPr>
            </w:pPr>
          </w:p>
        </w:tc>
        <w:tc>
          <w:tcPr>
            <w:tcW w:w="4356" w:type="pct"/>
            <w:gridSpan w:val="6"/>
            <w:tcBorders>
              <w:top w:val="single" w:sz="4" w:space="0" w:color="auto"/>
              <w:left w:val="single" w:sz="4" w:space="0" w:color="auto"/>
              <w:bottom w:val="single" w:sz="4" w:space="0" w:color="auto"/>
              <w:right w:val="single" w:sz="4" w:space="0" w:color="auto"/>
            </w:tcBorders>
          </w:tcPr>
          <w:p w14:paraId="0603298F" w14:textId="77777777" w:rsidR="002C23BF" w:rsidRPr="00AB34C7" w:rsidRDefault="002C23BF" w:rsidP="002C23BF">
            <w:pPr>
              <w:rPr>
                <w:rFonts w:ascii="Arial Narrow" w:hAnsi="Arial Narrow"/>
                <w:b/>
                <w:sz w:val="20"/>
                <w:szCs w:val="20"/>
              </w:rPr>
            </w:pPr>
            <w:r w:rsidRPr="00AB34C7">
              <w:rPr>
                <w:rFonts w:ascii="Arial Narrow" w:hAnsi="Arial Narrow"/>
                <w:b/>
                <w:sz w:val="20"/>
                <w:szCs w:val="20"/>
              </w:rPr>
              <w:t xml:space="preserve">Prescriber type: </w:t>
            </w:r>
            <w:r w:rsidRPr="00AB34C7">
              <w:rPr>
                <w:rFonts w:ascii="Arial Narrow" w:hAnsi="Arial Narrow"/>
                <w:sz w:val="20"/>
                <w:szCs w:val="20"/>
              </w:rPr>
              <w:fldChar w:fldCharType="begin" w:fldLock="1">
                <w:ffData>
                  <w:name w:val=""/>
                  <w:enabled/>
                  <w:calcOnExit w:val="0"/>
                  <w:checkBox>
                    <w:sizeAuto/>
                    <w:default w:val="1"/>
                  </w:checkBox>
                </w:ffData>
              </w:fldChar>
            </w:r>
            <w:r w:rsidRPr="00AB34C7">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AB34C7">
              <w:rPr>
                <w:rFonts w:ascii="Arial Narrow" w:hAnsi="Arial Narrow"/>
                <w:sz w:val="20"/>
                <w:szCs w:val="20"/>
              </w:rPr>
              <w:fldChar w:fldCharType="end"/>
            </w:r>
            <w:r w:rsidRPr="00AB34C7">
              <w:rPr>
                <w:rFonts w:ascii="Arial Narrow" w:hAnsi="Arial Narrow"/>
                <w:sz w:val="20"/>
                <w:szCs w:val="20"/>
              </w:rPr>
              <w:t>Medical Practitioners</w:t>
            </w:r>
          </w:p>
        </w:tc>
      </w:tr>
      <w:tr w:rsidR="002C23BF" w:rsidRPr="00AB34C7" w14:paraId="72EEB2BB" w14:textId="77777777" w:rsidTr="002C23BF">
        <w:tblPrEx>
          <w:tblCellMar>
            <w:top w:w="15" w:type="dxa"/>
            <w:left w:w="15" w:type="dxa"/>
            <w:bottom w:w="15" w:type="dxa"/>
            <w:right w:w="15" w:type="dxa"/>
          </w:tblCellMar>
          <w:tblLook w:val="04A0" w:firstRow="1" w:lastRow="0" w:firstColumn="1" w:lastColumn="0" w:noHBand="0" w:noVBand="1"/>
        </w:tblPrEx>
        <w:tc>
          <w:tcPr>
            <w:tcW w:w="644" w:type="pct"/>
            <w:gridSpan w:val="2"/>
            <w:vMerge/>
            <w:tcBorders>
              <w:left w:val="single" w:sz="4" w:space="0" w:color="auto"/>
              <w:bottom w:val="single" w:sz="4" w:space="0" w:color="auto"/>
              <w:right w:val="single" w:sz="4" w:space="0" w:color="auto"/>
            </w:tcBorders>
          </w:tcPr>
          <w:p w14:paraId="2CFE0BB3" w14:textId="77777777" w:rsidR="002C23BF" w:rsidRPr="00AB34C7" w:rsidRDefault="002C23BF" w:rsidP="002C23BF">
            <w:pPr>
              <w:rPr>
                <w:rFonts w:ascii="Arial Narrow" w:hAnsi="Arial Narrow"/>
                <w:sz w:val="20"/>
                <w:szCs w:val="20"/>
              </w:rPr>
            </w:pPr>
          </w:p>
        </w:tc>
        <w:tc>
          <w:tcPr>
            <w:tcW w:w="4356" w:type="pct"/>
            <w:gridSpan w:val="6"/>
            <w:tcBorders>
              <w:top w:val="single" w:sz="4" w:space="0" w:color="auto"/>
              <w:left w:val="single" w:sz="4" w:space="0" w:color="auto"/>
              <w:bottom w:val="single" w:sz="4" w:space="0" w:color="auto"/>
              <w:right w:val="single" w:sz="4" w:space="0" w:color="auto"/>
            </w:tcBorders>
          </w:tcPr>
          <w:p w14:paraId="2913AD5E" w14:textId="77777777" w:rsidR="002C23BF" w:rsidRPr="00AB34C7" w:rsidRDefault="002C23BF" w:rsidP="002C23BF">
            <w:pPr>
              <w:rPr>
                <w:rFonts w:ascii="Arial Narrow" w:eastAsia="Calibri" w:hAnsi="Arial Narrow"/>
                <w:sz w:val="20"/>
                <w:szCs w:val="20"/>
              </w:rPr>
            </w:pPr>
            <w:r w:rsidRPr="00AB34C7">
              <w:rPr>
                <w:rFonts w:ascii="Arial Narrow" w:hAnsi="Arial Narrow"/>
                <w:b/>
                <w:sz w:val="20"/>
                <w:szCs w:val="20"/>
              </w:rPr>
              <w:t xml:space="preserve">Restriction type: </w:t>
            </w:r>
            <w:r w:rsidRPr="00AB34C7">
              <w:rPr>
                <w:rFonts w:ascii="Arial Narrow" w:eastAsia="Calibri" w:hAnsi="Arial Narrow"/>
                <w:sz w:val="20"/>
                <w:szCs w:val="20"/>
              </w:rPr>
              <w:fldChar w:fldCharType="begin" w:fldLock="1">
                <w:ffData>
                  <w:name w:val="Check3"/>
                  <w:enabled/>
                  <w:calcOnExit w:val="0"/>
                  <w:checkBox>
                    <w:sizeAuto/>
                    <w:default w:val="1"/>
                  </w:checkBox>
                </w:ffData>
              </w:fldChar>
            </w:r>
            <w:r w:rsidRPr="00AB34C7">
              <w:rPr>
                <w:rFonts w:ascii="Arial Narrow" w:eastAsia="Calibri" w:hAnsi="Arial Narrow"/>
                <w:sz w:val="20"/>
                <w:szCs w:val="20"/>
              </w:rPr>
              <w:instrText xml:space="preserve"> FORMCHECKBOX </w:instrText>
            </w:r>
            <w:r w:rsidR="00000000">
              <w:rPr>
                <w:rFonts w:ascii="Arial Narrow" w:eastAsia="Calibri" w:hAnsi="Arial Narrow"/>
                <w:sz w:val="20"/>
                <w:szCs w:val="20"/>
              </w:rPr>
            </w:r>
            <w:r w:rsidR="00000000">
              <w:rPr>
                <w:rFonts w:ascii="Arial Narrow" w:eastAsia="Calibri" w:hAnsi="Arial Narrow"/>
                <w:sz w:val="20"/>
                <w:szCs w:val="20"/>
              </w:rPr>
              <w:fldChar w:fldCharType="separate"/>
            </w:r>
            <w:r w:rsidRPr="00AB34C7">
              <w:rPr>
                <w:rFonts w:ascii="Arial Narrow" w:eastAsia="Calibri" w:hAnsi="Arial Narrow"/>
                <w:sz w:val="20"/>
                <w:szCs w:val="20"/>
              </w:rPr>
              <w:fldChar w:fldCharType="end"/>
            </w:r>
            <w:r w:rsidRPr="00AB34C7">
              <w:rPr>
                <w:rFonts w:ascii="Arial Narrow" w:eastAsia="Calibri" w:hAnsi="Arial Narrow"/>
                <w:sz w:val="20"/>
                <w:szCs w:val="20"/>
              </w:rPr>
              <w:t xml:space="preserve"> Authority Required (telephone/electronic via PBS Authorities system)</w:t>
            </w:r>
          </w:p>
        </w:tc>
      </w:tr>
      <w:tr w:rsidR="002C23BF" w:rsidRPr="00AB34C7" w14:paraId="52DDA431" w14:textId="77777777" w:rsidTr="002C23BF">
        <w:tblPrEx>
          <w:tblCellMar>
            <w:top w:w="15" w:type="dxa"/>
            <w:left w:w="15" w:type="dxa"/>
            <w:bottom w:w="15" w:type="dxa"/>
            <w:right w:w="15" w:type="dxa"/>
          </w:tblCellMar>
          <w:tblLook w:val="04A0" w:firstRow="1" w:lastRow="0" w:firstColumn="1" w:lastColumn="0" w:noHBand="0" w:noVBand="1"/>
        </w:tblPrEx>
        <w:tc>
          <w:tcPr>
            <w:tcW w:w="644" w:type="pct"/>
            <w:gridSpan w:val="2"/>
            <w:tcBorders>
              <w:left w:val="single" w:sz="4" w:space="0" w:color="auto"/>
              <w:bottom w:val="single" w:sz="4" w:space="0" w:color="auto"/>
              <w:right w:val="single" w:sz="4" w:space="0" w:color="auto"/>
            </w:tcBorders>
          </w:tcPr>
          <w:p w14:paraId="4A4BA9FE" w14:textId="77777777" w:rsidR="002C23BF" w:rsidRPr="00AB34C7" w:rsidRDefault="002C23BF" w:rsidP="002C23BF">
            <w:pPr>
              <w:rPr>
                <w:rFonts w:ascii="Arial Narrow" w:hAnsi="Arial Narrow"/>
                <w:sz w:val="20"/>
                <w:szCs w:val="20"/>
              </w:rPr>
            </w:pPr>
          </w:p>
        </w:tc>
        <w:tc>
          <w:tcPr>
            <w:tcW w:w="4356" w:type="pct"/>
            <w:gridSpan w:val="6"/>
            <w:tcBorders>
              <w:top w:val="single" w:sz="4" w:space="0" w:color="auto"/>
              <w:left w:val="single" w:sz="4" w:space="0" w:color="auto"/>
              <w:bottom w:val="single" w:sz="4" w:space="0" w:color="auto"/>
              <w:right w:val="single" w:sz="4" w:space="0" w:color="auto"/>
            </w:tcBorders>
          </w:tcPr>
          <w:p w14:paraId="53C54B11" w14:textId="77777777" w:rsidR="002C23BF" w:rsidRPr="00AB34C7" w:rsidRDefault="002C23BF" w:rsidP="002C23BF">
            <w:pPr>
              <w:rPr>
                <w:rFonts w:ascii="Arial Narrow" w:hAnsi="Arial Narrow"/>
                <w:b/>
                <w:sz w:val="20"/>
                <w:szCs w:val="20"/>
              </w:rPr>
            </w:pPr>
          </w:p>
        </w:tc>
      </w:tr>
      <w:tr w:rsidR="002C23BF" w:rsidRPr="00AB34C7" w14:paraId="2E4361FB" w14:textId="77777777" w:rsidTr="002C23BF">
        <w:tblPrEx>
          <w:tblCellMar>
            <w:top w:w="15" w:type="dxa"/>
            <w:left w:w="15" w:type="dxa"/>
            <w:bottom w:w="15" w:type="dxa"/>
            <w:right w:w="15" w:type="dxa"/>
          </w:tblCellMar>
          <w:tblLook w:val="04A0" w:firstRow="1" w:lastRow="0" w:firstColumn="1" w:lastColumn="0" w:noHBand="0" w:noVBand="1"/>
        </w:tblPrEx>
        <w:tc>
          <w:tcPr>
            <w:tcW w:w="168" w:type="pct"/>
            <w:vMerge w:val="restart"/>
            <w:tcBorders>
              <w:left w:val="single" w:sz="4" w:space="0" w:color="auto"/>
              <w:right w:val="single" w:sz="4" w:space="0" w:color="auto"/>
            </w:tcBorders>
            <w:textDirection w:val="btLr"/>
          </w:tcPr>
          <w:p w14:paraId="1BF0BD8D" w14:textId="5B95C2B4" w:rsidR="002C23BF" w:rsidRPr="00AB34C7" w:rsidRDefault="002C23BF" w:rsidP="002C23BF">
            <w:pPr>
              <w:ind w:left="113" w:right="113"/>
              <w:jc w:val="center"/>
              <w:rPr>
                <w:rFonts w:ascii="Arial Narrow" w:hAnsi="Arial Narrow"/>
                <w:sz w:val="20"/>
                <w:szCs w:val="20"/>
              </w:rPr>
            </w:pPr>
          </w:p>
        </w:tc>
        <w:tc>
          <w:tcPr>
            <w:tcW w:w="476" w:type="pct"/>
          </w:tcPr>
          <w:p w14:paraId="7DA48437" w14:textId="1B5B6B6E" w:rsidR="002C23BF" w:rsidRPr="00AB34C7" w:rsidRDefault="002C23BF" w:rsidP="002C23BF">
            <w:pPr>
              <w:jc w:val="center"/>
              <w:rPr>
                <w:rFonts w:ascii="Arial Narrow" w:hAnsi="Arial Narrow"/>
                <w:bCs/>
                <w:sz w:val="20"/>
                <w:szCs w:val="20"/>
              </w:rPr>
            </w:pPr>
          </w:p>
        </w:tc>
        <w:tc>
          <w:tcPr>
            <w:tcW w:w="4356" w:type="pct"/>
            <w:gridSpan w:val="6"/>
            <w:tcBorders>
              <w:top w:val="single" w:sz="4" w:space="0" w:color="auto"/>
              <w:left w:val="single" w:sz="4" w:space="0" w:color="auto"/>
              <w:bottom w:val="single" w:sz="4" w:space="0" w:color="auto"/>
              <w:right w:val="single" w:sz="4" w:space="0" w:color="auto"/>
            </w:tcBorders>
            <w:vAlign w:val="center"/>
          </w:tcPr>
          <w:p w14:paraId="2B712273" w14:textId="77777777" w:rsidR="002C23BF" w:rsidRPr="00AB34C7" w:rsidRDefault="002C23BF" w:rsidP="002C23BF">
            <w:pPr>
              <w:rPr>
                <w:rFonts w:ascii="Arial Narrow" w:eastAsia="Arial Narrow" w:hAnsi="Arial Narrow" w:cs="Arial Narrow"/>
                <w:bCs/>
                <w:color w:val="333333"/>
                <w:sz w:val="20"/>
                <w:szCs w:val="20"/>
              </w:rPr>
            </w:pPr>
            <w:r w:rsidRPr="00AB34C7">
              <w:rPr>
                <w:rFonts w:ascii="Arial Narrow" w:eastAsia="Arial Narrow" w:hAnsi="Arial Narrow" w:cs="Arial Narrow"/>
                <w:b/>
                <w:color w:val="333333"/>
                <w:sz w:val="20"/>
                <w:szCs w:val="20"/>
              </w:rPr>
              <w:t xml:space="preserve">Administrative advice: </w:t>
            </w:r>
            <w:r w:rsidRPr="00AB34C7">
              <w:rPr>
                <w:rFonts w:ascii="Arial Narrow" w:eastAsia="Arial Narrow" w:hAnsi="Arial Narrow" w:cs="Arial Narrow"/>
                <w:bCs/>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2C23BF" w:rsidRPr="00AB34C7" w14:paraId="63B1E388" w14:textId="77777777" w:rsidTr="002C23BF">
        <w:tblPrEx>
          <w:tblCellMar>
            <w:top w:w="15" w:type="dxa"/>
            <w:left w:w="15" w:type="dxa"/>
            <w:bottom w:w="15" w:type="dxa"/>
            <w:right w:w="15" w:type="dxa"/>
          </w:tblCellMar>
          <w:tblLook w:val="04A0" w:firstRow="1" w:lastRow="0" w:firstColumn="1" w:lastColumn="0" w:noHBand="0" w:noVBand="1"/>
        </w:tblPrEx>
        <w:tc>
          <w:tcPr>
            <w:tcW w:w="168" w:type="pct"/>
            <w:vMerge/>
            <w:tcBorders>
              <w:left w:val="single" w:sz="4" w:space="0" w:color="auto"/>
              <w:right w:val="single" w:sz="4" w:space="0" w:color="auto"/>
            </w:tcBorders>
            <w:textDirection w:val="btLr"/>
          </w:tcPr>
          <w:p w14:paraId="6A12A99B" w14:textId="77777777" w:rsidR="002C23BF" w:rsidRPr="00AB34C7" w:rsidRDefault="002C23BF" w:rsidP="002C23BF">
            <w:pPr>
              <w:ind w:left="113" w:right="113"/>
              <w:jc w:val="center"/>
              <w:rPr>
                <w:rFonts w:ascii="Arial Narrow" w:hAnsi="Arial Narrow"/>
                <w:sz w:val="20"/>
                <w:szCs w:val="20"/>
              </w:rPr>
            </w:pPr>
          </w:p>
        </w:tc>
        <w:tc>
          <w:tcPr>
            <w:tcW w:w="476" w:type="pct"/>
          </w:tcPr>
          <w:p w14:paraId="69018DD3" w14:textId="1D350DFD" w:rsidR="002C23BF" w:rsidRPr="00AB34C7" w:rsidRDefault="002C23BF" w:rsidP="002C23BF">
            <w:pPr>
              <w:jc w:val="center"/>
              <w:rPr>
                <w:rFonts w:ascii="Arial Narrow" w:hAnsi="Arial Narrow"/>
                <w:sz w:val="20"/>
                <w:szCs w:val="20"/>
              </w:rPr>
            </w:pPr>
          </w:p>
        </w:tc>
        <w:tc>
          <w:tcPr>
            <w:tcW w:w="4356" w:type="pct"/>
            <w:gridSpan w:val="6"/>
            <w:tcBorders>
              <w:top w:val="single" w:sz="4" w:space="0" w:color="auto"/>
              <w:left w:val="single" w:sz="4" w:space="0" w:color="auto"/>
              <w:bottom w:val="single" w:sz="4" w:space="0" w:color="auto"/>
              <w:right w:val="single" w:sz="4" w:space="0" w:color="auto"/>
            </w:tcBorders>
            <w:vAlign w:val="center"/>
          </w:tcPr>
          <w:p w14:paraId="7BAAD4C7" w14:textId="77777777" w:rsidR="002C23BF" w:rsidRPr="00AB34C7" w:rsidRDefault="002C23BF" w:rsidP="002C23BF">
            <w:pPr>
              <w:rPr>
                <w:rFonts w:ascii="Arial Narrow" w:hAnsi="Arial Narrow"/>
                <w:sz w:val="20"/>
                <w:szCs w:val="20"/>
              </w:rPr>
            </w:pPr>
            <w:r w:rsidRPr="00AB34C7">
              <w:rPr>
                <w:rFonts w:ascii="Arial Narrow" w:eastAsia="Arial Narrow" w:hAnsi="Arial Narrow" w:cs="Arial Narrow"/>
                <w:b/>
                <w:color w:val="333333"/>
                <w:sz w:val="20"/>
                <w:szCs w:val="20"/>
              </w:rPr>
              <w:t xml:space="preserve">Administrative Advice: </w:t>
            </w:r>
            <w:r w:rsidRPr="00AB34C7">
              <w:rPr>
                <w:rFonts w:ascii="Arial Narrow" w:eastAsia="Arial Narrow" w:hAnsi="Arial Narrow" w:cs="Arial Narrow"/>
                <w:color w:val="333333"/>
                <w:sz w:val="20"/>
                <w:szCs w:val="20"/>
              </w:rPr>
              <w:t>No increase in the maximum quantity or number of units may be authorised.</w:t>
            </w:r>
          </w:p>
        </w:tc>
      </w:tr>
      <w:tr w:rsidR="002C23BF" w:rsidRPr="00AB34C7" w14:paraId="0DD037CB" w14:textId="77777777" w:rsidTr="002C23BF">
        <w:tblPrEx>
          <w:tblCellMar>
            <w:top w:w="15" w:type="dxa"/>
            <w:left w:w="15" w:type="dxa"/>
            <w:bottom w:w="15" w:type="dxa"/>
            <w:right w:w="15" w:type="dxa"/>
          </w:tblCellMar>
          <w:tblLook w:val="04A0" w:firstRow="1" w:lastRow="0" w:firstColumn="1" w:lastColumn="0" w:noHBand="0" w:noVBand="1"/>
        </w:tblPrEx>
        <w:tc>
          <w:tcPr>
            <w:tcW w:w="168" w:type="pct"/>
            <w:vMerge/>
            <w:tcBorders>
              <w:left w:val="single" w:sz="4" w:space="0" w:color="auto"/>
              <w:right w:val="single" w:sz="4" w:space="0" w:color="auto"/>
            </w:tcBorders>
            <w:textDirection w:val="btLr"/>
          </w:tcPr>
          <w:p w14:paraId="3A72C162" w14:textId="77777777" w:rsidR="002C23BF" w:rsidRPr="00AB34C7" w:rsidRDefault="002C23BF" w:rsidP="002C23BF">
            <w:pPr>
              <w:ind w:left="113" w:right="113"/>
              <w:jc w:val="center"/>
              <w:rPr>
                <w:rFonts w:ascii="Arial Narrow" w:hAnsi="Arial Narrow"/>
                <w:sz w:val="20"/>
                <w:szCs w:val="20"/>
              </w:rPr>
            </w:pPr>
          </w:p>
        </w:tc>
        <w:tc>
          <w:tcPr>
            <w:tcW w:w="476" w:type="pct"/>
          </w:tcPr>
          <w:p w14:paraId="5F71926F" w14:textId="17667123" w:rsidR="002C23BF" w:rsidRPr="00AB34C7" w:rsidRDefault="002C23BF" w:rsidP="002C23BF">
            <w:pPr>
              <w:jc w:val="center"/>
              <w:rPr>
                <w:rFonts w:ascii="Arial Narrow" w:hAnsi="Arial Narrow"/>
                <w:sz w:val="20"/>
                <w:szCs w:val="20"/>
              </w:rPr>
            </w:pPr>
          </w:p>
        </w:tc>
        <w:tc>
          <w:tcPr>
            <w:tcW w:w="4356" w:type="pct"/>
            <w:gridSpan w:val="6"/>
          </w:tcPr>
          <w:p w14:paraId="230B9141" w14:textId="77777777" w:rsidR="002C23BF" w:rsidRPr="00AB34C7" w:rsidRDefault="002C23BF" w:rsidP="002C23BF">
            <w:pPr>
              <w:rPr>
                <w:rFonts w:ascii="Arial Narrow" w:hAnsi="Arial Narrow"/>
                <w:sz w:val="20"/>
                <w:szCs w:val="20"/>
              </w:rPr>
            </w:pPr>
            <w:r w:rsidRPr="00AB34C7">
              <w:rPr>
                <w:rFonts w:ascii="Arial Narrow" w:hAnsi="Arial Narrow"/>
                <w:b/>
                <w:bCs/>
                <w:sz w:val="20"/>
                <w:szCs w:val="20"/>
              </w:rPr>
              <w:t xml:space="preserve">Administrative Advice: </w:t>
            </w:r>
            <w:r w:rsidRPr="00AB34C7">
              <w:rPr>
                <w:rFonts w:ascii="Arial Narrow" w:hAnsi="Arial Narrow"/>
                <w:bCs/>
                <w:sz w:val="20"/>
                <w:szCs w:val="20"/>
              </w:rPr>
              <w:t>No increase in the maximum number of repeats may be authorised.</w:t>
            </w:r>
          </w:p>
        </w:tc>
      </w:tr>
      <w:tr w:rsidR="002C23BF" w:rsidRPr="00AB34C7" w14:paraId="7B38B01D" w14:textId="77777777" w:rsidTr="002C23BF">
        <w:tblPrEx>
          <w:tblCellMar>
            <w:top w:w="15" w:type="dxa"/>
            <w:left w:w="15" w:type="dxa"/>
            <w:bottom w:w="15" w:type="dxa"/>
            <w:right w:w="15" w:type="dxa"/>
          </w:tblCellMar>
          <w:tblLook w:val="04A0" w:firstRow="1" w:lastRow="0" w:firstColumn="1" w:lastColumn="0" w:noHBand="0" w:noVBand="1"/>
        </w:tblPrEx>
        <w:tc>
          <w:tcPr>
            <w:tcW w:w="168" w:type="pct"/>
            <w:vMerge/>
            <w:tcBorders>
              <w:left w:val="single" w:sz="4" w:space="0" w:color="auto"/>
              <w:right w:val="single" w:sz="4" w:space="0" w:color="auto"/>
            </w:tcBorders>
          </w:tcPr>
          <w:p w14:paraId="07F91DAC" w14:textId="77777777" w:rsidR="002C23BF" w:rsidRPr="00AB34C7" w:rsidRDefault="002C23BF" w:rsidP="002C23BF">
            <w:pPr>
              <w:rPr>
                <w:rFonts w:ascii="Arial Narrow" w:hAnsi="Arial Narrow"/>
                <w:sz w:val="20"/>
                <w:szCs w:val="20"/>
              </w:rPr>
            </w:pPr>
          </w:p>
        </w:tc>
        <w:tc>
          <w:tcPr>
            <w:tcW w:w="476" w:type="pct"/>
          </w:tcPr>
          <w:p w14:paraId="7AF4086D" w14:textId="500F1777" w:rsidR="002C23BF" w:rsidRPr="00AB34C7" w:rsidRDefault="002C23BF" w:rsidP="002C23BF">
            <w:pPr>
              <w:jc w:val="center"/>
              <w:rPr>
                <w:rFonts w:ascii="Arial Narrow" w:hAnsi="Arial Narrow"/>
                <w:sz w:val="20"/>
                <w:szCs w:val="20"/>
              </w:rPr>
            </w:pPr>
          </w:p>
        </w:tc>
        <w:tc>
          <w:tcPr>
            <w:tcW w:w="4356" w:type="pct"/>
            <w:gridSpan w:val="6"/>
          </w:tcPr>
          <w:p w14:paraId="7EF43F98" w14:textId="77777777" w:rsidR="002C23BF" w:rsidRPr="00AB34C7" w:rsidRDefault="002C23BF" w:rsidP="002C23BF">
            <w:pPr>
              <w:rPr>
                <w:rFonts w:ascii="Arial Narrow" w:hAnsi="Arial Narrow"/>
                <w:b/>
                <w:bCs/>
                <w:sz w:val="20"/>
                <w:szCs w:val="20"/>
              </w:rPr>
            </w:pPr>
            <w:r w:rsidRPr="00AB34C7">
              <w:rPr>
                <w:rFonts w:ascii="Arial Narrow" w:hAnsi="Arial Narrow"/>
                <w:b/>
                <w:bCs/>
                <w:sz w:val="20"/>
                <w:szCs w:val="20"/>
              </w:rPr>
              <w:t xml:space="preserve">Administrative Advice: </w:t>
            </w:r>
            <w:r w:rsidRPr="00AB34C7">
              <w:rPr>
                <w:rFonts w:ascii="Arial Narrow" w:hAnsi="Arial Narrow"/>
                <w:bCs/>
                <w:sz w:val="20"/>
                <w:szCs w:val="20"/>
              </w:rPr>
              <w:t>Special Pricing Arrangements apply.</w:t>
            </w:r>
          </w:p>
        </w:tc>
      </w:tr>
    </w:tbl>
    <w:p w14:paraId="7037DF00" w14:textId="77777777" w:rsidR="002C23BF" w:rsidRPr="00B95C74" w:rsidRDefault="002C23BF" w:rsidP="00A60785">
      <w:pPr>
        <w:pStyle w:val="Tableheadingrow"/>
        <w:keepNext w:val="0"/>
        <w:rPr>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5"/>
        <w:gridCol w:w="929"/>
        <w:gridCol w:w="7733"/>
      </w:tblGrid>
      <w:tr w:rsidR="00A60785" w:rsidRPr="00AB34C7" w14:paraId="645CE0B2" w14:textId="77777777" w:rsidTr="002C23BF">
        <w:tc>
          <w:tcPr>
            <w:tcW w:w="197" w:type="pct"/>
            <w:vMerge w:val="restart"/>
            <w:tcBorders>
              <w:left w:val="single" w:sz="4" w:space="0" w:color="auto"/>
              <w:right w:val="single" w:sz="4" w:space="0" w:color="auto"/>
            </w:tcBorders>
            <w:textDirection w:val="btLr"/>
          </w:tcPr>
          <w:p w14:paraId="52D09C78" w14:textId="6E042292" w:rsidR="00A60785" w:rsidRPr="00AB34C7" w:rsidRDefault="00A60785" w:rsidP="009D0069">
            <w:pPr>
              <w:ind w:left="113" w:right="113"/>
              <w:jc w:val="center"/>
              <w:rPr>
                <w:rFonts w:ascii="Arial Narrow" w:hAnsi="Arial Narrow"/>
                <w:sz w:val="20"/>
                <w:szCs w:val="20"/>
              </w:rPr>
            </w:pPr>
            <w:bookmarkStart w:id="73" w:name="_Hlk161923250"/>
            <w:bookmarkEnd w:id="72"/>
          </w:p>
        </w:tc>
        <w:tc>
          <w:tcPr>
            <w:tcW w:w="515" w:type="pct"/>
          </w:tcPr>
          <w:p w14:paraId="280F7D9D" w14:textId="2FAF1BEC" w:rsidR="00A60785" w:rsidRPr="00AB34C7" w:rsidRDefault="00A60785" w:rsidP="009D0069">
            <w:pPr>
              <w:jc w:val="center"/>
              <w:rPr>
                <w:rFonts w:ascii="Arial Narrow" w:hAnsi="Arial Narrow"/>
                <w:bCs/>
                <w:sz w:val="20"/>
                <w:szCs w:val="20"/>
              </w:rPr>
            </w:pPr>
          </w:p>
        </w:tc>
        <w:tc>
          <w:tcPr>
            <w:tcW w:w="4288" w:type="pct"/>
            <w:tcBorders>
              <w:top w:val="single" w:sz="4" w:space="0" w:color="auto"/>
              <w:left w:val="single" w:sz="4" w:space="0" w:color="auto"/>
              <w:bottom w:val="single" w:sz="4" w:space="0" w:color="auto"/>
              <w:right w:val="single" w:sz="4" w:space="0" w:color="auto"/>
            </w:tcBorders>
            <w:vAlign w:val="center"/>
          </w:tcPr>
          <w:p w14:paraId="7552B797" w14:textId="77777777" w:rsidR="00A60785" w:rsidRPr="00AB34C7" w:rsidRDefault="00A60785" w:rsidP="009D0069">
            <w:pPr>
              <w:rPr>
                <w:rFonts w:ascii="Arial Narrow" w:eastAsia="Arial Narrow" w:hAnsi="Arial Narrow" w:cs="Arial Narrow"/>
                <w:bCs/>
                <w:color w:val="333333"/>
                <w:sz w:val="20"/>
                <w:szCs w:val="20"/>
              </w:rPr>
            </w:pPr>
            <w:r w:rsidRPr="00AB34C7">
              <w:rPr>
                <w:rFonts w:ascii="Arial Narrow" w:eastAsia="Arial Narrow" w:hAnsi="Arial Narrow" w:cs="Arial Narrow"/>
                <w:b/>
                <w:color w:val="333333"/>
                <w:sz w:val="20"/>
                <w:szCs w:val="20"/>
              </w:rPr>
              <w:t xml:space="preserve">Administrative Advice: </w:t>
            </w:r>
            <w:r w:rsidRPr="00AB34C7">
              <w:rPr>
                <w:rFonts w:ascii="Arial Narrow" w:eastAsia="Arial Narrow" w:hAnsi="Arial Narrow" w:cs="Arial Narrow"/>
                <w:bCs/>
                <w:color w:val="333333"/>
                <w:sz w:val="20"/>
                <w:szCs w:val="20"/>
              </w:rPr>
              <w:t>The latest International Workshop on CLL (iwCLL) provides guidance on various aspects of management of CLL/SLL. Notably, two of these are:</w:t>
            </w:r>
          </w:p>
          <w:p w14:paraId="015A079B" w14:textId="77777777" w:rsidR="00A60785" w:rsidRPr="00AB34C7" w:rsidRDefault="00A60785" w:rsidP="009D0069">
            <w:pPr>
              <w:rPr>
                <w:rFonts w:ascii="Arial Narrow" w:eastAsia="Arial Narrow" w:hAnsi="Arial Narrow" w:cs="Arial Narrow"/>
                <w:bCs/>
                <w:color w:val="333333"/>
                <w:sz w:val="20"/>
                <w:szCs w:val="20"/>
              </w:rPr>
            </w:pPr>
            <w:r w:rsidRPr="00AB34C7">
              <w:rPr>
                <w:rFonts w:ascii="Arial Narrow" w:eastAsia="Arial Narrow" w:hAnsi="Arial Narrow" w:cs="Arial Narrow"/>
                <w:bCs/>
                <w:color w:val="333333"/>
                <w:sz w:val="20"/>
                <w:szCs w:val="20"/>
              </w:rPr>
              <w:t>(1) when to treat versus when to monitor the patient without therapy - see 'Indications for treatment' section; and</w:t>
            </w:r>
          </w:p>
          <w:p w14:paraId="75E28093" w14:textId="77777777" w:rsidR="00A60785" w:rsidRPr="00AB34C7" w:rsidRDefault="00A60785" w:rsidP="009D0069">
            <w:pPr>
              <w:rPr>
                <w:rFonts w:ascii="Arial Narrow" w:eastAsia="Arial Narrow" w:hAnsi="Arial Narrow" w:cs="Arial Narrow"/>
                <w:bCs/>
                <w:color w:val="333333"/>
                <w:sz w:val="20"/>
                <w:szCs w:val="20"/>
              </w:rPr>
            </w:pPr>
            <w:r w:rsidRPr="00AB34C7">
              <w:rPr>
                <w:rFonts w:ascii="Arial Narrow" w:eastAsia="Arial Narrow" w:hAnsi="Arial Narrow" w:cs="Arial Narrow"/>
                <w:bCs/>
                <w:color w:val="333333"/>
                <w:sz w:val="20"/>
                <w:szCs w:val="20"/>
              </w:rPr>
              <w:t>(2) recognising progressive disease - see 'Definition of response, relapse, and refractory disease' section.</w:t>
            </w:r>
          </w:p>
          <w:p w14:paraId="0D6B7B3F" w14:textId="77777777" w:rsidR="00A60785" w:rsidRPr="00AB34C7" w:rsidRDefault="00A60785" w:rsidP="009D0069">
            <w:pPr>
              <w:rPr>
                <w:rFonts w:ascii="Arial Narrow" w:eastAsia="Arial Narrow" w:hAnsi="Arial Narrow" w:cs="Arial Narrow"/>
                <w:bCs/>
                <w:color w:val="333333"/>
                <w:sz w:val="20"/>
                <w:szCs w:val="20"/>
              </w:rPr>
            </w:pPr>
            <w:r w:rsidRPr="00AB34C7">
              <w:rPr>
                <w:rFonts w:ascii="Arial Narrow" w:eastAsia="Arial Narrow" w:hAnsi="Arial Narrow" w:cs="Arial Narrow"/>
                <w:bCs/>
                <w:color w:val="333333"/>
                <w:sz w:val="20"/>
                <w:szCs w:val="20"/>
              </w:rPr>
              <w:t>See the following literature reference for details:</w:t>
            </w:r>
          </w:p>
          <w:p w14:paraId="6F63D7DB" w14:textId="77777777" w:rsidR="00A60785" w:rsidRPr="00AB34C7" w:rsidRDefault="00A60785" w:rsidP="009D0069">
            <w:pPr>
              <w:rPr>
                <w:rFonts w:ascii="Arial Narrow" w:eastAsia="Arial Narrow" w:hAnsi="Arial Narrow" w:cs="Arial Narrow"/>
                <w:bCs/>
                <w:color w:val="333333"/>
                <w:sz w:val="20"/>
                <w:szCs w:val="20"/>
              </w:rPr>
            </w:pPr>
            <w:r w:rsidRPr="00AB34C7">
              <w:rPr>
                <w:rFonts w:ascii="Arial Narrow" w:eastAsia="Arial Narrow" w:hAnsi="Arial Narrow" w:cs="Arial Narrow"/>
                <w:bCs/>
                <w:color w:val="333333"/>
                <w:sz w:val="20"/>
                <w:szCs w:val="20"/>
              </w:rPr>
              <w:t>Hallek, M et al. iwCLL guidelines for diagnosis, indications for treatment, response assessment, and supportive management of CLL. Blood vol. 131, 25 (2018): 2745-2760.</w:t>
            </w:r>
          </w:p>
        </w:tc>
      </w:tr>
      <w:tr w:rsidR="00A60785" w:rsidRPr="00AB34C7" w14:paraId="10C53CE6" w14:textId="77777777" w:rsidTr="002C23BF">
        <w:tc>
          <w:tcPr>
            <w:tcW w:w="197" w:type="pct"/>
            <w:vMerge/>
            <w:tcBorders>
              <w:left w:val="single" w:sz="4" w:space="0" w:color="auto"/>
              <w:right w:val="single" w:sz="4" w:space="0" w:color="auto"/>
            </w:tcBorders>
          </w:tcPr>
          <w:p w14:paraId="5A24FB7B" w14:textId="77777777" w:rsidR="00A60785" w:rsidRPr="00AB34C7" w:rsidRDefault="00A60785" w:rsidP="009D0069">
            <w:pPr>
              <w:rPr>
                <w:rFonts w:ascii="Arial Narrow" w:hAnsi="Arial Narrow"/>
                <w:sz w:val="20"/>
                <w:szCs w:val="20"/>
              </w:rPr>
            </w:pPr>
          </w:p>
        </w:tc>
        <w:tc>
          <w:tcPr>
            <w:tcW w:w="515" w:type="pct"/>
          </w:tcPr>
          <w:p w14:paraId="57D09053" w14:textId="6BCF0153" w:rsidR="00A60785" w:rsidRPr="00AB34C7" w:rsidRDefault="00A60785" w:rsidP="009D0069">
            <w:pPr>
              <w:jc w:val="center"/>
              <w:rPr>
                <w:rFonts w:ascii="Arial Narrow" w:hAnsi="Arial Narrow"/>
                <w:bCs/>
                <w:sz w:val="20"/>
                <w:szCs w:val="20"/>
              </w:rPr>
            </w:pPr>
          </w:p>
        </w:tc>
        <w:tc>
          <w:tcPr>
            <w:tcW w:w="4288" w:type="pct"/>
          </w:tcPr>
          <w:p w14:paraId="773D968B" w14:textId="77777777" w:rsidR="00A60785" w:rsidRPr="00AB34C7" w:rsidRDefault="00A60785" w:rsidP="009D0069">
            <w:pPr>
              <w:rPr>
                <w:rFonts w:ascii="Arial Narrow" w:hAnsi="Arial Narrow"/>
                <w:b/>
                <w:bCs/>
                <w:sz w:val="20"/>
                <w:szCs w:val="20"/>
              </w:rPr>
            </w:pPr>
            <w:r w:rsidRPr="00AB34C7">
              <w:rPr>
                <w:rFonts w:ascii="Arial Narrow" w:hAnsi="Arial Narrow"/>
                <w:b/>
                <w:bCs/>
                <w:sz w:val="20"/>
                <w:szCs w:val="20"/>
              </w:rPr>
              <w:t>Administrative Advice:</w:t>
            </w:r>
            <w:r w:rsidRPr="00AB34C7">
              <w:rPr>
                <w:rFonts w:ascii="Arial Narrow" w:hAnsi="Arial Narrow" w:cs="Calibri"/>
                <w:color w:val="333333"/>
                <w:sz w:val="20"/>
                <w:szCs w:val="20"/>
              </w:rPr>
              <w:t xml:space="preserve"> A patient may only qualify for PBS-subsidised treatment under this restriction once in a lifetime.</w:t>
            </w:r>
          </w:p>
        </w:tc>
      </w:tr>
      <w:tr w:rsidR="00A60785" w:rsidRPr="00AB34C7" w14:paraId="206D863E" w14:textId="77777777" w:rsidTr="002C23BF">
        <w:tc>
          <w:tcPr>
            <w:tcW w:w="712" w:type="pct"/>
            <w:gridSpan w:val="2"/>
            <w:tcBorders>
              <w:top w:val="single" w:sz="4" w:space="0" w:color="auto"/>
              <w:left w:val="single" w:sz="4" w:space="0" w:color="auto"/>
              <w:bottom w:val="single" w:sz="4" w:space="0" w:color="auto"/>
              <w:right w:val="single" w:sz="4" w:space="0" w:color="auto"/>
            </w:tcBorders>
          </w:tcPr>
          <w:p w14:paraId="79BDF454" w14:textId="77777777" w:rsidR="00A60785" w:rsidRPr="00AB34C7" w:rsidRDefault="00A60785" w:rsidP="009D0069">
            <w:pPr>
              <w:jc w:val="center"/>
              <w:rPr>
                <w:rFonts w:ascii="Arial Narrow" w:eastAsia="Arial Narrow" w:hAnsi="Arial Narrow" w:cs="Arial Narrow"/>
                <w:bCs/>
                <w:color w:val="333333"/>
                <w:sz w:val="20"/>
                <w:szCs w:val="20"/>
              </w:rPr>
            </w:pPr>
          </w:p>
        </w:tc>
        <w:tc>
          <w:tcPr>
            <w:tcW w:w="4288" w:type="pct"/>
            <w:tcBorders>
              <w:top w:val="single" w:sz="4" w:space="0" w:color="auto"/>
              <w:left w:val="single" w:sz="4" w:space="0" w:color="auto"/>
              <w:bottom w:val="single" w:sz="4" w:space="0" w:color="auto"/>
              <w:right w:val="single" w:sz="4" w:space="0" w:color="auto"/>
            </w:tcBorders>
            <w:vAlign w:val="center"/>
          </w:tcPr>
          <w:p w14:paraId="0753443D" w14:textId="77777777" w:rsidR="00A60785" w:rsidRPr="00AB34C7" w:rsidRDefault="00A60785" w:rsidP="009D0069">
            <w:pPr>
              <w:rPr>
                <w:rFonts w:ascii="Arial Narrow" w:eastAsia="Arial Narrow" w:hAnsi="Arial Narrow" w:cs="Arial Narrow"/>
                <w:b/>
                <w:bCs/>
                <w:color w:val="333333"/>
                <w:sz w:val="20"/>
                <w:szCs w:val="20"/>
              </w:rPr>
            </w:pPr>
          </w:p>
        </w:tc>
      </w:tr>
      <w:bookmarkEnd w:id="73"/>
      <w:tr w:rsidR="00A60785" w:rsidRPr="00AB34C7" w14:paraId="5B4ABF2F" w14:textId="77777777" w:rsidTr="002C23BF">
        <w:tc>
          <w:tcPr>
            <w:tcW w:w="712" w:type="pct"/>
            <w:gridSpan w:val="2"/>
            <w:tcBorders>
              <w:top w:val="single" w:sz="4" w:space="0" w:color="auto"/>
              <w:left w:val="single" w:sz="4" w:space="0" w:color="auto"/>
              <w:bottom w:val="single" w:sz="4" w:space="0" w:color="auto"/>
              <w:right w:val="single" w:sz="4" w:space="0" w:color="auto"/>
            </w:tcBorders>
          </w:tcPr>
          <w:p w14:paraId="24C3C733" w14:textId="7F72D020" w:rsidR="00A60785" w:rsidRPr="00AB34C7" w:rsidRDefault="00A60785" w:rsidP="009D0069">
            <w:pPr>
              <w:jc w:val="center"/>
              <w:rPr>
                <w:rFonts w:ascii="Arial Narrow" w:hAnsi="Arial Narrow"/>
                <w:sz w:val="20"/>
                <w:szCs w:val="20"/>
              </w:rPr>
            </w:pPr>
          </w:p>
        </w:tc>
        <w:tc>
          <w:tcPr>
            <w:tcW w:w="4288" w:type="pct"/>
            <w:tcBorders>
              <w:top w:val="single" w:sz="4" w:space="0" w:color="auto"/>
              <w:left w:val="single" w:sz="4" w:space="0" w:color="auto"/>
              <w:bottom w:val="single" w:sz="4" w:space="0" w:color="auto"/>
              <w:right w:val="single" w:sz="4" w:space="0" w:color="auto"/>
            </w:tcBorders>
            <w:vAlign w:val="center"/>
          </w:tcPr>
          <w:p w14:paraId="05BDBEBB" w14:textId="77777777" w:rsidR="00A60785" w:rsidRPr="00AB34C7" w:rsidRDefault="00A60785" w:rsidP="009D0069">
            <w:pPr>
              <w:rPr>
                <w:rFonts w:ascii="Arial Narrow" w:hAnsi="Arial Narrow"/>
                <w:sz w:val="20"/>
                <w:szCs w:val="20"/>
              </w:rPr>
            </w:pPr>
            <w:r w:rsidRPr="00AB34C7">
              <w:rPr>
                <w:rFonts w:ascii="Arial Narrow" w:eastAsia="Arial Narrow" w:hAnsi="Arial Narrow" w:cs="Arial Narrow"/>
                <w:b/>
                <w:bCs/>
                <w:color w:val="333333"/>
                <w:sz w:val="20"/>
                <w:szCs w:val="20"/>
              </w:rPr>
              <w:t>Indication:</w:t>
            </w:r>
            <w:r w:rsidRPr="00AB34C7">
              <w:rPr>
                <w:rFonts w:ascii="Arial Narrow" w:eastAsia="Arial Narrow" w:hAnsi="Arial Narrow" w:cs="Arial Narrow"/>
                <w:color w:val="333333"/>
                <w:sz w:val="20"/>
                <w:szCs w:val="20"/>
              </w:rPr>
              <w:t xml:space="preserve"> Chronic lymphocytic leukaemia (CLL) or small lymphocytic lymphoma (SLL)</w:t>
            </w:r>
          </w:p>
        </w:tc>
      </w:tr>
      <w:tr w:rsidR="00A60785" w:rsidRPr="00AB34C7" w14:paraId="29D3100B" w14:textId="77777777" w:rsidTr="002C23BF">
        <w:tc>
          <w:tcPr>
            <w:tcW w:w="712" w:type="pct"/>
            <w:gridSpan w:val="2"/>
            <w:tcBorders>
              <w:top w:val="single" w:sz="4" w:space="0" w:color="auto"/>
              <w:left w:val="single" w:sz="4" w:space="0" w:color="auto"/>
              <w:bottom w:val="single" w:sz="4" w:space="0" w:color="auto"/>
              <w:right w:val="single" w:sz="4" w:space="0" w:color="auto"/>
            </w:tcBorders>
          </w:tcPr>
          <w:p w14:paraId="5D955134" w14:textId="77777777" w:rsidR="00A60785" w:rsidRPr="00AB34C7" w:rsidRDefault="00A60785" w:rsidP="009D0069">
            <w:pPr>
              <w:jc w:val="center"/>
              <w:rPr>
                <w:rFonts w:ascii="Arial Narrow" w:hAnsi="Arial Narrow"/>
                <w:sz w:val="20"/>
                <w:szCs w:val="20"/>
              </w:rPr>
            </w:pPr>
          </w:p>
        </w:tc>
        <w:tc>
          <w:tcPr>
            <w:tcW w:w="4288" w:type="pct"/>
            <w:tcBorders>
              <w:top w:val="single" w:sz="4" w:space="0" w:color="auto"/>
              <w:left w:val="single" w:sz="4" w:space="0" w:color="auto"/>
              <w:bottom w:val="single" w:sz="4" w:space="0" w:color="auto"/>
              <w:right w:val="single" w:sz="4" w:space="0" w:color="auto"/>
            </w:tcBorders>
            <w:vAlign w:val="center"/>
          </w:tcPr>
          <w:p w14:paraId="44591DA5" w14:textId="77777777" w:rsidR="00A60785" w:rsidRPr="00AB34C7" w:rsidRDefault="00A60785" w:rsidP="009D0069">
            <w:pPr>
              <w:rPr>
                <w:rFonts w:ascii="Arial Narrow" w:hAnsi="Arial Narrow"/>
                <w:sz w:val="20"/>
                <w:szCs w:val="20"/>
              </w:rPr>
            </w:pPr>
            <w:r w:rsidRPr="00AB34C7">
              <w:rPr>
                <w:rFonts w:ascii="Arial Narrow" w:eastAsia="Arial Narrow" w:hAnsi="Arial Narrow" w:cs="Arial Narrow"/>
                <w:b/>
                <w:bCs/>
                <w:color w:val="333333"/>
                <w:sz w:val="20"/>
                <w:szCs w:val="20"/>
              </w:rPr>
              <w:t>Treatment Phase:</w:t>
            </w:r>
            <w:r w:rsidRPr="00AB34C7">
              <w:rPr>
                <w:rFonts w:ascii="Arial Narrow" w:eastAsia="Arial Narrow" w:hAnsi="Arial Narrow" w:cs="Arial Narrow"/>
                <w:color w:val="333333"/>
                <w:sz w:val="20"/>
                <w:szCs w:val="20"/>
              </w:rPr>
              <w:t xml:space="preserve"> Initial treatment in first-line therapy (treatment cycles 1 to 3 inclusive) </w:t>
            </w:r>
          </w:p>
        </w:tc>
      </w:tr>
      <w:tr w:rsidR="00A60785" w:rsidRPr="00AB34C7" w14:paraId="7DF3C908" w14:textId="77777777" w:rsidTr="002C23BF">
        <w:tc>
          <w:tcPr>
            <w:tcW w:w="712" w:type="pct"/>
            <w:gridSpan w:val="2"/>
            <w:tcBorders>
              <w:top w:val="single" w:sz="4" w:space="0" w:color="auto"/>
              <w:left w:val="single" w:sz="4" w:space="0" w:color="auto"/>
              <w:bottom w:val="single" w:sz="4" w:space="0" w:color="auto"/>
              <w:right w:val="single" w:sz="4" w:space="0" w:color="auto"/>
            </w:tcBorders>
          </w:tcPr>
          <w:p w14:paraId="211B4C51" w14:textId="77777777" w:rsidR="00A60785" w:rsidRPr="00AB34C7" w:rsidRDefault="00A60785" w:rsidP="009D0069">
            <w:pPr>
              <w:jc w:val="center"/>
              <w:rPr>
                <w:rFonts w:ascii="Arial Narrow" w:eastAsia="Arial Narrow" w:hAnsi="Arial Narrow" w:cs="Arial Narrow"/>
                <w:bCs/>
                <w:color w:val="333333"/>
                <w:sz w:val="20"/>
                <w:szCs w:val="20"/>
              </w:rPr>
            </w:pPr>
          </w:p>
        </w:tc>
        <w:tc>
          <w:tcPr>
            <w:tcW w:w="4288" w:type="pct"/>
            <w:tcBorders>
              <w:top w:val="single" w:sz="4" w:space="0" w:color="auto"/>
              <w:left w:val="single" w:sz="4" w:space="0" w:color="auto"/>
              <w:bottom w:val="single" w:sz="4" w:space="0" w:color="auto"/>
              <w:right w:val="single" w:sz="4" w:space="0" w:color="auto"/>
            </w:tcBorders>
            <w:vAlign w:val="center"/>
          </w:tcPr>
          <w:p w14:paraId="2F4B7C7E" w14:textId="77777777" w:rsidR="00A60785" w:rsidRPr="00AB34C7" w:rsidRDefault="00A60785" w:rsidP="009D0069">
            <w:pPr>
              <w:rPr>
                <w:rFonts w:ascii="Arial Narrow" w:eastAsia="Arial Narrow" w:hAnsi="Arial Narrow" w:cs="Arial Narrow"/>
                <w:b/>
                <w:bCs/>
                <w:color w:val="333333"/>
                <w:sz w:val="20"/>
                <w:szCs w:val="20"/>
              </w:rPr>
            </w:pPr>
          </w:p>
        </w:tc>
      </w:tr>
      <w:tr w:rsidR="00A60785" w:rsidRPr="00AB34C7" w14:paraId="60F69D63" w14:textId="77777777" w:rsidTr="002C23BF">
        <w:tc>
          <w:tcPr>
            <w:tcW w:w="712" w:type="pct"/>
            <w:gridSpan w:val="2"/>
            <w:tcBorders>
              <w:top w:val="single" w:sz="4" w:space="0" w:color="auto"/>
              <w:left w:val="single" w:sz="4" w:space="0" w:color="auto"/>
              <w:bottom w:val="single" w:sz="4" w:space="0" w:color="auto"/>
              <w:right w:val="single" w:sz="4" w:space="0" w:color="auto"/>
            </w:tcBorders>
          </w:tcPr>
          <w:p w14:paraId="0C744141" w14:textId="72A748F1" w:rsidR="00A60785" w:rsidRPr="00AB34C7" w:rsidRDefault="00A60785" w:rsidP="009D0069">
            <w:pPr>
              <w:jc w:val="center"/>
              <w:rPr>
                <w:rFonts w:ascii="Arial Narrow" w:hAnsi="Arial Narrow"/>
                <w:sz w:val="20"/>
                <w:szCs w:val="20"/>
              </w:rPr>
            </w:pPr>
          </w:p>
        </w:tc>
        <w:tc>
          <w:tcPr>
            <w:tcW w:w="4288" w:type="pct"/>
            <w:tcBorders>
              <w:top w:val="single" w:sz="4" w:space="0" w:color="auto"/>
              <w:left w:val="single" w:sz="4" w:space="0" w:color="auto"/>
              <w:bottom w:val="single" w:sz="4" w:space="0" w:color="auto"/>
              <w:right w:val="single" w:sz="4" w:space="0" w:color="auto"/>
            </w:tcBorders>
            <w:vAlign w:val="center"/>
          </w:tcPr>
          <w:p w14:paraId="62F80C24" w14:textId="77777777" w:rsidR="00A60785" w:rsidRPr="00AB34C7" w:rsidRDefault="00A60785" w:rsidP="009D0069">
            <w:pPr>
              <w:rPr>
                <w:rFonts w:ascii="Arial Narrow" w:hAnsi="Arial Narrow"/>
                <w:sz w:val="20"/>
                <w:szCs w:val="20"/>
              </w:rPr>
            </w:pPr>
            <w:r w:rsidRPr="00AB34C7">
              <w:rPr>
                <w:rFonts w:ascii="Arial Narrow" w:eastAsia="Arial Narrow" w:hAnsi="Arial Narrow" w:cs="Arial Narrow"/>
                <w:b/>
                <w:bCs/>
                <w:color w:val="333333"/>
                <w:sz w:val="20"/>
                <w:szCs w:val="20"/>
              </w:rPr>
              <w:t>Clinical criteria:</w:t>
            </w:r>
          </w:p>
        </w:tc>
      </w:tr>
      <w:tr w:rsidR="00A60785" w:rsidRPr="00AB34C7" w14:paraId="048D3109" w14:textId="77777777" w:rsidTr="002C23BF">
        <w:tc>
          <w:tcPr>
            <w:tcW w:w="712" w:type="pct"/>
            <w:gridSpan w:val="2"/>
            <w:tcBorders>
              <w:top w:val="single" w:sz="4" w:space="0" w:color="auto"/>
              <w:left w:val="single" w:sz="4" w:space="0" w:color="auto"/>
              <w:bottom w:val="single" w:sz="4" w:space="0" w:color="auto"/>
              <w:right w:val="single" w:sz="4" w:space="0" w:color="auto"/>
            </w:tcBorders>
          </w:tcPr>
          <w:p w14:paraId="7000D6C6" w14:textId="16A6465B" w:rsidR="00A60785" w:rsidRPr="00AB34C7" w:rsidRDefault="00A60785" w:rsidP="009D0069">
            <w:pPr>
              <w:jc w:val="center"/>
              <w:rPr>
                <w:rFonts w:ascii="Arial Narrow" w:hAnsi="Arial Narrow"/>
                <w:sz w:val="20"/>
                <w:szCs w:val="20"/>
              </w:rPr>
            </w:pPr>
          </w:p>
        </w:tc>
        <w:tc>
          <w:tcPr>
            <w:tcW w:w="4288" w:type="pct"/>
            <w:tcBorders>
              <w:top w:val="single" w:sz="4" w:space="0" w:color="auto"/>
              <w:left w:val="single" w:sz="4" w:space="0" w:color="auto"/>
              <w:bottom w:val="single" w:sz="4" w:space="0" w:color="auto"/>
              <w:right w:val="single" w:sz="4" w:space="0" w:color="auto"/>
            </w:tcBorders>
            <w:vAlign w:val="center"/>
          </w:tcPr>
          <w:p w14:paraId="6B3C54C6" w14:textId="77777777" w:rsidR="00A60785" w:rsidRPr="00AB34C7" w:rsidRDefault="00A60785" w:rsidP="009D0069">
            <w:pPr>
              <w:rPr>
                <w:rFonts w:ascii="Arial Narrow" w:hAnsi="Arial Narrow"/>
                <w:bCs/>
                <w:sz w:val="20"/>
                <w:szCs w:val="20"/>
              </w:rPr>
            </w:pPr>
            <w:r w:rsidRPr="00AB34C7">
              <w:rPr>
                <w:rFonts w:ascii="Arial Narrow" w:eastAsia="Arial Narrow" w:hAnsi="Arial Narrow" w:cs="Arial Narrow"/>
                <w:color w:val="333333"/>
                <w:sz w:val="20"/>
                <w:szCs w:val="20"/>
              </w:rPr>
              <w:t>The condition must be untreated with drug treatment at the time of the first dose of this drug; OR</w:t>
            </w:r>
          </w:p>
        </w:tc>
      </w:tr>
      <w:tr w:rsidR="00A60785" w:rsidRPr="00AB34C7" w14:paraId="1469E897" w14:textId="77777777" w:rsidTr="002C23BF">
        <w:tc>
          <w:tcPr>
            <w:tcW w:w="712" w:type="pct"/>
            <w:gridSpan w:val="2"/>
            <w:tcBorders>
              <w:top w:val="single" w:sz="4" w:space="0" w:color="auto"/>
              <w:left w:val="single" w:sz="4" w:space="0" w:color="auto"/>
              <w:bottom w:val="single" w:sz="4" w:space="0" w:color="auto"/>
              <w:right w:val="single" w:sz="4" w:space="0" w:color="auto"/>
            </w:tcBorders>
          </w:tcPr>
          <w:p w14:paraId="379ED88C" w14:textId="03E5CDD4" w:rsidR="00A60785" w:rsidRPr="00AB34C7" w:rsidRDefault="00A60785" w:rsidP="009D0069">
            <w:pPr>
              <w:jc w:val="center"/>
              <w:rPr>
                <w:rFonts w:ascii="Arial Narrow" w:hAnsi="Arial Narrow"/>
                <w:sz w:val="20"/>
                <w:szCs w:val="20"/>
              </w:rPr>
            </w:pPr>
          </w:p>
        </w:tc>
        <w:tc>
          <w:tcPr>
            <w:tcW w:w="4288" w:type="pct"/>
            <w:tcBorders>
              <w:top w:val="single" w:sz="4" w:space="0" w:color="auto"/>
              <w:left w:val="single" w:sz="4" w:space="0" w:color="auto"/>
              <w:bottom w:val="single" w:sz="4" w:space="0" w:color="auto"/>
              <w:right w:val="single" w:sz="4" w:space="0" w:color="auto"/>
            </w:tcBorders>
            <w:vAlign w:val="center"/>
          </w:tcPr>
          <w:p w14:paraId="63E64820" w14:textId="77777777" w:rsidR="00A60785" w:rsidRPr="00AB34C7" w:rsidRDefault="00A60785" w:rsidP="009D0069">
            <w:pPr>
              <w:rPr>
                <w:rFonts w:ascii="Arial Narrow" w:eastAsia="Arial Narrow" w:hAnsi="Arial Narrow" w:cs="Arial Narrow"/>
                <w:color w:val="333333"/>
                <w:sz w:val="20"/>
                <w:szCs w:val="20"/>
              </w:rPr>
            </w:pPr>
            <w:r w:rsidRPr="00AB34C7">
              <w:rPr>
                <w:rFonts w:ascii="Arial Narrow" w:eastAsia="Arial Narrow" w:hAnsi="Arial Narrow" w:cs="Arial Narrow"/>
                <w:color w:val="333333"/>
                <w:sz w:val="20"/>
                <w:szCs w:val="20"/>
              </w:rPr>
              <w:t xml:space="preserve">Patient must have developed an intolerance of a severity necessitating permanent treatment withdrawal following use of another drug PBS indicated as first-line treatment of CLL/SLL, </w:t>
            </w:r>
          </w:p>
        </w:tc>
      </w:tr>
      <w:tr w:rsidR="00A60785" w:rsidRPr="00AB34C7" w14:paraId="7BC1A053" w14:textId="77777777" w:rsidTr="002C23BF">
        <w:tc>
          <w:tcPr>
            <w:tcW w:w="712" w:type="pct"/>
            <w:gridSpan w:val="2"/>
            <w:tcBorders>
              <w:top w:val="single" w:sz="4" w:space="0" w:color="auto"/>
              <w:left w:val="single" w:sz="4" w:space="0" w:color="auto"/>
              <w:bottom w:val="single" w:sz="4" w:space="0" w:color="auto"/>
              <w:right w:val="single" w:sz="4" w:space="0" w:color="auto"/>
            </w:tcBorders>
          </w:tcPr>
          <w:p w14:paraId="3E0CB116" w14:textId="77777777" w:rsidR="00A60785" w:rsidRPr="00AB34C7" w:rsidRDefault="00A60785" w:rsidP="009D0069">
            <w:pPr>
              <w:jc w:val="center"/>
              <w:rPr>
                <w:rFonts w:ascii="Arial Narrow" w:hAnsi="Arial Narrow"/>
                <w:sz w:val="20"/>
                <w:szCs w:val="20"/>
              </w:rPr>
            </w:pPr>
          </w:p>
        </w:tc>
        <w:tc>
          <w:tcPr>
            <w:tcW w:w="4288" w:type="pct"/>
            <w:tcBorders>
              <w:top w:val="single" w:sz="4" w:space="0" w:color="auto"/>
              <w:left w:val="single" w:sz="4" w:space="0" w:color="auto"/>
              <w:bottom w:val="single" w:sz="4" w:space="0" w:color="auto"/>
              <w:right w:val="single" w:sz="4" w:space="0" w:color="auto"/>
            </w:tcBorders>
            <w:vAlign w:val="center"/>
          </w:tcPr>
          <w:p w14:paraId="07F276BB" w14:textId="77777777" w:rsidR="00A60785" w:rsidRPr="00AB34C7" w:rsidRDefault="00A60785" w:rsidP="009D0069">
            <w:pPr>
              <w:rPr>
                <w:rFonts w:ascii="Arial Narrow" w:hAnsi="Arial Narrow"/>
                <w:sz w:val="20"/>
                <w:szCs w:val="20"/>
              </w:rPr>
            </w:pPr>
            <w:r w:rsidRPr="00AB34C7">
              <w:rPr>
                <w:rFonts w:ascii="Arial Narrow" w:eastAsia="Arial Narrow" w:hAnsi="Arial Narrow" w:cs="Arial Narrow"/>
                <w:b/>
                <w:bCs/>
                <w:color w:val="333333"/>
                <w:sz w:val="20"/>
                <w:szCs w:val="20"/>
              </w:rPr>
              <w:t>AND</w:t>
            </w:r>
          </w:p>
        </w:tc>
      </w:tr>
      <w:tr w:rsidR="00A60785" w:rsidRPr="00AB34C7" w14:paraId="3F4660A7" w14:textId="77777777" w:rsidTr="002C23BF">
        <w:tc>
          <w:tcPr>
            <w:tcW w:w="712" w:type="pct"/>
            <w:gridSpan w:val="2"/>
            <w:tcBorders>
              <w:top w:val="single" w:sz="4" w:space="0" w:color="auto"/>
              <w:left w:val="single" w:sz="4" w:space="0" w:color="auto"/>
              <w:bottom w:val="single" w:sz="4" w:space="0" w:color="auto"/>
              <w:right w:val="single" w:sz="4" w:space="0" w:color="auto"/>
            </w:tcBorders>
          </w:tcPr>
          <w:p w14:paraId="4E30796D" w14:textId="2215FD68" w:rsidR="00A60785" w:rsidRPr="00AB34C7" w:rsidRDefault="00A60785" w:rsidP="009D0069">
            <w:pPr>
              <w:jc w:val="center"/>
              <w:rPr>
                <w:rFonts w:ascii="Arial Narrow" w:hAnsi="Arial Narrow"/>
                <w:sz w:val="20"/>
                <w:szCs w:val="20"/>
              </w:rPr>
            </w:pPr>
          </w:p>
        </w:tc>
        <w:tc>
          <w:tcPr>
            <w:tcW w:w="4288" w:type="pct"/>
            <w:tcBorders>
              <w:top w:val="single" w:sz="4" w:space="0" w:color="auto"/>
              <w:left w:val="single" w:sz="4" w:space="0" w:color="auto"/>
              <w:bottom w:val="single" w:sz="4" w:space="0" w:color="auto"/>
              <w:right w:val="single" w:sz="4" w:space="0" w:color="auto"/>
            </w:tcBorders>
            <w:vAlign w:val="center"/>
          </w:tcPr>
          <w:p w14:paraId="34AF2C61" w14:textId="77777777" w:rsidR="00A60785" w:rsidRPr="00AB34C7" w:rsidRDefault="00A60785" w:rsidP="009D0069">
            <w:pPr>
              <w:rPr>
                <w:rFonts w:ascii="Arial Narrow" w:hAnsi="Arial Narrow"/>
                <w:sz w:val="20"/>
                <w:szCs w:val="20"/>
              </w:rPr>
            </w:pPr>
            <w:r w:rsidRPr="00AB34C7">
              <w:rPr>
                <w:rFonts w:ascii="Arial Narrow" w:eastAsia="Arial Narrow" w:hAnsi="Arial Narrow" w:cs="Arial Narrow"/>
                <w:b/>
                <w:bCs/>
                <w:color w:val="333333"/>
                <w:sz w:val="20"/>
                <w:szCs w:val="20"/>
              </w:rPr>
              <w:t>Clinical criteria:</w:t>
            </w:r>
          </w:p>
        </w:tc>
      </w:tr>
      <w:tr w:rsidR="00A60785" w:rsidRPr="00AB34C7" w14:paraId="1F934B40" w14:textId="77777777" w:rsidTr="002C23BF">
        <w:tc>
          <w:tcPr>
            <w:tcW w:w="712" w:type="pct"/>
            <w:gridSpan w:val="2"/>
            <w:tcBorders>
              <w:top w:val="single" w:sz="4" w:space="0" w:color="auto"/>
              <w:left w:val="single" w:sz="4" w:space="0" w:color="auto"/>
              <w:bottom w:val="single" w:sz="4" w:space="0" w:color="auto"/>
              <w:right w:val="single" w:sz="4" w:space="0" w:color="auto"/>
            </w:tcBorders>
          </w:tcPr>
          <w:p w14:paraId="09F6B13A" w14:textId="40A74BE2" w:rsidR="00A60785" w:rsidRPr="00AB34C7" w:rsidRDefault="00A60785" w:rsidP="009D0069">
            <w:pPr>
              <w:jc w:val="center"/>
              <w:rPr>
                <w:rFonts w:ascii="Arial Narrow" w:hAnsi="Arial Narrow"/>
                <w:sz w:val="20"/>
                <w:szCs w:val="20"/>
              </w:rPr>
            </w:pPr>
          </w:p>
        </w:tc>
        <w:tc>
          <w:tcPr>
            <w:tcW w:w="4288" w:type="pct"/>
            <w:tcBorders>
              <w:top w:val="single" w:sz="4" w:space="0" w:color="auto"/>
              <w:left w:val="single" w:sz="4" w:space="0" w:color="auto"/>
              <w:bottom w:val="single" w:sz="4" w:space="0" w:color="auto"/>
              <w:right w:val="single" w:sz="4" w:space="0" w:color="auto"/>
            </w:tcBorders>
            <w:vAlign w:val="center"/>
          </w:tcPr>
          <w:p w14:paraId="57F9A748" w14:textId="77777777" w:rsidR="00A60785" w:rsidRPr="00AB34C7" w:rsidRDefault="00A60785" w:rsidP="009D0069">
            <w:pPr>
              <w:rPr>
                <w:rFonts w:ascii="Arial Narrow" w:hAnsi="Arial Narrow"/>
                <w:sz w:val="20"/>
                <w:szCs w:val="20"/>
              </w:rPr>
            </w:pPr>
            <w:r w:rsidRPr="00AB34C7">
              <w:rPr>
                <w:rFonts w:ascii="Arial Narrow" w:eastAsia="Arial Narrow" w:hAnsi="Arial Narrow" w:cs="Arial Narrow"/>
                <w:color w:val="333333"/>
                <w:sz w:val="20"/>
                <w:szCs w:val="20"/>
              </w:rPr>
              <w:t>The treatment must only be prescribed for a patient with active disease in accordance with the International Workshop on CLL (iwCLL) guidance (latest version) in relation to when to prescribe drug treatment for this condition,</w:t>
            </w:r>
          </w:p>
        </w:tc>
      </w:tr>
      <w:tr w:rsidR="00A60785" w:rsidRPr="00AB34C7" w14:paraId="750A5484" w14:textId="77777777" w:rsidTr="002C23BF">
        <w:tc>
          <w:tcPr>
            <w:tcW w:w="712" w:type="pct"/>
            <w:gridSpan w:val="2"/>
            <w:tcBorders>
              <w:top w:val="single" w:sz="4" w:space="0" w:color="auto"/>
              <w:left w:val="single" w:sz="4" w:space="0" w:color="auto"/>
              <w:bottom w:val="single" w:sz="4" w:space="0" w:color="auto"/>
              <w:right w:val="single" w:sz="4" w:space="0" w:color="auto"/>
            </w:tcBorders>
          </w:tcPr>
          <w:p w14:paraId="70BAA4C6" w14:textId="77777777" w:rsidR="00A60785" w:rsidRPr="00AB34C7" w:rsidRDefault="00A60785" w:rsidP="009D0069">
            <w:pPr>
              <w:jc w:val="center"/>
              <w:rPr>
                <w:rFonts w:ascii="Arial Narrow" w:hAnsi="Arial Narrow"/>
                <w:sz w:val="20"/>
                <w:szCs w:val="20"/>
              </w:rPr>
            </w:pPr>
          </w:p>
        </w:tc>
        <w:tc>
          <w:tcPr>
            <w:tcW w:w="4288" w:type="pct"/>
            <w:tcBorders>
              <w:top w:val="single" w:sz="4" w:space="0" w:color="auto"/>
              <w:left w:val="single" w:sz="4" w:space="0" w:color="auto"/>
              <w:bottom w:val="single" w:sz="4" w:space="0" w:color="auto"/>
              <w:right w:val="single" w:sz="4" w:space="0" w:color="auto"/>
            </w:tcBorders>
            <w:vAlign w:val="center"/>
          </w:tcPr>
          <w:p w14:paraId="4350278E" w14:textId="77777777" w:rsidR="00A60785" w:rsidRPr="00AB34C7" w:rsidRDefault="00A60785" w:rsidP="009D0069">
            <w:pPr>
              <w:rPr>
                <w:rFonts w:ascii="Arial Narrow" w:hAnsi="Arial Narrow"/>
                <w:strike/>
                <w:sz w:val="20"/>
                <w:szCs w:val="20"/>
              </w:rPr>
            </w:pPr>
            <w:r w:rsidRPr="00AB34C7">
              <w:rPr>
                <w:rFonts w:ascii="Arial Narrow" w:eastAsia="Arial Narrow" w:hAnsi="Arial Narrow" w:cs="Arial Narrow"/>
                <w:b/>
                <w:bCs/>
                <w:color w:val="333333"/>
                <w:sz w:val="20"/>
                <w:szCs w:val="20"/>
              </w:rPr>
              <w:t>AND</w:t>
            </w:r>
          </w:p>
        </w:tc>
      </w:tr>
      <w:tr w:rsidR="00A60785" w:rsidRPr="00AB34C7" w14:paraId="2924775F" w14:textId="77777777" w:rsidTr="002C23BF">
        <w:tc>
          <w:tcPr>
            <w:tcW w:w="712" w:type="pct"/>
            <w:gridSpan w:val="2"/>
            <w:tcBorders>
              <w:top w:val="single" w:sz="4" w:space="0" w:color="auto"/>
              <w:left w:val="single" w:sz="4" w:space="0" w:color="auto"/>
              <w:bottom w:val="single" w:sz="4" w:space="0" w:color="auto"/>
              <w:right w:val="single" w:sz="4" w:space="0" w:color="auto"/>
            </w:tcBorders>
          </w:tcPr>
          <w:p w14:paraId="2859354E" w14:textId="6D16F36B" w:rsidR="00A60785" w:rsidRPr="00AB34C7" w:rsidRDefault="00A60785" w:rsidP="009D0069">
            <w:pPr>
              <w:jc w:val="center"/>
              <w:rPr>
                <w:rFonts w:ascii="Arial Narrow" w:hAnsi="Arial Narrow"/>
                <w:sz w:val="20"/>
                <w:szCs w:val="20"/>
              </w:rPr>
            </w:pPr>
          </w:p>
        </w:tc>
        <w:tc>
          <w:tcPr>
            <w:tcW w:w="4288" w:type="pct"/>
            <w:tcBorders>
              <w:top w:val="single" w:sz="4" w:space="0" w:color="auto"/>
              <w:left w:val="single" w:sz="4" w:space="0" w:color="auto"/>
              <w:bottom w:val="single" w:sz="4" w:space="0" w:color="auto"/>
              <w:right w:val="single" w:sz="4" w:space="0" w:color="auto"/>
            </w:tcBorders>
            <w:vAlign w:val="center"/>
          </w:tcPr>
          <w:p w14:paraId="015EB3CD" w14:textId="77777777" w:rsidR="00A60785" w:rsidRPr="00AB34C7" w:rsidRDefault="00A60785" w:rsidP="009D0069">
            <w:pPr>
              <w:rPr>
                <w:rFonts w:ascii="Arial Narrow" w:hAnsi="Arial Narrow"/>
                <w:strike/>
                <w:sz w:val="20"/>
                <w:szCs w:val="20"/>
              </w:rPr>
            </w:pPr>
            <w:r w:rsidRPr="00AB34C7">
              <w:rPr>
                <w:rFonts w:ascii="Arial Narrow" w:eastAsia="Arial Narrow" w:hAnsi="Arial Narrow" w:cs="Arial Narrow"/>
                <w:b/>
                <w:bCs/>
                <w:color w:val="333333"/>
                <w:sz w:val="20"/>
                <w:szCs w:val="20"/>
              </w:rPr>
              <w:t>Clinical criteria:</w:t>
            </w:r>
          </w:p>
        </w:tc>
      </w:tr>
      <w:tr w:rsidR="00A60785" w:rsidRPr="00AB34C7" w14:paraId="27817D16" w14:textId="77777777" w:rsidTr="002C23BF">
        <w:tc>
          <w:tcPr>
            <w:tcW w:w="712" w:type="pct"/>
            <w:gridSpan w:val="2"/>
            <w:tcBorders>
              <w:top w:val="single" w:sz="4" w:space="0" w:color="auto"/>
              <w:left w:val="single" w:sz="4" w:space="0" w:color="auto"/>
              <w:bottom w:val="single" w:sz="4" w:space="0" w:color="auto"/>
              <w:right w:val="single" w:sz="4" w:space="0" w:color="auto"/>
            </w:tcBorders>
          </w:tcPr>
          <w:p w14:paraId="78D7A7B7" w14:textId="12CDC001" w:rsidR="00A60785" w:rsidRPr="00AB34C7" w:rsidRDefault="00A60785" w:rsidP="009D0069">
            <w:pPr>
              <w:jc w:val="center"/>
              <w:rPr>
                <w:rFonts w:ascii="Arial Narrow" w:hAnsi="Arial Narrow"/>
                <w:sz w:val="20"/>
                <w:szCs w:val="20"/>
              </w:rPr>
            </w:pPr>
          </w:p>
        </w:tc>
        <w:tc>
          <w:tcPr>
            <w:tcW w:w="4288" w:type="pct"/>
            <w:tcBorders>
              <w:top w:val="single" w:sz="4" w:space="0" w:color="auto"/>
              <w:left w:val="single" w:sz="4" w:space="0" w:color="auto"/>
              <w:bottom w:val="single" w:sz="4" w:space="0" w:color="auto"/>
              <w:right w:val="single" w:sz="4" w:space="0" w:color="auto"/>
            </w:tcBorders>
            <w:vAlign w:val="center"/>
          </w:tcPr>
          <w:p w14:paraId="044A0A80" w14:textId="77777777" w:rsidR="00A60785" w:rsidRPr="00AB34C7" w:rsidRDefault="00A60785" w:rsidP="009D0069">
            <w:pPr>
              <w:rPr>
                <w:rFonts w:ascii="Arial Narrow" w:hAnsi="Arial Narrow"/>
                <w:strike/>
                <w:sz w:val="20"/>
                <w:szCs w:val="20"/>
              </w:rPr>
            </w:pPr>
            <w:r w:rsidRPr="00AB34C7">
              <w:rPr>
                <w:rFonts w:ascii="Arial Narrow" w:eastAsia="Arial Narrow" w:hAnsi="Arial Narrow" w:cs="Arial Narrow"/>
                <w:color w:val="333333"/>
                <w:sz w:val="20"/>
                <w:szCs w:val="20"/>
              </w:rPr>
              <w:t>The treatment must be in combination with venetoclax (refer to Product Information for timing of ibrutinib and venetoclax doses).</w:t>
            </w:r>
          </w:p>
        </w:tc>
      </w:tr>
      <w:tr w:rsidR="00A60785" w:rsidRPr="00AB34C7" w14:paraId="1A714CD5" w14:textId="77777777" w:rsidTr="002C23BF">
        <w:tc>
          <w:tcPr>
            <w:tcW w:w="712" w:type="pct"/>
            <w:gridSpan w:val="2"/>
            <w:tcBorders>
              <w:top w:val="single" w:sz="4" w:space="0" w:color="auto"/>
              <w:left w:val="single" w:sz="4" w:space="0" w:color="auto"/>
              <w:bottom w:val="single" w:sz="4" w:space="0" w:color="auto"/>
              <w:right w:val="single" w:sz="4" w:space="0" w:color="auto"/>
            </w:tcBorders>
          </w:tcPr>
          <w:p w14:paraId="2DA86B64" w14:textId="77777777" w:rsidR="00A60785" w:rsidRPr="00AB34C7" w:rsidRDefault="00A60785" w:rsidP="009D0069">
            <w:pPr>
              <w:jc w:val="center"/>
              <w:rPr>
                <w:rFonts w:ascii="Arial Narrow" w:hAnsi="Arial Narrow"/>
                <w:sz w:val="20"/>
                <w:szCs w:val="20"/>
              </w:rPr>
            </w:pPr>
          </w:p>
        </w:tc>
        <w:tc>
          <w:tcPr>
            <w:tcW w:w="4288" w:type="pct"/>
            <w:tcBorders>
              <w:top w:val="single" w:sz="4" w:space="0" w:color="auto"/>
              <w:left w:val="single" w:sz="4" w:space="0" w:color="auto"/>
              <w:bottom w:val="single" w:sz="4" w:space="0" w:color="auto"/>
              <w:right w:val="single" w:sz="4" w:space="0" w:color="auto"/>
            </w:tcBorders>
            <w:vAlign w:val="center"/>
          </w:tcPr>
          <w:p w14:paraId="312CB039" w14:textId="77777777" w:rsidR="00A60785" w:rsidRPr="00AB34C7" w:rsidRDefault="00A60785" w:rsidP="009D0069">
            <w:pPr>
              <w:rPr>
                <w:rFonts w:ascii="Arial Narrow" w:eastAsia="Arial Narrow" w:hAnsi="Arial Narrow" w:cs="Arial Narrow"/>
                <w:color w:val="333333"/>
                <w:sz w:val="20"/>
                <w:szCs w:val="20"/>
              </w:rPr>
            </w:pPr>
          </w:p>
        </w:tc>
      </w:tr>
      <w:tr w:rsidR="00A60785" w:rsidRPr="00AB34C7" w14:paraId="1CA801FE" w14:textId="77777777" w:rsidTr="002C23BF">
        <w:tc>
          <w:tcPr>
            <w:tcW w:w="712" w:type="pct"/>
            <w:gridSpan w:val="2"/>
            <w:tcBorders>
              <w:top w:val="single" w:sz="4" w:space="0" w:color="auto"/>
              <w:left w:val="single" w:sz="4" w:space="0" w:color="auto"/>
              <w:bottom w:val="single" w:sz="4" w:space="0" w:color="auto"/>
              <w:right w:val="single" w:sz="4" w:space="0" w:color="auto"/>
            </w:tcBorders>
          </w:tcPr>
          <w:p w14:paraId="079D3DDB" w14:textId="7A4B95B7" w:rsidR="00A60785" w:rsidRPr="00AB34C7" w:rsidRDefault="00A60785" w:rsidP="009D0069">
            <w:pPr>
              <w:jc w:val="center"/>
              <w:rPr>
                <w:rFonts w:ascii="Arial Narrow" w:hAnsi="Arial Narrow"/>
                <w:sz w:val="20"/>
                <w:szCs w:val="20"/>
              </w:rPr>
            </w:pPr>
          </w:p>
        </w:tc>
        <w:tc>
          <w:tcPr>
            <w:tcW w:w="4288" w:type="pct"/>
            <w:tcBorders>
              <w:top w:val="single" w:sz="4" w:space="0" w:color="auto"/>
              <w:left w:val="single" w:sz="4" w:space="0" w:color="auto"/>
              <w:bottom w:val="single" w:sz="4" w:space="0" w:color="auto"/>
              <w:right w:val="single" w:sz="4" w:space="0" w:color="auto"/>
            </w:tcBorders>
            <w:vAlign w:val="center"/>
          </w:tcPr>
          <w:p w14:paraId="365AB00F" w14:textId="77777777" w:rsidR="00A60785" w:rsidRPr="00AB34C7" w:rsidRDefault="00A60785" w:rsidP="009D0069">
            <w:pPr>
              <w:rPr>
                <w:rFonts w:ascii="Arial Narrow" w:eastAsia="Arial Narrow" w:hAnsi="Arial Narrow" w:cs="Arial Narrow"/>
                <w:b/>
                <w:bCs/>
                <w:color w:val="333333"/>
                <w:sz w:val="20"/>
                <w:szCs w:val="20"/>
              </w:rPr>
            </w:pPr>
            <w:r w:rsidRPr="00AB34C7">
              <w:rPr>
                <w:rFonts w:ascii="Arial Narrow" w:eastAsia="Arial Narrow" w:hAnsi="Arial Narrow" w:cs="Arial Narrow"/>
                <w:b/>
                <w:bCs/>
                <w:color w:val="333333"/>
                <w:sz w:val="20"/>
                <w:szCs w:val="20"/>
              </w:rPr>
              <w:t>Prescriber Instruction:</w:t>
            </w:r>
          </w:p>
          <w:p w14:paraId="5020FD73" w14:textId="77777777" w:rsidR="00A60785" w:rsidRPr="00AB34C7" w:rsidRDefault="00A60785" w:rsidP="009D0069">
            <w:pPr>
              <w:rPr>
                <w:rFonts w:ascii="Arial Narrow" w:eastAsia="Arial Narrow" w:hAnsi="Arial Narrow" w:cs="Arial Narrow"/>
                <w:color w:val="333333"/>
                <w:sz w:val="20"/>
                <w:szCs w:val="20"/>
              </w:rPr>
            </w:pPr>
            <w:r w:rsidRPr="00AB34C7">
              <w:rPr>
                <w:rFonts w:ascii="Arial Narrow" w:eastAsia="Arial Narrow" w:hAnsi="Arial Narrow" w:cs="Arial Narrow"/>
                <w:color w:val="333333"/>
                <w:sz w:val="20"/>
                <w:szCs w:val="20"/>
              </w:rPr>
              <w:t>There are more ibrutinib capsules (or tablets) in a pack than is required for the completion of a treatment cycle. The patient must not discard any remaining capsules (or tablets) after the completion of any treatment cycle as these capsules (or tablets) will be required for the doses in the final treatment cycle (i.e. treatment cycle 15).</w:t>
            </w:r>
          </w:p>
        </w:tc>
      </w:tr>
    </w:tbl>
    <w:p w14:paraId="4CF8BA02" w14:textId="77777777" w:rsidR="00A60785" w:rsidRPr="00AB34C7" w:rsidRDefault="00A60785" w:rsidP="00A60785">
      <w:pPr>
        <w:rPr>
          <w:rFonts w:ascii="Arial Narrow" w:eastAsiaTheme="majorEastAsia" w:hAnsi="Arial Narrow"/>
          <w:b/>
          <w:sz w:val="18"/>
          <w:szCs w:val="18"/>
        </w:rPr>
      </w:pPr>
    </w:p>
    <w:p w14:paraId="39F85B09" w14:textId="516983FD" w:rsidR="00A60785" w:rsidRPr="00AB34C7" w:rsidRDefault="00A60785" w:rsidP="00A60785">
      <w:pPr>
        <w:pStyle w:val="Tableheadingrow"/>
        <w:keepNext w:val="0"/>
        <w:rPr>
          <w:sz w:val="18"/>
          <w:szCs w:val="18"/>
          <w:lang w:val="en-AU"/>
        </w:rPr>
      </w:pPr>
      <w:r w:rsidRPr="00AB34C7">
        <w:rPr>
          <w:szCs w:val="20"/>
          <w:lang w:val="en-AU"/>
        </w:rPr>
        <w:t>FIRST CONTINUING (CYCLES 4 TO 9 INCLUSIVE)</w:t>
      </w: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
        <w:gridCol w:w="995"/>
        <w:gridCol w:w="1717"/>
        <w:gridCol w:w="1182"/>
        <w:gridCol w:w="1012"/>
        <w:gridCol w:w="843"/>
        <w:gridCol w:w="843"/>
        <w:gridCol w:w="2197"/>
      </w:tblGrid>
      <w:tr w:rsidR="00A60785" w:rsidRPr="00AB34C7" w14:paraId="1307755A" w14:textId="77777777" w:rsidTr="009D0069">
        <w:trPr>
          <w:cantSplit/>
          <w:trHeight w:val="471"/>
        </w:trPr>
        <w:tc>
          <w:tcPr>
            <w:tcW w:w="2990" w:type="dxa"/>
            <w:gridSpan w:val="3"/>
          </w:tcPr>
          <w:p w14:paraId="07C94C01" w14:textId="77777777" w:rsidR="00A60785" w:rsidRPr="00AB34C7" w:rsidRDefault="00A60785" w:rsidP="009D0069">
            <w:pPr>
              <w:ind w:left="-57"/>
              <w:rPr>
                <w:rFonts w:ascii="Arial Narrow" w:hAnsi="Arial Narrow"/>
                <w:b/>
                <w:bCs/>
                <w:sz w:val="20"/>
                <w:szCs w:val="20"/>
              </w:rPr>
            </w:pPr>
            <w:r w:rsidRPr="00AB34C7">
              <w:rPr>
                <w:rFonts w:ascii="Arial Narrow" w:hAnsi="Arial Narrow"/>
                <w:b/>
                <w:bCs/>
                <w:sz w:val="20"/>
                <w:szCs w:val="20"/>
              </w:rPr>
              <w:t>MEDICINAL PRODUCT</w:t>
            </w:r>
          </w:p>
          <w:p w14:paraId="50756CC6" w14:textId="77777777" w:rsidR="00A60785" w:rsidRPr="00AB34C7" w:rsidRDefault="00A60785" w:rsidP="009D0069">
            <w:pPr>
              <w:ind w:left="-57"/>
              <w:rPr>
                <w:rFonts w:ascii="Arial Narrow" w:hAnsi="Arial Narrow"/>
                <w:b/>
                <w:sz w:val="20"/>
                <w:szCs w:val="20"/>
              </w:rPr>
            </w:pPr>
            <w:r w:rsidRPr="00AB34C7">
              <w:rPr>
                <w:rFonts w:ascii="Arial Narrow" w:hAnsi="Arial Narrow"/>
                <w:b/>
                <w:bCs/>
                <w:sz w:val="20"/>
                <w:szCs w:val="20"/>
              </w:rPr>
              <w:t>medicinal product pack</w:t>
            </w:r>
          </w:p>
        </w:tc>
        <w:tc>
          <w:tcPr>
            <w:tcW w:w="1182" w:type="dxa"/>
          </w:tcPr>
          <w:p w14:paraId="43DABA6D" w14:textId="77777777" w:rsidR="00A60785" w:rsidRPr="00AB34C7" w:rsidRDefault="00A60785" w:rsidP="009D0069">
            <w:pPr>
              <w:ind w:left="-108"/>
              <w:jc w:val="center"/>
              <w:rPr>
                <w:rFonts w:ascii="Arial Narrow" w:hAnsi="Arial Narrow"/>
                <w:b/>
                <w:sz w:val="20"/>
                <w:szCs w:val="20"/>
              </w:rPr>
            </w:pPr>
            <w:r w:rsidRPr="00AB34C7">
              <w:rPr>
                <w:rFonts w:ascii="Arial Narrow" w:hAnsi="Arial Narrow"/>
                <w:b/>
                <w:sz w:val="20"/>
                <w:szCs w:val="20"/>
              </w:rPr>
              <w:t>PBS item code</w:t>
            </w:r>
          </w:p>
        </w:tc>
        <w:tc>
          <w:tcPr>
            <w:tcW w:w="1012" w:type="dxa"/>
          </w:tcPr>
          <w:p w14:paraId="392EC0EA" w14:textId="77777777" w:rsidR="00A60785" w:rsidRPr="00AB34C7" w:rsidRDefault="00A60785" w:rsidP="009D0069">
            <w:pPr>
              <w:ind w:left="-108"/>
              <w:jc w:val="center"/>
              <w:rPr>
                <w:rFonts w:ascii="Arial Narrow" w:hAnsi="Arial Narrow"/>
                <w:b/>
                <w:sz w:val="20"/>
                <w:szCs w:val="20"/>
              </w:rPr>
            </w:pPr>
            <w:r w:rsidRPr="00AB34C7">
              <w:rPr>
                <w:rFonts w:ascii="Arial Narrow" w:hAnsi="Arial Narrow"/>
                <w:b/>
                <w:sz w:val="20"/>
                <w:szCs w:val="20"/>
              </w:rPr>
              <w:t>Max. qty packs</w:t>
            </w:r>
          </w:p>
        </w:tc>
        <w:tc>
          <w:tcPr>
            <w:tcW w:w="843" w:type="dxa"/>
          </w:tcPr>
          <w:p w14:paraId="51AB9844" w14:textId="77777777" w:rsidR="00A60785" w:rsidRPr="00AB34C7" w:rsidRDefault="00A60785" w:rsidP="009D0069">
            <w:pPr>
              <w:ind w:left="-108"/>
              <w:jc w:val="center"/>
              <w:rPr>
                <w:rFonts w:ascii="Arial Narrow" w:hAnsi="Arial Narrow"/>
                <w:b/>
                <w:sz w:val="20"/>
                <w:szCs w:val="20"/>
              </w:rPr>
            </w:pPr>
            <w:r w:rsidRPr="00AB34C7">
              <w:rPr>
                <w:rFonts w:ascii="Arial Narrow" w:hAnsi="Arial Narrow"/>
                <w:b/>
                <w:sz w:val="20"/>
                <w:szCs w:val="20"/>
              </w:rPr>
              <w:t>Max. qty units</w:t>
            </w:r>
          </w:p>
        </w:tc>
        <w:tc>
          <w:tcPr>
            <w:tcW w:w="843" w:type="dxa"/>
          </w:tcPr>
          <w:p w14:paraId="3EFD3894" w14:textId="77777777" w:rsidR="00A60785" w:rsidRPr="00AB34C7" w:rsidRDefault="00A60785" w:rsidP="009D0069">
            <w:pPr>
              <w:ind w:left="-108"/>
              <w:jc w:val="center"/>
              <w:rPr>
                <w:rFonts w:ascii="Arial Narrow" w:hAnsi="Arial Narrow"/>
                <w:b/>
                <w:sz w:val="20"/>
                <w:szCs w:val="20"/>
              </w:rPr>
            </w:pPr>
            <w:r w:rsidRPr="00AB34C7">
              <w:rPr>
                <w:rFonts w:ascii="Arial Narrow" w:hAnsi="Arial Narrow"/>
                <w:b/>
                <w:sz w:val="20"/>
                <w:szCs w:val="20"/>
              </w:rPr>
              <w:t>№.of</w:t>
            </w:r>
          </w:p>
          <w:p w14:paraId="1370515F" w14:textId="77777777" w:rsidR="00A60785" w:rsidRPr="00AB34C7" w:rsidRDefault="00A60785" w:rsidP="009D0069">
            <w:pPr>
              <w:ind w:left="-108"/>
              <w:jc w:val="center"/>
              <w:rPr>
                <w:rFonts w:ascii="Arial Narrow" w:hAnsi="Arial Narrow"/>
                <w:b/>
                <w:sz w:val="20"/>
                <w:szCs w:val="20"/>
              </w:rPr>
            </w:pPr>
            <w:r w:rsidRPr="00AB34C7">
              <w:rPr>
                <w:rFonts w:ascii="Arial Narrow" w:hAnsi="Arial Narrow"/>
                <w:b/>
                <w:sz w:val="20"/>
                <w:szCs w:val="20"/>
              </w:rPr>
              <w:t>Rpts</w:t>
            </w:r>
          </w:p>
        </w:tc>
        <w:tc>
          <w:tcPr>
            <w:tcW w:w="2197" w:type="dxa"/>
          </w:tcPr>
          <w:p w14:paraId="56EE678D" w14:textId="77777777" w:rsidR="00A60785" w:rsidRPr="00B95C74" w:rsidRDefault="00A60785" w:rsidP="009D0069">
            <w:pPr>
              <w:jc w:val="center"/>
              <w:rPr>
                <w:rFonts w:ascii="Arial Narrow" w:hAnsi="Arial Narrow"/>
                <w:b/>
                <w:sz w:val="20"/>
                <w:szCs w:val="20"/>
              </w:rPr>
            </w:pPr>
            <w:r w:rsidRPr="00AB34C7">
              <w:rPr>
                <w:rFonts w:ascii="Arial Narrow" w:hAnsi="Arial Narrow"/>
                <w:b/>
                <w:sz w:val="20"/>
                <w:szCs w:val="20"/>
              </w:rPr>
              <w:t>Available brands</w:t>
            </w:r>
          </w:p>
        </w:tc>
      </w:tr>
      <w:tr w:rsidR="00A60785" w:rsidRPr="00AB34C7" w14:paraId="1309E122" w14:textId="77777777" w:rsidTr="009D0069">
        <w:trPr>
          <w:cantSplit/>
          <w:trHeight w:val="224"/>
        </w:trPr>
        <w:tc>
          <w:tcPr>
            <w:tcW w:w="9067" w:type="dxa"/>
            <w:gridSpan w:val="8"/>
          </w:tcPr>
          <w:p w14:paraId="202DAB1B" w14:textId="77777777" w:rsidR="00A60785" w:rsidRPr="00AB34C7" w:rsidRDefault="00A60785" w:rsidP="009D0069">
            <w:pPr>
              <w:ind w:left="-57"/>
              <w:rPr>
                <w:rFonts w:ascii="Arial Narrow" w:hAnsi="Arial Narrow"/>
                <w:sz w:val="20"/>
                <w:szCs w:val="20"/>
              </w:rPr>
            </w:pPr>
            <w:r w:rsidRPr="00AB34C7">
              <w:rPr>
                <w:rFonts w:ascii="Arial Narrow" w:hAnsi="Arial Narrow"/>
                <w:sz w:val="20"/>
                <w:szCs w:val="20"/>
              </w:rPr>
              <w:t>IBRUTINIB</w:t>
            </w:r>
          </w:p>
        </w:tc>
      </w:tr>
      <w:tr w:rsidR="00A60785" w:rsidRPr="00AB34C7" w14:paraId="75CC72D7" w14:textId="77777777" w:rsidTr="009D0069">
        <w:trPr>
          <w:cantSplit/>
          <w:trHeight w:val="109"/>
        </w:trPr>
        <w:tc>
          <w:tcPr>
            <w:tcW w:w="2990" w:type="dxa"/>
            <w:gridSpan w:val="3"/>
          </w:tcPr>
          <w:p w14:paraId="7D0EA346" w14:textId="77777777" w:rsidR="00A60785" w:rsidRPr="00AB34C7" w:rsidRDefault="00A60785" w:rsidP="009D0069">
            <w:pPr>
              <w:ind w:left="-57"/>
              <w:rPr>
                <w:rFonts w:ascii="Arial Narrow" w:hAnsi="Arial Narrow"/>
                <w:sz w:val="20"/>
                <w:szCs w:val="20"/>
              </w:rPr>
            </w:pPr>
            <w:r w:rsidRPr="00AB34C7">
              <w:rPr>
                <w:rFonts w:ascii="Arial Narrow" w:hAnsi="Arial Narrow" w:cstheme="minorBidi"/>
                <w:sz w:val="20"/>
                <w:szCs w:val="20"/>
              </w:rPr>
              <w:t>ibrutinib 140 mg capsule, 90</w:t>
            </w:r>
          </w:p>
        </w:tc>
        <w:tc>
          <w:tcPr>
            <w:tcW w:w="1182" w:type="dxa"/>
          </w:tcPr>
          <w:p w14:paraId="359AB109" w14:textId="77777777" w:rsidR="00A60785" w:rsidRPr="00AB34C7" w:rsidRDefault="00A60785" w:rsidP="009D0069">
            <w:pPr>
              <w:jc w:val="center"/>
              <w:rPr>
                <w:rFonts w:ascii="Arial Narrow" w:hAnsi="Arial Narrow"/>
                <w:sz w:val="20"/>
                <w:szCs w:val="20"/>
              </w:rPr>
            </w:pPr>
            <w:r w:rsidRPr="00AB34C7">
              <w:rPr>
                <w:rFonts w:ascii="Arial Narrow" w:hAnsi="Arial Narrow"/>
                <w:sz w:val="20"/>
                <w:szCs w:val="20"/>
              </w:rPr>
              <w:t>NEW</w:t>
            </w:r>
          </w:p>
        </w:tc>
        <w:tc>
          <w:tcPr>
            <w:tcW w:w="1012" w:type="dxa"/>
          </w:tcPr>
          <w:p w14:paraId="0A8682CF" w14:textId="77777777" w:rsidR="00A60785" w:rsidRPr="00AB34C7" w:rsidRDefault="00A60785" w:rsidP="009D0069">
            <w:pPr>
              <w:jc w:val="center"/>
              <w:rPr>
                <w:rFonts w:ascii="Arial Narrow" w:hAnsi="Arial Narrow"/>
                <w:sz w:val="20"/>
                <w:szCs w:val="20"/>
              </w:rPr>
            </w:pPr>
            <w:r w:rsidRPr="00AB34C7">
              <w:rPr>
                <w:rFonts w:ascii="Arial Narrow" w:hAnsi="Arial Narrow"/>
                <w:sz w:val="20"/>
                <w:szCs w:val="20"/>
              </w:rPr>
              <w:t>1</w:t>
            </w:r>
          </w:p>
        </w:tc>
        <w:tc>
          <w:tcPr>
            <w:tcW w:w="843" w:type="dxa"/>
          </w:tcPr>
          <w:p w14:paraId="6554FF30" w14:textId="77777777" w:rsidR="00A60785" w:rsidRPr="00AB34C7" w:rsidRDefault="00A60785" w:rsidP="009D0069">
            <w:pPr>
              <w:jc w:val="center"/>
              <w:rPr>
                <w:rFonts w:ascii="Arial Narrow" w:hAnsi="Arial Narrow"/>
                <w:sz w:val="20"/>
                <w:szCs w:val="20"/>
              </w:rPr>
            </w:pPr>
            <w:r w:rsidRPr="00AB34C7">
              <w:rPr>
                <w:rFonts w:ascii="Arial Narrow" w:hAnsi="Arial Narrow"/>
                <w:sz w:val="20"/>
                <w:szCs w:val="20"/>
              </w:rPr>
              <w:t>90</w:t>
            </w:r>
          </w:p>
        </w:tc>
        <w:tc>
          <w:tcPr>
            <w:tcW w:w="843" w:type="dxa"/>
          </w:tcPr>
          <w:p w14:paraId="08CEB2ED" w14:textId="77777777" w:rsidR="00A60785" w:rsidRPr="00AB34C7" w:rsidRDefault="00A60785" w:rsidP="009D0069">
            <w:pPr>
              <w:jc w:val="center"/>
              <w:rPr>
                <w:rFonts w:ascii="Arial Narrow" w:hAnsi="Arial Narrow"/>
                <w:sz w:val="20"/>
                <w:szCs w:val="20"/>
              </w:rPr>
            </w:pPr>
            <w:r w:rsidRPr="00AB34C7">
              <w:rPr>
                <w:rFonts w:ascii="Arial Narrow" w:hAnsi="Arial Narrow"/>
                <w:sz w:val="20"/>
                <w:szCs w:val="20"/>
              </w:rPr>
              <w:t>5</w:t>
            </w:r>
          </w:p>
        </w:tc>
        <w:tc>
          <w:tcPr>
            <w:tcW w:w="2197" w:type="dxa"/>
          </w:tcPr>
          <w:p w14:paraId="7CB2E371" w14:textId="77777777" w:rsidR="00A60785" w:rsidRPr="00AB34C7" w:rsidRDefault="00A60785" w:rsidP="009D0069">
            <w:pPr>
              <w:jc w:val="center"/>
              <w:rPr>
                <w:rFonts w:ascii="Arial Narrow" w:eastAsiaTheme="majorEastAsia" w:hAnsi="Arial Narrow" w:cstheme="majorBidi"/>
                <w:bCs/>
                <w:sz w:val="20"/>
                <w:szCs w:val="20"/>
              </w:rPr>
            </w:pPr>
            <w:r w:rsidRPr="00AB34C7">
              <w:rPr>
                <w:rFonts w:ascii="Arial Narrow" w:eastAsiaTheme="majorEastAsia" w:hAnsi="Arial Narrow"/>
                <w:bCs/>
                <w:sz w:val="20"/>
                <w:szCs w:val="20"/>
              </w:rPr>
              <w:t>Imbruvica</w:t>
            </w:r>
          </w:p>
        </w:tc>
      </w:tr>
      <w:tr w:rsidR="00A60785" w:rsidRPr="00AB34C7" w14:paraId="26871DE2" w14:textId="77777777" w:rsidTr="009D0069">
        <w:trPr>
          <w:cantSplit/>
          <w:trHeight w:val="109"/>
        </w:trPr>
        <w:tc>
          <w:tcPr>
            <w:tcW w:w="2990" w:type="dxa"/>
            <w:gridSpan w:val="3"/>
          </w:tcPr>
          <w:p w14:paraId="3F5E87A2" w14:textId="77777777" w:rsidR="00A60785" w:rsidRPr="00AB34C7" w:rsidRDefault="00A60785" w:rsidP="009D0069">
            <w:pPr>
              <w:ind w:left="-57"/>
              <w:rPr>
                <w:rFonts w:ascii="Arial Narrow" w:hAnsi="Arial Narrow" w:cstheme="minorBidi"/>
                <w:sz w:val="20"/>
                <w:szCs w:val="20"/>
              </w:rPr>
            </w:pPr>
            <w:r w:rsidRPr="00AB34C7">
              <w:rPr>
                <w:rFonts w:ascii="Arial Narrow" w:hAnsi="Arial Narrow" w:cstheme="minorBidi"/>
                <w:sz w:val="20"/>
                <w:szCs w:val="20"/>
              </w:rPr>
              <w:t>ibrutinib 280 mg tablet, 30</w:t>
            </w:r>
          </w:p>
        </w:tc>
        <w:tc>
          <w:tcPr>
            <w:tcW w:w="1182" w:type="dxa"/>
          </w:tcPr>
          <w:p w14:paraId="2886307D" w14:textId="77777777" w:rsidR="00A60785" w:rsidRPr="00AB34C7" w:rsidRDefault="00A60785" w:rsidP="009D0069">
            <w:pPr>
              <w:jc w:val="center"/>
              <w:rPr>
                <w:rFonts w:ascii="Arial Narrow" w:hAnsi="Arial Narrow"/>
                <w:sz w:val="20"/>
                <w:szCs w:val="20"/>
              </w:rPr>
            </w:pPr>
            <w:r w:rsidRPr="00AB34C7">
              <w:rPr>
                <w:rFonts w:ascii="Arial Narrow" w:hAnsi="Arial Narrow"/>
                <w:sz w:val="20"/>
                <w:szCs w:val="20"/>
              </w:rPr>
              <w:t>NEW</w:t>
            </w:r>
          </w:p>
        </w:tc>
        <w:tc>
          <w:tcPr>
            <w:tcW w:w="1012" w:type="dxa"/>
          </w:tcPr>
          <w:p w14:paraId="3EFEEEB2" w14:textId="77777777" w:rsidR="00A60785" w:rsidRPr="00AB34C7" w:rsidRDefault="00A60785" w:rsidP="009D0069">
            <w:pPr>
              <w:jc w:val="center"/>
              <w:rPr>
                <w:rFonts w:ascii="Arial Narrow" w:hAnsi="Arial Narrow"/>
                <w:sz w:val="20"/>
                <w:szCs w:val="20"/>
              </w:rPr>
            </w:pPr>
            <w:r w:rsidRPr="00AB34C7">
              <w:rPr>
                <w:rFonts w:ascii="Arial Narrow" w:hAnsi="Arial Narrow"/>
                <w:sz w:val="20"/>
                <w:szCs w:val="20"/>
              </w:rPr>
              <w:t>1</w:t>
            </w:r>
          </w:p>
        </w:tc>
        <w:tc>
          <w:tcPr>
            <w:tcW w:w="843" w:type="dxa"/>
          </w:tcPr>
          <w:p w14:paraId="551800D9" w14:textId="77777777" w:rsidR="00A60785" w:rsidRPr="00AB34C7" w:rsidRDefault="00A60785" w:rsidP="009D0069">
            <w:pPr>
              <w:jc w:val="center"/>
              <w:rPr>
                <w:rFonts w:ascii="Arial Narrow" w:hAnsi="Arial Narrow"/>
                <w:sz w:val="20"/>
                <w:szCs w:val="20"/>
              </w:rPr>
            </w:pPr>
            <w:r w:rsidRPr="00AB34C7">
              <w:rPr>
                <w:rFonts w:ascii="Arial Narrow" w:hAnsi="Arial Narrow"/>
                <w:sz w:val="20"/>
                <w:szCs w:val="20"/>
              </w:rPr>
              <w:t>30</w:t>
            </w:r>
          </w:p>
        </w:tc>
        <w:tc>
          <w:tcPr>
            <w:tcW w:w="843" w:type="dxa"/>
          </w:tcPr>
          <w:p w14:paraId="14E56B0A" w14:textId="77777777" w:rsidR="00A60785" w:rsidRPr="00AB34C7" w:rsidRDefault="00A60785" w:rsidP="009D0069">
            <w:pPr>
              <w:jc w:val="center"/>
              <w:rPr>
                <w:rFonts w:ascii="Arial Narrow" w:hAnsi="Arial Narrow"/>
                <w:sz w:val="20"/>
                <w:szCs w:val="20"/>
              </w:rPr>
            </w:pPr>
            <w:r w:rsidRPr="00AB34C7">
              <w:rPr>
                <w:rFonts w:ascii="Arial Narrow" w:hAnsi="Arial Narrow"/>
                <w:sz w:val="20"/>
                <w:szCs w:val="20"/>
              </w:rPr>
              <w:t>5</w:t>
            </w:r>
          </w:p>
        </w:tc>
        <w:tc>
          <w:tcPr>
            <w:tcW w:w="2197" w:type="dxa"/>
          </w:tcPr>
          <w:p w14:paraId="404808D1" w14:textId="77777777" w:rsidR="00A60785" w:rsidRPr="00AB34C7" w:rsidRDefault="00A60785" w:rsidP="009D0069">
            <w:pPr>
              <w:jc w:val="center"/>
              <w:rPr>
                <w:rFonts w:ascii="Arial Narrow" w:eastAsiaTheme="majorEastAsia" w:hAnsi="Arial Narrow"/>
                <w:bCs/>
                <w:sz w:val="20"/>
                <w:szCs w:val="20"/>
              </w:rPr>
            </w:pPr>
            <w:r w:rsidRPr="00AB34C7">
              <w:rPr>
                <w:rFonts w:ascii="Arial Narrow" w:eastAsiaTheme="majorEastAsia" w:hAnsi="Arial Narrow"/>
                <w:bCs/>
                <w:sz w:val="20"/>
                <w:szCs w:val="20"/>
              </w:rPr>
              <w:t>Imbruvica</w:t>
            </w:r>
          </w:p>
        </w:tc>
      </w:tr>
      <w:tr w:rsidR="00A60785" w:rsidRPr="00AB34C7" w14:paraId="0D62791B" w14:textId="77777777" w:rsidTr="009D0069">
        <w:trPr>
          <w:cantSplit/>
          <w:trHeight w:val="60"/>
        </w:trPr>
        <w:tc>
          <w:tcPr>
            <w:tcW w:w="2990" w:type="dxa"/>
            <w:gridSpan w:val="3"/>
          </w:tcPr>
          <w:p w14:paraId="2892266B" w14:textId="77777777" w:rsidR="00A60785" w:rsidRPr="00AB34C7" w:rsidRDefault="00A60785" w:rsidP="009D0069">
            <w:pPr>
              <w:ind w:left="-57"/>
              <w:rPr>
                <w:rFonts w:ascii="Arial Narrow" w:hAnsi="Arial Narrow" w:cstheme="minorBidi"/>
                <w:sz w:val="20"/>
                <w:szCs w:val="20"/>
              </w:rPr>
            </w:pPr>
            <w:r w:rsidRPr="00AB34C7">
              <w:rPr>
                <w:rFonts w:ascii="Arial Narrow" w:hAnsi="Arial Narrow" w:cstheme="minorBidi"/>
                <w:sz w:val="20"/>
                <w:szCs w:val="20"/>
              </w:rPr>
              <w:t>ibrutinib 420 mg tablet, 30</w:t>
            </w:r>
          </w:p>
        </w:tc>
        <w:tc>
          <w:tcPr>
            <w:tcW w:w="1182" w:type="dxa"/>
          </w:tcPr>
          <w:p w14:paraId="09D89D02" w14:textId="77777777" w:rsidR="00A60785" w:rsidRPr="00AB34C7" w:rsidRDefault="00A60785" w:rsidP="009D0069">
            <w:pPr>
              <w:jc w:val="center"/>
              <w:rPr>
                <w:rFonts w:ascii="Arial Narrow" w:hAnsi="Arial Narrow"/>
                <w:sz w:val="20"/>
                <w:szCs w:val="20"/>
              </w:rPr>
            </w:pPr>
            <w:r w:rsidRPr="00AB34C7">
              <w:rPr>
                <w:rFonts w:ascii="Arial Narrow" w:hAnsi="Arial Narrow"/>
                <w:sz w:val="20"/>
                <w:szCs w:val="20"/>
              </w:rPr>
              <w:t>NEW</w:t>
            </w:r>
          </w:p>
        </w:tc>
        <w:tc>
          <w:tcPr>
            <w:tcW w:w="1012" w:type="dxa"/>
          </w:tcPr>
          <w:p w14:paraId="560C09CD" w14:textId="77777777" w:rsidR="00A60785" w:rsidRPr="00AB34C7" w:rsidRDefault="00A60785" w:rsidP="009D0069">
            <w:pPr>
              <w:jc w:val="center"/>
              <w:rPr>
                <w:rFonts w:ascii="Arial Narrow" w:hAnsi="Arial Narrow"/>
                <w:sz w:val="20"/>
                <w:szCs w:val="20"/>
              </w:rPr>
            </w:pPr>
            <w:r w:rsidRPr="00AB34C7">
              <w:rPr>
                <w:rFonts w:ascii="Arial Narrow" w:hAnsi="Arial Narrow"/>
                <w:sz w:val="20"/>
                <w:szCs w:val="20"/>
              </w:rPr>
              <w:t>1</w:t>
            </w:r>
          </w:p>
        </w:tc>
        <w:tc>
          <w:tcPr>
            <w:tcW w:w="843" w:type="dxa"/>
          </w:tcPr>
          <w:p w14:paraId="26E0E088" w14:textId="77777777" w:rsidR="00A60785" w:rsidRPr="00AB34C7" w:rsidRDefault="00A60785" w:rsidP="009D0069">
            <w:pPr>
              <w:jc w:val="center"/>
              <w:rPr>
                <w:rFonts w:ascii="Arial Narrow" w:hAnsi="Arial Narrow"/>
                <w:sz w:val="20"/>
                <w:szCs w:val="20"/>
              </w:rPr>
            </w:pPr>
            <w:r w:rsidRPr="00AB34C7">
              <w:rPr>
                <w:rFonts w:ascii="Arial Narrow" w:hAnsi="Arial Narrow"/>
                <w:sz w:val="20"/>
                <w:szCs w:val="20"/>
              </w:rPr>
              <w:t>30</w:t>
            </w:r>
          </w:p>
        </w:tc>
        <w:tc>
          <w:tcPr>
            <w:tcW w:w="843" w:type="dxa"/>
          </w:tcPr>
          <w:p w14:paraId="1C1279D4" w14:textId="77777777" w:rsidR="00A60785" w:rsidRPr="00AB34C7" w:rsidRDefault="00A60785" w:rsidP="009D0069">
            <w:pPr>
              <w:jc w:val="center"/>
              <w:rPr>
                <w:rFonts w:ascii="Arial Narrow" w:hAnsi="Arial Narrow"/>
                <w:sz w:val="20"/>
                <w:szCs w:val="20"/>
              </w:rPr>
            </w:pPr>
            <w:r w:rsidRPr="00AB34C7">
              <w:rPr>
                <w:rFonts w:ascii="Arial Narrow" w:hAnsi="Arial Narrow"/>
                <w:sz w:val="20"/>
                <w:szCs w:val="20"/>
              </w:rPr>
              <w:t>5</w:t>
            </w:r>
          </w:p>
        </w:tc>
        <w:tc>
          <w:tcPr>
            <w:tcW w:w="2197" w:type="dxa"/>
          </w:tcPr>
          <w:p w14:paraId="0BD88B3E" w14:textId="77777777" w:rsidR="00A60785" w:rsidRPr="00AB34C7" w:rsidRDefault="00A60785" w:rsidP="009D0069">
            <w:pPr>
              <w:jc w:val="center"/>
              <w:rPr>
                <w:rFonts w:ascii="Arial Narrow" w:eastAsiaTheme="majorEastAsia" w:hAnsi="Arial Narrow"/>
                <w:bCs/>
                <w:sz w:val="20"/>
                <w:szCs w:val="20"/>
              </w:rPr>
            </w:pPr>
            <w:r w:rsidRPr="00AB34C7">
              <w:rPr>
                <w:rFonts w:ascii="Arial Narrow" w:eastAsiaTheme="majorEastAsia" w:hAnsi="Arial Narrow"/>
                <w:bCs/>
                <w:sz w:val="20"/>
                <w:szCs w:val="20"/>
              </w:rPr>
              <w:t>Imbruvica</w:t>
            </w:r>
          </w:p>
        </w:tc>
      </w:tr>
      <w:tr w:rsidR="00A60785" w:rsidRPr="00AB34C7" w14:paraId="6B242F8F" w14:textId="77777777" w:rsidTr="009D0069">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15CCC166" w14:textId="77777777" w:rsidR="00A60785" w:rsidRPr="00AB34C7" w:rsidRDefault="00A60785" w:rsidP="009D0069">
            <w:pPr>
              <w:rPr>
                <w:rFonts w:ascii="Arial Narrow" w:hAnsi="Arial Narrow"/>
                <w:sz w:val="20"/>
                <w:szCs w:val="20"/>
              </w:rPr>
            </w:pPr>
          </w:p>
        </w:tc>
      </w:tr>
      <w:tr w:rsidR="00A60785" w:rsidRPr="00AB34C7" w14:paraId="755B9C82" w14:textId="77777777" w:rsidTr="009D0069">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6641620E" w14:textId="77777777" w:rsidR="00A60785" w:rsidRPr="00AB34C7" w:rsidRDefault="00A60785" w:rsidP="009D0069">
            <w:pPr>
              <w:rPr>
                <w:rFonts w:ascii="Arial Narrow" w:hAnsi="Arial Narrow"/>
                <w:b/>
                <w:sz w:val="20"/>
                <w:szCs w:val="20"/>
              </w:rPr>
            </w:pPr>
            <w:r w:rsidRPr="00AB34C7">
              <w:rPr>
                <w:rFonts w:ascii="Arial Narrow" w:hAnsi="Arial Narrow"/>
                <w:b/>
                <w:sz w:val="20"/>
                <w:szCs w:val="20"/>
              </w:rPr>
              <w:t xml:space="preserve">Restriction Summary [new] / Treatment of Concept: [new] </w:t>
            </w:r>
          </w:p>
        </w:tc>
      </w:tr>
      <w:tr w:rsidR="00A60785" w:rsidRPr="00AB34C7" w14:paraId="512187DE" w14:textId="77777777" w:rsidTr="009D0069">
        <w:tblPrEx>
          <w:tblCellMar>
            <w:top w:w="15" w:type="dxa"/>
            <w:left w:w="15" w:type="dxa"/>
            <w:bottom w:w="15" w:type="dxa"/>
            <w:right w:w="15" w:type="dxa"/>
          </w:tblCellMar>
        </w:tblPrEx>
        <w:tc>
          <w:tcPr>
            <w:tcW w:w="1273" w:type="dxa"/>
            <w:gridSpan w:val="2"/>
            <w:vMerge w:val="restart"/>
            <w:tcBorders>
              <w:top w:val="single" w:sz="4" w:space="0" w:color="auto"/>
              <w:left w:val="single" w:sz="4" w:space="0" w:color="auto"/>
              <w:right w:val="single" w:sz="4" w:space="0" w:color="auto"/>
            </w:tcBorders>
          </w:tcPr>
          <w:p w14:paraId="70CA355C" w14:textId="3CA200C5" w:rsidR="00A60785" w:rsidRPr="00AB34C7" w:rsidRDefault="00A60785" w:rsidP="009D0069">
            <w:pPr>
              <w:jc w:val="center"/>
              <w:rPr>
                <w:rFonts w:ascii="Arial Narrow" w:hAnsi="Arial Narrow"/>
                <w:b/>
                <w:sz w:val="20"/>
                <w:szCs w:val="20"/>
              </w:rPr>
            </w:pPr>
          </w:p>
        </w:tc>
        <w:tc>
          <w:tcPr>
            <w:tcW w:w="7794" w:type="dxa"/>
            <w:gridSpan w:val="6"/>
            <w:tcBorders>
              <w:top w:val="single" w:sz="4" w:space="0" w:color="auto"/>
              <w:left w:val="single" w:sz="4" w:space="0" w:color="auto"/>
              <w:bottom w:val="single" w:sz="4" w:space="0" w:color="auto"/>
              <w:right w:val="single" w:sz="4" w:space="0" w:color="auto"/>
            </w:tcBorders>
          </w:tcPr>
          <w:p w14:paraId="186E0E26" w14:textId="77777777" w:rsidR="00A60785" w:rsidRPr="00AB34C7" w:rsidRDefault="00A60785" w:rsidP="009D0069">
            <w:pPr>
              <w:rPr>
                <w:rFonts w:ascii="Arial Narrow" w:hAnsi="Arial Narrow"/>
                <w:sz w:val="20"/>
                <w:szCs w:val="20"/>
              </w:rPr>
            </w:pPr>
            <w:r w:rsidRPr="00AB34C7">
              <w:rPr>
                <w:rFonts w:ascii="Arial Narrow" w:hAnsi="Arial Narrow"/>
                <w:b/>
                <w:sz w:val="20"/>
                <w:szCs w:val="20"/>
              </w:rPr>
              <w:t xml:space="preserve">Category / Program: </w:t>
            </w:r>
            <w:r w:rsidRPr="00AB34C7">
              <w:rPr>
                <w:rFonts w:ascii="Arial Narrow" w:hAnsi="Arial Narrow"/>
                <w:sz w:val="20"/>
                <w:szCs w:val="20"/>
              </w:rPr>
              <w:t xml:space="preserve">GENERAL – General Schedule (Code GE) </w:t>
            </w:r>
          </w:p>
        </w:tc>
      </w:tr>
      <w:tr w:rsidR="00A60785" w:rsidRPr="00AB34C7" w14:paraId="3A918612" w14:textId="77777777" w:rsidTr="009D0069">
        <w:tblPrEx>
          <w:tblCellMar>
            <w:top w:w="15" w:type="dxa"/>
            <w:left w:w="15" w:type="dxa"/>
            <w:bottom w:w="15" w:type="dxa"/>
            <w:right w:w="15" w:type="dxa"/>
          </w:tblCellMar>
        </w:tblPrEx>
        <w:trPr>
          <w:trHeight w:val="240"/>
        </w:trPr>
        <w:tc>
          <w:tcPr>
            <w:tcW w:w="1273" w:type="dxa"/>
            <w:gridSpan w:val="2"/>
            <w:vMerge/>
            <w:tcBorders>
              <w:left w:val="single" w:sz="4" w:space="0" w:color="auto"/>
              <w:right w:val="single" w:sz="4" w:space="0" w:color="auto"/>
            </w:tcBorders>
          </w:tcPr>
          <w:p w14:paraId="0E66351B" w14:textId="77777777" w:rsidR="00A60785" w:rsidRPr="00AB34C7" w:rsidRDefault="00A60785" w:rsidP="009D0069">
            <w:pP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tcPr>
          <w:p w14:paraId="020FFE0A" w14:textId="77777777" w:rsidR="00A60785" w:rsidRPr="00AB34C7" w:rsidRDefault="00A60785" w:rsidP="009D0069">
            <w:pPr>
              <w:rPr>
                <w:rFonts w:ascii="Arial Narrow" w:hAnsi="Arial Narrow"/>
                <w:b/>
                <w:sz w:val="20"/>
                <w:szCs w:val="20"/>
              </w:rPr>
            </w:pPr>
            <w:r w:rsidRPr="00AB34C7">
              <w:rPr>
                <w:rFonts w:ascii="Arial Narrow" w:hAnsi="Arial Narrow"/>
                <w:b/>
                <w:sz w:val="20"/>
                <w:szCs w:val="20"/>
              </w:rPr>
              <w:t xml:space="preserve">Prescriber type: </w:t>
            </w:r>
            <w:r w:rsidRPr="00AB34C7">
              <w:rPr>
                <w:rFonts w:ascii="Arial Narrow" w:hAnsi="Arial Narrow"/>
                <w:sz w:val="20"/>
                <w:szCs w:val="20"/>
              </w:rPr>
              <w:fldChar w:fldCharType="begin" w:fldLock="1">
                <w:ffData>
                  <w:name w:val=""/>
                  <w:enabled/>
                  <w:calcOnExit w:val="0"/>
                  <w:checkBox>
                    <w:sizeAuto/>
                    <w:default w:val="1"/>
                  </w:checkBox>
                </w:ffData>
              </w:fldChar>
            </w:r>
            <w:r w:rsidRPr="00AB34C7">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AB34C7">
              <w:rPr>
                <w:rFonts w:ascii="Arial Narrow" w:hAnsi="Arial Narrow"/>
                <w:sz w:val="20"/>
                <w:szCs w:val="20"/>
              </w:rPr>
              <w:fldChar w:fldCharType="end"/>
            </w:r>
            <w:r w:rsidRPr="00AB34C7">
              <w:rPr>
                <w:rFonts w:ascii="Arial Narrow" w:hAnsi="Arial Narrow"/>
                <w:sz w:val="20"/>
                <w:szCs w:val="20"/>
              </w:rPr>
              <w:t>Medical Practitioners</w:t>
            </w:r>
          </w:p>
        </w:tc>
      </w:tr>
      <w:tr w:rsidR="00A60785" w:rsidRPr="00AB34C7" w14:paraId="01BB249A" w14:textId="77777777" w:rsidTr="009D0069">
        <w:tblPrEx>
          <w:tblCellMar>
            <w:top w:w="15" w:type="dxa"/>
            <w:left w:w="15" w:type="dxa"/>
            <w:bottom w:w="15" w:type="dxa"/>
            <w:right w:w="15" w:type="dxa"/>
          </w:tblCellMar>
        </w:tblPrEx>
        <w:tc>
          <w:tcPr>
            <w:tcW w:w="1273" w:type="dxa"/>
            <w:gridSpan w:val="2"/>
            <w:vMerge/>
            <w:tcBorders>
              <w:left w:val="single" w:sz="4" w:space="0" w:color="auto"/>
              <w:bottom w:val="single" w:sz="4" w:space="0" w:color="auto"/>
              <w:right w:val="single" w:sz="4" w:space="0" w:color="auto"/>
            </w:tcBorders>
          </w:tcPr>
          <w:p w14:paraId="7BD14278" w14:textId="77777777" w:rsidR="00A60785" w:rsidRPr="00AB34C7" w:rsidRDefault="00A60785" w:rsidP="009D0069">
            <w:pP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tcPr>
          <w:p w14:paraId="25EFF5F3" w14:textId="77777777" w:rsidR="00A60785" w:rsidRPr="00AB34C7" w:rsidRDefault="00A60785" w:rsidP="009D0069">
            <w:pPr>
              <w:rPr>
                <w:rFonts w:ascii="Arial Narrow" w:eastAsia="Calibri" w:hAnsi="Arial Narrow"/>
                <w:sz w:val="20"/>
                <w:szCs w:val="20"/>
              </w:rPr>
            </w:pPr>
            <w:r w:rsidRPr="00AB34C7">
              <w:rPr>
                <w:rFonts w:ascii="Arial Narrow" w:hAnsi="Arial Narrow"/>
                <w:b/>
                <w:sz w:val="20"/>
                <w:szCs w:val="20"/>
              </w:rPr>
              <w:t xml:space="preserve">Restriction type: </w:t>
            </w:r>
            <w:r w:rsidRPr="00AB34C7">
              <w:rPr>
                <w:rFonts w:ascii="Arial Narrow" w:eastAsia="Calibri" w:hAnsi="Arial Narrow"/>
                <w:sz w:val="20"/>
                <w:szCs w:val="20"/>
              </w:rPr>
              <w:fldChar w:fldCharType="begin" w:fldLock="1">
                <w:ffData>
                  <w:name w:val="Check3"/>
                  <w:enabled/>
                  <w:calcOnExit w:val="0"/>
                  <w:checkBox>
                    <w:sizeAuto/>
                    <w:default w:val="1"/>
                  </w:checkBox>
                </w:ffData>
              </w:fldChar>
            </w:r>
            <w:r w:rsidRPr="00AB34C7">
              <w:rPr>
                <w:rFonts w:ascii="Arial Narrow" w:eastAsia="Calibri" w:hAnsi="Arial Narrow"/>
                <w:sz w:val="20"/>
                <w:szCs w:val="20"/>
              </w:rPr>
              <w:instrText xml:space="preserve"> FORMCHECKBOX </w:instrText>
            </w:r>
            <w:r w:rsidR="00000000">
              <w:rPr>
                <w:rFonts w:ascii="Arial Narrow" w:eastAsia="Calibri" w:hAnsi="Arial Narrow"/>
                <w:sz w:val="20"/>
                <w:szCs w:val="20"/>
              </w:rPr>
            </w:r>
            <w:r w:rsidR="00000000">
              <w:rPr>
                <w:rFonts w:ascii="Arial Narrow" w:eastAsia="Calibri" w:hAnsi="Arial Narrow"/>
                <w:sz w:val="20"/>
                <w:szCs w:val="20"/>
              </w:rPr>
              <w:fldChar w:fldCharType="separate"/>
            </w:r>
            <w:r w:rsidRPr="00AB34C7">
              <w:rPr>
                <w:rFonts w:ascii="Arial Narrow" w:eastAsia="Calibri" w:hAnsi="Arial Narrow"/>
                <w:sz w:val="20"/>
                <w:szCs w:val="20"/>
              </w:rPr>
              <w:fldChar w:fldCharType="end"/>
            </w:r>
            <w:r w:rsidRPr="00AB34C7">
              <w:rPr>
                <w:rFonts w:ascii="Arial Narrow" w:eastAsia="Calibri" w:hAnsi="Arial Narrow"/>
                <w:sz w:val="20"/>
                <w:szCs w:val="20"/>
              </w:rPr>
              <w:t xml:space="preserve"> Authority Required (telephone/electronic via PBS Authorities system)</w:t>
            </w:r>
          </w:p>
        </w:tc>
      </w:tr>
      <w:tr w:rsidR="00A60785" w:rsidRPr="00AB34C7" w14:paraId="752F242D" w14:textId="77777777" w:rsidTr="009D0069">
        <w:tblPrEx>
          <w:tblCellMar>
            <w:top w:w="15" w:type="dxa"/>
            <w:left w:w="15" w:type="dxa"/>
            <w:bottom w:w="15" w:type="dxa"/>
            <w:right w:w="15" w:type="dxa"/>
          </w:tblCellMar>
          <w:tblLook w:val="04A0" w:firstRow="1" w:lastRow="0" w:firstColumn="1" w:lastColumn="0" w:noHBand="0" w:noVBand="1"/>
        </w:tblPrEx>
        <w:tc>
          <w:tcPr>
            <w:tcW w:w="1273" w:type="dxa"/>
            <w:gridSpan w:val="2"/>
            <w:tcBorders>
              <w:left w:val="single" w:sz="4" w:space="0" w:color="auto"/>
              <w:bottom w:val="single" w:sz="4" w:space="0" w:color="auto"/>
              <w:right w:val="single" w:sz="4" w:space="0" w:color="auto"/>
            </w:tcBorders>
          </w:tcPr>
          <w:p w14:paraId="0377D9B4" w14:textId="77777777" w:rsidR="00A60785" w:rsidRPr="00AB34C7" w:rsidRDefault="00A60785" w:rsidP="009D0069">
            <w:pP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tcPr>
          <w:p w14:paraId="27E772E3" w14:textId="77777777" w:rsidR="00A60785" w:rsidRPr="00AB34C7" w:rsidRDefault="00A60785" w:rsidP="009D0069">
            <w:pPr>
              <w:rPr>
                <w:rFonts w:ascii="Arial Narrow" w:hAnsi="Arial Narrow"/>
                <w:b/>
                <w:sz w:val="20"/>
                <w:szCs w:val="20"/>
              </w:rPr>
            </w:pPr>
          </w:p>
        </w:tc>
      </w:tr>
      <w:tr w:rsidR="00A60785" w:rsidRPr="00AB34C7" w14:paraId="6CEF4676" w14:textId="77777777" w:rsidTr="009D0069">
        <w:tblPrEx>
          <w:tblCellMar>
            <w:top w:w="15" w:type="dxa"/>
            <w:left w:w="15" w:type="dxa"/>
            <w:bottom w:w="15" w:type="dxa"/>
            <w:right w:w="15" w:type="dxa"/>
          </w:tblCellMar>
        </w:tblPrEx>
        <w:tc>
          <w:tcPr>
            <w:tcW w:w="278" w:type="dxa"/>
            <w:vMerge w:val="restart"/>
            <w:tcBorders>
              <w:left w:val="single" w:sz="4" w:space="0" w:color="auto"/>
              <w:right w:val="single" w:sz="4" w:space="0" w:color="auto"/>
            </w:tcBorders>
            <w:textDirection w:val="btLr"/>
          </w:tcPr>
          <w:p w14:paraId="2C8BCC5F" w14:textId="2E044B7A" w:rsidR="00A60785" w:rsidRPr="00AB34C7" w:rsidRDefault="00A60785" w:rsidP="009D0069">
            <w:pPr>
              <w:ind w:left="113" w:right="113"/>
              <w:jc w:val="center"/>
              <w:rPr>
                <w:rFonts w:ascii="Arial Narrow" w:hAnsi="Arial Narrow"/>
                <w:sz w:val="20"/>
                <w:szCs w:val="20"/>
              </w:rPr>
            </w:pPr>
          </w:p>
        </w:tc>
        <w:tc>
          <w:tcPr>
            <w:tcW w:w="995" w:type="dxa"/>
          </w:tcPr>
          <w:p w14:paraId="0A2C17AE" w14:textId="75D04CDA" w:rsidR="00A60785" w:rsidRPr="00AB34C7" w:rsidRDefault="00A60785" w:rsidP="009D0069">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58952668" w14:textId="77777777" w:rsidR="00A60785" w:rsidRPr="00AB34C7" w:rsidRDefault="00A60785" w:rsidP="009D0069">
            <w:pPr>
              <w:rPr>
                <w:rFonts w:ascii="Arial Narrow" w:hAnsi="Arial Narrow"/>
                <w:sz w:val="20"/>
                <w:szCs w:val="20"/>
              </w:rPr>
            </w:pPr>
            <w:r w:rsidRPr="00AB34C7">
              <w:rPr>
                <w:rFonts w:ascii="Arial Narrow" w:eastAsia="Arial Narrow" w:hAnsi="Arial Narrow" w:cs="Arial Narrow"/>
                <w:b/>
                <w:color w:val="333333"/>
                <w:sz w:val="20"/>
                <w:szCs w:val="20"/>
              </w:rPr>
              <w:t xml:space="preserve">Administrative Advice: </w:t>
            </w:r>
            <w:r w:rsidRPr="00AB34C7">
              <w:rPr>
                <w:rFonts w:ascii="Arial Narrow" w:eastAsia="Arial Narrow" w:hAnsi="Arial Narrow" w:cs="Arial Narrow"/>
                <w:color w:val="333333"/>
                <w:sz w:val="20"/>
                <w:szCs w:val="20"/>
              </w:rPr>
              <w:t>No increase in the maximum quantity or number of units may be authorised.</w:t>
            </w:r>
          </w:p>
        </w:tc>
      </w:tr>
      <w:tr w:rsidR="00A60785" w:rsidRPr="00AB34C7" w14:paraId="4AF3DC0C" w14:textId="77777777" w:rsidTr="009D0069">
        <w:tblPrEx>
          <w:tblCellMar>
            <w:top w:w="15" w:type="dxa"/>
            <w:left w:w="15" w:type="dxa"/>
            <w:bottom w:w="15" w:type="dxa"/>
            <w:right w:w="15" w:type="dxa"/>
          </w:tblCellMar>
        </w:tblPrEx>
        <w:tc>
          <w:tcPr>
            <w:tcW w:w="278" w:type="dxa"/>
            <w:vMerge/>
            <w:tcBorders>
              <w:left w:val="single" w:sz="4" w:space="0" w:color="auto"/>
              <w:right w:val="single" w:sz="4" w:space="0" w:color="auto"/>
            </w:tcBorders>
            <w:textDirection w:val="btLr"/>
          </w:tcPr>
          <w:p w14:paraId="326EFF2D" w14:textId="77777777" w:rsidR="00A60785" w:rsidRPr="00AB34C7" w:rsidRDefault="00A60785" w:rsidP="009D0069">
            <w:pPr>
              <w:ind w:left="113" w:right="113"/>
              <w:jc w:val="center"/>
              <w:rPr>
                <w:rFonts w:ascii="Arial Narrow" w:hAnsi="Arial Narrow"/>
                <w:sz w:val="20"/>
                <w:szCs w:val="20"/>
              </w:rPr>
            </w:pPr>
          </w:p>
        </w:tc>
        <w:tc>
          <w:tcPr>
            <w:tcW w:w="995" w:type="dxa"/>
          </w:tcPr>
          <w:p w14:paraId="674020CF" w14:textId="5321369D" w:rsidR="00A60785" w:rsidRPr="00AB34C7" w:rsidRDefault="00A60785" w:rsidP="009D0069">
            <w:pPr>
              <w:jc w:val="center"/>
              <w:rPr>
                <w:rFonts w:ascii="Arial Narrow" w:hAnsi="Arial Narrow"/>
                <w:sz w:val="20"/>
                <w:szCs w:val="20"/>
              </w:rPr>
            </w:pPr>
          </w:p>
        </w:tc>
        <w:tc>
          <w:tcPr>
            <w:tcW w:w="7794" w:type="dxa"/>
            <w:gridSpan w:val="6"/>
          </w:tcPr>
          <w:p w14:paraId="22379FA2" w14:textId="77777777" w:rsidR="00A60785" w:rsidRPr="00AB34C7" w:rsidRDefault="00A60785" w:rsidP="009D0069">
            <w:pPr>
              <w:rPr>
                <w:rFonts w:ascii="Arial Narrow" w:hAnsi="Arial Narrow"/>
                <w:sz w:val="20"/>
                <w:szCs w:val="20"/>
              </w:rPr>
            </w:pPr>
            <w:r w:rsidRPr="00AB34C7">
              <w:rPr>
                <w:rFonts w:ascii="Arial Narrow" w:hAnsi="Arial Narrow"/>
                <w:b/>
                <w:bCs/>
                <w:sz w:val="20"/>
                <w:szCs w:val="20"/>
              </w:rPr>
              <w:t xml:space="preserve">Administrative Advice: </w:t>
            </w:r>
            <w:r w:rsidRPr="00AB34C7">
              <w:rPr>
                <w:rFonts w:ascii="Arial Narrow" w:hAnsi="Arial Narrow"/>
                <w:bCs/>
                <w:sz w:val="20"/>
                <w:szCs w:val="20"/>
              </w:rPr>
              <w:t>No increase in the maximum number of repeats may be authorised.</w:t>
            </w:r>
          </w:p>
        </w:tc>
      </w:tr>
      <w:tr w:rsidR="00A60785" w:rsidRPr="00AB34C7" w14:paraId="34979991" w14:textId="77777777" w:rsidTr="009D0069">
        <w:tblPrEx>
          <w:tblCellMar>
            <w:top w:w="15" w:type="dxa"/>
            <w:left w:w="15" w:type="dxa"/>
            <w:bottom w:w="15" w:type="dxa"/>
            <w:right w:w="15" w:type="dxa"/>
          </w:tblCellMar>
        </w:tblPrEx>
        <w:tc>
          <w:tcPr>
            <w:tcW w:w="278" w:type="dxa"/>
            <w:vMerge/>
            <w:tcBorders>
              <w:left w:val="single" w:sz="4" w:space="0" w:color="auto"/>
              <w:right w:val="single" w:sz="4" w:space="0" w:color="auto"/>
            </w:tcBorders>
          </w:tcPr>
          <w:p w14:paraId="084D9C2B" w14:textId="77777777" w:rsidR="00A60785" w:rsidRPr="00AB34C7" w:rsidRDefault="00A60785" w:rsidP="009D0069">
            <w:pPr>
              <w:rPr>
                <w:rFonts w:ascii="Arial Narrow" w:hAnsi="Arial Narrow"/>
                <w:sz w:val="20"/>
                <w:szCs w:val="20"/>
              </w:rPr>
            </w:pPr>
          </w:p>
        </w:tc>
        <w:tc>
          <w:tcPr>
            <w:tcW w:w="995" w:type="dxa"/>
          </w:tcPr>
          <w:p w14:paraId="246CCF00" w14:textId="3C3902C5" w:rsidR="00A60785" w:rsidRPr="00AB34C7" w:rsidRDefault="00A60785" w:rsidP="009D0069">
            <w:pPr>
              <w:jc w:val="center"/>
              <w:rPr>
                <w:rFonts w:ascii="Arial Narrow" w:hAnsi="Arial Narrow"/>
                <w:sz w:val="20"/>
                <w:szCs w:val="20"/>
              </w:rPr>
            </w:pPr>
          </w:p>
        </w:tc>
        <w:tc>
          <w:tcPr>
            <w:tcW w:w="7794" w:type="dxa"/>
            <w:gridSpan w:val="6"/>
          </w:tcPr>
          <w:p w14:paraId="7D4E015F" w14:textId="77777777" w:rsidR="00A60785" w:rsidRPr="00AB34C7" w:rsidRDefault="00A60785" w:rsidP="009D0069">
            <w:pPr>
              <w:rPr>
                <w:rFonts w:ascii="Arial Narrow" w:hAnsi="Arial Narrow"/>
                <w:b/>
                <w:bCs/>
                <w:sz w:val="20"/>
                <w:szCs w:val="20"/>
              </w:rPr>
            </w:pPr>
            <w:r w:rsidRPr="00AB34C7">
              <w:rPr>
                <w:rFonts w:ascii="Arial Narrow" w:hAnsi="Arial Narrow"/>
                <w:b/>
                <w:bCs/>
                <w:sz w:val="20"/>
                <w:szCs w:val="20"/>
              </w:rPr>
              <w:t xml:space="preserve">Administrative Advice: </w:t>
            </w:r>
            <w:r w:rsidRPr="00AB34C7">
              <w:rPr>
                <w:rFonts w:ascii="Arial Narrow" w:hAnsi="Arial Narrow"/>
                <w:bCs/>
                <w:sz w:val="20"/>
                <w:szCs w:val="20"/>
              </w:rPr>
              <w:t>Special Pricing Arrangements apply.</w:t>
            </w:r>
          </w:p>
        </w:tc>
      </w:tr>
      <w:tr w:rsidR="00A60785" w:rsidRPr="00AB34C7" w14:paraId="3F5C0FA4" w14:textId="77777777" w:rsidTr="009D0069">
        <w:tblPrEx>
          <w:tblCellMar>
            <w:top w:w="15" w:type="dxa"/>
            <w:left w:w="15" w:type="dxa"/>
            <w:bottom w:w="15" w:type="dxa"/>
            <w:right w:w="15" w:type="dxa"/>
          </w:tblCellMar>
        </w:tblPrEx>
        <w:tc>
          <w:tcPr>
            <w:tcW w:w="278" w:type="dxa"/>
            <w:vMerge/>
            <w:tcBorders>
              <w:left w:val="single" w:sz="4" w:space="0" w:color="auto"/>
              <w:right w:val="single" w:sz="4" w:space="0" w:color="auto"/>
            </w:tcBorders>
          </w:tcPr>
          <w:p w14:paraId="36EB137D" w14:textId="77777777" w:rsidR="00A60785" w:rsidRPr="00AB34C7" w:rsidRDefault="00A60785" w:rsidP="009D0069">
            <w:pPr>
              <w:rPr>
                <w:rFonts w:ascii="Arial Narrow" w:hAnsi="Arial Narrow"/>
                <w:sz w:val="20"/>
                <w:szCs w:val="20"/>
              </w:rPr>
            </w:pPr>
          </w:p>
        </w:tc>
        <w:tc>
          <w:tcPr>
            <w:tcW w:w="995" w:type="dxa"/>
          </w:tcPr>
          <w:p w14:paraId="735764A5" w14:textId="722C2252" w:rsidR="00A60785" w:rsidRPr="00AB34C7" w:rsidRDefault="00A60785" w:rsidP="009D0069">
            <w:pPr>
              <w:jc w:val="center"/>
              <w:rPr>
                <w:rFonts w:ascii="Arial Narrow" w:hAnsi="Arial Narrow"/>
                <w:bCs/>
                <w:sz w:val="20"/>
                <w:szCs w:val="20"/>
              </w:rPr>
            </w:pPr>
          </w:p>
        </w:tc>
        <w:tc>
          <w:tcPr>
            <w:tcW w:w="7794" w:type="dxa"/>
            <w:gridSpan w:val="6"/>
          </w:tcPr>
          <w:p w14:paraId="7ABCFDA8" w14:textId="77777777" w:rsidR="00A60785" w:rsidRPr="00AB34C7" w:rsidRDefault="00A60785" w:rsidP="009D0069">
            <w:pPr>
              <w:rPr>
                <w:rFonts w:ascii="Arial Narrow" w:hAnsi="Arial Narrow"/>
                <w:b/>
                <w:bCs/>
                <w:sz w:val="20"/>
                <w:szCs w:val="20"/>
              </w:rPr>
            </w:pPr>
            <w:r w:rsidRPr="00AB34C7">
              <w:rPr>
                <w:rFonts w:ascii="Arial Narrow" w:hAnsi="Arial Narrow"/>
                <w:b/>
                <w:bCs/>
                <w:sz w:val="20"/>
                <w:szCs w:val="20"/>
              </w:rPr>
              <w:t>Administrative Advice:</w:t>
            </w:r>
            <w:r w:rsidRPr="00AB34C7">
              <w:rPr>
                <w:rFonts w:ascii="Arial Narrow" w:hAnsi="Arial Narrow" w:cs="Calibri"/>
                <w:color w:val="333333"/>
                <w:sz w:val="20"/>
                <w:szCs w:val="20"/>
              </w:rPr>
              <w:t xml:space="preserve"> A patient may only qualify for PBS-subsidised treatment under this restriction once in a lifetime.</w:t>
            </w:r>
          </w:p>
        </w:tc>
      </w:tr>
      <w:tr w:rsidR="00A60785" w:rsidRPr="00AB34C7" w14:paraId="2235521A" w14:textId="77777777" w:rsidTr="009D0069">
        <w:tblPrEx>
          <w:tblCellMar>
            <w:top w:w="15" w:type="dxa"/>
            <w:left w:w="15" w:type="dxa"/>
            <w:bottom w:w="15" w:type="dxa"/>
            <w:right w:w="15" w:type="dxa"/>
          </w:tblCellMar>
        </w:tblPrEx>
        <w:tc>
          <w:tcPr>
            <w:tcW w:w="278" w:type="dxa"/>
            <w:vMerge/>
            <w:tcBorders>
              <w:left w:val="single" w:sz="4" w:space="0" w:color="auto"/>
              <w:bottom w:val="single" w:sz="4" w:space="0" w:color="auto"/>
              <w:right w:val="single" w:sz="4" w:space="0" w:color="auto"/>
            </w:tcBorders>
          </w:tcPr>
          <w:p w14:paraId="49D0D8ED" w14:textId="77777777" w:rsidR="00A60785" w:rsidRPr="00AB34C7" w:rsidRDefault="00A60785" w:rsidP="009D0069">
            <w:pPr>
              <w:rPr>
                <w:rFonts w:ascii="Arial Narrow" w:hAnsi="Arial Narrow"/>
                <w:sz w:val="20"/>
                <w:szCs w:val="20"/>
              </w:rPr>
            </w:pPr>
          </w:p>
        </w:tc>
        <w:tc>
          <w:tcPr>
            <w:tcW w:w="995" w:type="dxa"/>
            <w:vAlign w:val="center"/>
          </w:tcPr>
          <w:p w14:paraId="73D762D1" w14:textId="77777777" w:rsidR="00A60785" w:rsidRPr="00AB34C7" w:rsidRDefault="00A60785" w:rsidP="009D0069">
            <w:pPr>
              <w:jc w:val="center"/>
              <w:rPr>
                <w:rFonts w:ascii="Arial Narrow" w:hAnsi="Arial Narrow"/>
                <w:sz w:val="20"/>
                <w:szCs w:val="20"/>
              </w:rPr>
            </w:pPr>
          </w:p>
        </w:tc>
        <w:tc>
          <w:tcPr>
            <w:tcW w:w="7794" w:type="dxa"/>
            <w:gridSpan w:val="6"/>
            <w:vAlign w:val="center"/>
          </w:tcPr>
          <w:p w14:paraId="28F6E17D" w14:textId="77777777" w:rsidR="00A60785" w:rsidRPr="00AB34C7" w:rsidRDefault="00A60785" w:rsidP="009D0069">
            <w:pPr>
              <w:rPr>
                <w:rFonts w:ascii="Arial Narrow" w:hAnsi="Arial Narrow"/>
                <w:b/>
                <w:bCs/>
                <w:sz w:val="20"/>
                <w:szCs w:val="20"/>
              </w:rPr>
            </w:pPr>
            <w:r w:rsidRPr="00AB34C7">
              <w:rPr>
                <w:rFonts w:ascii="Arial Narrow" w:hAnsi="Arial Narrow"/>
                <w:b/>
                <w:bCs/>
                <w:color w:val="333333"/>
                <w:sz w:val="20"/>
                <w:szCs w:val="20"/>
              </w:rPr>
              <w:t>Administrative Advice:</w:t>
            </w:r>
            <w:r w:rsidRPr="00AB34C7">
              <w:rPr>
                <w:sz w:val="20"/>
                <w:szCs w:val="20"/>
              </w:rPr>
              <w:t xml:space="preserve"> </w:t>
            </w:r>
            <w:r w:rsidRPr="00AB34C7">
              <w:rPr>
                <w:rStyle w:val="normaltextrun"/>
                <w:rFonts w:ascii="Arial Narrow" w:hAnsi="Arial Narrow" w:cs="Segoe UI"/>
                <w:sz w:val="20"/>
                <w:szCs w:val="20"/>
              </w:rPr>
              <w:t>Applications for authorisation under this restriction may be made in real time using the Online PBS Authorities system (see www.servicesaustralia.gov.au/HPOS) or by telephone by contacting Services Australia on 1800 888 333.</w:t>
            </w:r>
          </w:p>
        </w:tc>
      </w:tr>
      <w:tr w:rsidR="00A60785" w:rsidRPr="00AB34C7" w14:paraId="6DA13684" w14:textId="77777777" w:rsidTr="009D0069">
        <w:tblPrEx>
          <w:tblCellMar>
            <w:top w:w="15" w:type="dxa"/>
            <w:left w:w="15" w:type="dxa"/>
            <w:bottom w:w="15" w:type="dxa"/>
            <w:right w:w="15" w:type="dxa"/>
          </w:tblCellMar>
          <w:tblLook w:val="04A0" w:firstRow="1" w:lastRow="0" w:firstColumn="1" w:lastColumn="0" w:noHBand="0" w:noVBand="1"/>
        </w:tblPrEx>
        <w:tc>
          <w:tcPr>
            <w:tcW w:w="1273" w:type="dxa"/>
            <w:gridSpan w:val="2"/>
            <w:tcBorders>
              <w:top w:val="single" w:sz="4" w:space="0" w:color="auto"/>
              <w:left w:val="single" w:sz="4" w:space="0" w:color="auto"/>
              <w:bottom w:val="single" w:sz="4" w:space="0" w:color="auto"/>
              <w:right w:val="single" w:sz="4" w:space="0" w:color="auto"/>
            </w:tcBorders>
          </w:tcPr>
          <w:p w14:paraId="729B732D" w14:textId="77777777" w:rsidR="00A60785" w:rsidRPr="00AB34C7" w:rsidRDefault="00A60785" w:rsidP="009D0069">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509E8D58" w14:textId="77777777" w:rsidR="00A60785" w:rsidRPr="00AB34C7" w:rsidRDefault="00A60785" w:rsidP="009D0069">
            <w:pPr>
              <w:rPr>
                <w:rFonts w:ascii="Arial Narrow" w:eastAsia="Arial Narrow" w:hAnsi="Arial Narrow" w:cs="Arial Narrow"/>
                <w:b/>
                <w:bCs/>
                <w:color w:val="333333"/>
                <w:sz w:val="20"/>
                <w:szCs w:val="20"/>
              </w:rPr>
            </w:pPr>
          </w:p>
        </w:tc>
      </w:tr>
      <w:tr w:rsidR="00A60785" w:rsidRPr="00AB34C7" w14:paraId="1E44A022" w14:textId="77777777" w:rsidTr="009D0069">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5CB56614" w14:textId="38986B68" w:rsidR="00A60785" w:rsidRPr="00AB34C7" w:rsidRDefault="00A60785" w:rsidP="009D0069">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3619FE7C" w14:textId="77777777" w:rsidR="00A60785" w:rsidRPr="00AB34C7" w:rsidRDefault="00A60785" w:rsidP="009D0069">
            <w:pPr>
              <w:rPr>
                <w:rFonts w:ascii="Arial Narrow" w:hAnsi="Arial Narrow"/>
                <w:sz w:val="20"/>
                <w:szCs w:val="20"/>
              </w:rPr>
            </w:pPr>
            <w:r w:rsidRPr="00AB34C7">
              <w:rPr>
                <w:rFonts w:ascii="Arial Narrow" w:eastAsia="Arial Narrow" w:hAnsi="Arial Narrow" w:cs="Arial Narrow"/>
                <w:b/>
                <w:bCs/>
                <w:color w:val="333333"/>
                <w:sz w:val="20"/>
                <w:szCs w:val="20"/>
              </w:rPr>
              <w:t>Indication:</w:t>
            </w:r>
            <w:r w:rsidRPr="00AB34C7">
              <w:rPr>
                <w:rFonts w:ascii="Arial Narrow" w:eastAsia="Arial Narrow" w:hAnsi="Arial Narrow" w:cs="Arial Narrow"/>
                <w:color w:val="333333"/>
                <w:sz w:val="20"/>
                <w:szCs w:val="20"/>
              </w:rPr>
              <w:t xml:space="preserve"> Chronic lymphocytic leukaemia (CLL) or small lymphocytic lymphoma (SLL)</w:t>
            </w:r>
          </w:p>
        </w:tc>
      </w:tr>
      <w:tr w:rsidR="00A60785" w:rsidRPr="00AB34C7" w14:paraId="445C53DE" w14:textId="77777777" w:rsidTr="009D0069">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49BFFDF6" w14:textId="77777777" w:rsidR="00A60785" w:rsidRPr="00AB34C7" w:rsidRDefault="00A60785" w:rsidP="009D0069">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657E9663" w14:textId="77777777" w:rsidR="00A60785" w:rsidRPr="00AB34C7" w:rsidRDefault="00A60785" w:rsidP="009D0069">
            <w:pPr>
              <w:rPr>
                <w:rFonts w:ascii="Arial Narrow" w:hAnsi="Arial Narrow"/>
                <w:sz w:val="20"/>
                <w:szCs w:val="20"/>
              </w:rPr>
            </w:pPr>
            <w:r w:rsidRPr="00AB34C7">
              <w:rPr>
                <w:rFonts w:ascii="Arial Narrow" w:eastAsia="Arial Narrow" w:hAnsi="Arial Narrow" w:cs="Arial Narrow"/>
                <w:b/>
                <w:bCs/>
                <w:color w:val="333333"/>
                <w:sz w:val="20"/>
                <w:szCs w:val="20"/>
              </w:rPr>
              <w:t>Treatment Phase:</w:t>
            </w:r>
            <w:r w:rsidRPr="00AB34C7">
              <w:rPr>
                <w:rFonts w:ascii="Arial Narrow" w:eastAsia="Arial Narrow" w:hAnsi="Arial Narrow" w:cs="Arial Narrow"/>
                <w:color w:val="333333"/>
                <w:sz w:val="20"/>
                <w:szCs w:val="20"/>
              </w:rPr>
              <w:t xml:space="preserve"> First continuing treatment (treatment cycles 4 to 9 inclusive) of first-line therapy</w:t>
            </w:r>
          </w:p>
        </w:tc>
      </w:tr>
      <w:tr w:rsidR="00A60785" w:rsidRPr="00AB34C7" w14:paraId="23FC37A2" w14:textId="77777777" w:rsidTr="009D0069">
        <w:tblPrEx>
          <w:tblCellMar>
            <w:top w:w="15" w:type="dxa"/>
            <w:left w:w="15" w:type="dxa"/>
            <w:bottom w:w="15" w:type="dxa"/>
            <w:right w:w="15" w:type="dxa"/>
          </w:tblCellMar>
          <w:tblLook w:val="04A0" w:firstRow="1" w:lastRow="0" w:firstColumn="1" w:lastColumn="0" w:noHBand="0" w:noVBand="1"/>
        </w:tblPrEx>
        <w:tc>
          <w:tcPr>
            <w:tcW w:w="1273" w:type="dxa"/>
            <w:gridSpan w:val="2"/>
            <w:tcBorders>
              <w:top w:val="single" w:sz="4" w:space="0" w:color="auto"/>
              <w:left w:val="single" w:sz="4" w:space="0" w:color="auto"/>
              <w:bottom w:val="single" w:sz="4" w:space="0" w:color="auto"/>
              <w:right w:val="single" w:sz="4" w:space="0" w:color="auto"/>
            </w:tcBorders>
          </w:tcPr>
          <w:p w14:paraId="250A47D0" w14:textId="77777777" w:rsidR="00A60785" w:rsidRPr="00AB34C7" w:rsidRDefault="00A60785" w:rsidP="009D0069">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1671BA13" w14:textId="77777777" w:rsidR="00A60785" w:rsidRPr="00AB34C7" w:rsidRDefault="00A60785" w:rsidP="009D0069">
            <w:pPr>
              <w:rPr>
                <w:rFonts w:ascii="Arial Narrow" w:eastAsia="Arial Narrow" w:hAnsi="Arial Narrow" w:cs="Arial Narrow"/>
                <w:b/>
                <w:bCs/>
                <w:color w:val="333333"/>
                <w:sz w:val="20"/>
                <w:szCs w:val="20"/>
              </w:rPr>
            </w:pPr>
          </w:p>
        </w:tc>
      </w:tr>
      <w:tr w:rsidR="00A60785" w:rsidRPr="00AB34C7" w14:paraId="6F3E2FD3" w14:textId="77777777" w:rsidTr="009D0069">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1DEEF554" w14:textId="4A5D445B" w:rsidR="00A60785" w:rsidRPr="00AB34C7" w:rsidRDefault="00A60785" w:rsidP="009D0069">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7346692F" w14:textId="77777777" w:rsidR="00A60785" w:rsidRPr="00AB34C7" w:rsidRDefault="00A60785" w:rsidP="009D0069">
            <w:pPr>
              <w:rPr>
                <w:rFonts w:ascii="Arial Narrow" w:hAnsi="Arial Narrow"/>
                <w:sz w:val="20"/>
                <w:szCs w:val="20"/>
              </w:rPr>
            </w:pPr>
            <w:r w:rsidRPr="00AB34C7">
              <w:rPr>
                <w:rFonts w:ascii="Arial Narrow" w:eastAsia="Arial Narrow" w:hAnsi="Arial Narrow" w:cs="Arial Narrow"/>
                <w:b/>
                <w:bCs/>
                <w:color w:val="333333"/>
                <w:sz w:val="20"/>
                <w:szCs w:val="20"/>
              </w:rPr>
              <w:t>Clinical criteria:</w:t>
            </w:r>
          </w:p>
        </w:tc>
      </w:tr>
      <w:tr w:rsidR="00A60785" w:rsidRPr="00AB34C7" w14:paraId="11200D89" w14:textId="77777777" w:rsidTr="009D0069">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3FBDA651" w14:textId="77142D26" w:rsidR="00A60785" w:rsidRPr="00AB34C7" w:rsidRDefault="00A60785" w:rsidP="009D0069">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69A24438" w14:textId="77777777" w:rsidR="00A60785" w:rsidRPr="00AB34C7" w:rsidRDefault="00A60785" w:rsidP="009D0069">
            <w:pPr>
              <w:rPr>
                <w:rFonts w:ascii="Arial Narrow" w:eastAsia="Arial Narrow" w:hAnsi="Arial Narrow" w:cs="Arial Narrow"/>
                <w:b/>
                <w:bCs/>
                <w:color w:val="333333"/>
                <w:sz w:val="20"/>
                <w:szCs w:val="20"/>
              </w:rPr>
            </w:pPr>
            <w:r w:rsidRPr="00AB34C7">
              <w:rPr>
                <w:rFonts w:ascii="Arial Narrow" w:eastAsia="Arial Narrow" w:hAnsi="Arial Narrow" w:cs="Arial Narrow"/>
                <w:color w:val="333333"/>
                <w:sz w:val="20"/>
                <w:szCs w:val="20"/>
              </w:rPr>
              <w:t>Patient must have previously received PBS-subsidised treatment with this drug for this condition</w:t>
            </w:r>
          </w:p>
        </w:tc>
      </w:tr>
      <w:tr w:rsidR="00A60785" w:rsidRPr="00AB34C7" w14:paraId="258D0888" w14:textId="77777777" w:rsidTr="009D0069">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15B3F78C" w14:textId="77777777" w:rsidR="00A60785" w:rsidRPr="00AB34C7" w:rsidRDefault="00A60785" w:rsidP="009D0069">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342C60DF" w14:textId="77777777" w:rsidR="00A60785" w:rsidRPr="00AB34C7" w:rsidRDefault="00A60785" w:rsidP="009D0069">
            <w:pPr>
              <w:rPr>
                <w:rFonts w:ascii="Arial Narrow" w:eastAsia="Arial Narrow" w:hAnsi="Arial Narrow" w:cs="Arial Narrow"/>
                <w:b/>
                <w:bCs/>
                <w:color w:val="333333"/>
                <w:sz w:val="20"/>
                <w:szCs w:val="20"/>
              </w:rPr>
            </w:pPr>
            <w:r w:rsidRPr="00AB34C7">
              <w:rPr>
                <w:rFonts w:ascii="Arial Narrow" w:eastAsia="Arial Narrow" w:hAnsi="Arial Narrow" w:cs="Arial Narrow"/>
                <w:b/>
                <w:bCs/>
                <w:color w:val="333333"/>
                <w:sz w:val="20"/>
                <w:szCs w:val="20"/>
              </w:rPr>
              <w:t>AND</w:t>
            </w:r>
          </w:p>
        </w:tc>
      </w:tr>
      <w:tr w:rsidR="00A60785" w:rsidRPr="00AB34C7" w14:paraId="0FB8D737" w14:textId="77777777" w:rsidTr="009D0069">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2E8D01C1" w14:textId="5C14FFB1" w:rsidR="00A60785" w:rsidRPr="00AB34C7" w:rsidRDefault="00A60785" w:rsidP="009D0069">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7289135D" w14:textId="77777777" w:rsidR="00A60785" w:rsidRPr="00AB34C7" w:rsidRDefault="00A60785" w:rsidP="009D0069">
            <w:pPr>
              <w:rPr>
                <w:rFonts w:ascii="Arial Narrow" w:eastAsia="Arial Narrow" w:hAnsi="Arial Narrow" w:cs="Arial Narrow"/>
                <w:b/>
                <w:bCs/>
                <w:color w:val="333333"/>
                <w:sz w:val="20"/>
                <w:szCs w:val="20"/>
              </w:rPr>
            </w:pPr>
            <w:r w:rsidRPr="00AB34C7">
              <w:rPr>
                <w:rFonts w:ascii="Arial Narrow" w:eastAsia="Arial Narrow" w:hAnsi="Arial Narrow" w:cs="Arial Narrow"/>
                <w:b/>
                <w:bCs/>
                <w:color w:val="333333"/>
                <w:sz w:val="20"/>
                <w:szCs w:val="20"/>
              </w:rPr>
              <w:t>Clinical criteria:</w:t>
            </w:r>
          </w:p>
        </w:tc>
      </w:tr>
      <w:tr w:rsidR="00A60785" w:rsidRPr="00AB34C7" w14:paraId="0556C4C4" w14:textId="77777777" w:rsidTr="009D0069">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474A1FEE" w14:textId="6D51109C" w:rsidR="00A60785" w:rsidRPr="00AB34C7" w:rsidRDefault="00A60785" w:rsidP="009D0069">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01B7DAEF" w14:textId="77777777" w:rsidR="00A60785" w:rsidRPr="00AB34C7" w:rsidRDefault="00A60785" w:rsidP="009D0069">
            <w:pPr>
              <w:rPr>
                <w:rFonts w:ascii="Arial Narrow" w:eastAsia="Arial Narrow" w:hAnsi="Arial Narrow" w:cs="Arial Narrow"/>
                <w:b/>
                <w:bCs/>
                <w:color w:val="333333"/>
                <w:sz w:val="20"/>
                <w:szCs w:val="20"/>
              </w:rPr>
            </w:pPr>
            <w:r w:rsidRPr="00AB34C7">
              <w:rPr>
                <w:rFonts w:ascii="Arial Narrow" w:eastAsia="Arial Narrow" w:hAnsi="Arial Narrow" w:cs="Arial Narrow"/>
                <w:color w:val="333333"/>
                <w:sz w:val="20"/>
                <w:szCs w:val="20"/>
              </w:rPr>
              <w:t>The treatment must be in combination with venetoclax (refer to Product Information for timing of ibrutinib and venetoclax doses)</w:t>
            </w:r>
          </w:p>
        </w:tc>
      </w:tr>
      <w:tr w:rsidR="00A60785" w:rsidRPr="00AB34C7" w14:paraId="0CBC869A" w14:textId="77777777" w:rsidTr="009D0069">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6CC740AF" w14:textId="77777777" w:rsidR="00A60785" w:rsidRPr="00AB34C7" w:rsidRDefault="00A60785" w:rsidP="009D0069">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33097439" w14:textId="77777777" w:rsidR="00A60785" w:rsidRPr="00AB34C7" w:rsidRDefault="00A60785" w:rsidP="009D0069">
            <w:pPr>
              <w:rPr>
                <w:rFonts w:ascii="Arial Narrow" w:eastAsia="Arial Narrow" w:hAnsi="Arial Narrow" w:cs="Arial Narrow"/>
                <w:b/>
                <w:bCs/>
                <w:color w:val="333333"/>
                <w:sz w:val="20"/>
                <w:szCs w:val="20"/>
              </w:rPr>
            </w:pPr>
            <w:r w:rsidRPr="00AB34C7">
              <w:rPr>
                <w:rFonts w:ascii="Arial Narrow" w:eastAsia="Arial Narrow" w:hAnsi="Arial Narrow" w:cs="Arial Narrow"/>
                <w:b/>
                <w:bCs/>
                <w:color w:val="333333"/>
                <w:sz w:val="20"/>
                <w:szCs w:val="20"/>
              </w:rPr>
              <w:t>AND</w:t>
            </w:r>
          </w:p>
        </w:tc>
      </w:tr>
      <w:tr w:rsidR="00A60785" w:rsidRPr="00AB34C7" w14:paraId="262D2111" w14:textId="77777777" w:rsidTr="009D0069">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378477E5" w14:textId="59F726FB" w:rsidR="00A60785" w:rsidRPr="00AB34C7" w:rsidRDefault="00A60785" w:rsidP="009D0069">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6FF85DA3" w14:textId="77777777" w:rsidR="00A60785" w:rsidRPr="00AB34C7" w:rsidRDefault="00A60785" w:rsidP="009D0069">
            <w:pPr>
              <w:rPr>
                <w:rFonts w:ascii="Arial Narrow" w:eastAsia="Arial Narrow" w:hAnsi="Arial Narrow" w:cs="Arial Narrow"/>
                <w:b/>
                <w:bCs/>
                <w:color w:val="333333"/>
                <w:sz w:val="20"/>
                <w:szCs w:val="20"/>
              </w:rPr>
            </w:pPr>
            <w:r w:rsidRPr="00AB34C7">
              <w:rPr>
                <w:rFonts w:ascii="Arial Narrow" w:eastAsia="Arial Narrow" w:hAnsi="Arial Narrow" w:cs="Arial Narrow"/>
                <w:b/>
                <w:bCs/>
                <w:color w:val="333333"/>
                <w:sz w:val="20"/>
                <w:szCs w:val="20"/>
              </w:rPr>
              <w:t>Clinical criteria:</w:t>
            </w:r>
          </w:p>
        </w:tc>
      </w:tr>
      <w:tr w:rsidR="00A60785" w:rsidRPr="00AB34C7" w14:paraId="765B6DAE" w14:textId="77777777" w:rsidTr="009D0069">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2C5A3D8D" w14:textId="799F6431" w:rsidR="00A60785" w:rsidRPr="00AB34C7" w:rsidRDefault="00A60785" w:rsidP="009D0069">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1CF822CA" w14:textId="77777777" w:rsidR="00A60785" w:rsidRPr="00AB34C7" w:rsidRDefault="00A60785" w:rsidP="009D0069">
            <w:pPr>
              <w:rPr>
                <w:rFonts w:ascii="Arial Narrow" w:eastAsia="Arial Narrow" w:hAnsi="Arial Narrow" w:cs="Arial Narrow"/>
                <w:b/>
                <w:bCs/>
                <w:color w:val="333333"/>
                <w:sz w:val="20"/>
                <w:szCs w:val="20"/>
              </w:rPr>
            </w:pPr>
            <w:r w:rsidRPr="00AB34C7">
              <w:rPr>
                <w:rFonts w:ascii="Arial Narrow" w:eastAsia="Arial Narrow" w:hAnsi="Arial Narrow" w:cs="Arial Narrow"/>
                <w:color w:val="333333"/>
                <w:sz w:val="20"/>
                <w:szCs w:val="20"/>
              </w:rPr>
              <w:t>The treatment must cease upon disease progression.</w:t>
            </w:r>
          </w:p>
        </w:tc>
      </w:tr>
      <w:tr w:rsidR="00A60785" w:rsidRPr="00AB34C7" w14:paraId="36BDE27D" w14:textId="77777777" w:rsidTr="009D0069">
        <w:tblPrEx>
          <w:tblCellMar>
            <w:top w:w="15" w:type="dxa"/>
            <w:left w:w="15" w:type="dxa"/>
            <w:bottom w:w="15" w:type="dxa"/>
            <w:right w:w="15" w:type="dxa"/>
          </w:tblCellMar>
          <w:tblLook w:val="04A0" w:firstRow="1" w:lastRow="0" w:firstColumn="1" w:lastColumn="0" w:noHBand="0" w:noVBand="1"/>
        </w:tblPrEx>
        <w:tc>
          <w:tcPr>
            <w:tcW w:w="1273" w:type="dxa"/>
            <w:gridSpan w:val="2"/>
            <w:tcBorders>
              <w:top w:val="single" w:sz="4" w:space="0" w:color="auto"/>
              <w:left w:val="single" w:sz="4" w:space="0" w:color="auto"/>
              <w:bottom w:val="single" w:sz="4" w:space="0" w:color="auto"/>
              <w:right w:val="single" w:sz="4" w:space="0" w:color="auto"/>
            </w:tcBorders>
          </w:tcPr>
          <w:p w14:paraId="2C8BA54C" w14:textId="77777777" w:rsidR="00A60785" w:rsidRPr="00AB34C7" w:rsidRDefault="00A60785" w:rsidP="009D0069">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04511C78" w14:textId="77777777" w:rsidR="00A60785" w:rsidRPr="00AB34C7" w:rsidRDefault="00A60785" w:rsidP="009D0069">
            <w:pPr>
              <w:rPr>
                <w:rFonts w:ascii="Arial Narrow" w:eastAsia="Arial Narrow" w:hAnsi="Arial Narrow" w:cs="Arial Narrow"/>
                <w:color w:val="333333"/>
                <w:sz w:val="20"/>
                <w:szCs w:val="20"/>
              </w:rPr>
            </w:pPr>
          </w:p>
        </w:tc>
      </w:tr>
      <w:tr w:rsidR="00A60785" w:rsidRPr="00AB34C7" w14:paraId="5FEBAFFF" w14:textId="77777777" w:rsidTr="009D0069">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2DA6A669" w14:textId="72D3930D" w:rsidR="00A60785" w:rsidRPr="00AB34C7" w:rsidRDefault="00A60785" w:rsidP="009D0069">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6D4ACB2E" w14:textId="77777777" w:rsidR="00A60785" w:rsidRPr="00AB34C7" w:rsidRDefault="00A60785" w:rsidP="009D0069">
            <w:pPr>
              <w:rPr>
                <w:rFonts w:ascii="Arial Narrow" w:eastAsia="Arial Narrow" w:hAnsi="Arial Narrow" w:cs="Arial Narrow"/>
                <w:b/>
                <w:bCs/>
                <w:color w:val="333333"/>
                <w:sz w:val="20"/>
                <w:szCs w:val="20"/>
              </w:rPr>
            </w:pPr>
            <w:r w:rsidRPr="00AB34C7">
              <w:rPr>
                <w:rFonts w:ascii="Arial Narrow" w:eastAsia="Arial Narrow" w:hAnsi="Arial Narrow" w:cs="Arial Narrow"/>
                <w:b/>
                <w:bCs/>
                <w:color w:val="333333"/>
                <w:sz w:val="20"/>
                <w:szCs w:val="20"/>
              </w:rPr>
              <w:t>Prescriber Instruction:</w:t>
            </w:r>
          </w:p>
          <w:p w14:paraId="69619706" w14:textId="77777777" w:rsidR="00A60785" w:rsidRPr="00AB34C7" w:rsidRDefault="00A60785" w:rsidP="009D0069">
            <w:pPr>
              <w:rPr>
                <w:rFonts w:ascii="Arial Narrow" w:eastAsia="Arial Narrow" w:hAnsi="Arial Narrow" w:cs="Arial Narrow"/>
                <w:color w:val="333333"/>
                <w:sz w:val="20"/>
                <w:szCs w:val="20"/>
              </w:rPr>
            </w:pPr>
            <w:r w:rsidRPr="00AB34C7">
              <w:rPr>
                <w:rFonts w:ascii="Arial Narrow" w:eastAsia="Arial Narrow" w:hAnsi="Arial Narrow" w:cs="Arial Narrow"/>
                <w:color w:val="333333"/>
                <w:sz w:val="20"/>
                <w:szCs w:val="20"/>
              </w:rPr>
              <w:t>There are more ibrutinib capsules (or tablets) in a pack than is required for the completion of a treatment cycle. The patient must not discard any remaining capsules (or tablets) after the completion of any treatment cycle as these capsules (or tablets) will be required for the doses in the final treatment cycle (i.e. treatment cycle 15).</w:t>
            </w:r>
          </w:p>
        </w:tc>
      </w:tr>
    </w:tbl>
    <w:p w14:paraId="5154C225" w14:textId="77777777" w:rsidR="002C23BF" w:rsidRPr="00AB34C7" w:rsidRDefault="002C23BF" w:rsidP="00A60785">
      <w:pPr>
        <w:jc w:val="left"/>
        <w:rPr>
          <w:rFonts w:ascii="Arial Narrow" w:eastAsiaTheme="majorEastAsia" w:hAnsi="Arial Narrow" w:cs="Times New Roman"/>
          <w:b/>
          <w:sz w:val="18"/>
          <w:szCs w:val="18"/>
        </w:rPr>
      </w:pPr>
    </w:p>
    <w:p w14:paraId="687B66AA" w14:textId="0461A9E3" w:rsidR="002C23BF" w:rsidRPr="00AB34C7" w:rsidRDefault="002C23BF" w:rsidP="002C23BF">
      <w:pPr>
        <w:pStyle w:val="Tableheadingrow"/>
        <w:keepNext w:val="0"/>
        <w:rPr>
          <w:sz w:val="18"/>
          <w:szCs w:val="18"/>
          <w:lang w:val="en-AU"/>
        </w:rPr>
      </w:pPr>
      <w:r w:rsidRPr="00AB34C7">
        <w:rPr>
          <w:szCs w:val="20"/>
          <w:lang w:val="en-AU"/>
        </w:rPr>
        <w:t>GRANDFATHER TREATMENT - TRANSITIONING FROM NON-PBS TO PBS-SUBSIDISED SUPPLY OF FIRST-LINE THERAPY</w:t>
      </w: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860"/>
        <w:gridCol w:w="1717"/>
        <w:gridCol w:w="1182"/>
        <w:gridCol w:w="1012"/>
        <w:gridCol w:w="843"/>
        <w:gridCol w:w="843"/>
        <w:gridCol w:w="2197"/>
      </w:tblGrid>
      <w:tr w:rsidR="002C23BF" w:rsidRPr="00AB34C7" w14:paraId="3797790C" w14:textId="77777777" w:rsidTr="00DB278B">
        <w:trPr>
          <w:cantSplit/>
          <w:trHeight w:val="471"/>
        </w:trPr>
        <w:tc>
          <w:tcPr>
            <w:tcW w:w="2990" w:type="dxa"/>
            <w:gridSpan w:val="3"/>
          </w:tcPr>
          <w:p w14:paraId="611E7D3E" w14:textId="77777777" w:rsidR="002C23BF" w:rsidRPr="00AB34C7" w:rsidRDefault="002C23BF" w:rsidP="00DB278B">
            <w:pPr>
              <w:ind w:left="-57"/>
              <w:rPr>
                <w:rFonts w:ascii="Arial Narrow" w:hAnsi="Arial Narrow"/>
                <w:b/>
                <w:bCs/>
                <w:sz w:val="20"/>
                <w:szCs w:val="20"/>
              </w:rPr>
            </w:pPr>
            <w:r w:rsidRPr="00AB34C7">
              <w:rPr>
                <w:rFonts w:ascii="Arial Narrow" w:hAnsi="Arial Narrow"/>
                <w:b/>
                <w:bCs/>
                <w:sz w:val="20"/>
                <w:szCs w:val="20"/>
              </w:rPr>
              <w:t>MEDICINAL PRODUCT</w:t>
            </w:r>
          </w:p>
          <w:p w14:paraId="69B7AC88" w14:textId="77777777" w:rsidR="002C23BF" w:rsidRPr="00AB34C7" w:rsidRDefault="002C23BF" w:rsidP="00DB278B">
            <w:pPr>
              <w:ind w:left="-57"/>
              <w:rPr>
                <w:rFonts w:ascii="Arial Narrow" w:hAnsi="Arial Narrow"/>
                <w:b/>
                <w:sz w:val="20"/>
                <w:szCs w:val="20"/>
              </w:rPr>
            </w:pPr>
            <w:r w:rsidRPr="00AB34C7">
              <w:rPr>
                <w:rFonts w:ascii="Arial Narrow" w:hAnsi="Arial Narrow"/>
                <w:b/>
                <w:bCs/>
                <w:sz w:val="20"/>
                <w:szCs w:val="20"/>
              </w:rPr>
              <w:t>medicinal product pack</w:t>
            </w:r>
          </w:p>
        </w:tc>
        <w:tc>
          <w:tcPr>
            <w:tcW w:w="1182" w:type="dxa"/>
          </w:tcPr>
          <w:p w14:paraId="4662C4A8" w14:textId="77777777" w:rsidR="002C23BF" w:rsidRPr="00AB34C7" w:rsidRDefault="002C23BF" w:rsidP="00DB278B">
            <w:pPr>
              <w:ind w:left="-108"/>
              <w:jc w:val="center"/>
              <w:rPr>
                <w:rFonts w:ascii="Arial Narrow" w:hAnsi="Arial Narrow"/>
                <w:b/>
                <w:sz w:val="20"/>
                <w:szCs w:val="20"/>
              </w:rPr>
            </w:pPr>
            <w:r w:rsidRPr="00AB34C7">
              <w:rPr>
                <w:rFonts w:ascii="Arial Narrow" w:hAnsi="Arial Narrow"/>
                <w:b/>
                <w:sz w:val="20"/>
                <w:szCs w:val="20"/>
              </w:rPr>
              <w:t>PBS item code</w:t>
            </w:r>
          </w:p>
        </w:tc>
        <w:tc>
          <w:tcPr>
            <w:tcW w:w="1012" w:type="dxa"/>
          </w:tcPr>
          <w:p w14:paraId="561F4669" w14:textId="77777777" w:rsidR="002C23BF" w:rsidRPr="00AB34C7" w:rsidRDefault="002C23BF" w:rsidP="00DB278B">
            <w:pPr>
              <w:ind w:left="-108"/>
              <w:jc w:val="center"/>
              <w:rPr>
                <w:rFonts w:ascii="Arial Narrow" w:hAnsi="Arial Narrow"/>
                <w:b/>
                <w:sz w:val="20"/>
                <w:szCs w:val="20"/>
              </w:rPr>
            </w:pPr>
            <w:r w:rsidRPr="00AB34C7">
              <w:rPr>
                <w:rFonts w:ascii="Arial Narrow" w:hAnsi="Arial Narrow"/>
                <w:b/>
                <w:sz w:val="20"/>
                <w:szCs w:val="20"/>
              </w:rPr>
              <w:t>Max. qty packs</w:t>
            </w:r>
          </w:p>
        </w:tc>
        <w:tc>
          <w:tcPr>
            <w:tcW w:w="843" w:type="dxa"/>
          </w:tcPr>
          <w:p w14:paraId="08DCFAC5" w14:textId="77777777" w:rsidR="002C23BF" w:rsidRPr="00AB34C7" w:rsidRDefault="002C23BF" w:rsidP="00DB278B">
            <w:pPr>
              <w:ind w:left="-108"/>
              <w:jc w:val="center"/>
              <w:rPr>
                <w:rFonts w:ascii="Arial Narrow" w:hAnsi="Arial Narrow"/>
                <w:b/>
                <w:sz w:val="20"/>
                <w:szCs w:val="20"/>
              </w:rPr>
            </w:pPr>
            <w:r w:rsidRPr="00AB34C7">
              <w:rPr>
                <w:rFonts w:ascii="Arial Narrow" w:hAnsi="Arial Narrow"/>
                <w:b/>
                <w:sz w:val="20"/>
                <w:szCs w:val="20"/>
              </w:rPr>
              <w:t>Max. qty units</w:t>
            </w:r>
          </w:p>
        </w:tc>
        <w:tc>
          <w:tcPr>
            <w:tcW w:w="843" w:type="dxa"/>
          </w:tcPr>
          <w:p w14:paraId="208D1C21" w14:textId="77777777" w:rsidR="002C23BF" w:rsidRPr="00AB34C7" w:rsidRDefault="002C23BF" w:rsidP="00DB278B">
            <w:pPr>
              <w:ind w:left="-108"/>
              <w:jc w:val="center"/>
              <w:rPr>
                <w:rFonts w:ascii="Arial Narrow" w:hAnsi="Arial Narrow"/>
                <w:b/>
                <w:sz w:val="20"/>
                <w:szCs w:val="20"/>
              </w:rPr>
            </w:pPr>
            <w:r w:rsidRPr="00AB34C7">
              <w:rPr>
                <w:rFonts w:ascii="Arial Narrow" w:hAnsi="Arial Narrow"/>
                <w:b/>
                <w:sz w:val="20"/>
                <w:szCs w:val="20"/>
              </w:rPr>
              <w:t>№.of</w:t>
            </w:r>
          </w:p>
          <w:p w14:paraId="607CD92E" w14:textId="77777777" w:rsidR="002C23BF" w:rsidRPr="00AB34C7" w:rsidRDefault="002C23BF" w:rsidP="00DB278B">
            <w:pPr>
              <w:ind w:left="-108"/>
              <w:jc w:val="center"/>
              <w:rPr>
                <w:rFonts w:ascii="Arial Narrow" w:hAnsi="Arial Narrow"/>
                <w:b/>
                <w:sz w:val="20"/>
                <w:szCs w:val="20"/>
              </w:rPr>
            </w:pPr>
            <w:r w:rsidRPr="00AB34C7">
              <w:rPr>
                <w:rFonts w:ascii="Arial Narrow" w:hAnsi="Arial Narrow"/>
                <w:b/>
                <w:sz w:val="20"/>
                <w:szCs w:val="20"/>
              </w:rPr>
              <w:t>Rpts</w:t>
            </w:r>
          </w:p>
        </w:tc>
        <w:tc>
          <w:tcPr>
            <w:tcW w:w="2197" w:type="dxa"/>
          </w:tcPr>
          <w:p w14:paraId="30A4A695" w14:textId="77777777" w:rsidR="002C23BF" w:rsidRPr="00B95C74" w:rsidRDefault="002C23BF" w:rsidP="00DB278B">
            <w:pPr>
              <w:jc w:val="center"/>
              <w:rPr>
                <w:rFonts w:ascii="Arial Narrow" w:hAnsi="Arial Narrow"/>
                <w:b/>
                <w:sz w:val="20"/>
                <w:szCs w:val="20"/>
              </w:rPr>
            </w:pPr>
            <w:r w:rsidRPr="00AB34C7">
              <w:rPr>
                <w:rFonts w:ascii="Arial Narrow" w:hAnsi="Arial Narrow"/>
                <w:b/>
                <w:sz w:val="20"/>
                <w:szCs w:val="20"/>
              </w:rPr>
              <w:t>Available brands</w:t>
            </w:r>
          </w:p>
        </w:tc>
      </w:tr>
      <w:tr w:rsidR="002C23BF" w:rsidRPr="00AB34C7" w14:paraId="5B98D8DB" w14:textId="77777777" w:rsidTr="00DB278B">
        <w:trPr>
          <w:cantSplit/>
          <w:trHeight w:val="224"/>
        </w:trPr>
        <w:tc>
          <w:tcPr>
            <w:tcW w:w="9067" w:type="dxa"/>
            <w:gridSpan w:val="8"/>
          </w:tcPr>
          <w:p w14:paraId="490B8FCF" w14:textId="77777777" w:rsidR="002C23BF" w:rsidRPr="00AB34C7" w:rsidRDefault="002C23BF" w:rsidP="00DB278B">
            <w:pPr>
              <w:ind w:left="-57"/>
              <w:rPr>
                <w:rFonts w:ascii="Arial Narrow" w:hAnsi="Arial Narrow"/>
                <w:sz w:val="20"/>
                <w:szCs w:val="20"/>
              </w:rPr>
            </w:pPr>
            <w:r w:rsidRPr="00AB34C7">
              <w:rPr>
                <w:rFonts w:ascii="Arial Narrow" w:hAnsi="Arial Narrow"/>
                <w:sz w:val="20"/>
                <w:szCs w:val="20"/>
              </w:rPr>
              <w:t>IBRUTINIB</w:t>
            </w:r>
          </w:p>
        </w:tc>
      </w:tr>
      <w:tr w:rsidR="002C23BF" w:rsidRPr="00AB34C7" w14:paraId="53DFD62C" w14:textId="77777777" w:rsidTr="00DB278B">
        <w:trPr>
          <w:cantSplit/>
          <w:trHeight w:val="109"/>
        </w:trPr>
        <w:tc>
          <w:tcPr>
            <w:tcW w:w="2990" w:type="dxa"/>
            <w:gridSpan w:val="3"/>
          </w:tcPr>
          <w:p w14:paraId="11C42F8A" w14:textId="77777777" w:rsidR="002C23BF" w:rsidRPr="00AB34C7" w:rsidRDefault="002C23BF" w:rsidP="00DB278B">
            <w:pPr>
              <w:ind w:left="-57"/>
              <w:rPr>
                <w:rFonts w:ascii="Arial Narrow" w:hAnsi="Arial Narrow"/>
                <w:sz w:val="20"/>
                <w:szCs w:val="20"/>
              </w:rPr>
            </w:pPr>
            <w:r w:rsidRPr="00AB34C7">
              <w:rPr>
                <w:rFonts w:ascii="Arial Narrow" w:hAnsi="Arial Narrow" w:cstheme="minorBidi"/>
                <w:sz w:val="20"/>
                <w:szCs w:val="20"/>
              </w:rPr>
              <w:t>ibrutinib 140 mg capsule, 90</w:t>
            </w:r>
          </w:p>
        </w:tc>
        <w:tc>
          <w:tcPr>
            <w:tcW w:w="1182" w:type="dxa"/>
          </w:tcPr>
          <w:p w14:paraId="2E607CC7" w14:textId="77777777" w:rsidR="002C23BF" w:rsidRPr="00AB34C7" w:rsidRDefault="002C23BF" w:rsidP="00DB278B">
            <w:pPr>
              <w:jc w:val="center"/>
              <w:rPr>
                <w:rFonts w:ascii="Arial Narrow" w:hAnsi="Arial Narrow"/>
                <w:sz w:val="20"/>
                <w:szCs w:val="20"/>
              </w:rPr>
            </w:pPr>
            <w:r w:rsidRPr="00AB34C7">
              <w:rPr>
                <w:rFonts w:ascii="Arial Narrow" w:hAnsi="Arial Narrow"/>
                <w:sz w:val="20"/>
                <w:szCs w:val="20"/>
              </w:rPr>
              <w:t>NEW</w:t>
            </w:r>
          </w:p>
        </w:tc>
        <w:tc>
          <w:tcPr>
            <w:tcW w:w="1012" w:type="dxa"/>
          </w:tcPr>
          <w:p w14:paraId="469FA83F" w14:textId="77777777" w:rsidR="002C23BF" w:rsidRPr="00AB34C7" w:rsidRDefault="002C23BF" w:rsidP="00DB278B">
            <w:pPr>
              <w:jc w:val="center"/>
              <w:rPr>
                <w:rFonts w:ascii="Arial Narrow" w:hAnsi="Arial Narrow"/>
                <w:sz w:val="20"/>
                <w:szCs w:val="20"/>
              </w:rPr>
            </w:pPr>
            <w:r w:rsidRPr="00AB34C7">
              <w:rPr>
                <w:rFonts w:ascii="Arial Narrow" w:hAnsi="Arial Narrow"/>
                <w:sz w:val="20"/>
                <w:szCs w:val="20"/>
              </w:rPr>
              <w:t>1</w:t>
            </w:r>
          </w:p>
        </w:tc>
        <w:tc>
          <w:tcPr>
            <w:tcW w:w="843" w:type="dxa"/>
          </w:tcPr>
          <w:p w14:paraId="76065D70" w14:textId="77777777" w:rsidR="002C23BF" w:rsidRPr="00AB34C7" w:rsidRDefault="002C23BF" w:rsidP="00DB278B">
            <w:pPr>
              <w:jc w:val="center"/>
              <w:rPr>
                <w:rFonts w:ascii="Arial Narrow" w:hAnsi="Arial Narrow"/>
                <w:sz w:val="20"/>
                <w:szCs w:val="20"/>
              </w:rPr>
            </w:pPr>
            <w:r w:rsidRPr="00AB34C7">
              <w:rPr>
                <w:rFonts w:ascii="Arial Narrow" w:hAnsi="Arial Narrow"/>
                <w:sz w:val="20"/>
                <w:szCs w:val="20"/>
              </w:rPr>
              <w:t>90</w:t>
            </w:r>
          </w:p>
        </w:tc>
        <w:tc>
          <w:tcPr>
            <w:tcW w:w="843" w:type="dxa"/>
          </w:tcPr>
          <w:p w14:paraId="6D3B88BF" w14:textId="77777777" w:rsidR="002C23BF" w:rsidRPr="00AB34C7" w:rsidRDefault="002C23BF" w:rsidP="00DB278B">
            <w:pPr>
              <w:jc w:val="center"/>
              <w:rPr>
                <w:rFonts w:ascii="Arial Narrow" w:hAnsi="Arial Narrow"/>
                <w:sz w:val="20"/>
                <w:szCs w:val="20"/>
              </w:rPr>
            </w:pPr>
            <w:r w:rsidRPr="00AB34C7">
              <w:rPr>
                <w:rFonts w:ascii="Arial Narrow" w:hAnsi="Arial Narrow"/>
                <w:sz w:val="20"/>
                <w:szCs w:val="20"/>
              </w:rPr>
              <w:t>5</w:t>
            </w:r>
          </w:p>
        </w:tc>
        <w:tc>
          <w:tcPr>
            <w:tcW w:w="2197" w:type="dxa"/>
          </w:tcPr>
          <w:p w14:paraId="1FF9F95B" w14:textId="77777777" w:rsidR="002C23BF" w:rsidRPr="00AB34C7" w:rsidRDefault="002C23BF" w:rsidP="00DB278B">
            <w:pPr>
              <w:jc w:val="center"/>
              <w:rPr>
                <w:rFonts w:ascii="Arial Narrow" w:eastAsiaTheme="majorEastAsia" w:hAnsi="Arial Narrow" w:cstheme="majorBidi"/>
                <w:bCs/>
                <w:sz w:val="20"/>
                <w:szCs w:val="20"/>
              </w:rPr>
            </w:pPr>
            <w:r w:rsidRPr="00AB34C7">
              <w:rPr>
                <w:rFonts w:ascii="Arial Narrow" w:eastAsiaTheme="majorEastAsia" w:hAnsi="Arial Narrow"/>
                <w:bCs/>
                <w:sz w:val="20"/>
                <w:szCs w:val="20"/>
              </w:rPr>
              <w:t>Imbruvica</w:t>
            </w:r>
          </w:p>
        </w:tc>
      </w:tr>
      <w:tr w:rsidR="002C23BF" w:rsidRPr="00AB34C7" w14:paraId="234D11BA" w14:textId="77777777" w:rsidTr="00DB278B">
        <w:trPr>
          <w:cantSplit/>
          <w:trHeight w:val="109"/>
        </w:trPr>
        <w:tc>
          <w:tcPr>
            <w:tcW w:w="2990" w:type="dxa"/>
            <w:gridSpan w:val="3"/>
          </w:tcPr>
          <w:p w14:paraId="4D284614" w14:textId="77777777" w:rsidR="002C23BF" w:rsidRPr="00AB34C7" w:rsidRDefault="002C23BF" w:rsidP="00DB278B">
            <w:pPr>
              <w:ind w:left="-57"/>
              <w:rPr>
                <w:rFonts w:ascii="Arial Narrow" w:hAnsi="Arial Narrow" w:cstheme="minorBidi"/>
                <w:sz w:val="20"/>
                <w:szCs w:val="20"/>
              </w:rPr>
            </w:pPr>
            <w:r w:rsidRPr="00AB34C7">
              <w:rPr>
                <w:rFonts w:ascii="Arial Narrow" w:hAnsi="Arial Narrow" w:cstheme="minorBidi"/>
                <w:sz w:val="20"/>
                <w:szCs w:val="20"/>
              </w:rPr>
              <w:t>ibrutinib 280 mg tablet, 30</w:t>
            </w:r>
          </w:p>
        </w:tc>
        <w:tc>
          <w:tcPr>
            <w:tcW w:w="1182" w:type="dxa"/>
          </w:tcPr>
          <w:p w14:paraId="1D153CEB" w14:textId="77777777" w:rsidR="002C23BF" w:rsidRPr="00AB34C7" w:rsidRDefault="002C23BF" w:rsidP="00DB278B">
            <w:pPr>
              <w:jc w:val="center"/>
              <w:rPr>
                <w:rFonts w:ascii="Arial Narrow" w:hAnsi="Arial Narrow"/>
                <w:sz w:val="20"/>
                <w:szCs w:val="20"/>
              </w:rPr>
            </w:pPr>
            <w:r w:rsidRPr="00AB34C7">
              <w:rPr>
                <w:rFonts w:ascii="Arial Narrow" w:hAnsi="Arial Narrow"/>
                <w:sz w:val="20"/>
                <w:szCs w:val="20"/>
              </w:rPr>
              <w:t>NEW</w:t>
            </w:r>
          </w:p>
        </w:tc>
        <w:tc>
          <w:tcPr>
            <w:tcW w:w="1012" w:type="dxa"/>
          </w:tcPr>
          <w:p w14:paraId="52CEBA11" w14:textId="77777777" w:rsidR="002C23BF" w:rsidRPr="00AB34C7" w:rsidRDefault="002C23BF" w:rsidP="00DB278B">
            <w:pPr>
              <w:jc w:val="center"/>
              <w:rPr>
                <w:rFonts w:ascii="Arial Narrow" w:hAnsi="Arial Narrow"/>
                <w:sz w:val="20"/>
                <w:szCs w:val="20"/>
              </w:rPr>
            </w:pPr>
            <w:r w:rsidRPr="00AB34C7">
              <w:rPr>
                <w:rFonts w:ascii="Arial Narrow" w:hAnsi="Arial Narrow"/>
                <w:sz w:val="20"/>
                <w:szCs w:val="20"/>
              </w:rPr>
              <w:t>1</w:t>
            </w:r>
          </w:p>
        </w:tc>
        <w:tc>
          <w:tcPr>
            <w:tcW w:w="843" w:type="dxa"/>
          </w:tcPr>
          <w:p w14:paraId="5FC50EF1" w14:textId="77777777" w:rsidR="002C23BF" w:rsidRPr="00AB34C7" w:rsidRDefault="002C23BF" w:rsidP="00DB278B">
            <w:pPr>
              <w:jc w:val="center"/>
              <w:rPr>
                <w:rFonts w:ascii="Arial Narrow" w:hAnsi="Arial Narrow"/>
                <w:sz w:val="20"/>
                <w:szCs w:val="20"/>
              </w:rPr>
            </w:pPr>
            <w:r w:rsidRPr="00AB34C7">
              <w:rPr>
                <w:rFonts w:ascii="Arial Narrow" w:hAnsi="Arial Narrow"/>
                <w:sz w:val="20"/>
                <w:szCs w:val="20"/>
              </w:rPr>
              <w:t>30</w:t>
            </w:r>
          </w:p>
        </w:tc>
        <w:tc>
          <w:tcPr>
            <w:tcW w:w="843" w:type="dxa"/>
          </w:tcPr>
          <w:p w14:paraId="25DB1B8E" w14:textId="77777777" w:rsidR="002C23BF" w:rsidRPr="00AB34C7" w:rsidRDefault="002C23BF" w:rsidP="00DB278B">
            <w:pPr>
              <w:jc w:val="center"/>
              <w:rPr>
                <w:rFonts w:ascii="Arial Narrow" w:hAnsi="Arial Narrow"/>
                <w:sz w:val="20"/>
                <w:szCs w:val="20"/>
              </w:rPr>
            </w:pPr>
            <w:r w:rsidRPr="00AB34C7">
              <w:rPr>
                <w:rFonts w:ascii="Arial Narrow" w:hAnsi="Arial Narrow"/>
                <w:sz w:val="20"/>
                <w:szCs w:val="20"/>
              </w:rPr>
              <w:t>5</w:t>
            </w:r>
          </w:p>
        </w:tc>
        <w:tc>
          <w:tcPr>
            <w:tcW w:w="2197" w:type="dxa"/>
          </w:tcPr>
          <w:p w14:paraId="61BCCE8E" w14:textId="77777777" w:rsidR="002C23BF" w:rsidRPr="00AB34C7" w:rsidRDefault="002C23BF" w:rsidP="00DB278B">
            <w:pPr>
              <w:jc w:val="center"/>
              <w:rPr>
                <w:rFonts w:ascii="Arial Narrow" w:eastAsiaTheme="majorEastAsia" w:hAnsi="Arial Narrow"/>
                <w:bCs/>
                <w:sz w:val="20"/>
                <w:szCs w:val="20"/>
              </w:rPr>
            </w:pPr>
            <w:r w:rsidRPr="00AB34C7">
              <w:rPr>
                <w:rFonts w:ascii="Arial Narrow" w:eastAsiaTheme="majorEastAsia" w:hAnsi="Arial Narrow"/>
                <w:bCs/>
                <w:sz w:val="20"/>
                <w:szCs w:val="20"/>
              </w:rPr>
              <w:t>Imbruvica</w:t>
            </w:r>
          </w:p>
        </w:tc>
      </w:tr>
      <w:tr w:rsidR="002C23BF" w:rsidRPr="00AB34C7" w14:paraId="1599345C" w14:textId="77777777" w:rsidTr="00DB278B">
        <w:trPr>
          <w:cantSplit/>
          <w:trHeight w:val="60"/>
        </w:trPr>
        <w:tc>
          <w:tcPr>
            <w:tcW w:w="2990" w:type="dxa"/>
            <w:gridSpan w:val="3"/>
          </w:tcPr>
          <w:p w14:paraId="5EADD4E0" w14:textId="77777777" w:rsidR="002C23BF" w:rsidRPr="00AB34C7" w:rsidRDefault="002C23BF" w:rsidP="00DB278B">
            <w:pPr>
              <w:ind w:left="-57"/>
              <w:rPr>
                <w:rFonts w:ascii="Arial Narrow" w:hAnsi="Arial Narrow" w:cstheme="minorBidi"/>
                <w:sz w:val="20"/>
                <w:szCs w:val="20"/>
              </w:rPr>
            </w:pPr>
            <w:r w:rsidRPr="00AB34C7">
              <w:rPr>
                <w:rFonts w:ascii="Arial Narrow" w:hAnsi="Arial Narrow" w:cstheme="minorBidi"/>
                <w:sz w:val="20"/>
                <w:szCs w:val="20"/>
              </w:rPr>
              <w:t>ibrutinib 420 mg tablet, 30</w:t>
            </w:r>
          </w:p>
        </w:tc>
        <w:tc>
          <w:tcPr>
            <w:tcW w:w="1182" w:type="dxa"/>
          </w:tcPr>
          <w:p w14:paraId="4DCC7A14" w14:textId="77777777" w:rsidR="002C23BF" w:rsidRPr="00AB34C7" w:rsidRDefault="002C23BF" w:rsidP="00DB278B">
            <w:pPr>
              <w:jc w:val="center"/>
              <w:rPr>
                <w:rFonts w:ascii="Arial Narrow" w:hAnsi="Arial Narrow"/>
                <w:sz w:val="20"/>
                <w:szCs w:val="20"/>
              </w:rPr>
            </w:pPr>
            <w:r w:rsidRPr="00AB34C7">
              <w:rPr>
                <w:rFonts w:ascii="Arial Narrow" w:hAnsi="Arial Narrow"/>
                <w:sz w:val="20"/>
                <w:szCs w:val="20"/>
              </w:rPr>
              <w:t>NEW</w:t>
            </w:r>
          </w:p>
        </w:tc>
        <w:tc>
          <w:tcPr>
            <w:tcW w:w="1012" w:type="dxa"/>
          </w:tcPr>
          <w:p w14:paraId="38742FE7" w14:textId="77777777" w:rsidR="002C23BF" w:rsidRPr="00AB34C7" w:rsidRDefault="002C23BF" w:rsidP="00DB278B">
            <w:pPr>
              <w:jc w:val="center"/>
              <w:rPr>
                <w:rFonts w:ascii="Arial Narrow" w:hAnsi="Arial Narrow"/>
                <w:sz w:val="20"/>
                <w:szCs w:val="20"/>
              </w:rPr>
            </w:pPr>
            <w:r w:rsidRPr="00AB34C7">
              <w:rPr>
                <w:rFonts w:ascii="Arial Narrow" w:hAnsi="Arial Narrow"/>
                <w:sz w:val="20"/>
                <w:szCs w:val="20"/>
              </w:rPr>
              <w:t>1</w:t>
            </w:r>
          </w:p>
        </w:tc>
        <w:tc>
          <w:tcPr>
            <w:tcW w:w="843" w:type="dxa"/>
          </w:tcPr>
          <w:p w14:paraId="5C5E7434" w14:textId="77777777" w:rsidR="002C23BF" w:rsidRPr="00AB34C7" w:rsidRDefault="002C23BF" w:rsidP="00DB278B">
            <w:pPr>
              <w:jc w:val="center"/>
              <w:rPr>
                <w:rFonts w:ascii="Arial Narrow" w:hAnsi="Arial Narrow"/>
                <w:sz w:val="20"/>
                <w:szCs w:val="20"/>
              </w:rPr>
            </w:pPr>
            <w:r w:rsidRPr="00AB34C7">
              <w:rPr>
                <w:rFonts w:ascii="Arial Narrow" w:hAnsi="Arial Narrow"/>
                <w:sz w:val="20"/>
                <w:szCs w:val="20"/>
              </w:rPr>
              <w:t>30</w:t>
            </w:r>
          </w:p>
        </w:tc>
        <w:tc>
          <w:tcPr>
            <w:tcW w:w="843" w:type="dxa"/>
          </w:tcPr>
          <w:p w14:paraId="2E9CCD14" w14:textId="77777777" w:rsidR="002C23BF" w:rsidRPr="00AB34C7" w:rsidRDefault="002C23BF" w:rsidP="00DB278B">
            <w:pPr>
              <w:jc w:val="center"/>
              <w:rPr>
                <w:rFonts w:ascii="Arial Narrow" w:hAnsi="Arial Narrow"/>
                <w:sz w:val="20"/>
                <w:szCs w:val="20"/>
              </w:rPr>
            </w:pPr>
            <w:r w:rsidRPr="00AB34C7">
              <w:rPr>
                <w:rFonts w:ascii="Arial Narrow" w:hAnsi="Arial Narrow"/>
                <w:sz w:val="20"/>
                <w:szCs w:val="20"/>
              </w:rPr>
              <w:t>5</w:t>
            </w:r>
          </w:p>
        </w:tc>
        <w:tc>
          <w:tcPr>
            <w:tcW w:w="2197" w:type="dxa"/>
          </w:tcPr>
          <w:p w14:paraId="5074381B" w14:textId="77777777" w:rsidR="002C23BF" w:rsidRPr="00AB34C7" w:rsidRDefault="002C23BF" w:rsidP="00DB278B">
            <w:pPr>
              <w:jc w:val="center"/>
              <w:rPr>
                <w:rFonts w:ascii="Arial Narrow" w:eastAsiaTheme="majorEastAsia" w:hAnsi="Arial Narrow"/>
                <w:bCs/>
                <w:sz w:val="20"/>
                <w:szCs w:val="20"/>
              </w:rPr>
            </w:pPr>
            <w:r w:rsidRPr="00AB34C7">
              <w:rPr>
                <w:rFonts w:ascii="Arial Narrow" w:eastAsiaTheme="majorEastAsia" w:hAnsi="Arial Narrow"/>
                <w:bCs/>
                <w:sz w:val="20"/>
                <w:szCs w:val="20"/>
              </w:rPr>
              <w:t>Imbruvica</w:t>
            </w:r>
          </w:p>
        </w:tc>
      </w:tr>
      <w:tr w:rsidR="002C23BF" w:rsidRPr="00AB34C7" w14:paraId="406837C5" w14:textId="77777777" w:rsidTr="00DB278B">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317A6B04" w14:textId="77777777" w:rsidR="002C23BF" w:rsidRPr="00AB34C7" w:rsidRDefault="002C23BF" w:rsidP="00DB278B">
            <w:pPr>
              <w:rPr>
                <w:rFonts w:ascii="Arial Narrow" w:hAnsi="Arial Narrow"/>
                <w:sz w:val="20"/>
                <w:szCs w:val="20"/>
              </w:rPr>
            </w:pPr>
          </w:p>
        </w:tc>
      </w:tr>
      <w:tr w:rsidR="002C23BF" w:rsidRPr="00AB34C7" w14:paraId="34A2E141" w14:textId="77777777" w:rsidTr="00DB278B">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20FA1275" w14:textId="77777777" w:rsidR="002C23BF" w:rsidRPr="00AB34C7" w:rsidRDefault="002C23BF" w:rsidP="00DB278B">
            <w:pPr>
              <w:rPr>
                <w:rFonts w:ascii="Arial Narrow" w:hAnsi="Arial Narrow"/>
                <w:b/>
                <w:sz w:val="20"/>
                <w:szCs w:val="20"/>
              </w:rPr>
            </w:pPr>
            <w:r w:rsidRPr="00AB34C7">
              <w:rPr>
                <w:rFonts w:ascii="Arial Narrow" w:hAnsi="Arial Narrow"/>
                <w:b/>
                <w:sz w:val="20"/>
                <w:szCs w:val="20"/>
              </w:rPr>
              <w:t xml:space="preserve">Restriction Summary [new] / Treatment of Concept: [new] </w:t>
            </w:r>
          </w:p>
        </w:tc>
      </w:tr>
      <w:tr w:rsidR="002C23BF" w:rsidRPr="00AB34C7" w14:paraId="487227EE" w14:textId="77777777" w:rsidTr="00DB278B">
        <w:tblPrEx>
          <w:tblCellMar>
            <w:top w:w="15" w:type="dxa"/>
            <w:left w:w="15" w:type="dxa"/>
            <w:bottom w:w="15" w:type="dxa"/>
            <w:right w:w="15" w:type="dxa"/>
          </w:tblCellMar>
        </w:tblPrEx>
        <w:tc>
          <w:tcPr>
            <w:tcW w:w="1273" w:type="dxa"/>
            <w:gridSpan w:val="2"/>
            <w:vMerge w:val="restart"/>
            <w:tcBorders>
              <w:top w:val="single" w:sz="4" w:space="0" w:color="auto"/>
              <w:left w:val="single" w:sz="4" w:space="0" w:color="auto"/>
              <w:right w:val="single" w:sz="4" w:space="0" w:color="auto"/>
            </w:tcBorders>
          </w:tcPr>
          <w:p w14:paraId="3F2FDE26" w14:textId="04340E18" w:rsidR="002C23BF" w:rsidRPr="00AB34C7" w:rsidRDefault="002C23BF" w:rsidP="00DB278B">
            <w:pPr>
              <w:jc w:val="center"/>
              <w:rPr>
                <w:rFonts w:ascii="Arial Narrow" w:hAnsi="Arial Narrow"/>
                <w:b/>
                <w:sz w:val="20"/>
                <w:szCs w:val="20"/>
              </w:rPr>
            </w:pPr>
          </w:p>
        </w:tc>
        <w:tc>
          <w:tcPr>
            <w:tcW w:w="7794" w:type="dxa"/>
            <w:gridSpan w:val="6"/>
            <w:tcBorders>
              <w:top w:val="single" w:sz="4" w:space="0" w:color="auto"/>
              <w:left w:val="single" w:sz="4" w:space="0" w:color="auto"/>
              <w:bottom w:val="single" w:sz="4" w:space="0" w:color="auto"/>
              <w:right w:val="single" w:sz="4" w:space="0" w:color="auto"/>
            </w:tcBorders>
          </w:tcPr>
          <w:p w14:paraId="2A6A3B50" w14:textId="77777777" w:rsidR="002C23BF" w:rsidRPr="00AB34C7" w:rsidRDefault="002C23BF" w:rsidP="00DB278B">
            <w:pPr>
              <w:rPr>
                <w:rFonts w:ascii="Arial Narrow" w:hAnsi="Arial Narrow"/>
                <w:sz w:val="20"/>
                <w:szCs w:val="20"/>
              </w:rPr>
            </w:pPr>
            <w:r w:rsidRPr="00AB34C7">
              <w:rPr>
                <w:rFonts w:ascii="Arial Narrow" w:hAnsi="Arial Narrow"/>
                <w:b/>
                <w:sz w:val="20"/>
                <w:szCs w:val="20"/>
              </w:rPr>
              <w:t xml:space="preserve">Category / Program: </w:t>
            </w:r>
            <w:r w:rsidRPr="00AB34C7">
              <w:rPr>
                <w:rFonts w:ascii="Arial Narrow" w:hAnsi="Arial Narrow"/>
                <w:sz w:val="20"/>
                <w:szCs w:val="20"/>
              </w:rPr>
              <w:t xml:space="preserve">GENERAL – General Schedule (Code GE) </w:t>
            </w:r>
          </w:p>
        </w:tc>
      </w:tr>
      <w:tr w:rsidR="002C23BF" w:rsidRPr="00AB34C7" w14:paraId="512CC001" w14:textId="77777777" w:rsidTr="00DB278B">
        <w:tblPrEx>
          <w:tblCellMar>
            <w:top w:w="15" w:type="dxa"/>
            <w:left w:w="15" w:type="dxa"/>
            <w:bottom w:w="15" w:type="dxa"/>
            <w:right w:w="15" w:type="dxa"/>
          </w:tblCellMar>
        </w:tblPrEx>
        <w:trPr>
          <w:trHeight w:val="240"/>
        </w:trPr>
        <w:tc>
          <w:tcPr>
            <w:tcW w:w="1273" w:type="dxa"/>
            <w:gridSpan w:val="2"/>
            <w:vMerge/>
            <w:tcBorders>
              <w:left w:val="single" w:sz="4" w:space="0" w:color="auto"/>
              <w:right w:val="single" w:sz="4" w:space="0" w:color="auto"/>
            </w:tcBorders>
          </w:tcPr>
          <w:p w14:paraId="5E72B452" w14:textId="77777777" w:rsidR="002C23BF" w:rsidRPr="00AB34C7" w:rsidRDefault="002C23BF" w:rsidP="00DB278B">
            <w:pP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tcPr>
          <w:p w14:paraId="717C85FA" w14:textId="77777777" w:rsidR="002C23BF" w:rsidRPr="00AB34C7" w:rsidRDefault="002C23BF" w:rsidP="00DB278B">
            <w:pPr>
              <w:rPr>
                <w:rFonts w:ascii="Arial Narrow" w:hAnsi="Arial Narrow"/>
                <w:b/>
                <w:sz w:val="20"/>
                <w:szCs w:val="20"/>
              </w:rPr>
            </w:pPr>
            <w:r w:rsidRPr="00AB34C7">
              <w:rPr>
                <w:rFonts w:ascii="Arial Narrow" w:hAnsi="Arial Narrow"/>
                <w:b/>
                <w:sz w:val="20"/>
                <w:szCs w:val="20"/>
              </w:rPr>
              <w:t xml:space="preserve">Prescriber type: </w:t>
            </w:r>
            <w:r w:rsidRPr="00AB34C7">
              <w:rPr>
                <w:rFonts w:ascii="Arial Narrow" w:hAnsi="Arial Narrow"/>
                <w:sz w:val="20"/>
                <w:szCs w:val="20"/>
              </w:rPr>
              <w:fldChar w:fldCharType="begin" w:fldLock="1">
                <w:ffData>
                  <w:name w:val=""/>
                  <w:enabled/>
                  <w:calcOnExit w:val="0"/>
                  <w:checkBox>
                    <w:sizeAuto/>
                    <w:default w:val="1"/>
                  </w:checkBox>
                </w:ffData>
              </w:fldChar>
            </w:r>
            <w:r w:rsidRPr="00AB34C7">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AB34C7">
              <w:rPr>
                <w:rFonts w:ascii="Arial Narrow" w:hAnsi="Arial Narrow"/>
                <w:sz w:val="20"/>
                <w:szCs w:val="20"/>
              </w:rPr>
              <w:fldChar w:fldCharType="end"/>
            </w:r>
            <w:r w:rsidRPr="00AB34C7">
              <w:rPr>
                <w:rFonts w:ascii="Arial Narrow" w:hAnsi="Arial Narrow"/>
                <w:sz w:val="20"/>
                <w:szCs w:val="20"/>
              </w:rPr>
              <w:t>Medical Practitioners</w:t>
            </w:r>
          </w:p>
        </w:tc>
      </w:tr>
      <w:tr w:rsidR="002C23BF" w:rsidRPr="00AB34C7" w14:paraId="2C5E4E06" w14:textId="77777777" w:rsidTr="00DB278B">
        <w:tblPrEx>
          <w:tblCellMar>
            <w:top w:w="15" w:type="dxa"/>
            <w:left w:w="15" w:type="dxa"/>
            <w:bottom w:w="15" w:type="dxa"/>
            <w:right w:w="15" w:type="dxa"/>
          </w:tblCellMar>
        </w:tblPrEx>
        <w:tc>
          <w:tcPr>
            <w:tcW w:w="1273" w:type="dxa"/>
            <w:gridSpan w:val="2"/>
            <w:vMerge/>
            <w:tcBorders>
              <w:left w:val="single" w:sz="4" w:space="0" w:color="auto"/>
              <w:bottom w:val="single" w:sz="4" w:space="0" w:color="auto"/>
              <w:right w:val="single" w:sz="4" w:space="0" w:color="auto"/>
            </w:tcBorders>
          </w:tcPr>
          <w:p w14:paraId="3CCECDB1" w14:textId="77777777" w:rsidR="002C23BF" w:rsidRPr="00AB34C7" w:rsidRDefault="002C23BF" w:rsidP="00DB278B">
            <w:pP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tcPr>
          <w:p w14:paraId="64B5C548" w14:textId="77777777" w:rsidR="002C23BF" w:rsidRPr="00AB34C7" w:rsidRDefault="002C23BF" w:rsidP="00DB278B">
            <w:pPr>
              <w:rPr>
                <w:rFonts w:ascii="Arial Narrow" w:eastAsia="Calibri" w:hAnsi="Arial Narrow"/>
                <w:sz w:val="20"/>
                <w:szCs w:val="20"/>
              </w:rPr>
            </w:pPr>
            <w:r w:rsidRPr="00AB34C7">
              <w:rPr>
                <w:rFonts w:ascii="Arial Narrow" w:hAnsi="Arial Narrow"/>
                <w:b/>
                <w:sz w:val="20"/>
                <w:szCs w:val="20"/>
              </w:rPr>
              <w:t xml:space="preserve">Restriction type: </w:t>
            </w:r>
            <w:r w:rsidRPr="00AB34C7">
              <w:rPr>
                <w:rFonts w:ascii="Arial Narrow" w:eastAsia="Calibri" w:hAnsi="Arial Narrow"/>
                <w:sz w:val="20"/>
                <w:szCs w:val="20"/>
              </w:rPr>
              <w:fldChar w:fldCharType="begin" w:fldLock="1">
                <w:ffData>
                  <w:name w:val="Check3"/>
                  <w:enabled/>
                  <w:calcOnExit w:val="0"/>
                  <w:checkBox>
                    <w:sizeAuto/>
                    <w:default w:val="1"/>
                  </w:checkBox>
                </w:ffData>
              </w:fldChar>
            </w:r>
            <w:r w:rsidRPr="00AB34C7">
              <w:rPr>
                <w:rFonts w:ascii="Arial Narrow" w:eastAsia="Calibri" w:hAnsi="Arial Narrow"/>
                <w:sz w:val="20"/>
                <w:szCs w:val="20"/>
              </w:rPr>
              <w:instrText xml:space="preserve"> FORMCHECKBOX </w:instrText>
            </w:r>
            <w:r w:rsidR="00000000">
              <w:rPr>
                <w:rFonts w:ascii="Arial Narrow" w:eastAsia="Calibri" w:hAnsi="Arial Narrow"/>
                <w:sz w:val="20"/>
                <w:szCs w:val="20"/>
              </w:rPr>
            </w:r>
            <w:r w:rsidR="00000000">
              <w:rPr>
                <w:rFonts w:ascii="Arial Narrow" w:eastAsia="Calibri" w:hAnsi="Arial Narrow"/>
                <w:sz w:val="20"/>
                <w:szCs w:val="20"/>
              </w:rPr>
              <w:fldChar w:fldCharType="separate"/>
            </w:r>
            <w:r w:rsidRPr="00AB34C7">
              <w:rPr>
                <w:rFonts w:ascii="Arial Narrow" w:eastAsia="Calibri" w:hAnsi="Arial Narrow"/>
                <w:sz w:val="20"/>
                <w:szCs w:val="20"/>
              </w:rPr>
              <w:fldChar w:fldCharType="end"/>
            </w:r>
            <w:r w:rsidRPr="00AB34C7">
              <w:rPr>
                <w:rFonts w:ascii="Arial Narrow" w:eastAsia="Calibri" w:hAnsi="Arial Narrow"/>
                <w:sz w:val="20"/>
                <w:szCs w:val="20"/>
              </w:rPr>
              <w:t xml:space="preserve"> Authority Required (telephone/electronic via PBS Authorities system)</w:t>
            </w:r>
          </w:p>
        </w:tc>
      </w:tr>
      <w:tr w:rsidR="002C23BF" w:rsidRPr="00AB34C7" w14:paraId="3D29204E" w14:textId="77777777" w:rsidTr="00DB278B">
        <w:tblPrEx>
          <w:tblCellMar>
            <w:top w:w="15" w:type="dxa"/>
            <w:left w:w="15" w:type="dxa"/>
            <w:bottom w:w="15" w:type="dxa"/>
            <w:right w:w="15" w:type="dxa"/>
          </w:tblCellMar>
          <w:tblLook w:val="04A0" w:firstRow="1" w:lastRow="0" w:firstColumn="1" w:lastColumn="0" w:noHBand="0" w:noVBand="1"/>
        </w:tblPrEx>
        <w:tc>
          <w:tcPr>
            <w:tcW w:w="1273" w:type="dxa"/>
            <w:gridSpan w:val="2"/>
            <w:tcBorders>
              <w:left w:val="single" w:sz="4" w:space="0" w:color="auto"/>
              <w:bottom w:val="single" w:sz="4" w:space="0" w:color="auto"/>
              <w:right w:val="single" w:sz="4" w:space="0" w:color="auto"/>
            </w:tcBorders>
          </w:tcPr>
          <w:p w14:paraId="38E4011D" w14:textId="77777777" w:rsidR="002C23BF" w:rsidRPr="00AB34C7" w:rsidRDefault="002C23BF" w:rsidP="00DB278B">
            <w:pP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tcPr>
          <w:p w14:paraId="1E0B9393" w14:textId="77777777" w:rsidR="002C23BF" w:rsidRPr="00AB34C7" w:rsidRDefault="002C23BF" w:rsidP="00DB278B">
            <w:pPr>
              <w:rPr>
                <w:rFonts w:ascii="Arial Narrow" w:hAnsi="Arial Narrow"/>
                <w:b/>
                <w:sz w:val="20"/>
                <w:szCs w:val="20"/>
              </w:rPr>
            </w:pPr>
          </w:p>
        </w:tc>
      </w:tr>
      <w:tr w:rsidR="002C23BF" w:rsidRPr="00AB34C7" w14:paraId="5DA318BC" w14:textId="77777777" w:rsidTr="00DB278B">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6DC92920" w14:textId="5C0D6C4F"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593B93D4" w14:textId="77777777" w:rsidR="002C23BF" w:rsidRPr="00AB34C7" w:rsidRDefault="002C23BF" w:rsidP="00DB278B">
            <w:pPr>
              <w:rPr>
                <w:rFonts w:ascii="Arial Narrow" w:hAnsi="Arial Narrow"/>
                <w:sz w:val="20"/>
                <w:szCs w:val="20"/>
              </w:rPr>
            </w:pPr>
            <w:r w:rsidRPr="00AB34C7">
              <w:rPr>
                <w:rFonts w:ascii="Arial Narrow" w:eastAsia="Arial Narrow" w:hAnsi="Arial Narrow" w:cs="Arial Narrow"/>
                <w:b/>
                <w:bCs/>
                <w:color w:val="333333"/>
                <w:sz w:val="20"/>
                <w:szCs w:val="20"/>
              </w:rPr>
              <w:t>Indication:</w:t>
            </w:r>
            <w:r w:rsidRPr="00AB34C7">
              <w:rPr>
                <w:rFonts w:ascii="Arial Narrow" w:eastAsia="Arial Narrow" w:hAnsi="Arial Narrow" w:cs="Arial Narrow"/>
                <w:color w:val="333333"/>
                <w:sz w:val="20"/>
                <w:szCs w:val="20"/>
              </w:rPr>
              <w:t xml:space="preserve"> Chronic lymphocytic leukaemia (CLL) or small lymphocytic lymphoma (SLL)</w:t>
            </w:r>
          </w:p>
        </w:tc>
      </w:tr>
      <w:tr w:rsidR="002C23BF" w:rsidRPr="00AB34C7" w14:paraId="5D8F63F9" w14:textId="77777777" w:rsidTr="00DB278B">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54F8D3A4" w14:textId="77777777"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68DC1145" w14:textId="77777777" w:rsidR="002C23BF" w:rsidRPr="00AB34C7" w:rsidRDefault="002C23BF" w:rsidP="00DB278B">
            <w:pPr>
              <w:rPr>
                <w:rFonts w:ascii="Arial Narrow" w:hAnsi="Arial Narrow"/>
                <w:sz w:val="20"/>
                <w:szCs w:val="20"/>
              </w:rPr>
            </w:pPr>
            <w:r w:rsidRPr="00AB34C7">
              <w:rPr>
                <w:rFonts w:ascii="Arial Narrow" w:eastAsia="Arial Narrow" w:hAnsi="Arial Narrow" w:cs="Arial Narrow"/>
                <w:b/>
                <w:bCs/>
                <w:color w:val="333333"/>
                <w:sz w:val="20"/>
                <w:szCs w:val="20"/>
              </w:rPr>
              <w:t>Treatment Phase:</w:t>
            </w:r>
            <w:r w:rsidRPr="00AB34C7">
              <w:rPr>
                <w:rFonts w:ascii="Arial Narrow" w:eastAsia="Arial Narrow" w:hAnsi="Arial Narrow" w:cs="Arial Narrow"/>
                <w:color w:val="333333"/>
                <w:sz w:val="20"/>
                <w:szCs w:val="20"/>
              </w:rPr>
              <w:t xml:space="preserve"> Grandfather treatment - Transitioning from non-PBS to PBS-subsidised supply of first-line therapy </w:t>
            </w:r>
          </w:p>
        </w:tc>
      </w:tr>
      <w:tr w:rsidR="002C23BF" w:rsidRPr="00AB34C7" w14:paraId="7CB4B18D" w14:textId="77777777" w:rsidTr="00DB278B">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60FB347A" w14:textId="77777777"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2019112D" w14:textId="77777777" w:rsidR="002C23BF" w:rsidRPr="00AB34C7" w:rsidRDefault="002C23BF" w:rsidP="00DB278B">
            <w:pPr>
              <w:rPr>
                <w:rFonts w:ascii="Arial Narrow" w:eastAsia="Arial Narrow" w:hAnsi="Arial Narrow" w:cs="Arial Narrow"/>
                <w:b/>
                <w:bCs/>
                <w:color w:val="333333"/>
                <w:sz w:val="20"/>
                <w:szCs w:val="20"/>
              </w:rPr>
            </w:pPr>
          </w:p>
        </w:tc>
      </w:tr>
      <w:tr w:rsidR="002C23BF" w:rsidRPr="00AB34C7" w14:paraId="20A33036" w14:textId="77777777" w:rsidTr="00DB278B">
        <w:tblPrEx>
          <w:tblCellMar>
            <w:top w:w="15" w:type="dxa"/>
            <w:left w:w="15" w:type="dxa"/>
            <w:bottom w:w="15" w:type="dxa"/>
            <w:right w:w="15" w:type="dxa"/>
          </w:tblCellMar>
        </w:tblPrEx>
        <w:tc>
          <w:tcPr>
            <w:tcW w:w="413" w:type="dxa"/>
            <w:vMerge w:val="restart"/>
            <w:tcBorders>
              <w:top w:val="single" w:sz="4" w:space="0" w:color="auto"/>
              <w:left w:val="single" w:sz="4" w:space="0" w:color="auto"/>
              <w:right w:val="single" w:sz="4" w:space="0" w:color="auto"/>
            </w:tcBorders>
            <w:textDirection w:val="btLr"/>
          </w:tcPr>
          <w:p w14:paraId="3B0C75FE" w14:textId="0A00F861" w:rsidR="002C23BF" w:rsidRPr="00AB34C7" w:rsidRDefault="002C23BF" w:rsidP="00DB278B">
            <w:pPr>
              <w:ind w:left="113" w:right="113"/>
              <w:jc w:val="center"/>
              <w:rPr>
                <w:rFonts w:ascii="Arial Narrow" w:hAnsi="Arial Narrow"/>
                <w:sz w:val="20"/>
                <w:szCs w:val="20"/>
              </w:rPr>
            </w:pPr>
          </w:p>
        </w:tc>
        <w:tc>
          <w:tcPr>
            <w:tcW w:w="860" w:type="dxa"/>
            <w:tcBorders>
              <w:top w:val="single" w:sz="4" w:space="0" w:color="auto"/>
              <w:left w:val="single" w:sz="4" w:space="0" w:color="auto"/>
              <w:right w:val="single" w:sz="4" w:space="0" w:color="auto"/>
            </w:tcBorders>
          </w:tcPr>
          <w:p w14:paraId="68177035" w14:textId="6245675F"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66388069" w14:textId="77777777" w:rsidR="002C23BF" w:rsidRPr="00AB34C7" w:rsidRDefault="002C23BF"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b/>
                <w:color w:val="333333"/>
                <w:sz w:val="20"/>
                <w:szCs w:val="20"/>
              </w:rPr>
              <w:t xml:space="preserve">Administrative Advice: </w:t>
            </w:r>
            <w:r w:rsidRPr="00AB34C7">
              <w:rPr>
                <w:rFonts w:ascii="Arial Narrow" w:eastAsia="Arial Narrow" w:hAnsi="Arial Narrow" w:cs="Arial Narrow"/>
                <w:color w:val="333333"/>
                <w:sz w:val="20"/>
                <w:szCs w:val="20"/>
              </w:rPr>
              <w:t>No increase in the maximum quantity or number of units may be authorised.</w:t>
            </w:r>
          </w:p>
        </w:tc>
      </w:tr>
      <w:tr w:rsidR="002C23BF" w:rsidRPr="00AB34C7" w14:paraId="50B818BB" w14:textId="77777777" w:rsidTr="00DB278B">
        <w:tblPrEx>
          <w:tblCellMar>
            <w:top w:w="15" w:type="dxa"/>
            <w:left w:w="15" w:type="dxa"/>
            <w:bottom w:w="15" w:type="dxa"/>
            <w:right w:w="15" w:type="dxa"/>
          </w:tblCellMar>
        </w:tblPrEx>
        <w:tc>
          <w:tcPr>
            <w:tcW w:w="413" w:type="dxa"/>
            <w:vMerge/>
            <w:tcBorders>
              <w:left w:val="single" w:sz="4" w:space="0" w:color="auto"/>
              <w:right w:val="single" w:sz="4" w:space="0" w:color="auto"/>
            </w:tcBorders>
          </w:tcPr>
          <w:p w14:paraId="2F7D48F5" w14:textId="77777777" w:rsidR="002C23BF" w:rsidRPr="00AB34C7" w:rsidRDefault="002C23BF" w:rsidP="00DB278B">
            <w:pPr>
              <w:jc w:val="center"/>
              <w:rPr>
                <w:rFonts w:ascii="Arial Narrow" w:hAnsi="Arial Narrow"/>
                <w:sz w:val="20"/>
                <w:szCs w:val="20"/>
              </w:rPr>
            </w:pPr>
          </w:p>
        </w:tc>
        <w:tc>
          <w:tcPr>
            <w:tcW w:w="860" w:type="dxa"/>
            <w:tcBorders>
              <w:left w:val="single" w:sz="4" w:space="0" w:color="auto"/>
              <w:right w:val="single" w:sz="4" w:space="0" w:color="auto"/>
            </w:tcBorders>
          </w:tcPr>
          <w:p w14:paraId="7464A176" w14:textId="1B9B81F4"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5393307D" w14:textId="77777777" w:rsidR="002C23BF" w:rsidRPr="00AB34C7" w:rsidRDefault="002C23BF" w:rsidP="00DB278B">
            <w:pPr>
              <w:rPr>
                <w:rFonts w:ascii="Arial Narrow" w:eastAsia="Arial Narrow" w:hAnsi="Arial Narrow" w:cs="Arial Narrow"/>
                <w:b/>
                <w:bCs/>
                <w:color w:val="333333"/>
                <w:sz w:val="20"/>
                <w:szCs w:val="20"/>
              </w:rPr>
            </w:pPr>
            <w:r w:rsidRPr="00AB34C7">
              <w:rPr>
                <w:rFonts w:ascii="Arial Narrow" w:hAnsi="Arial Narrow"/>
                <w:b/>
                <w:bCs/>
                <w:sz w:val="20"/>
                <w:szCs w:val="20"/>
              </w:rPr>
              <w:t xml:space="preserve">Administrative Advice: </w:t>
            </w:r>
            <w:r w:rsidRPr="00AB34C7">
              <w:rPr>
                <w:rFonts w:ascii="Arial Narrow" w:hAnsi="Arial Narrow"/>
                <w:bCs/>
                <w:sz w:val="20"/>
                <w:szCs w:val="20"/>
              </w:rPr>
              <w:t>No increase in the maximum number of repeats may be authorised.</w:t>
            </w:r>
          </w:p>
        </w:tc>
      </w:tr>
      <w:tr w:rsidR="002C23BF" w:rsidRPr="00AB34C7" w14:paraId="140813E4" w14:textId="77777777" w:rsidTr="00DB278B">
        <w:tblPrEx>
          <w:tblCellMar>
            <w:top w:w="15" w:type="dxa"/>
            <w:left w:w="15" w:type="dxa"/>
            <w:bottom w:w="15" w:type="dxa"/>
            <w:right w:w="15" w:type="dxa"/>
          </w:tblCellMar>
        </w:tblPrEx>
        <w:tc>
          <w:tcPr>
            <w:tcW w:w="413" w:type="dxa"/>
            <w:vMerge/>
            <w:tcBorders>
              <w:left w:val="single" w:sz="4" w:space="0" w:color="auto"/>
              <w:right w:val="single" w:sz="4" w:space="0" w:color="auto"/>
            </w:tcBorders>
          </w:tcPr>
          <w:p w14:paraId="4199984C" w14:textId="77777777" w:rsidR="002C23BF" w:rsidRPr="00AB34C7" w:rsidRDefault="002C23BF" w:rsidP="00DB278B">
            <w:pPr>
              <w:jc w:val="center"/>
              <w:rPr>
                <w:rFonts w:ascii="Arial Narrow" w:hAnsi="Arial Narrow"/>
                <w:sz w:val="20"/>
                <w:szCs w:val="20"/>
              </w:rPr>
            </w:pPr>
          </w:p>
        </w:tc>
        <w:tc>
          <w:tcPr>
            <w:tcW w:w="860" w:type="dxa"/>
            <w:tcBorders>
              <w:left w:val="single" w:sz="4" w:space="0" w:color="auto"/>
              <w:right w:val="single" w:sz="4" w:space="0" w:color="auto"/>
            </w:tcBorders>
          </w:tcPr>
          <w:p w14:paraId="3C7477B2" w14:textId="37D52A55"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5B20CA91" w14:textId="77777777" w:rsidR="002C23BF" w:rsidRPr="00AB34C7" w:rsidRDefault="002C23BF" w:rsidP="00DB278B">
            <w:pPr>
              <w:rPr>
                <w:rFonts w:ascii="Arial Narrow" w:eastAsia="Arial Narrow" w:hAnsi="Arial Narrow" w:cs="Arial Narrow"/>
                <w:b/>
                <w:bCs/>
                <w:color w:val="333333"/>
                <w:sz w:val="20"/>
                <w:szCs w:val="20"/>
              </w:rPr>
            </w:pPr>
            <w:r w:rsidRPr="00AB34C7">
              <w:rPr>
                <w:rFonts w:ascii="Arial Narrow" w:hAnsi="Arial Narrow"/>
                <w:b/>
                <w:bCs/>
                <w:sz w:val="20"/>
                <w:szCs w:val="20"/>
              </w:rPr>
              <w:t xml:space="preserve">Administrative Advice: </w:t>
            </w:r>
            <w:r w:rsidRPr="00AB34C7">
              <w:rPr>
                <w:rFonts w:ascii="Arial Narrow" w:hAnsi="Arial Narrow"/>
                <w:bCs/>
                <w:sz w:val="20"/>
                <w:szCs w:val="20"/>
              </w:rPr>
              <w:t>Special Pricing Arrangements apply.</w:t>
            </w:r>
          </w:p>
        </w:tc>
      </w:tr>
      <w:tr w:rsidR="002C23BF" w:rsidRPr="00AB34C7" w14:paraId="47CD751C" w14:textId="77777777" w:rsidTr="00DB278B">
        <w:tblPrEx>
          <w:tblCellMar>
            <w:top w:w="15" w:type="dxa"/>
            <w:left w:w="15" w:type="dxa"/>
            <w:bottom w:w="15" w:type="dxa"/>
            <w:right w:w="15" w:type="dxa"/>
          </w:tblCellMar>
        </w:tblPrEx>
        <w:tc>
          <w:tcPr>
            <w:tcW w:w="413" w:type="dxa"/>
            <w:vMerge/>
            <w:tcBorders>
              <w:left w:val="single" w:sz="4" w:space="0" w:color="auto"/>
              <w:right w:val="single" w:sz="4" w:space="0" w:color="auto"/>
            </w:tcBorders>
          </w:tcPr>
          <w:p w14:paraId="14EFC4EF" w14:textId="77777777" w:rsidR="002C23BF" w:rsidRPr="00AB34C7" w:rsidRDefault="002C23BF" w:rsidP="00DB278B">
            <w:pPr>
              <w:jc w:val="center"/>
              <w:rPr>
                <w:rFonts w:ascii="Arial Narrow" w:hAnsi="Arial Narrow"/>
                <w:sz w:val="20"/>
                <w:szCs w:val="20"/>
              </w:rPr>
            </w:pPr>
          </w:p>
        </w:tc>
        <w:tc>
          <w:tcPr>
            <w:tcW w:w="860" w:type="dxa"/>
            <w:tcBorders>
              <w:left w:val="single" w:sz="4" w:space="0" w:color="auto"/>
              <w:right w:val="single" w:sz="4" w:space="0" w:color="auto"/>
            </w:tcBorders>
          </w:tcPr>
          <w:p w14:paraId="4D62B3A7" w14:textId="07C5DDAB"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5E92FBA9" w14:textId="77777777" w:rsidR="002C23BF" w:rsidRPr="00AB34C7" w:rsidRDefault="002C23BF" w:rsidP="00DB278B">
            <w:pPr>
              <w:rPr>
                <w:rFonts w:ascii="Arial Narrow" w:eastAsia="Arial Narrow" w:hAnsi="Arial Narrow" w:cs="Arial Narrow"/>
                <w:b/>
                <w:bCs/>
                <w:color w:val="333333"/>
                <w:sz w:val="20"/>
                <w:szCs w:val="20"/>
              </w:rPr>
            </w:pPr>
            <w:r w:rsidRPr="00AB34C7">
              <w:rPr>
                <w:rFonts w:ascii="Arial Narrow" w:hAnsi="Arial Narrow"/>
                <w:b/>
                <w:bCs/>
                <w:sz w:val="20"/>
                <w:szCs w:val="20"/>
              </w:rPr>
              <w:t>Administrative Advice:</w:t>
            </w:r>
            <w:r w:rsidRPr="00AB34C7">
              <w:rPr>
                <w:rFonts w:ascii="Arial Narrow" w:hAnsi="Arial Narrow" w:cs="Calibri"/>
                <w:color w:val="333333"/>
                <w:sz w:val="20"/>
                <w:szCs w:val="20"/>
              </w:rPr>
              <w:t xml:space="preserve"> A patient may only qualify for PBS-subsidised treatment under this restriction once in a lifetime.</w:t>
            </w:r>
          </w:p>
        </w:tc>
      </w:tr>
      <w:tr w:rsidR="002C23BF" w:rsidRPr="00AB34C7" w14:paraId="779D2D7D" w14:textId="77777777" w:rsidTr="00DB278B">
        <w:tblPrEx>
          <w:tblCellMar>
            <w:top w:w="15" w:type="dxa"/>
            <w:left w:w="15" w:type="dxa"/>
            <w:bottom w:w="15" w:type="dxa"/>
            <w:right w:w="15" w:type="dxa"/>
          </w:tblCellMar>
        </w:tblPrEx>
        <w:tc>
          <w:tcPr>
            <w:tcW w:w="413" w:type="dxa"/>
            <w:vMerge/>
            <w:tcBorders>
              <w:left w:val="single" w:sz="4" w:space="0" w:color="auto"/>
              <w:right w:val="single" w:sz="4" w:space="0" w:color="auto"/>
            </w:tcBorders>
          </w:tcPr>
          <w:p w14:paraId="30129089" w14:textId="77777777" w:rsidR="002C23BF" w:rsidRPr="00AB34C7" w:rsidRDefault="002C23BF" w:rsidP="00DB278B">
            <w:pPr>
              <w:jc w:val="center"/>
              <w:rPr>
                <w:rFonts w:ascii="Arial Narrow" w:hAnsi="Arial Narrow"/>
                <w:sz w:val="20"/>
                <w:szCs w:val="20"/>
              </w:rPr>
            </w:pPr>
          </w:p>
        </w:tc>
        <w:tc>
          <w:tcPr>
            <w:tcW w:w="860" w:type="dxa"/>
            <w:tcBorders>
              <w:left w:val="single" w:sz="4" w:space="0" w:color="auto"/>
              <w:right w:val="single" w:sz="4" w:space="0" w:color="auto"/>
            </w:tcBorders>
            <w:vAlign w:val="center"/>
          </w:tcPr>
          <w:p w14:paraId="49AAEC17" w14:textId="77777777"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3D300E30" w14:textId="77777777" w:rsidR="002C23BF" w:rsidRPr="00AB34C7" w:rsidRDefault="002C23BF" w:rsidP="00DB278B">
            <w:pPr>
              <w:rPr>
                <w:rFonts w:ascii="Arial Narrow" w:eastAsia="Arial Narrow" w:hAnsi="Arial Narrow" w:cs="Arial Narrow"/>
                <w:b/>
                <w:bCs/>
                <w:color w:val="333333"/>
                <w:sz w:val="20"/>
                <w:szCs w:val="20"/>
              </w:rPr>
            </w:pPr>
            <w:r w:rsidRPr="00AB34C7">
              <w:rPr>
                <w:rFonts w:ascii="Arial Narrow" w:hAnsi="Arial Narrow"/>
                <w:b/>
                <w:bCs/>
                <w:sz w:val="20"/>
                <w:szCs w:val="20"/>
              </w:rPr>
              <w:t>Administrative Advice:</w:t>
            </w:r>
            <w:r w:rsidRPr="00AB34C7">
              <w:rPr>
                <w:sz w:val="20"/>
                <w:szCs w:val="20"/>
              </w:rPr>
              <w:t xml:space="preserve"> </w:t>
            </w:r>
            <w:r w:rsidRPr="00AB34C7">
              <w:rPr>
                <w:rStyle w:val="normaltextrun"/>
                <w:rFonts w:ascii="Arial Narrow" w:hAnsi="Arial Narrow" w:cs="Segoe UI"/>
                <w:sz w:val="20"/>
                <w:szCs w:val="20"/>
              </w:rPr>
              <w:t>Administrative Advice: Applications for authorisation under this restriction may be made in real time using the Online PBS Authorities system (see www.servicesaustralia.gov.au/HPOS) or by telephone by contacting Services Australia on 1800 888 333.</w:t>
            </w:r>
          </w:p>
        </w:tc>
      </w:tr>
      <w:tr w:rsidR="002C23BF" w:rsidRPr="00AB34C7" w14:paraId="64DAAB46" w14:textId="77777777" w:rsidTr="00DB278B">
        <w:tblPrEx>
          <w:tblCellMar>
            <w:top w:w="15" w:type="dxa"/>
            <w:left w:w="15" w:type="dxa"/>
            <w:bottom w:w="15" w:type="dxa"/>
            <w:right w:w="15" w:type="dxa"/>
          </w:tblCellMar>
        </w:tblPrEx>
        <w:tc>
          <w:tcPr>
            <w:tcW w:w="413" w:type="dxa"/>
            <w:vMerge/>
            <w:tcBorders>
              <w:left w:val="single" w:sz="4" w:space="0" w:color="auto"/>
              <w:bottom w:val="single" w:sz="4" w:space="0" w:color="auto"/>
              <w:right w:val="single" w:sz="4" w:space="0" w:color="auto"/>
            </w:tcBorders>
          </w:tcPr>
          <w:p w14:paraId="63E6FD62" w14:textId="77777777" w:rsidR="002C23BF" w:rsidRPr="00AB34C7" w:rsidRDefault="002C23BF" w:rsidP="00DB278B">
            <w:pPr>
              <w:jc w:val="center"/>
              <w:rPr>
                <w:rFonts w:ascii="Arial Narrow" w:hAnsi="Arial Narrow"/>
                <w:sz w:val="20"/>
                <w:szCs w:val="20"/>
              </w:rPr>
            </w:pPr>
          </w:p>
        </w:tc>
        <w:tc>
          <w:tcPr>
            <w:tcW w:w="860" w:type="dxa"/>
            <w:tcBorders>
              <w:left w:val="single" w:sz="4" w:space="0" w:color="auto"/>
              <w:bottom w:val="single" w:sz="4" w:space="0" w:color="auto"/>
              <w:right w:val="single" w:sz="4" w:space="0" w:color="auto"/>
            </w:tcBorders>
          </w:tcPr>
          <w:p w14:paraId="2F9384E0" w14:textId="2A3A0A27"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495D4AE9" w14:textId="77777777" w:rsidR="002C23BF" w:rsidRPr="00AB34C7" w:rsidRDefault="002C23BF" w:rsidP="00DB278B">
            <w:pPr>
              <w:rPr>
                <w:rFonts w:ascii="Arial Narrow" w:hAnsi="Arial Narrow"/>
                <w:sz w:val="20"/>
                <w:szCs w:val="20"/>
              </w:rPr>
            </w:pPr>
            <w:r w:rsidRPr="00AB34C7">
              <w:rPr>
                <w:rFonts w:ascii="Arial Narrow" w:hAnsi="Arial Narrow"/>
                <w:b/>
                <w:bCs/>
                <w:sz w:val="20"/>
                <w:szCs w:val="20"/>
              </w:rPr>
              <w:t xml:space="preserve">Administrative Advice: </w:t>
            </w:r>
            <w:r w:rsidRPr="00AB34C7">
              <w:rPr>
                <w:rFonts w:ascii="Arial Narrow" w:hAnsi="Arial Narrow"/>
                <w:sz w:val="20"/>
                <w:szCs w:val="20"/>
              </w:rPr>
              <w:t>The latest International Workshop on CLL (iwCLL) provides guidance on various aspects of management of CLL/SLL. Notably, two of these are:</w:t>
            </w:r>
          </w:p>
          <w:p w14:paraId="1B0F95B4" w14:textId="77777777" w:rsidR="002C23BF" w:rsidRPr="00AB34C7" w:rsidRDefault="002C23BF" w:rsidP="00DB278B">
            <w:pPr>
              <w:rPr>
                <w:rFonts w:ascii="Arial Narrow" w:hAnsi="Arial Narrow"/>
                <w:sz w:val="20"/>
                <w:szCs w:val="20"/>
              </w:rPr>
            </w:pPr>
            <w:r w:rsidRPr="00AB34C7">
              <w:rPr>
                <w:rFonts w:ascii="Arial Narrow" w:hAnsi="Arial Narrow"/>
                <w:sz w:val="20"/>
                <w:szCs w:val="20"/>
              </w:rPr>
              <w:t>(1) when to treat versus when to monitor the patient without therapy - see 'Indications for treatment' section; and</w:t>
            </w:r>
          </w:p>
          <w:p w14:paraId="3FEED1B0" w14:textId="77777777" w:rsidR="002C23BF" w:rsidRPr="00AB34C7" w:rsidRDefault="002C23BF" w:rsidP="00DB278B">
            <w:pPr>
              <w:rPr>
                <w:rFonts w:ascii="Arial Narrow" w:hAnsi="Arial Narrow"/>
                <w:sz w:val="20"/>
                <w:szCs w:val="20"/>
              </w:rPr>
            </w:pPr>
            <w:r w:rsidRPr="00AB34C7">
              <w:rPr>
                <w:rFonts w:ascii="Arial Narrow" w:hAnsi="Arial Narrow"/>
                <w:sz w:val="20"/>
                <w:szCs w:val="20"/>
              </w:rPr>
              <w:t>(2) recognising progressive disease - see 'Definition of response, relapse, and refractory disease' section.</w:t>
            </w:r>
          </w:p>
          <w:p w14:paraId="47EF28B9" w14:textId="77777777" w:rsidR="002C23BF" w:rsidRPr="00AB34C7" w:rsidRDefault="002C23BF" w:rsidP="00DB278B">
            <w:pPr>
              <w:rPr>
                <w:rFonts w:ascii="Arial Narrow" w:hAnsi="Arial Narrow"/>
                <w:sz w:val="20"/>
                <w:szCs w:val="20"/>
              </w:rPr>
            </w:pPr>
            <w:r w:rsidRPr="00AB34C7">
              <w:rPr>
                <w:rFonts w:ascii="Arial Narrow" w:hAnsi="Arial Narrow"/>
                <w:sz w:val="20"/>
                <w:szCs w:val="20"/>
              </w:rPr>
              <w:t>See the following literature reference for details:</w:t>
            </w:r>
          </w:p>
          <w:p w14:paraId="3CFA2E9A" w14:textId="77777777" w:rsidR="002C23BF" w:rsidRPr="00AB34C7" w:rsidRDefault="002C23BF" w:rsidP="00DB278B">
            <w:pPr>
              <w:rPr>
                <w:rFonts w:ascii="Arial Narrow" w:eastAsia="Arial Narrow" w:hAnsi="Arial Narrow" w:cs="Arial Narrow"/>
                <w:b/>
                <w:bCs/>
                <w:color w:val="333333"/>
                <w:sz w:val="20"/>
                <w:szCs w:val="20"/>
              </w:rPr>
            </w:pPr>
            <w:r w:rsidRPr="00AB34C7">
              <w:rPr>
                <w:rFonts w:ascii="Arial Narrow" w:hAnsi="Arial Narrow"/>
                <w:sz w:val="20"/>
                <w:szCs w:val="20"/>
              </w:rPr>
              <w:t>Hallek, M et al. iwCLL guidelines for diagnosis, indications for treatment, response assessment, and supportive management of CLL. Blood vol. 131, 25 (2018): 2745-2760.</w:t>
            </w:r>
          </w:p>
        </w:tc>
      </w:tr>
      <w:tr w:rsidR="002C23BF" w:rsidRPr="00AB34C7" w14:paraId="52E1CACD" w14:textId="77777777" w:rsidTr="00DB278B">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33E99AC3" w14:textId="0FA432AB"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23E2E7C2" w14:textId="77777777" w:rsidR="002C23BF" w:rsidRPr="00AB34C7" w:rsidRDefault="002C23BF"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b/>
                <w:bCs/>
                <w:color w:val="333333"/>
                <w:sz w:val="20"/>
                <w:szCs w:val="20"/>
              </w:rPr>
              <w:t>Clinical criteria</w:t>
            </w:r>
          </w:p>
        </w:tc>
      </w:tr>
      <w:tr w:rsidR="002C23BF" w:rsidRPr="00AB34C7" w14:paraId="01C86653" w14:textId="77777777" w:rsidTr="00DB278B">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3B2E05B2" w14:textId="29387BF3"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6F9D54BA" w14:textId="77777777" w:rsidR="002C23BF" w:rsidRPr="00AB34C7" w:rsidRDefault="002C23BF"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color w:val="333333"/>
                <w:sz w:val="20"/>
                <w:szCs w:val="20"/>
              </w:rPr>
              <w:t>Patient must have received non-PBS-subsidised treatment with this drug for this condition prior to [PBS listing date XXX]</w:t>
            </w:r>
          </w:p>
        </w:tc>
      </w:tr>
      <w:tr w:rsidR="002C23BF" w:rsidRPr="00AB34C7" w14:paraId="4FA50640" w14:textId="77777777" w:rsidTr="00DB278B">
        <w:tblPrEx>
          <w:tblCellMar>
            <w:top w:w="15" w:type="dxa"/>
            <w:left w:w="15" w:type="dxa"/>
            <w:bottom w:w="15" w:type="dxa"/>
            <w:right w:w="15" w:type="dxa"/>
          </w:tblCellMar>
          <w:tblLook w:val="04A0" w:firstRow="1" w:lastRow="0" w:firstColumn="1" w:lastColumn="0" w:noHBand="0" w:noVBand="1"/>
        </w:tblPrEx>
        <w:tc>
          <w:tcPr>
            <w:tcW w:w="1273" w:type="dxa"/>
            <w:gridSpan w:val="2"/>
            <w:tcBorders>
              <w:top w:val="single" w:sz="4" w:space="0" w:color="auto"/>
              <w:left w:val="single" w:sz="4" w:space="0" w:color="auto"/>
              <w:bottom w:val="single" w:sz="4" w:space="0" w:color="auto"/>
              <w:right w:val="single" w:sz="4" w:space="0" w:color="auto"/>
            </w:tcBorders>
          </w:tcPr>
          <w:p w14:paraId="000A3049" w14:textId="77777777"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21EB017E" w14:textId="77777777" w:rsidR="002C23BF" w:rsidRPr="00AB34C7" w:rsidRDefault="002C23BF"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b/>
                <w:bCs/>
                <w:color w:val="333333"/>
                <w:sz w:val="20"/>
                <w:szCs w:val="20"/>
              </w:rPr>
              <w:t>AND</w:t>
            </w:r>
          </w:p>
        </w:tc>
      </w:tr>
      <w:tr w:rsidR="002C23BF" w:rsidRPr="00AB34C7" w14:paraId="3EE094AB" w14:textId="77777777" w:rsidTr="00DB278B">
        <w:tblPrEx>
          <w:tblCellMar>
            <w:top w:w="15" w:type="dxa"/>
            <w:left w:w="15" w:type="dxa"/>
            <w:bottom w:w="15" w:type="dxa"/>
            <w:right w:w="15" w:type="dxa"/>
          </w:tblCellMar>
          <w:tblLook w:val="04A0" w:firstRow="1" w:lastRow="0" w:firstColumn="1" w:lastColumn="0" w:noHBand="0" w:noVBand="1"/>
        </w:tblPrEx>
        <w:tc>
          <w:tcPr>
            <w:tcW w:w="1273" w:type="dxa"/>
            <w:gridSpan w:val="2"/>
            <w:tcBorders>
              <w:top w:val="single" w:sz="4" w:space="0" w:color="auto"/>
              <w:left w:val="single" w:sz="4" w:space="0" w:color="auto"/>
              <w:bottom w:val="single" w:sz="4" w:space="0" w:color="auto"/>
              <w:right w:val="single" w:sz="4" w:space="0" w:color="auto"/>
            </w:tcBorders>
          </w:tcPr>
          <w:p w14:paraId="08ED9910" w14:textId="76F7EB19"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1E15A17A" w14:textId="77777777" w:rsidR="002C23BF" w:rsidRPr="00AB34C7" w:rsidRDefault="002C23BF"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b/>
                <w:bCs/>
                <w:color w:val="333333"/>
                <w:sz w:val="20"/>
                <w:szCs w:val="20"/>
              </w:rPr>
              <w:t>Clinical criteria</w:t>
            </w:r>
          </w:p>
        </w:tc>
      </w:tr>
      <w:tr w:rsidR="002C23BF" w:rsidRPr="00AB34C7" w14:paraId="59F78303" w14:textId="77777777" w:rsidTr="00DB278B">
        <w:tblPrEx>
          <w:tblCellMar>
            <w:top w:w="15" w:type="dxa"/>
            <w:left w:w="15" w:type="dxa"/>
            <w:bottom w:w="15" w:type="dxa"/>
            <w:right w:w="15" w:type="dxa"/>
          </w:tblCellMar>
          <w:tblLook w:val="04A0" w:firstRow="1" w:lastRow="0" w:firstColumn="1" w:lastColumn="0" w:noHBand="0" w:noVBand="1"/>
        </w:tblPrEx>
        <w:tc>
          <w:tcPr>
            <w:tcW w:w="1273" w:type="dxa"/>
            <w:gridSpan w:val="2"/>
            <w:tcBorders>
              <w:top w:val="single" w:sz="4" w:space="0" w:color="auto"/>
              <w:left w:val="single" w:sz="4" w:space="0" w:color="auto"/>
              <w:bottom w:val="single" w:sz="4" w:space="0" w:color="auto"/>
              <w:right w:val="single" w:sz="4" w:space="0" w:color="auto"/>
            </w:tcBorders>
          </w:tcPr>
          <w:p w14:paraId="48B44BAC" w14:textId="20030569"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47C7E05F" w14:textId="77777777" w:rsidR="002C23BF" w:rsidRPr="00AB34C7" w:rsidRDefault="002C23BF"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color w:val="333333"/>
                <w:sz w:val="20"/>
                <w:szCs w:val="20"/>
              </w:rPr>
              <w:t>Patient must not have developed disease progression while receiving treatment with this drug for this condition</w:t>
            </w:r>
          </w:p>
        </w:tc>
      </w:tr>
      <w:tr w:rsidR="002C23BF" w:rsidRPr="00AB34C7" w14:paraId="5E07CDA0" w14:textId="77777777" w:rsidTr="00DB278B">
        <w:tblPrEx>
          <w:tblCellMar>
            <w:top w:w="15" w:type="dxa"/>
            <w:left w:w="15" w:type="dxa"/>
            <w:bottom w:w="15" w:type="dxa"/>
            <w:right w:w="15" w:type="dxa"/>
          </w:tblCellMar>
          <w:tblLook w:val="04A0" w:firstRow="1" w:lastRow="0" w:firstColumn="1" w:lastColumn="0" w:noHBand="0" w:noVBand="1"/>
        </w:tblPrEx>
        <w:tc>
          <w:tcPr>
            <w:tcW w:w="1273" w:type="dxa"/>
            <w:gridSpan w:val="2"/>
            <w:tcBorders>
              <w:top w:val="single" w:sz="4" w:space="0" w:color="auto"/>
              <w:left w:val="single" w:sz="4" w:space="0" w:color="auto"/>
              <w:bottom w:val="single" w:sz="4" w:space="0" w:color="auto"/>
              <w:right w:val="single" w:sz="4" w:space="0" w:color="auto"/>
            </w:tcBorders>
          </w:tcPr>
          <w:p w14:paraId="0769F684" w14:textId="2EF35334"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0722D310" w14:textId="77777777" w:rsidR="002C23BF" w:rsidRPr="00AB34C7" w:rsidRDefault="002C23BF"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b/>
                <w:bCs/>
                <w:color w:val="333333"/>
                <w:sz w:val="20"/>
                <w:szCs w:val="20"/>
              </w:rPr>
              <w:t>Clinical criteria:</w:t>
            </w:r>
          </w:p>
        </w:tc>
      </w:tr>
      <w:tr w:rsidR="002C23BF" w:rsidRPr="00AB34C7" w14:paraId="3D1EB0BD" w14:textId="77777777" w:rsidTr="00DB278B">
        <w:tblPrEx>
          <w:tblCellMar>
            <w:top w:w="15" w:type="dxa"/>
            <w:left w:w="15" w:type="dxa"/>
            <w:bottom w:w="15" w:type="dxa"/>
            <w:right w:w="15" w:type="dxa"/>
          </w:tblCellMar>
          <w:tblLook w:val="04A0" w:firstRow="1" w:lastRow="0" w:firstColumn="1" w:lastColumn="0" w:noHBand="0" w:noVBand="1"/>
        </w:tblPrEx>
        <w:tc>
          <w:tcPr>
            <w:tcW w:w="1273" w:type="dxa"/>
            <w:gridSpan w:val="2"/>
            <w:tcBorders>
              <w:top w:val="single" w:sz="4" w:space="0" w:color="auto"/>
              <w:left w:val="single" w:sz="4" w:space="0" w:color="auto"/>
              <w:bottom w:val="single" w:sz="4" w:space="0" w:color="auto"/>
              <w:right w:val="single" w:sz="4" w:space="0" w:color="auto"/>
            </w:tcBorders>
          </w:tcPr>
          <w:p w14:paraId="790CC983" w14:textId="0B1CAD05"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7A9B9136" w14:textId="77777777" w:rsidR="002C23BF" w:rsidRPr="00AB34C7" w:rsidRDefault="002C23BF"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color w:val="333333"/>
                <w:sz w:val="20"/>
                <w:szCs w:val="20"/>
              </w:rPr>
              <w:t>The condition must have been untreated with drug treatment at the time of the first dose of this drug; OR</w:t>
            </w:r>
          </w:p>
        </w:tc>
      </w:tr>
      <w:tr w:rsidR="002C23BF" w:rsidRPr="00AB34C7" w14:paraId="2DCE5575" w14:textId="77777777" w:rsidTr="00DB278B">
        <w:tblPrEx>
          <w:tblCellMar>
            <w:top w:w="15" w:type="dxa"/>
            <w:left w:w="15" w:type="dxa"/>
            <w:bottom w:w="15" w:type="dxa"/>
            <w:right w:w="15" w:type="dxa"/>
          </w:tblCellMar>
          <w:tblLook w:val="04A0" w:firstRow="1" w:lastRow="0" w:firstColumn="1" w:lastColumn="0" w:noHBand="0" w:noVBand="1"/>
        </w:tblPrEx>
        <w:tc>
          <w:tcPr>
            <w:tcW w:w="1273" w:type="dxa"/>
            <w:gridSpan w:val="2"/>
            <w:tcBorders>
              <w:top w:val="single" w:sz="4" w:space="0" w:color="auto"/>
              <w:left w:val="single" w:sz="4" w:space="0" w:color="auto"/>
              <w:bottom w:val="single" w:sz="4" w:space="0" w:color="auto"/>
              <w:right w:val="single" w:sz="4" w:space="0" w:color="auto"/>
            </w:tcBorders>
          </w:tcPr>
          <w:p w14:paraId="0B4624EF" w14:textId="05D22E49"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1D039741" w14:textId="77777777" w:rsidR="002C23BF" w:rsidRPr="00AB34C7" w:rsidRDefault="002C23BF"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color w:val="333333"/>
                <w:sz w:val="20"/>
                <w:szCs w:val="20"/>
              </w:rPr>
              <w:t xml:space="preserve">Patient must have developed an intolerance of a severity necessitating permanent treatment withdrawal following use of another drug PBS indicated as first-line treatment of CLL/SLL at the time of receiving non-PBS-subsidised treatment with this drug for this condition, </w:t>
            </w:r>
          </w:p>
        </w:tc>
      </w:tr>
      <w:tr w:rsidR="002C23BF" w:rsidRPr="00AB34C7" w14:paraId="4DDED965" w14:textId="77777777" w:rsidTr="00DB278B">
        <w:tblPrEx>
          <w:tblCellMar>
            <w:top w:w="15" w:type="dxa"/>
            <w:left w:w="15" w:type="dxa"/>
            <w:bottom w:w="15" w:type="dxa"/>
            <w:right w:w="15" w:type="dxa"/>
          </w:tblCellMar>
          <w:tblLook w:val="04A0" w:firstRow="1" w:lastRow="0" w:firstColumn="1" w:lastColumn="0" w:noHBand="0" w:noVBand="1"/>
        </w:tblPrEx>
        <w:tc>
          <w:tcPr>
            <w:tcW w:w="1273" w:type="dxa"/>
            <w:gridSpan w:val="2"/>
            <w:tcBorders>
              <w:top w:val="single" w:sz="4" w:space="0" w:color="auto"/>
              <w:left w:val="single" w:sz="4" w:space="0" w:color="auto"/>
              <w:bottom w:val="single" w:sz="4" w:space="0" w:color="auto"/>
              <w:right w:val="single" w:sz="4" w:space="0" w:color="auto"/>
            </w:tcBorders>
          </w:tcPr>
          <w:p w14:paraId="5FB12FDC" w14:textId="77777777"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2B85FA44" w14:textId="77777777" w:rsidR="002C23BF" w:rsidRPr="00AB34C7" w:rsidRDefault="002C23BF"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b/>
                <w:bCs/>
                <w:color w:val="333333"/>
                <w:sz w:val="20"/>
                <w:szCs w:val="20"/>
              </w:rPr>
              <w:t>AND</w:t>
            </w:r>
          </w:p>
        </w:tc>
      </w:tr>
      <w:tr w:rsidR="002C23BF" w:rsidRPr="00AB34C7" w14:paraId="37DFF9E0" w14:textId="77777777" w:rsidTr="00DB278B">
        <w:tblPrEx>
          <w:tblCellMar>
            <w:top w:w="15" w:type="dxa"/>
            <w:left w:w="15" w:type="dxa"/>
            <w:bottom w:w="15" w:type="dxa"/>
            <w:right w:w="15" w:type="dxa"/>
          </w:tblCellMar>
          <w:tblLook w:val="04A0" w:firstRow="1" w:lastRow="0" w:firstColumn="1" w:lastColumn="0" w:noHBand="0" w:noVBand="1"/>
        </w:tblPrEx>
        <w:tc>
          <w:tcPr>
            <w:tcW w:w="1273" w:type="dxa"/>
            <w:gridSpan w:val="2"/>
            <w:tcBorders>
              <w:top w:val="single" w:sz="4" w:space="0" w:color="auto"/>
              <w:left w:val="single" w:sz="4" w:space="0" w:color="auto"/>
              <w:bottom w:val="single" w:sz="4" w:space="0" w:color="auto"/>
              <w:right w:val="single" w:sz="4" w:space="0" w:color="auto"/>
            </w:tcBorders>
          </w:tcPr>
          <w:p w14:paraId="7946D799" w14:textId="6B466036"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2DC9F59B" w14:textId="77777777" w:rsidR="002C23BF" w:rsidRPr="00AB34C7" w:rsidRDefault="002C23BF"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b/>
                <w:bCs/>
                <w:color w:val="333333"/>
                <w:sz w:val="20"/>
                <w:szCs w:val="20"/>
              </w:rPr>
              <w:t>Clinical criteria:</w:t>
            </w:r>
          </w:p>
        </w:tc>
      </w:tr>
      <w:tr w:rsidR="002C23BF" w:rsidRPr="00AB34C7" w14:paraId="03E34B8A" w14:textId="77777777" w:rsidTr="00DB278B">
        <w:tblPrEx>
          <w:tblCellMar>
            <w:top w:w="15" w:type="dxa"/>
            <w:left w:w="15" w:type="dxa"/>
            <w:bottom w:w="15" w:type="dxa"/>
            <w:right w:w="15" w:type="dxa"/>
          </w:tblCellMar>
          <w:tblLook w:val="04A0" w:firstRow="1" w:lastRow="0" w:firstColumn="1" w:lastColumn="0" w:noHBand="0" w:noVBand="1"/>
        </w:tblPrEx>
        <w:tc>
          <w:tcPr>
            <w:tcW w:w="1273" w:type="dxa"/>
            <w:gridSpan w:val="2"/>
            <w:tcBorders>
              <w:top w:val="single" w:sz="4" w:space="0" w:color="auto"/>
              <w:left w:val="single" w:sz="4" w:space="0" w:color="auto"/>
              <w:bottom w:val="single" w:sz="4" w:space="0" w:color="auto"/>
              <w:right w:val="single" w:sz="4" w:space="0" w:color="auto"/>
            </w:tcBorders>
          </w:tcPr>
          <w:p w14:paraId="2681D38E" w14:textId="05E5F294"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tcPr>
          <w:p w14:paraId="5D9DA582" w14:textId="77777777" w:rsidR="002C23BF" w:rsidRPr="00AB34C7" w:rsidRDefault="002C23BF"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color w:val="333333"/>
                <w:sz w:val="20"/>
                <w:szCs w:val="20"/>
              </w:rPr>
              <w:t>The treatment must only be prescribed for patients with active disease in accordance with the International Workshop on CLL (iwCLL) guidance (latest version) in relation to when to prescribe drug treatment for this condition,</w:t>
            </w:r>
          </w:p>
        </w:tc>
      </w:tr>
      <w:tr w:rsidR="002C23BF" w:rsidRPr="00AB34C7" w14:paraId="7520C0BB" w14:textId="77777777" w:rsidTr="00DB278B">
        <w:tblPrEx>
          <w:tblCellMar>
            <w:top w:w="15" w:type="dxa"/>
            <w:left w:w="15" w:type="dxa"/>
            <w:bottom w:w="15" w:type="dxa"/>
            <w:right w:w="15" w:type="dxa"/>
          </w:tblCellMar>
          <w:tblLook w:val="04A0" w:firstRow="1" w:lastRow="0" w:firstColumn="1" w:lastColumn="0" w:noHBand="0" w:noVBand="1"/>
        </w:tblPrEx>
        <w:tc>
          <w:tcPr>
            <w:tcW w:w="1273" w:type="dxa"/>
            <w:gridSpan w:val="2"/>
            <w:tcBorders>
              <w:top w:val="single" w:sz="4" w:space="0" w:color="auto"/>
              <w:left w:val="single" w:sz="4" w:space="0" w:color="auto"/>
              <w:bottom w:val="single" w:sz="4" w:space="0" w:color="auto"/>
              <w:right w:val="single" w:sz="4" w:space="0" w:color="auto"/>
            </w:tcBorders>
          </w:tcPr>
          <w:p w14:paraId="41D5A268" w14:textId="77777777"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3BC44F3E" w14:textId="77777777" w:rsidR="002C23BF" w:rsidRPr="00AB34C7" w:rsidRDefault="002C23BF"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b/>
                <w:bCs/>
                <w:color w:val="333333"/>
                <w:sz w:val="20"/>
                <w:szCs w:val="20"/>
              </w:rPr>
              <w:t>AND</w:t>
            </w:r>
          </w:p>
        </w:tc>
      </w:tr>
      <w:tr w:rsidR="002C23BF" w:rsidRPr="00AB34C7" w14:paraId="41B27B2E" w14:textId="77777777" w:rsidTr="00DB278B">
        <w:tblPrEx>
          <w:tblCellMar>
            <w:top w:w="15" w:type="dxa"/>
            <w:left w:w="15" w:type="dxa"/>
            <w:bottom w:w="15" w:type="dxa"/>
            <w:right w:w="15" w:type="dxa"/>
          </w:tblCellMar>
          <w:tblLook w:val="04A0" w:firstRow="1" w:lastRow="0" w:firstColumn="1" w:lastColumn="0" w:noHBand="0" w:noVBand="1"/>
        </w:tblPrEx>
        <w:tc>
          <w:tcPr>
            <w:tcW w:w="1273" w:type="dxa"/>
            <w:gridSpan w:val="2"/>
            <w:tcBorders>
              <w:top w:val="single" w:sz="4" w:space="0" w:color="auto"/>
              <w:left w:val="single" w:sz="4" w:space="0" w:color="auto"/>
              <w:bottom w:val="single" w:sz="4" w:space="0" w:color="auto"/>
              <w:right w:val="single" w:sz="4" w:space="0" w:color="auto"/>
            </w:tcBorders>
          </w:tcPr>
          <w:p w14:paraId="048EC384" w14:textId="6197CE16"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73EF62E9" w14:textId="77777777" w:rsidR="002C23BF" w:rsidRPr="00AB34C7" w:rsidRDefault="002C23BF"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b/>
                <w:bCs/>
                <w:color w:val="333333"/>
                <w:sz w:val="20"/>
                <w:szCs w:val="20"/>
              </w:rPr>
              <w:t>Clinical criteria:</w:t>
            </w:r>
          </w:p>
        </w:tc>
      </w:tr>
      <w:tr w:rsidR="002C23BF" w:rsidRPr="00AB34C7" w14:paraId="25B7EC68" w14:textId="77777777" w:rsidTr="00DB278B">
        <w:tblPrEx>
          <w:tblCellMar>
            <w:top w:w="15" w:type="dxa"/>
            <w:left w:w="15" w:type="dxa"/>
            <w:bottom w:w="15" w:type="dxa"/>
            <w:right w:w="15" w:type="dxa"/>
          </w:tblCellMar>
          <w:tblLook w:val="04A0" w:firstRow="1" w:lastRow="0" w:firstColumn="1" w:lastColumn="0" w:noHBand="0" w:noVBand="1"/>
        </w:tblPrEx>
        <w:tc>
          <w:tcPr>
            <w:tcW w:w="1273" w:type="dxa"/>
            <w:gridSpan w:val="2"/>
            <w:tcBorders>
              <w:top w:val="single" w:sz="4" w:space="0" w:color="auto"/>
              <w:left w:val="single" w:sz="4" w:space="0" w:color="auto"/>
              <w:bottom w:val="single" w:sz="4" w:space="0" w:color="auto"/>
              <w:right w:val="single" w:sz="4" w:space="0" w:color="auto"/>
            </w:tcBorders>
          </w:tcPr>
          <w:p w14:paraId="0084741A" w14:textId="32A72657"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7466C59C" w14:textId="77777777" w:rsidR="002C23BF" w:rsidRPr="00AB34C7" w:rsidRDefault="002C23BF"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color w:val="333333"/>
                <w:sz w:val="20"/>
                <w:szCs w:val="20"/>
              </w:rPr>
              <w:t>The treatment must be in combination with venetoclax (refer to product Information for timing of ibrutinib and venetoclax doses).</w:t>
            </w:r>
          </w:p>
        </w:tc>
      </w:tr>
      <w:tr w:rsidR="002C23BF" w:rsidRPr="00AB34C7" w14:paraId="08F4C957" w14:textId="77777777" w:rsidTr="00DB278B">
        <w:tblPrEx>
          <w:tblCellMar>
            <w:top w:w="15" w:type="dxa"/>
            <w:left w:w="15" w:type="dxa"/>
            <w:bottom w:w="15" w:type="dxa"/>
            <w:right w:w="15" w:type="dxa"/>
          </w:tblCellMar>
          <w:tblLook w:val="04A0" w:firstRow="1" w:lastRow="0" w:firstColumn="1" w:lastColumn="0" w:noHBand="0" w:noVBand="1"/>
        </w:tblPrEx>
        <w:tc>
          <w:tcPr>
            <w:tcW w:w="1273" w:type="dxa"/>
            <w:gridSpan w:val="2"/>
            <w:tcBorders>
              <w:top w:val="single" w:sz="4" w:space="0" w:color="auto"/>
              <w:left w:val="single" w:sz="4" w:space="0" w:color="auto"/>
              <w:bottom w:val="single" w:sz="4" w:space="0" w:color="auto"/>
              <w:right w:val="single" w:sz="4" w:space="0" w:color="auto"/>
            </w:tcBorders>
          </w:tcPr>
          <w:p w14:paraId="1BF52507" w14:textId="77777777"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269A4FD1" w14:textId="77777777" w:rsidR="002C23BF" w:rsidRPr="00AB34C7" w:rsidRDefault="002C23BF" w:rsidP="00DB278B">
            <w:pPr>
              <w:rPr>
                <w:rFonts w:ascii="Arial Narrow" w:eastAsia="Arial Narrow" w:hAnsi="Arial Narrow" w:cs="Arial Narrow"/>
                <w:color w:val="333333"/>
                <w:sz w:val="20"/>
                <w:szCs w:val="20"/>
              </w:rPr>
            </w:pPr>
          </w:p>
        </w:tc>
      </w:tr>
      <w:tr w:rsidR="002C23BF" w:rsidRPr="00AB34C7" w14:paraId="6D491B6F" w14:textId="77777777" w:rsidTr="00DB278B">
        <w:tblPrEx>
          <w:tblCellMar>
            <w:top w:w="15" w:type="dxa"/>
            <w:left w:w="15" w:type="dxa"/>
            <w:bottom w:w="15" w:type="dxa"/>
            <w:right w:w="15" w:type="dxa"/>
          </w:tblCellMar>
          <w:tblLook w:val="04A0" w:firstRow="1" w:lastRow="0" w:firstColumn="1" w:lastColumn="0" w:noHBand="0" w:noVBand="1"/>
        </w:tblPrEx>
        <w:tc>
          <w:tcPr>
            <w:tcW w:w="1273" w:type="dxa"/>
            <w:gridSpan w:val="2"/>
            <w:tcBorders>
              <w:top w:val="single" w:sz="4" w:space="0" w:color="auto"/>
              <w:left w:val="single" w:sz="4" w:space="0" w:color="auto"/>
              <w:bottom w:val="single" w:sz="4" w:space="0" w:color="auto"/>
              <w:right w:val="single" w:sz="4" w:space="0" w:color="auto"/>
            </w:tcBorders>
          </w:tcPr>
          <w:p w14:paraId="31DCBBDD" w14:textId="517693D9"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7C1FDC08" w14:textId="77777777" w:rsidR="002C23BF" w:rsidRPr="00AB34C7" w:rsidRDefault="002C23BF"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b/>
                <w:color w:val="333333"/>
                <w:sz w:val="20"/>
                <w:szCs w:val="20"/>
              </w:rPr>
              <w:t xml:space="preserve">Administrative Advice: </w:t>
            </w:r>
            <w:r w:rsidRPr="00AB34C7">
              <w:rPr>
                <w:rFonts w:ascii="Arial Narrow" w:eastAsia="Arial Narrow" w:hAnsi="Arial Narrow" w:cs="Arial Narrow"/>
                <w:color w:val="333333"/>
                <w:sz w:val="20"/>
                <w:szCs w:val="20"/>
              </w:rPr>
              <w:t>No increase in the maximum quantity or number of units may be authorised.</w:t>
            </w:r>
          </w:p>
        </w:tc>
      </w:tr>
      <w:tr w:rsidR="002C23BF" w:rsidRPr="00AB34C7" w14:paraId="47F110DD" w14:textId="77777777" w:rsidTr="00DB278B">
        <w:tblPrEx>
          <w:tblCellMar>
            <w:top w:w="15" w:type="dxa"/>
            <w:left w:w="15" w:type="dxa"/>
            <w:bottom w:w="15" w:type="dxa"/>
            <w:right w:w="15" w:type="dxa"/>
          </w:tblCellMar>
          <w:tblLook w:val="04A0" w:firstRow="1" w:lastRow="0" w:firstColumn="1" w:lastColumn="0" w:noHBand="0" w:noVBand="1"/>
        </w:tblPrEx>
        <w:tc>
          <w:tcPr>
            <w:tcW w:w="1273" w:type="dxa"/>
            <w:gridSpan w:val="2"/>
            <w:tcBorders>
              <w:top w:val="single" w:sz="4" w:space="0" w:color="auto"/>
              <w:left w:val="single" w:sz="4" w:space="0" w:color="auto"/>
              <w:bottom w:val="single" w:sz="4" w:space="0" w:color="auto"/>
              <w:right w:val="single" w:sz="4" w:space="0" w:color="auto"/>
            </w:tcBorders>
          </w:tcPr>
          <w:p w14:paraId="28AE6D55" w14:textId="4D12C72B"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tcPr>
          <w:p w14:paraId="46A52108" w14:textId="77777777" w:rsidR="002C23BF" w:rsidRPr="00AB34C7" w:rsidRDefault="002C23BF" w:rsidP="00DB278B">
            <w:pPr>
              <w:rPr>
                <w:rFonts w:ascii="Arial Narrow" w:eastAsia="Arial Narrow" w:hAnsi="Arial Narrow" w:cs="Arial Narrow"/>
                <w:b/>
                <w:bCs/>
                <w:color w:val="333333"/>
                <w:sz w:val="20"/>
                <w:szCs w:val="20"/>
              </w:rPr>
            </w:pPr>
            <w:r w:rsidRPr="00AB34C7">
              <w:rPr>
                <w:rFonts w:ascii="Arial Narrow" w:hAnsi="Arial Narrow"/>
                <w:b/>
                <w:bCs/>
                <w:sz w:val="20"/>
                <w:szCs w:val="20"/>
              </w:rPr>
              <w:t xml:space="preserve">Administrative Advice: </w:t>
            </w:r>
            <w:r w:rsidRPr="00AB34C7">
              <w:rPr>
                <w:rFonts w:ascii="Arial Narrow" w:hAnsi="Arial Narrow"/>
                <w:bCs/>
                <w:sz w:val="20"/>
                <w:szCs w:val="20"/>
              </w:rPr>
              <w:t>No increase in the maximum number of repeats may be authorised.</w:t>
            </w:r>
          </w:p>
        </w:tc>
      </w:tr>
      <w:tr w:rsidR="002C23BF" w:rsidRPr="00AB34C7" w14:paraId="433E6798" w14:textId="77777777" w:rsidTr="00DB278B">
        <w:tblPrEx>
          <w:tblCellMar>
            <w:top w:w="15" w:type="dxa"/>
            <w:left w:w="15" w:type="dxa"/>
            <w:bottom w:w="15" w:type="dxa"/>
            <w:right w:w="15" w:type="dxa"/>
          </w:tblCellMar>
          <w:tblLook w:val="04A0" w:firstRow="1" w:lastRow="0" w:firstColumn="1" w:lastColumn="0" w:noHBand="0" w:noVBand="1"/>
        </w:tblPrEx>
        <w:tc>
          <w:tcPr>
            <w:tcW w:w="1273" w:type="dxa"/>
            <w:gridSpan w:val="2"/>
            <w:tcBorders>
              <w:top w:val="single" w:sz="4" w:space="0" w:color="auto"/>
              <w:left w:val="single" w:sz="4" w:space="0" w:color="auto"/>
              <w:bottom w:val="single" w:sz="4" w:space="0" w:color="auto"/>
              <w:right w:val="single" w:sz="4" w:space="0" w:color="auto"/>
            </w:tcBorders>
          </w:tcPr>
          <w:p w14:paraId="0620C9C7" w14:textId="646FA691"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tcPr>
          <w:p w14:paraId="32E98274" w14:textId="77777777" w:rsidR="002C23BF" w:rsidRPr="00AB34C7" w:rsidRDefault="002C23BF" w:rsidP="00DB278B">
            <w:pPr>
              <w:rPr>
                <w:rFonts w:ascii="Arial Narrow" w:eastAsia="Arial Narrow" w:hAnsi="Arial Narrow" w:cs="Arial Narrow"/>
                <w:b/>
                <w:bCs/>
                <w:color w:val="333333"/>
                <w:sz w:val="20"/>
                <w:szCs w:val="20"/>
              </w:rPr>
            </w:pPr>
            <w:r w:rsidRPr="00AB34C7">
              <w:rPr>
                <w:rFonts w:ascii="Arial Narrow" w:hAnsi="Arial Narrow"/>
                <w:b/>
                <w:bCs/>
                <w:sz w:val="20"/>
                <w:szCs w:val="20"/>
              </w:rPr>
              <w:t xml:space="preserve">Administrative Advice: </w:t>
            </w:r>
            <w:r w:rsidRPr="00AB34C7">
              <w:rPr>
                <w:rFonts w:ascii="Arial Narrow" w:hAnsi="Arial Narrow"/>
                <w:bCs/>
                <w:sz w:val="20"/>
                <w:szCs w:val="20"/>
              </w:rPr>
              <w:t>Special Pricing Arrangements apply.</w:t>
            </w:r>
          </w:p>
        </w:tc>
      </w:tr>
      <w:tr w:rsidR="002C23BF" w:rsidRPr="00AB34C7" w14:paraId="7B367A91" w14:textId="77777777" w:rsidTr="00DB278B">
        <w:tblPrEx>
          <w:tblCellMar>
            <w:top w:w="15" w:type="dxa"/>
            <w:left w:w="15" w:type="dxa"/>
            <w:bottom w:w="15" w:type="dxa"/>
            <w:right w:w="15" w:type="dxa"/>
          </w:tblCellMar>
          <w:tblLook w:val="04A0" w:firstRow="1" w:lastRow="0" w:firstColumn="1" w:lastColumn="0" w:noHBand="0" w:noVBand="1"/>
        </w:tblPrEx>
        <w:tc>
          <w:tcPr>
            <w:tcW w:w="1273" w:type="dxa"/>
            <w:gridSpan w:val="2"/>
            <w:tcBorders>
              <w:top w:val="single" w:sz="4" w:space="0" w:color="auto"/>
              <w:left w:val="single" w:sz="4" w:space="0" w:color="auto"/>
              <w:bottom w:val="single" w:sz="4" w:space="0" w:color="auto"/>
              <w:right w:val="single" w:sz="4" w:space="0" w:color="auto"/>
            </w:tcBorders>
          </w:tcPr>
          <w:p w14:paraId="4C1908B0" w14:textId="2A5602BC"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tcPr>
          <w:p w14:paraId="776F12F0" w14:textId="77777777" w:rsidR="002C23BF" w:rsidRPr="00AB34C7" w:rsidRDefault="002C23BF" w:rsidP="00DB278B">
            <w:pPr>
              <w:rPr>
                <w:rFonts w:ascii="Arial Narrow" w:eastAsia="Arial Narrow" w:hAnsi="Arial Narrow" w:cs="Arial Narrow"/>
                <w:b/>
                <w:bCs/>
                <w:color w:val="333333"/>
                <w:sz w:val="20"/>
                <w:szCs w:val="20"/>
              </w:rPr>
            </w:pPr>
            <w:r w:rsidRPr="00AB34C7">
              <w:rPr>
                <w:rFonts w:ascii="Arial Narrow" w:hAnsi="Arial Narrow"/>
                <w:b/>
                <w:bCs/>
                <w:sz w:val="20"/>
                <w:szCs w:val="20"/>
              </w:rPr>
              <w:t xml:space="preserve">Administrative advice: </w:t>
            </w:r>
            <w:r w:rsidRPr="00AB34C7">
              <w:rPr>
                <w:rFonts w:ascii="Arial Narrow" w:hAnsi="Arial Narrow"/>
                <w:bCs/>
                <w:sz w:val="20"/>
                <w:szCs w:val="20"/>
              </w:rPr>
              <w:t>This grandfather restriction will cease to operate from 12 months after the date specified in the clinical criteria</w:t>
            </w:r>
          </w:p>
        </w:tc>
      </w:tr>
      <w:tr w:rsidR="002C23BF" w:rsidRPr="00AB34C7" w14:paraId="7CA2400B" w14:textId="77777777" w:rsidTr="00DB278B">
        <w:tblPrEx>
          <w:tblCellMar>
            <w:top w:w="15" w:type="dxa"/>
            <w:left w:w="15" w:type="dxa"/>
            <w:bottom w:w="15" w:type="dxa"/>
            <w:right w:w="15" w:type="dxa"/>
          </w:tblCellMar>
          <w:tblLook w:val="04A0" w:firstRow="1" w:lastRow="0" w:firstColumn="1" w:lastColumn="0" w:noHBand="0" w:noVBand="1"/>
        </w:tblPrEx>
        <w:tc>
          <w:tcPr>
            <w:tcW w:w="1273" w:type="dxa"/>
            <w:gridSpan w:val="2"/>
            <w:tcBorders>
              <w:top w:val="single" w:sz="4" w:space="0" w:color="auto"/>
              <w:left w:val="single" w:sz="4" w:space="0" w:color="auto"/>
              <w:bottom w:val="single" w:sz="4" w:space="0" w:color="auto"/>
              <w:right w:val="single" w:sz="4" w:space="0" w:color="auto"/>
            </w:tcBorders>
          </w:tcPr>
          <w:p w14:paraId="740916C4" w14:textId="77777777"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tcPr>
          <w:p w14:paraId="1BBB546B" w14:textId="77777777" w:rsidR="002C23BF" w:rsidRPr="00AB34C7" w:rsidRDefault="002C23BF" w:rsidP="00DB278B">
            <w:pPr>
              <w:rPr>
                <w:rFonts w:ascii="Arial Narrow" w:eastAsia="Arial Narrow" w:hAnsi="Arial Narrow" w:cs="Arial Narrow"/>
                <w:b/>
                <w:bCs/>
                <w:color w:val="333333"/>
                <w:sz w:val="20"/>
                <w:szCs w:val="20"/>
              </w:rPr>
            </w:pPr>
          </w:p>
        </w:tc>
      </w:tr>
      <w:tr w:rsidR="002C23BF" w:rsidRPr="00AB34C7" w14:paraId="2FCD8458" w14:textId="77777777" w:rsidTr="00DB278B">
        <w:tblPrEx>
          <w:tblCellMar>
            <w:top w:w="15" w:type="dxa"/>
            <w:left w:w="15" w:type="dxa"/>
            <w:bottom w:w="15" w:type="dxa"/>
            <w:right w:w="15" w:type="dxa"/>
          </w:tblCellMar>
          <w:tblLook w:val="04A0" w:firstRow="1" w:lastRow="0" w:firstColumn="1" w:lastColumn="0" w:noHBand="0" w:noVBand="1"/>
        </w:tblPrEx>
        <w:tc>
          <w:tcPr>
            <w:tcW w:w="1273" w:type="dxa"/>
            <w:gridSpan w:val="2"/>
            <w:tcBorders>
              <w:top w:val="single" w:sz="4" w:space="0" w:color="auto"/>
              <w:left w:val="single" w:sz="4" w:space="0" w:color="auto"/>
              <w:bottom w:val="single" w:sz="4" w:space="0" w:color="auto"/>
              <w:right w:val="single" w:sz="4" w:space="0" w:color="auto"/>
            </w:tcBorders>
          </w:tcPr>
          <w:p w14:paraId="777FE885" w14:textId="40B3BC04"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01082058" w14:textId="77777777" w:rsidR="002C23BF" w:rsidRPr="00AB34C7" w:rsidRDefault="002C23BF" w:rsidP="00DB278B">
            <w:pPr>
              <w:rPr>
                <w:rFonts w:ascii="Arial Narrow" w:eastAsia="Arial Narrow" w:hAnsi="Arial Narrow" w:cs="Arial Narrow"/>
                <w:b/>
                <w:bCs/>
                <w:color w:val="333333"/>
                <w:sz w:val="20"/>
                <w:szCs w:val="20"/>
              </w:rPr>
            </w:pPr>
            <w:r w:rsidRPr="00AB34C7">
              <w:rPr>
                <w:rFonts w:ascii="Arial Narrow" w:hAnsi="Arial Narrow"/>
                <w:b/>
                <w:bCs/>
                <w:sz w:val="20"/>
                <w:szCs w:val="20"/>
              </w:rPr>
              <w:t xml:space="preserve">Prescribing Instruction: </w:t>
            </w:r>
            <w:r w:rsidRPr="00AB34C7">
              <w:rPr>
                <w:rFonts w:ascii="Arial Narrow" w:hAnsi="Arial Narrow"/>
                <w:bCs/>
                <w:sz w:val="20"/>
                <w:szCs w:val="20"/>
              </w:rPr>
              <w:t>A patient may qualify for PBS-subsidised treatment under this restriction once only.</w:t>
            </w:r>
          </w:p>
        </w:tc>
      </w:tr>
      <w:tr w:rsidR="002C23BF" w:rsidRPr="00AB34C7" w14:paraId="2C24DB86" w14:textId="77777777" w:rsidTr="00DB278B">
        <w:tblPrEx>
          <w:tblCellMar>
            <w:top w:w="15" w:type="dxa"/>
            <w:left w:w="15" w:type="dxa"/>
            <w:bottom w:w="15" w:type="dxa"/>
            <w:right w:w="15" w:type="dxa"/>
          </w:tblCellMar>
          <w:tblLook w:val="04A0" w:firstRow="1" w:lastRow="0" w:firstColumn="1" w:lastColumn="0" w:noHBand="0" w:noVBand="1"/>
        </w:tblPrEx>
        <w:tc>
          <w:tcPr>
            <w:tcW w:w="1273" w:type="dxa"/>
            <w:gridSpan w:val="2"/>
            <w:tcBorders>
              <w:top w:val="single" w:sz="4" w:space="0" w:color="auto"/>
              <w:left w:val="single" w:sz="4" w:space="0" w:color="auto"/>
              <w:bottom w:val="single" w:sz="4" w:space="0" w:color="auto"/>
              <w:right w:val="single" w:sz="4" w:space="0" w:color="auto"/>
            </w:tcBorders>
          </w:tcPr>
          <w:p w14:paraId="7A5AFC88" w14:textId="4A40B780"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0F96ED93" w14:textId="38DBC7AA" w:rsidR="002C23BF" w:rsidRPr="00AB34C7" w:rsidRDefault="002C23BF" w:rsidP="00DB278B">
            <w:pPr>
              <w:rPr>
                <w:rFonts w:ascii="Arial Narrow" w:eastAsia="Arial Narrow" w:hAnsi="Arial Narrow" w:cs="Arial Narrow"/>
                <w:b/>
                <w:bCs/>
                <w:color w:val="333333"/>
                <w:sz w:val="20"/>
                <w:szCs w:val="20"/>
              </w:rPr>
            </w:pPr>
            <w:r w:rsidRPr="00AB34C7">
              <w:rPr>
                <w:rFonts w:ascii="Arial Narrow" w:hAnsi="Arial Narrow"/>
                <w:b/>
                <w:bCs/>
                <w:sz w:val="20"/>
                <w:szCs w:val="20"/>
              </w:rPr>
              <w:t xml:space="preserve">Prescribing Instruction: </w:t>
            </w:r>
            <w:r w:rsidRPr="00AB34C7">
              <w:rPr>
                <w:rFonts w:ascii="Arial Narrow" w:hAnsi="Arial Narrow"/>
                <w:bCs/>
                <w:sz w:val="20"/>
                <w:szCs w:val="20"/>
              </w:rPr>
              <w:t xml:space="preserve">For continuing PBS-subsidised treatment, a 'Grandfathered' patient must qualify under the </w:t>
            </w:r>
            <w:r w:rsidR="001720AD">
              <w:rPr>
                <w:rFonts w:ascii="Arial Narrow" w:hAnsi="Arial Narrow"/>
                <w:bCs/>
                <w:sz w:val="20"/>
                <w:szCs w:val="20"/>
              </w:rPr>
              <w:t>next relevant treatment phase.</w:t>
            </w:r>
          </w:p>
        </w:tc>
      </w:tr>
      <w:tr w:rsidR="002C23BF" w:rsidRPr="00AB34C7" w14:paraId="245AA007" w14:textId="77777777" w:rsidTr="00DB278B">
        <w:tblPrEx>
          <w:tblCellMar>
            <w:top w:w="15" w:type="dxa"/>
            <w:left w:w="15" w:type="dxa"/>
            <w:bottom w:w="15" w:type="dxa"/>
            <w:right w:w="15" w:type="dxa"/>
          </w:tblCellMar>
          <w:tblLook w:val="04A0" w:firstRow="1" w:lastRow="0" w:firstColumn="1" w:lastColumn="0" w:noHBand="0" w:noVBand="1"/>
        </w:tblPrEx>
        <w:tc>
          <w:tcPr>
            <w:tcW w:w="1273" w:type="dxa"/>
            <w:gridSpan w:val="2"/>
            <w:tcBorders>
              <w:top w:val="single" w:sz="4" w:space="0" w:color="auto"/>
              <w:left w:val="single" w:sz="4" w:space="0" w:color="auto"/>
              <w:bottom w:val="single" w:sz="4" w:space="0" w:color="auto"/>
              <w:right w:val="single" w:sz="4" w:space="0" w:color="auto"/>
            </w:tcBorders>
          </w:tcPr>
          <w:p w14:paraId="1D066339" w14:textId="2FCC7F5E" w:rsidR="002C23BF" w:rsidRPr="00AB34C7" w:rsidRDefault="002C23BF"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19193662" w14:textId="77777777" w:rsidR="002C23BF" w:rsidRPr="00AB34C7" w:rsidRDefault="002C23BF"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b/>
                <w:bCs/>
                <w:color w:val="333333"/>
                <w:sz w:val="20"/>
                <w:szCs w:val="20"/>
              </w:rPr>
              <w:t>Prescriber Instruction:</w:t>
            </w:r>
          </w:p>
          <w:p w14:paraId="77481BAC" w14:textId="77777777" w:rsidR="002C23BF" w:rsidRPr="00AB34C7" w:rsidRDefault="002C23BF"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color w:val="333333"/>
                <w:sz w:val="20"/>
                <w:szCs w:val="20"/>
              </w:rPr>
              <w:t xml:space="preserve">There are more ibrutinib capsules (or tablets) in a pack than is required for the completion of a treatment cycle. The patient must not discard any remaining capsules (or tablets) after the completion of any treatment </w:t>
            </w:r>
            <w:r w:rsidRPr="00AB34C7">
              <w:rPr>
                <w:rFonts w:ascii="Arial Narrow" w:eastAsia="Arial Narrow" w:hAnsi="Arial Narrow" w:cs="Arial Narrow"/>
                <w:color w:val="333333"/>
                <w:sz w:val="20"/>
                <w:szCs w:val="20"/>
              </w:rPr>
              <w:lastRenderedPageBreak/>
              <w:t>cycle as these capsules (or tablets) will be required for the doses in the final treatment cycle (i.e. treatment cycle 15).</w:t>
            </w:r>
          </w:p>
        </w:tc>
      </w:tr>
    </w:tbl>
    <w:p w14:paraId="43BA00D6" w14:textId="77777777" w:rsidR="002C23BF" w:rsidRPr="00B95C74" w:rsidRDefault="002C23BF" w:rsidP="002C23BF">
      <w:pPr>
        <w:pStyle w:val="Tableheadingrow"/>
        <w:keepNext w:val="0"/>
        <w:rPr>
          <w:lang w:val="en-AU"/>
        </w:rPr>
      </w:pPr>
    </w:p>
    <w:p w14:paraId="49CFAC95" w14:textId="77777777" w:rsidR="00A60785" w:rsidRPr="00AB34C7" w:rsidRDefault="00A60785" w:rsidP="00A60785">
      <w:pPr>
        <w:pStyle w:val="Tableheadingrow"/>
        <w:rPr>
          <w:szCs w:val="20"/>
          <w:lang w:val="en-AU"/>
        </w:rPr>
      </w:pPr>
      <w:r w:rsidRPr="00AB34C7">
        <w:rPr>
          <w:szCs w:val="20"/>
          <w:lang w:val="en-AU"/>
        </w:rPr>
        <w:t>SECOND &amp; FINAL CONTINUING (CYCLES 10 TO 15 INCLUSIVE)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
        <w:gridCol w:w="577"/>
        <w:gridCol w:w="2367"/>
        <w:gridCol w:w="1080"/>
        <w:gridCol w:w="960"/>
        <w:gridCol w:w="1121"/>
        <w:gridCol w:w="709"/>
        <w:gridCol w:w="1842"/>
      </w:tblGrid>
      <w:tr w:rsidR="00A60785" w:rsidRPr="00AB34C7" w14:paraId="10EF0B2F" w14:textId="77777777" w:rsidTr="009D0069">
        <w:trPr>
          <w:cantSplit/>
          <w:trHeight w:val="471"/>
        </w:trPr>
        <w:tc>
          <w:tcPr>
            <w:tcW w:w="3355" w:type="dxa"/>
            <w:gridSpan w:val="3"/>
          </w:tcPr>
          <w:p w14:paraId="4B802BF2" w14:textId="77777777" w:rsidR="00A60785" w:rsidRPr="00AB34C7" w:rsidRDefault="00A60785" w:rsidP="009D0069">
            <w:pPr>
              <w:keepNext/>
              <w:ind w:left="-57"/>
              <w:rPr>
                <w:rFonts w:ascii="Arial Narrow" w:hAnsi="Arial Narrow"/>
                <w:b/>
                <w:bCs/>
                <w:sz w:val="20"/>
                <w:szCs w:val="20"/>
              </w:rPr>
            </w:pPr>
            <w:r w:rsidRPr="00AB34C7">
              <w:rPr>
                <w:rFonts w:ascii="Arial Narrow" w:hAnsi="Arial Narrow"/>
                <w:b/>
                <w:bCs/>
                <w:sz w:val="20"/>
                <w:szCs w:val="20"/>
              </w:rPr>
              <w:t>MEDICINAL PRODUCT</w:t>
            </w:r>
          </w:p>
          <w:p w14:paraId="0F22B0FE" w14:textId="77777777" w:rsidR="00A60785" w:rsidRPr="00AB34C7" w:rsidRDefault="00A60785" w:rsidP="009D0069">
            <w:pPr>
              <w:keepNext/>
              <w:ind w:left="-57"/>
              <w:rPr>
                <w:rFonts w:ascii="Arial Narrow" w:hAnsi="Arial Narrow"/>
                <w:b/>
                <w:sz w:val="20"/>
                <w:szCs w:val="20"/>
              </w:rPr>
            </w:pPr>
            <w:r w:rsidRPr="00AB34C7">
              <w:rPr>
                <w:rFonts w:ascii="Arial Narrow" w:hAnsi="Arial Narrow"/>
                <w:b/>
                <w:bCs/>
                <w:sz w:val="20"/>
                <w:szCs w:val="20"/>
              </w:rPr>
              <w:t>medicinal product pack</w:t>
            </w:r>
          </w:p>
        </w:tc>
        <w:tc>
          <w:tcPr>
            <w:tcW w:w="1080" w:type="dxa"/>
          </w:tcPr>
          <w:p w14:paraId="40ECBE17" w14:textId="77777777" w:rsidR="00A60785" w:rsidRPr="00AB34C7" w:rsidRDefault="00A60785" w:rsidP="009D0069">
            <w:pPr>
              <w:keepNext/>
              <w:ind w:left="-108"/>
              <w:jc w:val="center"/>
              <w:rPr>
                <w:rFonts w:ascii="Arial Narrow" w:hAnsi="Arial Narrow"/>
                <w:b/>
                <w:sz w:val="20"/>
                <w:szCs w:val="20"/>
              </w:rPr>
            </w:pPr>
            <w:r w:rsidRPr="00AB34C7">
              <w:rPr>
                <w:rFonts w:ascii="Arial Narrow" w:hAnsi="Arial Narrow"/>
                <w:b/>
                <w:sz w:val="20"/>
                <w:szCs w:val="20"/>
              </w:rPr>
              <w:t>PBS item code</w:t>
            </w:r>
          </w:p>
        </w:tc>
        <w:tc>
          <w:tcPr>
            <w:tcW w:w="960" w:type="dxa"/>
          </w:tcPr>
          <w:p w14:paraId="55454C93" w14:textId="77777777" w:rsidR="00A60785" w:rsidRPr="00AB34C7" w:rsidRDefault="00A60785" w:rsidP="009D0069">
            <w:pPr>
              <w:keepNext/>
              <w:ind w:left="-108"/>
              <w:jc w:val="center"/>
              <w:rPr>
                <w:rFonts w:ascii="Arial Narrow" w:hAnsi="Arial Narrow"/>
                <w:b/>
                <w:sz w:val="20"/>
                <w:szCs w:val="20"/>
              </w:rPr>
            </w:pPr>
            <w:r w:rsidRPr="00AB34C7">
              <w:rPr>
                <w:rFonts w:ascii="Arial Narrow" w:hAnsi="Arial Narrow"/>
                <w:b/>
                <w:sz w:val="20"/>
                <w:szCs w:val="20"/>
              </w:rPr>
              <w:t>Max. qty packs</w:t>
            </w:r>
          </w:p>
        </w:tc>
        <w:tc>
          <w:tcPr>
            <w:tcW w:w="1121" w:type="dxa"/>
          </w:tcPr>
          <w:p w14:paraId="5E978389" w14:textId="77777777" w:rsidR="00A60785" w:rsidRPr="00AB34C7" w:rsidRDefault="00A60785" w:rsidP="009D0069">
            <w:pPr>
              <w:keepNext/>
              <w:ind w:left="-108"/>
              <w:jc w:val="center"/>
              <w:rPr>
                <w:rFonts w:ascii="Arial Narrow" w:hAnsi="Arial Narrow"/>
                <w:b/>
                <w:sz w:val="20"/>
                <w:szCs w:val="20"/>
              </w:rPr>
            </w:pPr>
            <w:r w:rsidRPr="00AB34C7">
              <w:rPr>
                <w:rFonts w:ascii="Arial Narrow" w:hAnsi="Arial Narrow"/>
                <w:b/>
                <w:sz w:val="20"/>
                <w:szCs w:val="20"/>
              </w:rPr>
              <w:t>Max. qty units</w:t>
            </w:r>
          </w:p>
        </w:tc>
        <w:tc>
          <w:tcPr>
            <w:tcW w:w="709" w:type="dxa"/>
          </w:tcPr>
          <w:p w14:paraId="759DFA54" w14:textId="77777777" w:rsidR="00A60785" w:rsidRPr="00AB34C7" w:rsidRDefault="00A60785" w:rsidP="009D0069">
            <w:pPr>
              <w:keepNext/>
              <w:ind w:left="-108"/>
              <w:jc w:val="center"/>
              <w:rPr>
                <w:rFonts w:ascii="Arial Narrow" w:hAnsi="Arial Narrow"/>
                <w:b/>
                <w:sz w:val="20"/>
                <w:szCs w:val="20"/>
              </w:rPr>
            </w:pPr>
            <w:r w:rsidRPr="00AB34C7">
              <w:rPr>
                <w:rFonts w:ascii="Arial Narrow" w:hAnsi="Arial Narrow"/>
                <w:b/>
                <w:sz w:val="20"/>
                <w:szCs w:val="20"/>
              </w:rPr>
              <w:t>№.of</w:t>
            </w:r>
          </w:p>
          <w:p w14:paraId="4899675E" w14:textId="77777777" w:rsidR="00A60785" w:rsidRPr="00AB34C7" w:rsidRDefault="00A60785" w:rsidP="009D0069">
            <w:pPr>
              <w:keepNext/>
              <w:ind w:left="-108"/>
              <w:jc w:val="center"/>
              <w:rPr>
                <w:rFonts w:ascii="Arial Narrow" w:hAnsi="Arial Narrow"/>
                <w:b/>
                <w:sz w:val="20"/>
                <w:szCs w:val="20"/>
              </w:rPr>
            </w:pPr>
            <w:r w:rsidRPr="00AB34C7">
              <w:rPr>
                <w:rFonts w:ascii="Arial Narrow" w:hAnsi="Arial Narrow"/>
                <w:b/>
                <w:sz w:val="20"/>
                <w:szCs w:val="20"/>
              </w:rPr>
              <w:t>Rpts</w:t>
            </w:r>
          </w:p>
        </w:tc>
        <w:tc>
          <w:tcPr>
            <w:tcW w:w="1842" w:type="dxa"/>
          </w:tcPr>
          <w:p w14:paraId="401F6EEB" w14:textId="77777777" w:rsidR="00A60785" w:rsidRPr="00B95C74" w:rsidRDefault="00A60785" w:rsidP="009D0069">
            <w:pPr>
              <w:keepNext/>
              <w:jc w:val="center"/>
              <w:rPr>
                <w:rFonts w:ascii="Arial Narrow" w:hAnsi="Arial Narrow"/>
                <w:b/>
                <w:sz w:val="20"/>
                <w:szCs w:val="20"/>
              </w:rPr>
            </w:pPr>
            <w:r w:rsidRPr="00AB34C7">
              <w:rPr>
                <w:rFonts w:ascii="Arial Narrow" w:hAnsi="Arial Narrow"/>
                <w:b/>
                <w:sz w:val="20"/>
                <w:szCs w:val="20"/>
              </w:rPr>
              <w:t>Available brands</w:t>
            </w:r>
          </w:p>
        </w:tc>
      </w:tr>
      <w:tr w:rsidR="00A60785" w:rsidRPr="00AB34C7" w14:paraId="5DB2007A" w14:textId="77777777" w:rsidTr="009D0069">
        <w:trPr>
          <w:cantSplit/>
          <w:trHeight w:val="224"/>
        </w:trPr>
        <w:tc>
          <w:tcPr>
            <w:tcW w:w="9067" w:type="dxa"/>
            <w:gridSpan w:val="8"/>
          </w:tcPr>
          <w:p w14:paraId="3D8CCD6F" w14:textId="77777777" w:rsidR="00A60785" w:rsidRPr="00AB34C7" w:rsidRDefault="00A60785" w:rsidP="009D0069">
            <w:pPr>
              <w:keepNext/>
              <w:ind w:left="-57"/>
              <w:rPr>
                <w:rFonts w:ascii="Arial Narrow" w:hAnsi="Arial Narrow"/>
                <w:sz w:val="20"/>
                <w:szCs w:val="20"/>
              </w:rPr>
            </w:pPr>
            <w:r w:rsidRPr="00AB34C7">
              <w:rPr>
                <w:rFonts w:ascii="Arial Narrow" w:hAnsi="Arial Narrow"/>
                <w:sz w:val="20"/>
                <w:szCs w:val="20"/>
              </w:rPr>
              <w:t>IBRUTINIB</w:t>
            </w:r>
          </w:p>
        </w:tc>
      </w:tr>
      <w:tr w:rsidR="00A60785" w:rsidRPr="00AB34C7" w14:paraId="09703F3E" w14:textId="77777777" w:rsidTr="009D0069">
        <w:trPr>
          <w:cantSplit/>
          <w:trHeight w:val="182"/>
        </w:trPr>
        <w:tc>
          <w:tcPr>
            <w:tcW w:w="3355" w:type="dxa"/>
            <w:gridSpan w:val="3"/>
          </w:tcPr>
          <w:p w14:paraId="10C92A68" w14:textId="77777777" w:rsidR="00A60785" w:rsidRPr="00AB34C7" w:rsidRDefault="00A60785" w:rsidP="009D0069">
            <w:pPr>
              <w:ind w:left="-57"/>
              <w:rPr>
                <w:rFonts w:ascii="Arial Narrow" w:hAnsi="Arial Narrow"/>
                <w:sz w:val="20"/>
                <w:szCs w:val="20"/>
              </w:rPr>
            </w:pPr>
            <w:r w:rsidRPr="00AB34C7">
              <w:rPr>
                <w:rFonts w:ascii="Arial Narrow" w:hAnsi="Arial Narrow" w:cstheme="minorBidi"/>
                <w:sz w:val="20"/>
                <w:szCs w:val="20"/>
              </w:rPr>
              <w:t>ibrutinib 140 mg capsule, 90</w:t>
            </w:r>
          </w:p>
        </w:tc>
        <w:tc>
          <w:tcPr>
            <w:tcW w:w="1080" w:type="dxa"/>
          </w:tcPr>
          <w:p w14:paraId="106C8258" w14:textId="77777777" w:rsidR="00A60785" w:rsidRPr="00AB34C7" w:rsidRDefault="00A60785" w:rsidP="009D0069">
            <w:pPr>
              <w:jc w:val="center"/>
              <w:rPr>
                <w:rFonts w:ascii="Arial Narrow" w:hAnsi="Arial Narrow"/>
                <w:sz w:val="20"/>
                <w:szCs w:val="20"/>
              </w:rPr>
            </w:pPr>
            <w:r w:rsidRPr="00AB34C7">
              <w:rPr>
                <w:rFonts w:ascii="Arial Narrow" w:hAnsi="Arial Narrow"/>
                <w:sz w:val="20"/>
                <w:szCs w:val="20"/>
              </w:rPr>
              <w:t>NEW</w:t>
            </w:r>
          </w:p>
        </w:tc>
        <w:tc>
          <w:tcPr>
            <w:tcW w:w="960" w:type="dxa"/>
          </w:tcPr>
          <w:p w14:paraId="2DD1240A" w14:textId="77777777" w:rsidR="00A60785" w:rsidRPr="00AB34C7" w:rsidRDefault="00A60785" w:rsidP="009D0069">
            <w:pPr>
              <w:jc w:val="center"/>
              <w:rPr>
                <w:rFonts w:ascii="Arial Narrow" w:hAnsi="Arial Narrow"/>
                <w:sz w:val="20"/>
                <w:szCs w:val="20"/>
              </w:rPr>
            </w:pPr>
            <w:r w:rsidRPr="00AB34C7">
              <w:rPr>
                <w:rFonts w:ascii="Arial Narrow" w:hAnsi="Arial Narrow"/>
                <w:sz w:val="20"/>
                <w:szCs w:val="20"/>
              </w:rPr>
              <w:t>1</w:t>
            </w:r>
          </w:p>
        </w:tc>
        <w:tc>
          <w:tcPr>
            <w:tcW w:w="1121" w:type="dxa"/>
          </w:tcPr>
          <w:p w14:paraId="4B6064B4" w14:textId="77777777" w:rsidR="00A60785" w:rsidRPr="00AB34C7" w:rsidRDefault="00A60785" w:rsidP="009D0069">
            <w:pPr>
              <w:jc w:val="center"/>
              <w:rPr>
                <w:rFonts w:ascii="Arial Narrow" w:hAnsi="Arial Narrow"/>
                <w:sz w:val="20"/>
                <w:szCs w:val="20"/>
              </w:rPr>
            </w:pPr>
            <w:r w:rsidRPr="00AB34C7">
              <w:rPr>
                <w:rFonts w:ascii="Arial Narrow" w:hAnsi="Arial Narrow"/>
                <w:sz w:val="20"/>
                <w:szCs w:val="20"/>
              </w:rPr>
              <w:t>90</w:t>
            </w:r>
          </w:p>
        </w:tc>
        <w:tc>
          <w:tcPr>
            <w:tcW w:w="709" w:type="dxa"/>
          </w:tcPr>
          <w:p w14:paraId="4C043BC2" w14:textId="77777777" w:rsidR="00A60785" w:rsidRPr="00AB34C7" w:rsidRDefault="00A60785" w:rsidP="009D0069">
            <w:pPr>
              <w:jc w:val="center"/>
              <w:rPr>
                <w:rFonts w:ascii="Arial Narrow" w:hAnsi="Arial Narrow"/>
                <w:sz w:val="20"/>
                <w:szCs w:val="20"/>
              </w:rPr>
            </w:pPr>
            <w:r w:rsidRPr="00AB34C7">
              <w:rPr>
                <w:rFonts w:ascii="Arial Narrow" w:hAnsi="Arial Narrow"/>
                <w:sz w:val="20"/>
                <w:szCs w:val="20"/>
              </w:rPr>
              <w:t>4</w:t>
            </w:r>
          </w:p>
        </w:tc>
        <w:tc>
          <w:tcPr>
            <w:tcW w:w="1842" w:type="dxa"/>
          </w:tcPr>
          <w:p w14:paraId="597570AB" w14:textId="77777777" w:rsidR="00A60785" w:rsidRPr="00AB34C7" w:rsidRDefault="00A60785" w:rsidP="009D0069">
            <w:pPr>
              <w:jc w:val="center"/>
              <w:rPr>
                <w:rFonts w:ascii="Arial Narrow" w:eastAsiaTheme="majorEastAsia" w:hAnsi="Arial Narrow" w:cstheme="majorBidi"/>
                <w:bCs/>
                <w:sz w:val="20"/>
                <w:szCs w:val="20"/>
              </w:rPr>
            </w:pPr>
            <w:r w:rsidRPr="00AB34C7">
              <w:rPr>
                <w:rFonts w:ascii="Arial Narrow" w:eastAsiaTheme="majorEastAsia" w:hAnsi="Arial Narrow"/>
                <w:bCs/>
                <w:sz w:val="20"/>
                <w:szCs w:val="20"/>
              </w:rPr>
              <w:t>Imbruvica</w:t>
            </w:r>
          </w:p>
        </w:tc>
      </w:tr>
      <w:tr w:rsidR="00A60785" w:rsidRPr="00AB34C7" w14:paraId="281C7BCD" w14:textId="77777777" w:rsidTr="009D0069">
        <w:trPr>
          <w:cantSplit/>
          <w:trHeight w:val="62"/>
        </w:trPr>
        <w:tc>
          <w:tcPr>
            <w:tcW w:w="3355" w:type="dxa"/>
            <w:gridSpan w:val="3"/>
          </w:tcPr>
          <w:p w14:paraId="3236EF50" w14:textId="77777777" w:rsidR="00A60785" w:rsidRPr="00AB34C7" w:rsidRDefault="00A60785" w:rsidP="009D0069">
            <w:pPr>
              <w:ind w:left="-57"/>
              <w:rPr>
                <w:rFonts w:ascii="Arial Narrow" w:hAnsi="Arial Narrow" w:cstheme="minorBidi"/>
                <w:sz w:val="20"/>
                <w:szCs w:val="20"/>
              </w:rPr>
            </w:pPr>
            <w:r w:rsidRPr="00AB34C7">
              <w:rPr>
                <w:rFonts w:ascii="Arial Narrow" w:hAnsi="Arial Narrow" w:cstheme="minorBidi"/>
                <w:sz w:val="20"/>
                <w:szCs w:val="20"/>
              </w:rPr>
              <w:t>ibrutinib 280 mg tablet, 30</w:t>
            </w:r>
          </w:p>
        </w:tc>
        <w:tc>
          <w:tcPr>
            <w:tcW w:w="1080" w:type="dxa"/>
          </w:tcPr>
          <w:p w14:paraId="008795FA" w14:textId="77777777" w:rsidR="00A60785" w:rsidRPr="00AB34C7" w:rsidRDefault="00A60785" w:rsidP="009D0069">
            <w:pPr>
              <w:jc w:val="center"/>
              <w:rPr>
                <w:rFonts w:ascii="Arial Narrow" w:hAnsi="Arial Narrow"/>
                <w:sz w:val="20"/>
                <w:szCs w:val="20"/>
              </w:rPr>
            </w:pPr>
            <w:r w:rsidRPr="00AB34C7">
              <w:rPr>
                <w:rFonts w:ascii="Arial Narrow" w:hAnsi="Arial Narrow"/>
                <w:sz w:val="20"/>
                <w:szCs w:val="20"/>
              </w:rPr>
              <w:t>NEW</w:t>
            </w:r>
          </w:p>
        </w:tc>
        <w:tc>
          <w:tcPr>
            <w:tcW w:w="960" w:type="dxa"/>
          </w:tcPr>
          <w:p w14:paraId="6C9136FD" w14:textId="77777777" w:rsidR="00A60785" w:rsidRPr="00AB34C7" w:rsidRDefault="00A60785" w:rsidP="009D0069">
            <w:pPr>
              <w:jc w:val="center"/>
              <w:rPr>
                <w:rFonts w:ascii="Arial Narrow" w:hAnsi="Arial Narrow"/>
                <w:sz w:val="20"/>
                <w:szCs w:val="20"/>
              </w:rPr>
            </w:pPr>
            <w:r w:rsidRPr="00AB34C7">
              <w:rPr>
                <w:rFonts w:ascii="Arial Narrow" w:hAnsi="Arial Narrow"/>
                <w:sz w:val="20"/>
                <w:szCs w:val="20"/>
              </w:rPr>
              <w:t>1</w:t>
            </w:r>
          </w:p>
        </w:tc>
        <w:tc>
          <w:tcPr>
            <w:tcW w:w="1121" w:type="dxa"/>
          </w:tcPr>
          <w:p w14:paraId="19F77755" w14:textId="77777777" w:rsidR="00A60785" w:rsidRPr="00AB34C7" w:rsidRDefault="00A60785" w:rsidP="009D0069">
            <w:pPr>
              <w:jc w:val="center"/>
              <w:rPr>
                <w:rFonts w:ascii="Arial Narrow" w:hAnsi="Arial Narrow"/>
                <w:sz w:val="20"/>
                <w:szCs w:val="20"/>
              </w:rPr>
            </w:pPr>
            <w:r w:rsidRPr="00AB34C7">
              <w:rPr>
                <w:rFonts w:ascii="Arial Narrow" w:hAnsi="Arial Narrow"/>
                <w:sz w:val="20"/>
                <w:szCs w:val="20"/>
              </w:rPr>
              <w:t>30</w:t>
            </w:r>
          </w:p>
        </w:tc>
        <w:tc>
          <w:tcPr>
            <w:tcW w:w="709" w:type="dxa"/>
          </w:tcPr>
          <w:p w14:paraId="45A9BACA" w14:textId="77777777" w:rsidR="00A60785" w:rsidRPr="00AB34C7" w:rsidRDefault="00A60785" w:rsidP="009D0069">
            <w:pPr>
              <w:jc w:val="center"/>
              <w:rPr>
                <w:rFonts w:ascii="Arial Narrow" w:hAnsi="Arial Narrow"/>
                <w:sz w:val="20"/>
                <w:szCs w:val="20"/>
              </w:rPr>
            </w:pPr>
            <w:r w:rsidRPr="00AB34C7">
              <w:rPr>
                <w:rFonts w:ascii="Arial Narrow" w:hAnsi="Arial Narrow"/>
                <w:sz w:val="20"/>
                <w:szCs w:val="20"/>
              </w:rPr>
              <w:t>4</w:t>
            </w:r>
          </w:p>
        </w:tc>
        <w:tc>
          <w:tcPr>
            <w:tcW w:w="1842" w:type="dxa"/>
          </w:tcPr>
          <w:p w14:paraId="1B6FB918" w14:textId="77777777" w:rsidR="00A60785" w:rsidRPr="00AB34C7" w:rsidRDefault="00A60785" w:rsidP="009D0069">
            <w:pPr>
              <w:jc w:val="center"/>
              <w:rPr>
                <w:rFonts w:ascii="Arial Narrow" w:eastAsiaTheme="majorEastAsia" w:hAnsi="Arial Narrow"/>
                <w:bCs/>
                <w:sz w:val="20"/>
                <w:szCs w:val="20"/>
              </w:rPr>
            </w:pPr>
            <w:r w:rsidRPr="00AB34C7">
              <w:rPr>
                <w:rFonts w:ascii="Arial Narrow" w:eastAsiaTheme="majorEastAsia" w:hAnsi="Arial Narrow"/>
                <w:bCs/>
                <w:sz w:val="20"/>
                <w:szCs w:val="20"/>
              </w:rPr>
              <w:t>Imbruvica</w:t>
            </w:r>
          </w:p>
        </w:tc>
      </w:tr>
      <w:tr w:rsidR="00A60785" w:rsidRPr="00AB34C7" w14:paraId="6EBC920B" w14:textId="77777777" w:rsidTr="009D0069">
        <w:trPr>
          <w:cantSplit/>
          <w:trHeight w:val="60"/>
        </w:trPr>
        <w:tc>
          <w:tcPr>
            <w:tcW w:w="3355" w:type="dxa"/>
            <w:gridSpan w:val="3"/>
          </w:tcPr>
          <w:p w14:paraId="67C63625" w14:textId="77777777" w:rsidR="00A60785" w:rsidRPr="00AB34C7" w:rsidRDefault="00A60785" w:rsidP="009D0069">
            <w:pPr>
              <w:ind w:left="-57"/>
              <w:rPr>
                <w:rFonts w:ascii="Arial Narrow" w:hAnsi="Arial Narrow" w:cstheme="minorBidi"/>
                <w:sz w:val="20"/>
                <w:szCs w:val="20"/>
              </w:rPr>
            </w:pPr>
            <w:r w:rsidRPr="00AB34C7">
              <w:rPr>
                <w:rFonts w:ascii="Arial Narrow" w:hAnsi="Arial Narrow" w:cstheme="minorBidi"/>
                <w:sz w:val="20"/>
                <w:szCs w:val="20"/>
              </w:rPr>
              <w:t>ibrutinib 420 mg tablet, 30</w:t>
            </w:r>
          </w:p>
        </w:tc>
        <w:tc>
          <w:tcPr>
            <w:tcW w:w="1080" w:type="dxa"/>
          </w:tcPr>
          <w:p w14:paraId="3A181F01" w14:textId="77777777" w:rsidR="00A60785" w:rsidRPr="00AB34C7" w:rsidRDefault="00A60785" w:rsidP="009D0069">
            <w:pPr>
              <w:jc w:val="center"/>
              <w:rPr>
                <w:rFonts w:ascii="Arial Narrow" w:hAnsi="Arial Narrow"/>
                <w:sz w:val="20"/>
                <w:szCs w:val="20"/>
              </w:rPr>
            </w:pPr>
            <w:r w:rsidRPr="00AB34C7">
              <w:rPr>
                <w:rFonts w:ascii="Arial Narrow" w:hAnsi="Arial Narrow"/>
                <w:sz w:val="20"/>
                <w:szCs w:val="20"/>
              </w:rPr>
              <w:t>NEW</w:t>
            </w:r>
          </w:p>
        </w:tc>
        <w:tc>
          <w:tcPr>
            <w:tcW w:w="960" w:type="dxa"/>
          </w:tcPr>
          <w:p w14:paraId="4A6A42FA" w14:textId="77777777" w:rsidR="00A60785" w:rsidRPr="00AB34C7" w:rsidRDefault="00A60785" w:rsidP="009D0069">
            <w:pPr>
              <w:jc w:val="center"/>
              <w:rPr>
                <w:rFonts w:ascii="Arial Narrow" w:hAnsi="Arial Narrow"/>
                <w:sz w:val="20"/>
                <w:szCs w:val="20"/>
              </w:rPr>
            </w:pPr>
            <w:r w:rsidRPr="00AB34C7">
              <w:rPr>
                <w:rFonts w:ascii="Arial Narrow" w:hAnsi="Arial Narrow"/>
                <w:sz w:val="20"/>
                <w:szCs w:val="20"/>
              </w:rPr>
              <w:t>1</w:t>
            </w:r>
          </w:p>
        </w:tc>
        <w:tc>
          <w:tcPr>
            <w:tcW w:w="1121" w:type="dxa"/>
          </w:tcPr>
          <w:p w14:paraId="699853F3" w14:textId="77777777" w:rsidR="00A60785" w:rsidRPr="00AB34C7" w:rsidRDefault="00A60785" w:rsidP="009D0069">
            <w:pPr>
              <w:jc w:val="center"/>
              <w:rPr>
                <w:rFonts w:ascii="Arial Narrow" w:hAnsi="Arial Narrow"/>
                <w:sz w:val="20"/>
                <w:szCs w:val="20"/>
              </w:rPr>
            </w:pPr>
            <w:r w:rsidRPr="00AB34C7">
              <w:rPr>
                <w:rFonts w:ascii="Arial Narrow" w:hAnsi="Arial Narrow"/>
                <w:sz w:val="20"/>
                <w:szCs w:val="20"/>
              </w:rPr>
              <w:t>30</w:t>
            </w:r>
          </w:p>
        </w:tc>
        <w:tc>
          <w:tcPr>
            <w:tcW w:w="709" w:type="dxa"/>
          </w:tcPr>
          <w:p w14:paraId="13D97708" w14:textId="77777777" w:rsidR="00A60785" w:rsidRPr="00AB34C7" w:rsidRDefault="00A60785" w:rsidP="009D0069">
            <w:pPr>
              <w:jc w:val="center"/>
              <w:rPr>
                <w:rFonts w:ascii="Arial Narrow" w:hAnsi="Arial Narrow"/>
                <w:sz w:val="20"/>
                <w:szCs w:val="20"/>
              </w:rPr>
            </w:pPr>
            <w:r w:rsidRPr="00AB34C7">
              <w:rPr>
                <w:rFonts w:ascii="Arial Narrow" w:hAnsi="Arial Narrow"/>
                <w:sz w:val="20"/>
                <w:szCs w:val="20"/>
              </w:rPr>
              <w:t>4</w:t>
            </w:r>
          </w:p>
        </w:tc>
        <w:tc>
          <w:tcPr>
            <w:tcW w:w="1842" w:type="dxa"/>
          </w:tcPr>
          <w:p w14:paraId="18B83B03" w14:textId="77777777" w:rsidR="00A60785" w:rsidRPr="00AB34C7" w:rsidRDefault="00A60785" w:rsidP="009D0069">
            <w:pPr>
              <w:jc w:val="center"/>
              <w:rPr>
                <w:rFonts w:ascii="Arial Narrow" w:eastAsiaTheme="majorEastAsia" w:hAnsi="Arial Narrow"/>
                <w:bCs/>
                <w:sz w:val="20"/>
                <w:szCs w:val="20"/>
              </w:rPr>
            </w:pPr>
            <w:r w:rsidRPr="00AB34C7">
              <w:rPr>
                <w:rFonts w:ascii="Arial Narrow" w:eastAsiaTheme="majorEastAsia" w:hAnsi="Arial Narrow"/>
                <w:bCs/>
                <w:sz w:val="20"/>
                <w:szCs w:val="20"/>
              </w:rPr>
              <w:t>Imbruvica</w:t>
            </w:r>
          </w:p>
        </w:tc>
      </w:tr>
      <w:tr w:rsidR="00A60785" w:rsidRPr="00AB34C7" w14:paraId="2F9397F0" w14:textId="77777777" w:rsidTr="009D0069">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533B936D" w14:textId="77777777" w:rsidR="00A60785" w:rsidRPr="00AB34C7" w:rsidRDefault="00A60785" w:rsidP="009D0069">
            <w:pPr>
              <w:rPr>
                <w:rFonts w:ascii="Arial Narrow" w:hAnsi="Arial Narrow"/>
                <w:sz w:val="20"/>
                <w:szCs w:val="20"/>
              </w:rPr>
            </w:pPr>
          </w:p>
        </w:tc>
      </w:tr>
      <w:tr w:rsidR="00A60785" w:rsidRPr="00AB34C7" w14:paraId="31D6A0A0" w14:textId="77777777" w:rsidTr="009D0069">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4C3895C6" w14:textId="77777777" w:rsidR="00A60785" w:rsidRPr="00AB34C7" w:rsidRDefault="00A60785" w:rsidP="009D0069">
            <w:pPr>
              <w:rPr>
                <w:rFonts w:ascii="Arial Narrow" w:hAnsi="Arial Narrow"/>
                <w:b/>
                <w:sz w:val="20"/>
                <w:szCs w:val="20"/>
              </w:rPr>
            </w:pPr>
            <w:r w:rsidRPr="00AB34C7">
              <w:rPr>
                <w:rFonts w:ascii="Arial Narrow" w:hAnsi="Arial Narrow"/>
                <w:b/>
                <w:sz w:val="20"/>
                <w:szCs w:val="20"/>
              </w:rPr>
              <w:t xml:space="preserve">Restriction Summary [new] / Treatment of Concept: [new] </w:t>
            </w:r>
          </w:p>
        </w:tc>
      </w:tr>
      <w:tr w:rsidR="00A60785" w:rsidRPr="00AB34C7" w14:paraId="4146BC46" w14:textId="77777777" w:rsidTr="009D0069">
        <w:tblPrEx>
          <w:tblCellMar>
            <w:top w:w="15" w:type="dxa"/>
            <w:left w:w="15" w:type="dxa"/>
            <w:bottom w:w="15" w:type="dxa"/>
            <w:right w:w="15" w:type="dxa"/>
          </w:tblCellMar>
          <w:tblLook w:val="04A0" w:firstRow="1" w:lastRow="0" w:firstColumn="1" w:lastColumn="0" w:noHBand="0" w:noVBand="1"/>
        </w:tblPrEx>
        <w:tc>
          <w:tcPr>
            <w:tcW w:w="988" w:type="dxa"/>
            <w:gridSpan w:val="2"/>
            <w:vMerge w:val="restart"/>
            <w:tcBorders>
              <w:top w:val="single" w:sz="4" w:space="0" w:color="auto"/>
              <w:left w:val="single" w:sz="4" w:space="0" w:color="auto"/>
              <w:right w:val="single" w:sz="4" w:space="0" w:color="auto"/>
            </w:tcBorders>
          </w:tcPr>
          <w:p w14:paraId="63EA0383" w14:textId="4E36F32B" w:rsidR="00A60785" w:rsidRPr="00AB34C7" w:rsidRDefault="00A60785" w:rsidP="009D0069">
            <w:pPr>
              <w:jc w:val="center"/>
              <w:rPr>
                <w:rFonts w:ascii="Arial Narrow" w:hAnsi="Arial Narrow"/>
                <w:b/>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2395B4D3" w14:textId="77777777" w:rsidR="00A60785" w:rsidRPr="00AB34C7" w:rsidRDefault="00A60785" w:rsidP="009D0069">
            <w:pPr>
              <w:rPr>
                <w:rFonts w:ascii="Arial Narrow" w:hAnsi="Arial Narrow"/>
                <w:sz w:val="20"/>
                <w:szCs w:val="20"/>
              </w:rPr>
            </w:pPr>
            <w:r w:rsidRPr="00AB34C7">
              <w:rPr>
                <w:rFonts w:ascii="Arial Narrow" w:hAnsi="Arial Narrow"/>
                <w:b/>
                <w:sz w:val="20"/>
                <w:szCs w:val="20"/>
              </w:rPr>
              <w:t xml:space="preserve">Category / Program: </w:t>
            </w:r>
            <w:r w:rsidRPr="00AB34C7">
              <w:rPr>
                <w:rFonts w:ascii="Arial Narrow" w:hAnsi="Arial Narrow"/>
                <w:sz w:val="20"/>
                <w:szCs w:val="20"/>
              </w:rPr>
              <w:t xml:space="preserve">GENERAL – General Schedule (Code GE) </w:t>
            </w:r>
          </w:p>
        </w:tc>
      </w:tr>
      <w:tr w:rsidR="00A60785" w:rsidRPr="00AB34C7" w14:paraId="127D42E0" w14:textId="77777777" w:rsidTr="009D0069">
        <w:tblPrEx>
          <w:tblCellMar>
            <w:top w:w="15" w:type="dxa"/>
            <w:left w:w="15" w:type="dxa"/>
            <w:bottom w:w="15" w:type="dxa"/>
            <w:right w:w="15" w:type="dxa"/>
          </w:tblCellMar>
          <w:tblLook w:val="04A0" w:firstRow="1" w:lastRow="0" w:firstColumn="1" w:lastColumn="0" w:noHBand="0" w:noVBand="1"/>
        </w:tblPrEx>
        <w:trPr>
          <w:trHeight w:val="240"/>
        </w:trPr>
        <w:tc>
          <w:tcPr>
            <w:tcW w:w="988" w:type="dxa"/>
            <w:gridSpan w:val="2"/>
            <w:vMerge/>
            <w:tcBorders>
              <w:left w:val="single" w:sz="4" w:space="0" w:color="auto"/>
              <w:right w:val="single" w:sz="4" w:space="0" w:color="auto"/>
            </w:tcBorders>
          </w:tcPr>
          <w:p w14:paraId="51B1970E" w14:textId="77777777" w:rsidR="00A60785" w:rsidRPr="00AB34C7" w:rsidRDefault="00A60785" w:rsidP="009D0069">
            <w:pP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24FCD4D2" w14:textId="77777777" w:rsidR="00A60785" w:rsidRPr="00AB34C7" w:rsidRDefault="00A60785" w:rsidP="009D0069">
            <w:pPr>
              <w:rPr>
                <w:rFonts w:ascii="Arial Narrow" w:hAnsi="Arial Narrow"/>
                <w:b/>
                <w:sz w:val="20"/>
                <w:szCs w:val="20"/>
              </w:rPr>
            </w:pPr>
            <w:r w:rsidRPr="00AB34C7">
              <w:rPr>
                <w:rFonts w:ascii="Arial Narrow" w:hAnsi="Arial Narrow"/>
                <w:b/>
                <w:sz w:val="20"/>
                <w:szCs w:val="20"/>
              </w:rPr>
              <w:t xml:space="preserve">Prescriber type: </w:t>
            </w:r>
            <w:r w:rsidRPr="00AB34C7">
              <w:rPr>
                <w:rFonts w:ascii="Arial Narrow" w:hAnsi="Arial Narrow"/>
                <w:sz w:val="20"/>
                <w:szCs w:val="20"/>
              </w:rPr>
              <w:fldChar w:fldCharType="begin" w:fldLock="1">
                <w:ffData>
                  <w:name w:val=""/>
                  <w:enabled/>
                  <w:calcOnExit w:val="0"/>
                  <w:checkBox>
                    <w:sizeAuto/>
                    <w:default w:val="1"/>
                  </w:checkBox>
                </w:ffData>
              </w:fldChar>
            </w:r>
            <w:r w:rsidRPr="00AB34C7">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AB34C7">
              <w:rPr>
                <w:rFonts w:ascii="Arial Narrow" w:hAnsi="Arial Narrow"/>
                <w:sz w:val="20"/>
                <w:szCs w:val="20"/>
              </w:rPr>
              <w:fldChar w:fldCharType="end"/>
            </w:r>
            <w:r w:rsidRPr="00AB34C7">
              <w:rPr>
                <w:rFonts w:ascii="Arial Narrow" w:hAnsi="Arial Narrow"/>
                <w:sz w:val="20"/>
                <w:szCs w:val="20"/>
              </w:rPr>
              <w:t>Medical Practitioners</w:t>
            </w:r>
          </w:p>
        </w:tc>
      </w:tr>
      <w:tr w:rsidR="00A60785" w:rsidRPr="00AB34C7" w14:paraId="57802E22" w14:textId="77777777" w:rsidTr="009D0069">
        <w:tblPrEx>
          <w:tblCellMar>
            <w:top w:w="15" w:type="dxa"/>
            <w:left w:w="15" w:type="dxa"/>
            <w:bottom w:w="15" w:type="dxa"/>
            <w:right w:w="15" w:type="dxa"/>
          </w:tblCellMar>
          <w:tblLook w:val="04A0" w:firstRow="1" w:lastRow="0" w:firstColumn="1" w:lastColumn="0" w:noHBand="0" w:noVBand="1"/>
        </w:tblPrEx>
        <w:tc>
          <w:tcPr>
            <w:tcW w:w="988" w:type="dxa"/>
            <w:gridSpan w:val="2"/>
            <w:vMerge/>
            <w:tcBorders>
              <w:left w:val="single" w:sz="4" w:space="0" w:color="auto"/>
              <w:bottom w:val="single" w:sz="4" w:space="0" w:color="auto"/>
              <w:right w:val="single" w:sz="4" w:space="0" w:color="auto"/>
            </w:tcBorders>
          </w:tcPr>
          <w:p w14:paraId="6A7B42E5" w14:textId="77777777" w:rsidR="00A60785" w:rsidRPr="00AB34C7" w:rsidRDefault="00A60785" w:rsidP="009D0069">
            <w:pP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15C23BE3" w14:textId="77777777" w:rsidR="00A60785" w:rsidRPr="00AB34C7" w:rsidRDefault="00A60785" w:rsidP="009D0069">
            <w:pPr>
              <w:rPr>
                <w:rFonts w:ascii="Arial Narrow" w:eastAsia="Calibri" w:hAnsi="Arial Narrow"/>
                <w:sz w:val="20"/>
                <w:szCs w:val="20"/>
              </w:rPr>
            </w:pPr>
            <w:r w:rsidRPr="00AB34C7">
              <w:rPr>
                <w:rFonts w:ascii="Arial Narrow" w:hAnsi="Arial Narrow"/>
                <w:b/>
                <w:sz w:val="20"/>
                <w:szCs w:val="20"/>
              </w:rPr>
              <w:t xml:space="preserve">Restriction type: </w:t>
            </w:r>
            <w:r w:rsidRPr="00AB34C7">
              <w:rPr>
                <w:rFonts w:ascii="Arial Narrow" w:eastAsia="Calibri" w:hAnsi="Arial Narrow"/>
                <w:sz w:val="20"/>
                <w:szCs w:val="20"/>
              </w:rPr>
              <w:fldChar w:fldCharType="begin" w:fldLock="1">
                <w:ffData>
                  <w:name w:val="Check3"/>
                  <w:enabled/>
                  <w:calcOnExit w:val="0"/>
                  <w:checkBox>
                    <w:sizeAuto/>
                    <w:default w:val="1"/>
                  </w:checkBox>
                </w:ffData>
              </w:fldChar>
            </w:r>
            <w:r w:rsidRPr="00AB34C7">
              <w:rPr>
                <w:rFonts w:ascii="Arial Narrow" w:eastAsia="Calibri" w:hAnsi="Arial Narrow"/>
                <w:sz w:val="20"/>
                <w:szCs w:val="20"/>
              </w:rPr>
              <w:instrText xml:space="preserve"> FORMCHECKBOX </w:instrText>
            </w:r>
            <w:r w:rsidR="00000000">
              <w:rPr>
                <w:rFonts w:ascii="Arial Narrow" w:eastAsia="Calibri" w:hAnsi="Arial Narrow"/>
                <w:sz w:val="20"/>
                <w:szCs w:val="20"/>
              </w:rPr>
            </w:r>
            <w:r w:rsidR="00000000">
              <w:rPr>
                <w:rFonts w:ascii="Arial Narrow" w:eastAsia="Calibri" w:hAnsi="Arial Narrow"/>
                <w:sz w:val="20"/>
                <w:szCs w:val="20"/>
              </w:rPr>
              <w:fldChar w:fldCharType="separate"/>
            </w:r>
            <w:r w:rsidRPr="00AB34C7">
              <w:rPr>
                <w:rFonts w:ascii="Arial Narrow" w:eastAsia="Calibri" w:hAnsi="Arial Narrow"/>
                <w:sz w:val="20"/>
                <w:szCs w:val="20"/>
              </w:rPr>
              <w:fldChar w:fldCharType="end"/>
            </w:r>
            <w:r w:rsidRPr="00AB34C7">
              <w:rPr>
                <w:sz w:val="20"/>
                <w:szCs w:val="20"/>
              </w:rPr>
              <w:t xml:space="preserve"> </w:t>
            </w:r>
            <w:r w:rsidRPr="00AB34C7">
              <w:rPr>
                <w:rFonts w:ascii="Arial Narrow" w:eastAsia="Calibri" w:hAnsi="Arial Narrow"/>
                <w:sz w:val="20"/>
                <w:szCs w:val="20"/>
              </w:rPr>
              <w:t>Authority Required (telephone/electronic via PBS Authorities system)</w:t>
            </w:r>
            <w:r w:rsidRPr="00AB34C7">
              <w:rPr>
                <w:rFonts w:ascii="Arial Narrow" w:eastAsia="Arial Narrow" w:hAnsi="Arial Narrow" w:cs="Arial Narrow"/>
                <w:strike/>
                <w:sz w:val="20"/>
                <w:szCs w:val="20"/>
              </w:rPr>
              <w:t xml:space="preserve"> </w:t>
            </w:r>
          </w:p>
        </w:tc>
      </w:tr>
      <w:tr w:rsidR="00A60785" w:rsidRPr="00AB34C7" w14:paraId="4B5B59D9" w14:textId="77777777" w:rsidTr="009D0069">
        <w:tblPrEx>
          <w:tblCellMar>
            <w:top w:w="15" w:type="dxa"/>
            <w:left w:w="15" w:type="dxa"/>
            <w:bottom w:w="15" w:type="dxa"/>
            <w:right w:w="15" w:type="dxa"/>
          </w:tblCellMar>
          <w:tblLook w:val="04A0" w:firstRow="1" w:lastRow="0" w:firstColumn="1" w:lastColumn="0" w:noHBand="0" w:noVBand="1"/>
        </w:tblPrEx>
        <w:tc>
          <w:tcPr>
            <w:tcW w:w="988" w:type="dxa"/>
            <w:gridSpan w:val="2"/>
            <w:tcBorders>
              <w:left w:val="single" w:sz="4" w:space="0" w:color="auto"/>
              <w:bottom w:val="single" w:sz="4" w:space="0" w:color="auto"/>
              <w:right w:val="single" w:sz="4" w:space="0" w:color="auto"/>
            </w:tcBorders>
          </w:tcPr>
          <w:p w14:paraId="6B76B0CE" w14:textId="77777777" w:rsidR="00A60785" w:rsidRPr="00AB34C7" w:rsidRDefault="00A60785" w:rsidP="009D0069">
            <w:pP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4369C29A" w14:textId="77777777" w:rsidR="00A60785" w:rsidRPr="00AB34C7" w:rsidRDefault="00A60785" w:rsidP="009D0069">
            <w:pPr>
              <w:rPr>
                <w:rFonts w:ascii="Arial Narrow" w:hAnsi="Arial Narrow"/>
                <w:b/>
                <w:sz w:val="20"/>
                <w:szCs w:val="20"/>
              </w:rPr>
            </w:pPr>
          </w:p>
        </w:tc>
      </w:tr>
      <w:tr w:rsidR="00A60785" w:rsidRPr="00AB34C7" w14:paraId="51796E29" w14:textId="77777777" w:rsidTr="009D0069">
        <w:tblPrEx>
          <w:tblCellMar>
            <w:top w:w="15" w:type="dxa"/>
            <w:left w:w="15" w:type="dxa"/>
            <w:bottom w:w="15" w:type="dxa"/>
            <w:right w:w="15" w:type="dxa"/>
          </w:tblCellMar>
          <w:tblLook w:val="04A0" w:firstRow="1" w:lastRow="0" w:firstColumn="1" w:lastColumn="0" w:noHBand="0" w:noVBand="1"/>
        </w:tblPrEx>
        <w:tc>
          <w:tcPr>
            <w:tcW w:w="411" w:type="dxa"/>
            <w:vMerge w:val="restart"/>
            <w:tcBorders>
              <w:left w:val="single" w:sz="4" w:space="0" w:color="auto"/>
              <w:right w:val="single" w:sz="4" w:space="0" w:color="auto"/>
            </w:tcBorders>
            <w:textDirection w:val="btLr"/>
          </w:tcPr>
          <w:p w14:paraId="0A92B3C0" w14:textId="2D1B9682" w:rsidR="00A60785" w:rsidRPr="00AB34C7" w:rsidRDefault="00A60785" w:rsidP="009D0069">
            <w:pPr>
              <w:ind w:left="113" w:right="113"/>
              <w:jc w:val="center"/>
              <w:rPr>
                <w:rFonts w:ascii="Arial Narrow" w:hAnsi="Arial Narrow"/>
                <w:sz w:val="20"/>
                <w:szCs w:val="20"/>
              </w:rPr>
            </w:pPr>
          </w:p>
        </w:tc>
        <w:tc>
          <w:tcPr>
            <w:tcW w:w="577" w:type="dxa"/>
          </w:tcPr>
          <w:p w14:paraId="39067F07" w14:textId="1669C38F" w:rsidR="00A60785" w:rsidRPr="00AB34C7" w:rsidRDefault="00A60785" w:rsidP="009D0069">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14:paraId="494404D0" w14:textId="77777777" w:rsidR="00A60785" w:rsidRPr="00AB34C7" w:rsidRDefault="00A60785" w:rsidP="009D0069">
            <w:pPr>
              <w:rPr>
                <w:rFonts w:ascii="Arial Narrow" w:hAnsi="Arial Narrow"/>
                <w:sz w:val="20"/>
                <w:szCs w:val="20"/>
              </w:rPr>
            </w:pPr>
            <w:r w:rsidRPr="00AB34C7">
              <w:rPr>
                <w:rFonts w:ascii="Arial Narrow" w:eastAsia="Arial Narrow" w:hAnsi="Arial Narrow" w:cs="Arial Narrow"/>
                <w:b/>
                <w:color w:val="333333"/>
                <w:sz w:val="20"/>
                <w:szCs w:val="20"/>
              </w:rPr>
              <w:t xml:space="preserve">Administrative Advice: </w:t>
            </w:r>
            <w:r w:rsidRPr="00AB34C7">
              <w:rPr>
                <w:rFonts w:ascii="Arial Narrow" w:eastAsia="Arial Narrow" w:hAnsi="Arial Narrow" w:cs="Arial Narrow"/>
                <w:color w:val="333333"/>
                <w:sz w:val="20"/>
                <w:szCs w:val="20"/>
              </w:rPr>
              <w:t>No increase in the maximum quantity or number of units may be authorised.</w:t>
            </w:r>
          </w:p>
        </w:tc>
      </w:tr>
      <w:tr w:rsidR="00A60785" w:rsidRPr="00AB34C7" w14:paraId="2A7AAB97" w14:textId="77777777" w:rsidTr="009D0069">
        <w:tblPrEx>
          <w:tblCellMar>
            <w:top w:w="15" w:type="dxa"/>
            <w:left w:w="15" w:type="dxa"/>
            <w:bottom w:w="15" w:type="dxa"/>
            <w:right w:w="15" w:type="dxa"/>
          </w:tblCellMar>
          <w:tblLook w:val="04A0" w:firstRow="1" w:lastRow="0" w:firstColumn="1" w:lastColumn="0" w:noHBand="0" w:noVBand="1"/>
        </w:tblPrEx>
        <w:tc>
          <w:tcPr>
            <w:tcW w:w="411" w:type="dxa"/>
            <w:vMerge/>
            <w:tcBorders>
              <w:left w:val="single" w:sz="4" w:space="0" w:color="auto"/>
              <w:right w:val="single" w:sz="4" w:space="0" w:color="auto"/>
            </w:tcBorders>
            <w:textDirection w:val="btLr"/>
          </w:tcPr>
          <w:p w14:paraId="3A84097D" w14:textId="77777777" w:rsidR="00A60785" w:rsidRPr="00AB34C7" w:rsidRDefault="00A60785" w:rsidP="009D0069">
            <w:pPr>
              <w:ind w:left="113" w:right="113"/>
              <w:jc w:val="center"/>
              <w:rPr>
                <w:rFonts w:ascii="Arial Narrow" w:hAnsi="Arial Narrow"/>
                <w:sz w:val="20"/>
                <w:szCs w:val="20"/>
              </w:rPr>
            </w:pPr>
          </w:p>
        </w:tc>
        <w:tc>
          <w:tcPr>
            <w:tcW w:w="577" w:type="dxa"/>
          </w:tcPr>
          <w:p w14:paraId="766CDE24" w14:textId="727FFF9E" w:rsidR="00A60785" w:rsidRPr="00AB34C7" w:rsidRDefault="00A60785" w:rsidP="009D0069">
            <w:pPr>
              <w:jc w:val="center"/>
              <w:rPr>
                <w:rFonts w:ascii="Arial Narrow" w:hAnsi="Arial Narrow"/>
                <w:sz w:val="20"/>
                <w:szCs w:val="20"/>
              </w:rPr>
            </w:pPr>
          </w:p>
        </w:tc>
        <w:tc>
          <w:tcPr>
            <w:tcW w:w="8079" w:type="dxa"/>
            <w:gridSpan w:val="6"/>
          </w:tcPr>
          <w:p w14:paraId="49931432" w14:textId="77777777" w:rsidR="00A60785" w:rsidRPr="00AB34C7" w:rsidRDefault="00A60785" w:rsidP="009D0069">
            <w:pPr>
              <w:rPr>
                <w:rFonts w:ascii="Arial Narrow" w:hAnsi="Arial Narrow"/>
                <w:sz w:val="20"/>
                <w:szCs w:val="20"/>
              </w:rPr>
            </w:pPr>
            <w:r w:rsidRPr="00AB34C7">
              <w:rPr>
                <w:rFonts w:ascii="Arial Narrow" w:hAnsi="Arial Narrow"/>
                <w:b/>
                <w:bCs/>
                <w:sz w:val="20"/>
                <w:szCs w:val="20"/>
              </w:rPr>
              <w:t xml:space="preserve">Administrative Advice: </w:t>
            </w:r>
            <w:r w:rsidRPr="00AB34C7">
              <w:rPr>
                <w:rFonts w:ascii="Arial Narrow" w:hAnsi="Arial Narrow"/>
                <w:bCs/>
                <w:sz w:val="20"/>
                <w:szCs w:val="20"/>
              </w:rPr>
              <w:t>No increase in the maximum number of repeats may be authorised.</w:t>
            </w:r>
          </w:p>
        </w:tc>
      </w:tr>
      <w:tr w:rsidR="00A60785" w:rsidRPr="00AB34C7" w14:paraId="1E810F45" w14:textId="77777777" w:rsidTr="009D0069">
        <w:tblPrEx>
          <w:tblCellMar>
            <w:top w:w="15" w:type="dxa"/>
            <w:left w:w="15" w:type="dxa"/>
            <w:bottom w:w="15" w:type="dxa"/>
            <w:right w:w="15" w:type="dxa"/>
          </w:tblCellMar>
          <w:tblLook w:val="04A0" w:firstRow="1" w:lastRow="0" w:firstColumn="1" w:lastColumn="0" w:noHBand="0" w:noVBand="1"/>
        </w:tblPrEx>
        <w:tc>
          <w:tcPr>
            <w:tcW w:w="411" w:type="dxa"/>
            <w:vMerge/>
            <w:tcBorders>
              <w:left w:val="single" w:sz="4" w:space="0" w:color="auto"/>
              <w:right w:val="single" w:sz="4" w:space="0" w:color="auto"/>
            </w:tcBorders>
          </w:tcPr>
          <w:p w14:paraId="3F158923" w14:textId="77777777" w:rsidR="00A60785" w:rsidRPr="00AB34C7" w:rsidRDefault="00A60785" w:rsidP="009D0069">
            <w:pPr>
              <w:rPr>
                <w:rFonts w:ascii="Arial Narrow" w:hAnsi="Arial Narrow"/>
                <w:sz w:val="20"/>
                <w:szCs w:val="20"/>
              </w:rPr>
            </w:pPr>
          </w:p>
        </w:tc>
        <w:tc>
          <w:tcPr>
            <w:tcW w:w="577" w:type="dxa"/>
          </w:tcPr>
          <w:p w14:paraId="383ACFEB" w14:textId="337E32DB" w:rsidR="00A60785" w:rsidRPr="00AB34C7" w:rsidRDefault="00A60785" w:rsidP="009D0069">
            <w:pPr>
              <w:jc w:val="center"/>
              <w:rPr>
                <w:rFonts w:ascii="Arial Narrow" w:hAnsi="Arial Narrow"/>
                <w:sz w:val="20"/>
                <w:szCs w:val="20"/>
              </w:rPr>
            </w:pPr>
          </w:p>
        </w:tc>
        <w:tc>
          <w:tcPr>
            <w:tcW w:w="8079" w:type="dxa"/>
            <w:gridSpan w:val="6"/>
          </w:tcPr>
          <w:p w14:paraId="434739CC" w14:textId="77777777" w:rsidR="00A60785" w:rsidRPr="00AB34C7" w:rsidRDefault="00A60785" w:rsidP="009D0069">
            <w:pPr>
              <w:rPr>
                <w:rFonts w:ascii="Arial Narrow" w:hAnsi="Arial Narrow"/>
                <w:b/>
                <w:bCs/>
                <w:sz w:val="20"/>
                <w:szCs w:val="20"/>
              </w:rPr>
            </w:pPr>
            <w:r w:rsidRPr="00AB34C7">
              <w:rPr>
                <w:rFonts w:ascii="Arial Narrow" w:hAnsi="Arial Narrow"/>
                <w:b/>
                <w:bCs/>
                <w:sz w:val="20"/>
                <w:szCs w:val="20"/>
              </w:rPr>
              <w:t xml:space="preserve">Administrative Advice: </w:t>
            </w:r>
            <w:r w:rsidRPr="00AB34C7">
              <w:rPr>
                <w:rFonts w:ascii="Arial Narrow" w:hAnsi="Arial Narrow"/>
                <w:bCs/>
                <w:sz w:val="20"/>
                <w:szCs w:val="20"/>
              </w:rPr>
              <w:t>Special Pricing Arrangements apply.</w:t>
            </w:r>
          </w:p>
        </w:tc>
      </w:tr>
      <w:tr w:rsidR="00A60785" w:rsidRPr="00AB34C7" w14:paraId="3F9B6F00" w14:textId="77777777" w:rsidTr="009D0069">
        <w:tblPrEx>
          <w:tblCellMar>
            <w:top w:w="15" w:type="dxa"/>
            <w:left w:w="15" w:type="dxa"/>
            <w:bottom w:w="15" w:type="dxa"/>
            <w:right w:w="15" w:type="dxa"/>
          </w:tblCellMar>
          <w:tblLook w:val="04A0" w:firstRow="1" w:lastRow="0" w:firstColumn="1" w:lastColumn="0" w:noHBand="0" w:noVBand="1"/>
        </w:tblPrEx>
        <w:tc>
          <w:tcPr>
            <w:tcW w:w="411" w:type="dxa"/>
            <w:vMerge/>
            <w:tcBorders>
              <w:left w:val="single" w:sz="4" w:space="0" w:color="auto"/>
              <w:right w:val="single" w:sz="4" w:space="0" w:color="auto"/>
            </w:tcBorders>
          </w:tcPr>
          <w:p w14:paraId="58337A78" w14:textId="77777777" w:rsidR="00A60785" w:rsidRPr="00AB34C7" w:rsidRDefault="00A60785" w:rsidP="009D0069">
            <w:pPr>
              <w:rPr>
                <w:rFonts w:ascii="Arial Narrow" w:hAnsi="Arial Narrow"/>
                <w:sz w:val="20"/>
                <w:szCs w:val="20"/>
              </w:rPr>
            </w:pPr>
          </w:p>
        </w:tc>
        <w:tc>
          <w:tcPr>
            <w:tcW w:w="577" w:type="dxa"/>
          </w:tcPr>
          <w:p w14:paraId="49EE3478" w14:textId="0B71C91D" w:rsidR="00A60785" w:rsidRPr="00AB34C7" w:rsidRDefault="00A60785" w:rsidP="009D0069">
            <w:pPr>
              <w:jc w:val="center"/>
              <w:rPr>
                <w:rFonts w:ascii="Arial Narrow" w:hAnsi="Arial Narrow"/>
                <w:bCs/>
                <w:sz w:val="20"/>
                <w:szCs w:val="20"/>
              </w:rPr>
            </w:pPr>
          </w:p>
        </w:tc>
        <w:tc>
          <w:tcPr>
            <w:tcW w:w="8079" w:type="dxa"/>
            <w:gridSpan w:val="6"/>
          </w:tcPr>
          <w:p w14:paraId="525FC87E" w14:textId="77777777" w:rsidR="00A60785" w:rsidRPr="00AB34C7" w:rsidRDefault="00A60785" w:rsidP="009D0069">
            <w:pPr>
              <w:rPr>
                <w:rFonts w:ascii="Arial Narrow" w:hAnsi="Arial Narrow"/>
                <w:b/>
                <w:bCs/>
                <w:sz w:val="20"/>
                <w:szCs w:val="20"/>
              </w:rPr>
            </w:pPr>
            <w:r w:rsidRPr="00AB34C7">
              <w:rPr>
                <w:rFonts w:ascii="Arial Narrow" w:hAnsi="Arial Narrow"/>
                <w:b/>
                <w:bCs/>
                <w:sz w:val="20"/>
                <w:szCs w:val="20"/>
              </w:rPr>
              <w:t>Administrative Advice:</w:t>
            </w:r>
            <w:r w:rsidRPr="00AB34C7">
              <w:rPr>
                <w:rFonts w:ascii="Arial Narrow" w:hAnsi="Arial Narrow" w:cs="Calibri"/>
                <w:color w:val="333333"/>
                <w:sz w:val="20"/>
                <w:szCs w:val="20"/>
              </w:rPr>
              <w:t xml:space="preserve"> A patient may only qualify for PBS-subsidised treatment under this restriction once in a lifetime.</w:t>
            </w:r>
          </w:p>
        </w:tc>
      </w:tr>
      <w:tr w:rsidR="00A60785" w:rsidRPr="00AB34C7" w14:paraId="6BCC3321" w14:textId="77777777" w:rsidTr="009D0069">
        <w:tblPrEx>
          <w:tblCellMar>
            <w:top w:w="15" w:type="dxa"/>
            <w:left w:w="15" w:type="dxa"/>
            <w:bottom w:w="15" w:type="dxa"/>
            <w:right w:w="15" w:type="dxa"/>
          </w:tblCellMar>
          <w:tblLook w:val="04A0" w:firstRow="1" w:lastRow="0" w:firstColumn="1" w:lastColumn="0" w:noHBand="0" w:noVBand="1"/>
        </w:tblPrEx>
        <w:tc>
          <w:tcPr>
            <w:tcW w:w="411" w:type="dxa"/>
            <w:vMerge/>
            <w:tcBorders>
              <w:left w:val="single" w:sz="4" w:space="0" w:color="auto"/>
              <w:bottom w:val="single" w:sz="4" w:space="0" w:color="auto"/>
              <w:right w:val="single" w:sz="4" w:space="0" w:color="auto"/>
            </w:tcBorders>
          </w:tcPr>
          <w:p w14:paraId="48FE3C0D" w14:textId="77777777" w:rsidR="00A60785" w:rsidRPr="00AB34C7" w:rsidRDefault="00A60785" w:rsidP="009D0069">
            <w:pPr>
              <w:rPr>
                <w:rFonts w:ascii="Arial Narrow" w:hAnsi="Arial Narrow"/>
                <w:sz w:val="20"/>
                <w:szCs w:val="20"/>
              </w:rPr>
            </w:pPr>
          </w:p>
        </w:tc>
        <w:tc>
          <w:tcPr>
            <w:tcW w:w="577" w:type="dxa"/>
            <w:vAlign w:val="center"/>
          </w:tcPr>
          <w:p w14:paraId="65BF747C" w14:textId="77777777" w:rsidR="00A60785" w:rsidRPr="00AB34C7" w:rsidRDefault="00A60785" w:rsidP="009D0069">
            <w:pPr>
              <w:jc w:val="center"/>
              <w:rPr>
                <w:rFonts w:ascii="Arial Narrow" w:hAnsi="Arial Narrow"/>
                <w:sz w:val="20"/>
                <w:szCs w:val="20"/>
              </w:rPr>
            </w:pPr>
          </w:p>
        </w:tc>
        <w:tc>
          <w:tcPr>
            <w:tcW w:w="8079" w:type="dxa"/>
            <w:gridSpan w:val="6"/>
            <w:vAlign w:val="center"/>
          </w:tcPr>
          <w:p w14:paraId="7CE4ACF5" w14:textId="77777777" w:rsidR="00A60785" w:rsidRPr="00AB34C7" w:rsidRDefault="00A60785" w:rsidP="009D0069">
            <w:pPr>
              <w:rPr>
                <w:rFonts w:ascii="Arial Narrow" w:hAnsi="Arial Narrow" w:cs="Segoe UI"/>
                <w:sz w:val="20"/>
                <w:szCs w:val="20"/>
              </w:rPr>
            </w:pPr>
            <w:r w:rsidRPr="00AB34C7">
              <w:rPr>
                <w:rFonts w:ascii="Arial Narrow" w:hAnsi="Arial Narrow"/>
                <w:b/>
                <w:bCs/>
                <w:sz w:val="20"/>
                <w:szCs w:val="20"/>
              </w:rPr>
              <w:t>Administrative Advice:</w:t>
            </w:r>
            <w:r w:rsidRPr="00AB34C7">
              <w:rPr>
                <w:sz w:val="20"/>
                <w:szCs w:val="20"/>
              </w:rPr>
              <w:t xml:space="preserve"> </w:t>
            </w:r>
            <w:r w:rsidRPr="00AB34C7">
              <w:rPr>
                <w:rStyle w:val="normaltextrun"/>
                <w:rFonts w:ascii="Arial Narrow" w:hAnsi="Arial Narrow" w:cs="Segoe UI"/>
                <w:sz w:val="20"/>
                <w:szCs w:val="20"/>
              </w:rPr>
              <w:t>Administrative Advice: Applications for authorisation under this restriction may be made in real time using the Online PBS Authorities system (see www.servicesaustralia.gov.au/HPOS) or by telephone by contacting Services Australia on 1800 888 333.</w:t>
            </w:r>
          </w:p>
        </w:tc>
      </w:tr>
      <w:tr w:rsidR="00A60785" w:rsidRPr="00AB34C7" w14:paraId="031E0717" w14:textId="77777777" w:rsidTr="009D0069">
        <w:tblPrEx>
          <w:tblCellMar>
            <w:top w:w="15" w:type="dxa"/>
            <w:left w:w="15" w:type="dxa"/>
            <w:bottom w:w="15" w:type="dxa"/>
            <w:right w:w="15" w:type="dxa"/>
          </w:tblCellMar>
          <w:tblLook w:val="04A0" w:firstRow="1" w:lastRow="0" w:firstColumn="1" w:lastColumn="0" w:noHBand="0" w:noVBand="1"/>
        </w:tblPrEx>
        <w:tc>
          <w:tcPr>
            <w:tcW w:w="988" w:type="dxa"/>
            <w:gridSpan w:val="2"/>
            <w:tcBorders>
              <w:top w:val="single" w:sz="4" w:space="0" w:color="auto"/>
              <w:left w:val="single" w:sz="4" w:space="0" w:color="auto"/>
              <w:bottom w:val="single" w:sz="4" w:space="0" w:color="auto"/>
              <w:right w:val="single" w:sz="4" w:space="0" w:color="auto"/>
            </w:tcBorders>
          </w:tcPr>
          <w:p w14:paraId="13D26A35" w14:textId="77777777" w:rsidR="00A60785" w:rsidRPr="00AB34C7" w:rsidRDefault="00A60785" w:rsidP="009D0069">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14:paraId="0A41386B" w14:textId="77777777" w:rsidR="00A60785" w:rsidRPr="00AB34C7" w:rsidRDefault="00A60785" w:rsidP="009D0069">
            <w:pPr>
              <w:rPr>
                <w:rFonts w:ascii="Arial Narrow" w:eastAsia="Arial Narrow" w:hAnsi="Arial Narrow" w:cs="Arial Narrow"/>
                <w:b/>
                <w:bCs/>
                <w:color w:val="333333"/>
                <w:sz w:val="20"/>
                <w:szCs w:val="20"/>
              </w:rPr>
            </w:pPr>
          </w:p>
        </w:tc>
      </w:tr>
      <w:tr w:rsidR="00A60785" w:rsidRPr="00AB34C7" w14:paraId="0F40CC74" w14:textId="77777777" w:rsidTr="009D0069">
        <w:tblPrEx>
          <w:tblCellMar>
            <w:top w:w="15" w:type="dxa"/>
            <w:left w:w="15" w:type="dxa"/>
            <w:bottom w:w="15" w:type="dxa"/>
            <w:right w:w="15" w:type="dxa"/>
          </w:tblCellMar>
          <w:tblLook w:val="04A0" w:firstRow="1" w:lastRow="0" w:firstColumn="1" w:lastColumn="0" w:noHBand="0" w:noVBand="1"/>
        </w:tblPrEx>
        <w:tc>
          <w:tcPr>
            <w:tcW w:w="988" w:type="dxa"/>
            <w:gridSpan w:val="2"/>
            <w:tcBorders>
              <w:top w:val="single" w:sz="4" w:space="0" w:color="auto"/>
              <w:left w:val="single" w:sz="4" w:space="0" w:color="auto"/>
              <w:bottom w:val="single" w:sz="4" w:space="0" w:color="auto"/>
              <w:right w:val="single" w:sz="4" w:space="0" w:color="auto"/>
            </w:tcBorders>
          </w:tcPr>
          <w:p w14:paraId="3202A2E5" w14:textId="75D59874" w:rsidR="00A60785" w:rsidRPr="00AB34C7" w:rsidRDefault="00A60785" w:rsidP="009D0069">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14:paraId="2A30051C" w14:textId="77777777" w:rsidR="00A60785" w:rsidRPr="00AB34C7" w:rsidRDefault="00A60785" w:rsidP="009D0069">
            <w:pPr>
              <w:rPr>
                <w:rFonts w:ascii="Arial Narrow" w:hAnsi="Arial Narrow"/>
                <w:sz w:val="20"/>
                <w:szCs w:val="20"/>
              </w:rPr>
            </w:pPr>
            <w:r w:rsidRPr="00AB34C7">
              <w:rPr>
                <w:rFonts w:ascii="Arial Narrow" w:eastAsia="Arial Narrow" w:hAnsi="Arial Narrow" w:cs="Arial Narrow"/>
                <w:b/>
                <w:bCs/>
                <w:color w:val="333333"/>
                <w:sz w:val="20"/>
                <w:szCs w:val="20"/>
              </w:rPr>
              <w:t>Indication:</w:t>
            </w:r>
            <w:r w:rsidRPr="00AB34C7">
              <w:rPr>
                <w:rFonts w:ascii="Arial Narrow" w:eastAsia="Arial Narrow" w:hAnsi="Arial Narrow" w:cs="Arial Narrow"/>
                <w:color w:val="333333"/>
                <w:sz w:val="20"/>
                <w:szCs w:val="20"/>
              </w:rPr>
              <w:t xml:space="preserve"> Chronic lymphocytic leukaemia (CLL) or small lymphocytic lymphoma (SLL)</w:t>
            </w:r>
          </w:p>
        </w:tc>
      </w:tr>
      <w:tr w:rsidR="00A60785" w:rsidRPr="00AB34C7" w14:paraId="43B3A7D9" w14:textId="77777777" w:rsidTr="009D0069">
        <w:tblPrEx>
          <w:tblCellMar>
            <w:top w:w="15" w:type="dxa"/>
            <w:left w:w="15" w:type="dxa"/>
            <w:bottom w:w="15" w:type="dxa"/>
            <w:right w:w="15" w:type="dxa"/>
          </w:tblCellMar>
          <w:tblLook w:val="04A0" w:firstRow="1" w:lastRow="0" w:firstColumn="1" w:lastColumn="0" w:noHBand="0" w:noVBand="1"/>
        </w:tblPrEx>
        <w:tc>
          <w:tcPr>
            <w:tcW w:w="988" w:type="dxa"/>
            <w:gridSpan w:val="2"/>
            <w:tcBorders>
              <w:top w:val="single" w:sz="4" w:space="0" w:color="auto"/>
              <w:left w:val="single" w:sz="4" w:space="0" w:color="auto"/>
              <w:bottom w:val="single" w:sz="4" w:space="0" w:color="auto"/>
              <w:right w:val="single" w:sz="4" w:space="0" w:color="auto"/>
            </w:tcBorders>
          </w:tcPr>
          <w:p w14:paraId="43F04A58" w14:textId="77777777" w:rsidR="00A60785" w:rsidRPr="00AB34C7" w:rsidRDefault="00A60785" w:rsidP="009D0069">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14:paraId="7460E164" w14:textId="77777777" w:rsidR="00A60785" w:rsidRPr="00AB34C7" w:rsidRDefault="00A60785" w:rsidP="009D0069">
            <w:pPr>
              <w:rPr>
                <w:rFonts w:ascii="Arial Narrow" w:hAnsi="Arial Narrow"/>
                <w:sz w:val="20"/>
                <w:szCs w:val="20"/>
              </w:rPr>
            </w:pPr>
            <w:r w:rsidRPr="00AB34C7">
              <w:rPr>
                <w:rFonts w:ascii="Arial Narrow" w:eastAsia="Arial Narrow" w:hAnsi="Arial Narrow" w:cs="Arial Narrow"/>
                <w:b/>
                <w:bCs/>
                <w:color w:val="333333"/>
                <w:sz w:val="20"/>
                <w:szCs w:val="20"/>
              </w:rPr>
              <w:t>Treatment Phase:</w:t>
            </w:r>
            <w:r w:rsidRPr="00AB34C7">
              <w:rPr>
                <w:rFonts w:ascii="Arial Narrow" w:eastAsia="Arial Narrow" w:hAnsi="Arial Narrow" w:cs="Arial Narrow"/>
                <w:color w:val="333333"/>
                <w:sz w:val="20"/>
                <w:szCs w:val="20"/>
              </w:rPr>
              <w:t xml:space="preserve"> Second and final continuing treatment (treatment cycles 10 to 15 inclusive) of first-line therapy</w:t>
            </w:r>
          </w:p>
        </w:tc>
      </w:tr>
      <w:tr w:rsidR="00A60785" w:rsidRPr="00AB34C7" w14:paraId="40A6954B" w14:textId="77777777" w:rsidTr="009D0069">
        <w:tblPrEx>
          <w:tblCellMar>
            <w:top w:w="15" w:type="dxa"/>
            <w:left w:w="15" w:type="dxa"/>
            <w:bottom w:w="15" w:type="dxa"/>
            <w:right w:w="15" w:type="dxa"/>
          </w:tblCellMar>
          <w:tblLook w:val="04A0" w:firstRow="1" w:lastRow="0" w:firstColumn="1" w:lastColumn="0" w:noHBand="0" w:noVBand="1"/>
        </w:tblPrEx>
        <w:tc>
          <w:tcPr>
            <w:tcW w:w="988" w:type="dxa"/>
            <w:gridSpan w:val="2"/>
            <w:tcBorders>
              <w:top w:val="single" w:sz="4" w:space="0" w:color="auto"/>
              <w:left w:val="single" w:sz="4" w:space="0" w:color="auto"/>
              <w:bottom w:val="single" w:sz="4" w:space="0" w:color="auto"/>
              <w:right w:val="single" w:sz="4" w:space="0" w:color="auto"/>
            </w:tcBorders>
          </w:tcPr>
          <w:p w14:paraId="5E3B06AC" w14:textId="77777777" w:rsidR="00A60785" w:rsidRPr="00AB34C7" w:rsidRDefault="00A60785" w:rsidP="009D0069">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14:paraId="197BE255" w14:textId="77777777" w:rsidR="00A60785" w:rsidRPr="00AB34C7" w:rsidRDefault="00A60785" w:rsidP="009D0069">
            <w:pPr>
              <w:rPr>
                <w:rFonts w:ascii="Arial Narrow" w:eastAsia="Arial Narrow" w:hAnsi="Arial Narrow" w:cs="Arial Narrow"/>
                <w:b/>
                <w:bCs/>
                <w:color w:val="333333"/>
                <w:sz w:val="20"/>
                <w:szCs w:val="20"/>
              </w:rPr>
            </w:pPr>
          </w:p>
        </w:tc>
      </w:tr>
      <w:tr w:rsidR="00A60785" w:rsidRPr="00AB34C7" w14:paraId="640BC4FB" w14:textId="77777777" w:rsidTr="009D0069">
        <w:tblPrEx>
          <w:tblCellMar>
            <w:top w:w="15" w:type="dxa"/>
            <w:left w:w="15" w:type="dxa"/>
            <w:bottom w:w="15" w:type="dxa"/>
            <w:right w:w="15" w:type="dxa"/>
          </w:tblCellMar>
          <w:tblLook w:val="04A0" w:firstRow="1" w:lastRow="0" w:firstColumn="1" w:lastColumn="0" w:noHBand="0" w:noVBand="1"/>
        </w:tblPrEx>
        <w:tc>
          <w:tcPr>
            <w:tcW w:w="988" w:type="dxa"/>
            <w:gridSpan w:val="2"/>
            <w:tcBorders>
              <w:top w:val="single" w:sz="4" w:space="0" w:color="auto"/>
              <w:left w:val="single" w:sz="4" w:space="0" w:color="auto"/>
              <w:bottom w:val="single" w:sz="4" w:space="0" w:color="auto"/>
              <w:right w:val="single" w:sz="4" w:space="0" w:color="auto"/>
            </w:tcBorders>
          </w:tcPr>
          <w:p w14:paraId="51BA43D9" w14:textId="1E468FC8" w:rsidR="00A60785" w:rsidRPr="00AB34C7" w:rsidRDefault="00A60785" w:rsidP="009D0069">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14:paraId="71C9C15B" w14:textId="77777777" w:rsidR="00A60785" w:rsidRPr="00AB34C7" w:rsidRDefault="00A60785" w:rsidP="009D0069">
            <w:pPr>
              <w:rPr>
                <w:rFonts w:ascii="Arial Narrow" w:hAnsi="Arial Narrow"/>
                <w:sz w:val="20"/>
                <w:szCs w:val="20"/>
              </w:rPr>
            </w:pPr>
            <w:r w:rsidRPr="00AB34C7">
              <w:rPr>
                <w:rFonts w:ascii="Arial Narrow" w:eastAsia="Arial Narrow" w:hAnsi="Arial Narrow" w:cs="Arial Narrow"/>
                <w:b/>
                <w:bCs/>
                <w:color w:val="333333"/>
                <w:sz w:val="20"/>
                <w:szCs w:val="20"/>
              </w:rPr>
              <w:t>Clinical criteria:</w:t>
            </w:r>
          </w:p>
        </w:tc>
      </w:tr>
      <w:tr w:rsidR="00A60785" w:rsidRPr="00AB34C7" w14:paraId="4029E577" w14:textId="77777777" w:rsidTr="009D0069">
        <w:tblPrEx>
          <w:tblCellMar>
            <w:top w:w="15" w:type="dxa"/>
            <w:left w:w="15" w:type="dxa"/>
            <w:bottom w:w="15" w:type="dxa"/>
            <w:right w:w="15" w:type="dxa"/>
          </w:tblCellMar>
          <w:tblLook w:val="04A0" w:firstRow="1" w:lastRow="0" w:firstColumn="1" w:lastColumn="0" w:noHBand="0" w:noVBand="1"/>
        </w:tblPrEx>
        <w:tc>
          <w:tcPr>
            <w:tcW w:w="988" w:type="dxa"/>
            <w:gridSpan w:val="2"/>
            <w:tcBorders>
              <w:top w:val="single" w:sz="4" w:space="0" w:color="auto"/>
              <w:left w:val="single" w:sz="4" w:space="0" w:color="auto"/>
              <w:bottom w:val="single" w:sz="4" w:space="0" w:color="auto"/>
              <w:right w:val="single" w:sz="4" w:space="0" w:color="auto"/>
            </w:tcBorders>
          </w:tcPr>
          <w:p w14:paraId="3290B404" w14:textId="1406A607" w:rsidR="00A60785" w:rsidRPr="00AB34C7" w:rsidRDefault="00A60785" w:rsidP="009D0069">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14:paraId="7456C754" w14:textId="77777777" w:rsidR="00A60785" w:rsidRPr="00AB34C7" w:rsidRDefault="00A60785" w:rsidP="009D0069">
            <w:pPr>
              <w:rPr>
                <w:rFonts w:ascii="Arial Narrow" w:hAnsi="Arial Narrow"/>
                <w:bCs/>
                <w:sz w:val="20"/>
                <w:szCs w:val="20"/>
              </w:rPr>
            </w:pPr>
            <w:r w:rsidRPr="00AB34C7">
              <w:rPr>
                <w:rFonts w:ascii="Arial Narrow" w:eastAsia="Arial Narrow" w:hAnsi="Arial Narrow" w:cs="Arial Narrow"/>
                <w:color w:val="333333"/>
                <w:sz w:val="20"/>
                <w:szCs w:val="20"/>
              </w:rPr>
              <w:t>Patient must have previously received PBS-subsidised treatment with this drug for this condition</w:t>
            </w:r>
          </w:p>
        </w:tc>
      </w:tr>
      <w:tr w:rsidR="00A60785" w:rsidRPr="00AB34C7" w14:paraId="0D2C783A" w14:textId="77777777" w:rsidTr="009D0069">
        <w:tblPrEx>
          <w:tblCellMar>
            <w:top w:w="15" w:type="dxa"/>
            <w:left w:w="15" w:type="dxa"/>
            <w:bottom w:w="15" w:type="dxa"/>
            <w:right w:w="15" w:type="dxa"/>
          </w:tblCellMar>
          <w:tblLook w:val="04A0" w:firstRow="1" w:lastRow="0" w:firstColumn="1" w:lastColumn="0" w:noHBand="0" w:noVBand="1"/>
        </w:tblPrEx>
        <w:tc>
          <w:tcPr>
            <w:tcW w:w="988" w:type="dxa"/>
            <w:gridSpan w:val="2"/>
            <w:tcBorders>
              <w:top w:val="single" w:sz="4" w:space="0" w:color="auto"/>
              <w:left w:val="single" w:sz="4" w:space="0" w:color="auto"/>
              <w:bottom w:val="single" w:sz="4" w:space="0" w:color="auto"/>
              <w:right w:val="single" w:sz="4" w:space="0" w:color="auto"/>
            </w:tcBorders>
          </w:tcPr>
          <w:p w14:paraId="2254DB20" w14:textId="77777777" w:rsidR="00A60785" w:rsidRPr="00AB34C7" w:rsidRDefault="00A60785" w:rsidP="009D0069">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14:paraId="2C672CBF" w14:textId="77777777" w:rsidR="00A60785" w:rsidRPr="00AB34C7" w:rsidRDefault="00A60785" w:rsidP="009D0069">
            <w:pPr>
              <w:rPr>
                <w:rFonts w:ascii="Arial Narrow" w:hAnsi="Arial Narrow"/>
                <w:sz w:val="20"/>
                <w:szCs w:val="20"/>
              </w:rPr>
            </w:pPr>
            <w:r w:rsidRPr="00AB34C7">
              <w:rPr>
                <w:rFonts w:ascii="Arial Narrow" w:eastAsia="Arial Narrow" w:hAnsi="Arial Narrow" w:cs="Arial Narrow"/>
                <w:b/>
                <w:bCs/>
                <w:color w:val="333333"/>
                <w:sz w:val="20"/>
                <w:szCs w:val="20"/>
              </w:rPr>
              <w:t>AND</w:t>
            </w:r>
          </w:p>
        </w:tc>
      </w:tr>
      <w:tr w:rsidR="00A60785" w:rsidRPr="00AB34C7" w14:paraId="2E5B5DEC" w14:textId="77777777" w:rsidTr="009D0069">
        <w:tblPrEx>
          <w:tblCellMar>
            <w:top w:w="15" w:type="dxa"/>
            <w:left w:w="15" w:type="dxa"/>
            <w:bottom w:w="15" w:type="dxa"/>
            <w:right w:w="15" w:type="dxa"/>
          </w:tblCellMar>
          <w:tblLook w:val="04A0" w:firstRow="1" w:lastRow="0" w:firstColumn="1" w:lastColumn="0" w:noHBand="0" w:noVBand="1"/>
        </w:tblPrEx>
        <w:tc>
          <w:tcPr>
            <w:tcW w:w="988" w:type="dxa"/>
            <w:gridSpan w:val="2"/>
            <w:tcBorders>
              <w:top w:val="single" w:sz="4" w:space="0" w:color="auto"/>
              <w:left w:val="single" w:sz="4" w:space="0" w:color="auto"/>
              <w:bottom w:val="single" w:sz="4" w:space="0" w:color="auto"/>
              <w:right w:val="single" w:sz="4" w:space="0" w:color="auto"/>
            </w:tcBorders>
          </w:tcPr>
          <w:p w14:paraId="7E0CFE91" w14:textId="5E1C2120" w:rsidR="00A60785" w:rsidRPr="00AB34C7" w:rsidRDefault="00A60785" w:rsidP="009D0069">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14:paraId="538EF50A" w14:textId="77777777" w:rsidR="00A60785" w:rsidRPr="00AB34C7" w:rsidRDefault="00A60785" w:rsidP="009D0069">
            <w:pPr>
              <w:rPr>
                <w:rFonts w:ascii="Arial Narrow" w:hAnsi="Arial Narrow"/>
                <w:sz w:val="20"/>
                <w:szCs w:val="20"/>
              </w:rPr>
            </w:pPr>
            <w:r w:rsidRPr="00AB34C7">
              <w:rPr>
                <w:rFonts w:ascii="Arial Narrow" w:eastAsia="Arial Narrow" w:hAnsi="Arial Narrow" w:cs="Arial Narrow"/>
                <w:b/>
                <w:bCs/>
                <w:color w:val="333333"/>
                <w:sz w:val="20"/>
                <w:szCs w:val="20"/>
              </w:rPr>
              <w:t>Clinical criteria:</w:t>
            </w:r>
          </w:p>
        </w:tc>
      </w:tr>
      <w:tr w:rsidR="00A60785" w:rsidRPr="00AB34C7" w14:paraId="4ED6A476" w14:textId="77777777" w:rsidTr="009D0069">
        <w:tblPrEx>
          <w:tblCellMar>
            <w:top w:w="15" w:type="dxa"/>
            <w:left w:w="15" w:type="dxa"/>
            <w:bottom w:w="15" w:type="dxa"/>
            <w:right w:w="15" w:type="dxa"/>
          </w:tblCellMar>
          <w:tblLook w:val="04A0" w:firstRow="1" w:lastRow="0" w:firstColumn="1" w:lastColumn="0" w:noHBand="0" w:noVBand="1"/>
        </w:tblPrEx>
        <w:tc>
          <w:tcPr>
            <w:tcW w:w="988" w:type="dxa"/>
            <w:gridSpan w:val="2"/>
            <w:tcBorders>
              <w:top w:val="single" w:sz="4" w:space="0" w:color="auto"/>
              <w:left w:val="single" w:sz="4" w:space="0" w:color="auto"/>
              <w:bottom w:val="single" w:sz="4" w:space="0" w:color="auto"/>
              <w:right w:val="single" w:sz="4" w:space="0" w:color="auto"/>
            </w:tcBorders>
          </w:tcPr>
          <w:p w14:paraId="5B47F1D9" w14:textId="14364AE0" w:rsidR="00A60785" w:rsidRPr="00AB34C7" w:rsidRDefault="00A60785" w:rsidP="009D0069">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14:paraId="7215F14A" w14:textId="77777777" w:rsidR="00A60785" w:rsidRPr="00AB34C7" w:rsidRDefault="00A60785" w:rsidP="009D0069">
            <w:pPr>
              <w:rPr>
                <w:rFonts w:ascii="Arial Narrow" w:hAnsi="Arial Narrow"/>
                <w:sz w:val="20"/>
                <w:szCs w:val="20"/>
              </w:rPr>
            </w:pPr>
            <w:r w:rsidRPr="00AB34C7">
              <w:rPr>
                <w:rFonts w:ascii="Arial Narrow" w:eastAsia="Arial Narrow" w:hAnsi="Arial Narrow" w:cs="Arial Narrow"/>
                <w:color w:val="333333"/>
                <w:sz w:val="20"/>
                <w:szCs w:val="20"/>
              </w:rPr>
              <w:t>The treatment must be in combination with venetoclax (refer to Product Information for timing of ibrutinib and venetoclax doses)</w:t>
            </w:r>
          </w:p>
        </w:tc>
      </w:tr>
      <w:tr w:rsidR="00A60785" w:rsidRPr="00AB34C7" w14:paraId="672F310B" w14:textId="77777777" w:rsidTr="009D0069">
        <w:tblPrEx>
          <w:tblCellMar>
            <w:top w:w="15" w:type="dxa"/>
            <w:left w:w="15" w:type="dxa"/>
            <w:bottom w:w="15" w:type="dxa"/>
            <w:right w:w="15" w:type="dxa"/>
          </w:tblCellMar>
          <w:tblLook w:val="04A0" w:firstRow="1" w:lastRow="0" w:firstColumn="1" w:lastColumn="0" w:noHBand="0" w:noVBand="1"/>
        </w:tblPrEx>
        <w:tc>
          <w:tcPr>
            <w:tcW w:w="988" w:type="dxa"/>
            <w:gridSpan w:val="2"/>
            <w:tcBorders>
              <w:top w:val="single" w:sz="4" w:space="0" w:color="auto"/>
              <w:left w:val="single" w:sz="4" w:space="0" w:color="auto"/>
              <w:bottom w:val="single" w:sz="4" w:space="0" w:color="auto"/>
              <w:right w:val="single" w:sz="4" w:space="0" w:color="auto"/>
            </w:tcBorders>
          </w:tcPr>
          <w:p w14:paraId="1B701105" w14:textId="77777777" w:rsidR="00A60785" w:rsidRPr="00AB34C7" w:rsidRDefault="00A60785" w:rsidP="009D0069">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14:paraId="3549B19A" w14:textId="77777777" w:rsidR="00A60785" w:rsidRPr="00AB34C7" w:rsidRDefault="00A60785" w:rsidP="009D0069">
            <w:pPr>
              <w:rPr>
                <w:rFonts w:ascii="Arial Narrow" w:hAnsi="Arial Narrow"/>
                <w:strike/>
                <w:sz w:val="20"/>
                <w:szCs w:val="20"/>
              </w:rPr>
            </w:pPr>
            <w:r w:rsidRPr="00AB34C7">
              <w:rPr>
                <w:rFonts w:ascii="Arial Narrow" w:eastAsia="Arial Narrow" w:hAnsi="Arial Narrow" w:cs="Arial Narrow"/>
                <w:b/>
                <w:bCs/>
                <w:color w:val="333333"/>
                <w:sz w:val="20"/>
                <w:szCs w:val="20"/>
              </w:rPr>
              <w:t>AND</w:t>
            </w:r>
          </w:p>
        </w:tc>
      </w:tr>
      <w:tr w:rsidR="00A60785" w:rsidRPr="00AB34C7" w14:paraId="72F0AF2A" w14:textId="77777777" w:rsidTr="009D0069">
        <w:tblPrEx>
          <w:tblCellMar>
            <w:top w:w="15" w:type="dxa"/>
            <w:left w:w="15" w:type="dxa"/>
            <w:bottom w:w="15" w:type="dxa"/>
            <w:right w:w="15" w:type="dxa"/>
          </w:tblCellMar>
          <w:tblLook w:val="04A0" w:firstRow="1" w:lastRow="0" w:firstColumn="1" w:lastColumn="0" w:noHBand="0" w:noVBand="1"/>
        </w:tblPrEx>
        <w:tc>
          <w:tcPr>
            <w:tcW w:w="988" w:type="dxa"/>
            <w:gridSpan w:val="2"/>
            <w:tcBorders>
              <w:top w:val="single" w:sz="4" w:space="0" w:color="auto"/>
              <w:left w:val="single" w:sz="4" w:space="0" w:color="auto"/>
              <w:bottom w:val="single" w:sz="4" w:space="0" w:color="auto"/>
              <w:right w:val="single" w:sz="4" w:space="0" w:color="auto"/>
            </w:tcBorders>
          </w:tcPr>
          <w:p w14:paraId="18795382" w14:textId="01E340C8" w:rsidR="00A60785" w:rsidRPr="00AB34C7" w:rsidRDefault="00A60785" w:rsidP="009D0069">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14:paraId="018553E8" w14:textId="77777777" w:rsidR="00A60785" w:rsidRPr="00AB34C7" w:rsidRDefault="00A60785" w:rsidP="009D0069">
            <w:pPr>
              <w:rPr>
                <w:rFonts w:ascii="Arial Narrow" w:hAnsi="Arial Narrow"/>
                <w:strike/>
                <w:sz w:val="20"/>
                <w:szCs w:val="20"/>
              </w:rPr>
            </w:pPr>
            <w:r w:rsidRPr="00AB34C7">
              <w:rPr>
                <w:rFonts w:ascii="Arial Narrow" w:eastAsia="Arial Narrow" w:hAnsi="Arial Narrow" w:cs="Arial Narrow"/>
                <w:b/>
                <w:bCs/>
                <w:color w:val="333333"/>
                <w:sz w:val="20"/>
                <w:szCs w:val="20"/>
              </w:rPr>
              <w:t>Clinical criteria:</w:t>
            </w:r>
          </w:p>
        </w:tc>
      </w:tr>
      <w:tr w:rsidR="00A60785" w:rsidRPr="00AB34C7" w14:paraId="56D40DC0" w14:textId="77777777" w:rsidTr="009D0069">
        <w:tblPrEx>
          <w:tblCellMar>
            <w:top w:w="15" w:type="dxa"/>
            <w:left w:w="15" w:type="dxa"/>
            <w:bottom w:w="15" w:type="dxa"/>
            <w:right w:w="15" w:type="dxa"/>
          </w:tblCellMar>
          <w:tblLook w:val="04A0" w:firstRow="1" w:lastRow="0" w:firstColumn="1" w:lastColumn="0" w:noHBand="0" w:noVBand="1"/>
        </w:tblPrEx>
        <w:tc>
          <w:tcPr>
            <w:tcW w:w="988" w:type="dxa"/>
            <w:gridSpan w:val="2"/>
            <w:tcBorders>
              <w:top w:val="single" w:sz="4" w:space="0" w:color="auto"/>
              <w:left w:val="single" w:sz="4" w:space="0" w:color="auto"/>
              <w:bottom w:val="single" w:sz="4" w:space="0" w:color="auto"/>
              <w:right w:val="single" w:sz="4" w:space="0" w:color="auto"/>
            </w:tcBorders>
          </w:tcPr>
          <w:p w14:paraId="167CCDD5" w14:textId="0638DE20" w:rsidR="00A60785" w:rsidRPr="00AB34C7" w:rsidRDefault="00A60785" w:rsidP="009D0069">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14:paraId="4CF10EDD" w14:textId="77777777" w:rsidR="00A60785" w:rsidRPr="00AB34C7" w:rsidRDefault="00A60785" w:rsidP="009D0069">
            <w:pPr>
              <w:rPr>
                <w:rFonts w:ascii="Arial Narrow" w:hAnsi="Arial Narrow"/>
                <w:sz w:val="20"/>
                <w:szCs w:val="20"/>
              </w:rPr>
            </w:pPr>
            <w:r w:rsidRPr="00AB34C7">
              <w:rPr>
                <w:rFonts w:ascii="Arial Narrow" w:eastAsia="Arial Narrow" w:hAnsi="Arial Narrow" w:cs="Arial Narrow"/>
                <w:color w:val="333333"/>
                <w:sz w:val="20"/>
                <w:szCs w:val="20"/>
              </w:rPr>
              <w:t>The treatment must cease upon disease progression; OR.</w:t>
            </w:r>
          </w:p>
        </w:tc>
      </w:tr>
      <w:tr w:rsidR="00A60785" w:rsidRPr="00AB34C7" w14:paraId="473CF136" w14:textId="77777777" w:rsidTr="009D0069">
        <w:tblPrEx>
          <w:tblCellMar>
            <w:top w:w="15" w:type="dxa"/>
            <w:left w:w="15" w:type="dxa"/>
            <w:bottom w:w="15" w:type="dxa"/>
            <w:right w:w="15" w:type="dxa"/>
          </w:tblCellMar>
          <w:tblLook w:val="04A0" w:firstRow="1" w:lastRow="0" w:firstColumn="1" w:lastColumn="0" w:noHBand="0" w:noVBand="1"/>
        </w:tblPrEx>
        <w:tc>
          <w:tcPr>
            <w:tcW w:w="988" w:type="dxa"/>
            <w:gridSpan w:val="2"/>
            <w:tcBorders>
              <w:top w:val="single" w:sz="4" w:space="0" w:color="auto"/>
              <w:left w:val="single" w:sz="4" w:space="0" w:color="auto"/>
              <w:bottom w:val="single" w:sz="4" w:space="0" w:color="auto"/>
              <w:right w:val="single" w:sz="4" w:space="0" w:color="auto"/>
            </w:tcBorders>
          </w:tcPr>
          <w:p w14:paraId="202053F2" w14:textId="77777777" w:rsidR="00A60785" w:rsidRPr="00AB34C7" w:rsidRDefault="00A60785" w:rsidP="009D0069">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14:paraId="1341328C" w14:textId="6135DF14" w:rsidR="00A60785" w:rsidRPr="00AB34C7" w:rsidRDefault="00A60785" w:rsidP="009D0069">
            <w:pPr>
              <w:rPr>
                <w:rFonts w:ascii="Arial Narrow" w:eastAsia="Arial Narrow" w:hAnsi="Arial Narrow" w:cs="Arial Narrow"/>
                <w:color w:val="333333"/>
                <w:sz w:val="20"/>
                <w:szCs w:val="20"/>
              </w:rPr>
            </w:pPr>
            <w:r w:rsidRPr="00AB34C7">
              <w:rPr>
                <w:rFonts w:ascii="Arial Narrow" w:eastAsia="Arial Narrow" w:hAnsi="Arial Narrow" w:cs="Arial Narrow"/>
                <w:color w:val="333333"/>
                <w:sz w:val="20"/>
                <w:szCs w:val="20"/>
              </w:rPr>
              <w:t>The treatment must cease upon completion of 15 cycles of treatment with this drug for this condition, whichever comes first.</w:t>
            </w:r>
          </w:p>
        </w:tc>
      </w:tr>
      <w:tr w:rsidR="00A60785" w:rsidRPr="00AB34C7" w14:paraId="2262D56B" w14:textId="77777777" w:rsidTr="009D0069">
        <w:tblPrEx>
          <w:tblCellMar>
            <w:top w:w="15" w:type="dxa"/>
            <w:left w:w="15" w:type="dxa"/>
            <w:bottom w:w="15" w:type="dxa"/>
            <w:right w:w="15" w:type="dxa"/>
          </w:tblCellMar>
          <w:tblLook w:val="04A0" w:firstRow="1" w:lastRow="0" w:firstColumn="1" w:lastColumn="0" w:noHBand="0" w:noVBand="1"/>
        </w:tblPrEx>
        <w:tc>
          <w:tcPr>
            <w:tcW w:w="988" w:type="dxa"/>
            <w:gridSpan w:val="2"/>
            <w:tcBorders>
              <w:top w:val="single" w:sz="4" w:space="0" w:color="auto"/>
              <w:left w:val="single" w:sz="4" w:space="0" w:color="auto"/>
              <w:bottom w:val="single" w:sz="4" w:space="0" w:color="auto"/>
              <w:right w:val="single" w:sz="4" w:space="0" w:color="auto"/>
            </w:tcBorders>
          </w:tcPr>
          <w:p w14:paraId="07FE81FB" w14:textId="4EAE1E36" w:rsidR="00A60785" w:rsidRPr="00AB34C7" w:rsidRDefault="00A60785" w:rsidP="009D0069">
            <w:pPr>
              <w:jc w:val="center"/>
              <w:rPr>
                <w:rFonts w:ascii="Arial Narrow" w:hAnsi="Arial Narrow"/>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14:paraId="49CD3A19" w14:textId="77777777" w:rsidR="00A60785" w:rsidRPr="00AB34C7" w:rsidRDefault="00A60785" w:rsidP="009D0069">
            <w:pPr>
              <w:rPr>
                <w:rFonts w:ascii="Arial Narrow" w:eastAsia="Arial Narrow" w:hAnsi="Arial Narrow" w:cs="Arial Narrow"/>
                <w:b/>
                <w:bCs/>
                <w:color w:val="333333"/>
                <w:sz w:val="20"/>
                <w:szCs w:val="20"/>
              </w:rPr>
            </w:pPr>
            <w:r w:rsidRPr="00AB34C7">
              <w:rPr>
                <w:rFonts w:ascii="Arial Narrow" w:eastAsia="Arial Narrow" w:hAnsi="Arial Narrow" w:cs="Arial Narrow"/>
                <w:b/>
                <w:bCs/>
                <w:color w:val="333333"/>
                <w:sz w:val="20"/>
                <w:szCs w:val="20"/>
              </w:rPr>
              <w:t>Prescriber Instruction:</w:t>
            </w:r>
          </w:p>
          <w:p w14:paraId="613AA899" w14:textId="77777777" w:rsidR="00A60785" w:rsidRPr="00AB34C7" w:rsidRDefault="00A60785" w:rsidP="009D0069">
            <w:pPr>
              <w:rPr>
                <w:rFonts w:ascii="Arial Narrow" w:eastAsia="Arial Narrow" w:hAnsi="Arial Narrow" w:cs="Arial Narrow"/>
                <w:strike/>
                <w:color w:val="333333"/>
                <w:sz w:val="20"/>
                <w:szCs w:val="20"/>
              </w:rPr>
            </w:pPr>
            <w:r w:rsidRPr="00AB34C7">
              <w:rPr>
                <w:rFonts w:ascii="Arial Narrow" w:eastAsia="Arial Narrow" w:hAnsi="Arial Narrow" w:cs="Arial Narrow"/>
                <w:color w:val="333333"/>
                <w:sz w:val="20"/>
                <w:szCs w:val="20"/>
              </w:rPr>
              <w:t>There are more ibrutinib capsules (or tablets) in a pack than is required for the completion of a treatment cycle. The patient must not discard any remaining capsules (or tablets) after the completion of any treatment cycle as these capsules (or tablets) will be required for the doses in the final treatment cycle (i.e. treatment cycle 15).</w:t>
            </w:r>
          </w:p>
        </w:tc>
      </w:tr>
    </w:tbl>
    <w:p w14:paraId="44A2298F" w14:textId="77777777" w:rsidR="00A60785" w:rsidRPr="00B95C74" w:rsidRDefault="00A60785" w:rsidP="00A60785">
      <w:pPr>
        <w:pStyle w:val="Tableheadingrow"/>
        <w:keepNext w:val="0"/>
        <w:rPr>
          <w:lang w:val="en-AU"/>
        </w:rPr>
      </w:pPr>
    </w:p>
    <w:p w14:paraId="32F8C732" w14:textId="26DF5CCD" w:rsidR="00CB5957" w:rsidRPr="00AB34C7" w:rsidRDefault="003B2D64" w:rsidP="00CB5957">
      <w:pPr>
        <w:widowControl w:val="0"/>
        <w:numPr>
          <w:ilvl w:val="1"/>
          <w:numId w:val="1"/>
        </w:numPr>
        <w:ind w:left="720" w:hanging="720"/>
        <w:contextualSpacing/>
        <w:rPr>
          <w:rFonts w:asciiTheme="minorHAnsi" w:hAnsiTheme="minorHAnsi"/>
          <w:snapToGrid w:val="0"/>
        </w:rPr>
      </w:pPr>
      <w:bookmarkStart w:id="74" w:name="_Hlk162515490"/>
      <w:r>
        <w:rPr>
          <w:rFonts w:asciiTheme="minorHAnsi" w:hAnsiTheme="minorHAnsi"/>
          <w:snapToGrid w:val="0"/>
        </w:rPr>
        <w:t xml:space="preserve">The following </w:t>
      </w:r>
      <w:r w:rsidR="00CB5957" w:rsidRPr="00AB34C7">
        <w:rPr>
          <w:rFonts w:asciiTheme="minorHAnsi" w:hAnsiTheme="minorHAnsi"/>
          <w:snapToGrid w:val="0"/>
        </w:rPr>
        <w:t>flow</w:t>
      </w:r>
      <w:r>
        <w:rPr>
          <w:rFonts w:asciiTheme="minorHAnsi" w:hAnsiTheme="minorHAnsi"/>
          <w:snapToGrid w:val="0"/>
        </w:rPr>
        <w:t>-</w:t>
      </w:r>
      <w:r w:rsidR="00CB5957" w:rsidRPr="00AB34C7">
        <w:rPr>
          <w:rFonts w:asciiTheme="minorHAnsi" w:hAnsiTheme="minorHAnsi"/>
          <w:snapToGrid w:val="0"/>
        </w:rPr>
        <w:t xml:space="preserve">on changes </w:t>
      </w:r>
      <w:r>
        <w:rPr>
          <w:rFonts w:asciiTheme="minorHAnsi" w:hAnsiTheme="minorHAnsi"/>
          <w:snapToGrid w:val="0"/>
        </w:rPr>
        <w:t>will be required to the venetoclax restrictions</w:t>
      </w:r>
      <w:r w:rsidR="006A4780">
        <w:rPr>
          <w:rFonts w:asciiTheme="minorHAnsi" w:hAnsiTheme="minorHAnsi"/>
          <w:snapToGrid w:val="0"/>
        </w:rPr>
        <w:t>. Add the following new restrictions</w:t>
      </w:r>
      <w:r>
        <w:rPr>
          <w:rFonts w:asciiTheme="minorHAnsi" w:hAnsiTheme="minorHAnsi"/>
          <w:snapToGrid w:val="0"/>
        </w:rPr>
        <w:t xml:space="preserve"> </w:t>
      </w:r>
      <w:r w:rsidR="00CB5957" w:rsidRPr="00AB34C7">
        <w:rPr>
          <w:rFonts w:asciiTheme="minorHAnsi" w:hAnsiTheme="minorHAnsi"/>
          <w:snapToGrid w:val="0"/>
        </w:rPr>
        <w:t>as follows:</w:t>
      </w:r>
    </w:p>
    <w:bookmarkEnd w:id="74"/>
    <w:p w14:paraId="0CFE95E5" w14:textId="77777777" w:rsidR="00CB5957" w:rsidRPr="00AB34C7" w:rsidRDefault="00CB5957" w:rsidP="00CB5957">
      <w:pPr>
        <w:widowControl w:val="0"/>
        <w:ind w:firstLine="720"/>
        <w:contextualSpacing/>
        <w:rPr>
          <w:rFonts w:asciiTheme="minorHAnsi" w:hAnsiTheme="minorHAnsi"/>
          <w:bCs/>
          <w:snapToGrid w:val="0"/>
        </w:rPr>
      </w:pPr>
    </w:p>
    <w:p w14:paraId="7E4F2185" w14:textId="20492F5A" w:rsidR="00E26DA4" w:rsidRPr="00B95C74" w:rsidRDefault="00CB5957" w:rsidP="00E26DA4">
      <w:pPr>
        <w:pStyle w:val="Tableheadingrow"/>
        <w:keepNext w:val="0"/>
        <w:rPr>
          <w:lang w:val="en-AU"/>
        </w:rPr>
      </w:pPr>
      <w:r w:rsidRPr="00B95C74">
        <w:rPr>
          <w:lang w:val="en-AU"/>
        </w:rPr>
        <w:lastRenderedPageBreak/>
        <w:t xml:space="preserve">INITIAL TREATMENT IN FIRST-LINE THERAPY </w:t>
      </w:r>
      <w:r w:rsidR="0050539C">
        <w:rPr>
          <w:lang w:val="en-AU"/>
        </w:rPr>
        <w:t>–</w:t>
      </w:r>
      <w:r w:rsidRPr="00B95C74">
        <w:rPr>
          <w:lang w:val="en-AU"/>
        </w:rPr>
        <w:t xml:space="preserve"> DOSE TITRATION (WEEKS 1 TO 4 OF A 5-WEEK RAMP-UP SCHEDULE)</w:t>
      </w:r>
    </w:p>
    <w:tbl>
      <w:tblPr>
        <w:tblpPr w:leftFromText="181" w:rightFromText="18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
        <w:gridCol w:w="1282"/>
        <w:gridCol w:w="1136"/>
        <w:gridCol w:w="1212"/>
        <w:gridCol w:w="1279"/>
        <w:gridCol w:w="1279"/>
        <w:gridCol w:w="1279"/>
        <w:gridCol w:w="1279"/>
      </w:tblGrid>
      <w:tr w:rsidR="00E26DA4" w:rsidRPr="00AB34C7" w14:paraId="4DBEBB0F" w14:textId="77777777" w:rsidTr="00E26DA4">
        <w:trPr>
          <w:cantSplit/>
        </w:trPr>
        <w:tc>
          <w:tcPr>
            <w:tcW w:w="1492" w:type="pct"/>
            <w:gridSpan w:val="3"/>
          </w:tcPr>
          <w:p w14:paraId="6160BF59" w14:textId="77777777" w:rsidR="00E26DA4" w:rsidRPr="00AB34C7" w:rsidRDefault="00E26DA4" w:rsidP="00DB278B">
            <w:pPr>
              <w:ind w:left="-57"/>
              <w:rPr>
                <w:rFonts w:ascii="Arial Narrow" w:hAnsi="Arial Narrow"/>
                <w:b/>
                <w:bCs/>
                <w:sz w:val="20"/>
                <w:szCs w:val="20"/>
              </w:rPr>
            </w:pPr>
            <w:r w:rsidRPr="00AB34C7">
              <w:rPr>
                <w:rFonts w:ascii="Arial Narrow" w:hAnsi="Arial Narrow"/>
                <w:b/>
                <w:bCs/>
                <w:sz w:val="20"/>
                <w:szCs w:val="20"/>
              </w:rPr>
              <w:t>MEDICINAL PRODUCT</w:t>
            </w:r>
          </w:p>
          <w:p w14:paraId="1CC0B30D" w14:textId="5799AFDE" w:rsidR="00E26DA4" w:rsidRPr="00AB34C7" w:rsidRDefault="00E26DA4" w:rsidP="00DB278B">
            <w:pPr>
              <w:ind w:left="-108"/>
              <w:jc w:val="center"/>
              <w:rPr>
                <w:rFonts w:ascii="Arial Narrow" w:hAnsi="Arial Narrow"/>
                <w:b/>
                <w:sz w:val="20"/>
                <w:szCs w:val="20"/>
              </w:rPr>
            </w:pPr>
            <w:r w:rsidRPr="00AB34C7">
              <w:rPr>
                <w:rFonts w:ascii="Arial Narrow" w:hAnsi="Arial Narrow"/>
                <w:b/>
                <w:bCs/>
                <w:sz w:val="20"/>
                <w:szCs w:val="20"/>
              </w:rPr>
              <w:t>medicinal product pack</w:t>
            </w:r>
          </w:p>
        </w:tc>
        <w:tc>
          <w:tcPr>
            <w:tcW w:w="672" w:type="pct"/>
          </w:tcPr>
          <w:p w14:paraId="27A1B272" w14:textId="77777777" w:rsidR="00E26DA4" w:rsidRPr="00AB34C7" w:rsidRDefault="00E26DA4" w:rsidP="00DB278B">
            <w:pPr>
              <w:ind w:left="-108"/>
              <w:jc w:val="center"/>
              <w:rPr>
                <w:rFonts w:ascii="Arial Narrow" w:hAnsi="Arial Narrow"/>
                <w:b/>
                <w:sz w:val="20"/>
                <w:szCs w:val="20"/>
              </w:rPr>
            </w:pPr>
            <w:r w:rsidRPr="00AB34C7">
              <w:rPr>
                <w:rFonts w:ascii="Arial Narrow" w:hAnsi="Arial Narrow"/>
                <w:b/>
                <w:sz w:val="20"/>
                <w:szCs w:val="20"/>
              </w:rPr>
              <w:t>PBS item code</w:t>
            </w:r>
          </w:p>
        </w:tc>
        <w:tc>
          <w:tcPr>
            <w:tcW w:w="709" w:type="pct"/>
          </w:tcPr>
          <w:p w14:paraId="01478627" w14:textId="77777777" w:rsidR="00E26DA4" w:rsidRPr="00AB34C7" w:rsidRDefault="00E26DA4" w:rsidP="00DB278B">
            <w:pPr>
              <w:ind w:left="-108"/>
              <w:jc w:val="center"/>
              <w:rPr>
                <w:rFonts w:ascii="Arial Narrow" w:hAnsi="Arial Narrow"/>
                <w:b/>
                <w:sz w:val="20"/>
                <w:szCs w:val="20"/>
              </w:rPr>
            </w:pPr>
            <w:r w:rsidRPr="00AB34C7">
              <w:rPr>
                <w:rFonts w:ascii="Arial Narrow" w:hAnsi="Arial Narrow"/>
                <w:b/>
                <w:sz w:val="20"/>
                <w:szCs w:val="20"/>
              </w:rPr>
              <w:t>Max. qty packs</w:t>
            </w:r>
          </w:p>
        </w:tc>
        <w:tc>
          <w:tcPr>
            <w:tcW w:w="709" w:type="pct"/>
          </w:tcPr>
          <w:p w14:paraId="2FF22544" w14:textId="77777777" w:rsidR="00E26DA4" w:rsidRPr="00AB34C7" w:rsidRDefault="00E26DA4" w:rsidP="00DB278B">
            <w:pPr>
              <w:ind w:left="-108"/>
              <w:jc w:val="center"/>
              <w:rPr>
                <w:rFonts w:ascii="Arial Narrow" w:hAnsi="Arial Narrow"/>
                <w:b/>
                <w:sz w:val="20"/>
                <w:szCs w:val="20"/>
              </w:rPr>
            </w:pPr>
            <w:r w:rsidRPr="00AB34C7">
              <w:rPr>
                <w:rFonts w:ascii="Arial Narrow" w:hAnsi="Arial Narrow"/>
                <w:b/>
                <w:sz w:val="20"/>
                <w:szCs w:val="20"/>
              </w:rPr>
              <w:t>Max. qty units</w:t>
            </w:r>
          </w:p>
        </w:tc>
        <w:tc>
          <w:tcPr>
            <w:tcW w:w="709" w:type="pct"/>
          </w:tcPr>
          <w:p w14:paraId="778C63CA" w14:textId="77777777" w:rsidR="00E26DA4" w:rsidRPr="00AB34C7" w:rsidRDefault="00E26DA4" w:rsidP="00DB278B">
            <w:pPr>
              <w:ind w:left="-108"/>
              <w:jc w:val="center"/>
              <w:rPr>
                <w:rFonts w:ascii="Arial Narrow" w:hAnsi="Arial Narrow"/>
                <w:b/>
                <w:sz w:val="20"/>
                <w:szCs w:val="20"/>
              </w:rPr>
            </w:pPr>
            <w:r w:rsidRPr="00AB34C7">
              <w:rPr>
                <w:rFonts w:ascii="Arial Narrow" w:hAnsi="Arial Narrow"/>
                <w:b/>
                <w:sz w:val="20"/>
                <w:szCs w:val="20"/>
              </w:rPr>
              <w:t>№.of</w:t>
            </w:r>
          </w:p>
          <w:p w14:paraId="5FDD29AA" w14:textId="77777777" w:rsidR="00E26DA4" w:rsidRPr="00AB34C7" w:rsidRDefault="00E26DA4" w:rsidP="00DB278B">
            <w:pPr>
              <w:ind w:left="-108"/>
              <w:jc w:val="center"/>
              <w:rPr>
                <w:rFonts w:ascii="Arial Narrow" w:hAnsi="Arial Narrow"/>
                <w:b/>
                <w:sz w:val="20"/>
                <w:szCs w:val="20"/>
              </w:rPr>
            </w:pPr>
            <w:r w:rsidRPr="00AB34C7">
              <w:rPr>
                <w:rFonts w:ascii="Arial Narrow" w:hAnsi="Arial Narrow"/>
                <w:b/>
                <w:sz w:val="20"/>
                <w:szCs w:val="20"/>
              </w:rPr>
              <w:t>Rpts</w:t>
            </w:r>
          </w:p>
        </w:tc>
        <w:tc>
          <w:tcPr>
            <w:tcW w:w="709" w:type="pct"/>
          </w:tcPr>
          <w:p w14:paraId="429448EE" w14:textId="77777777" w:rsidR="00E26DA4" w:rsidRPr="00B95C74" w:rsidRDefault="00E26DA4" w:rsidP="00DB278B">
            <w:pPr>
              <w:jc w:val="center"/>
              <w:rPr>
                <w:rFonts w:ascii="Arial Narrow" w:hAnsi="Arial Narrow"/>
                <w:b/>
                <w:sz w:val="20"/>
                <w:szCs w:val="20"/>
              </w:rPr>
            </w:pPr>
            <w:r w:rsidRPr="00AB34C7">
              <w:rPr>
                <w:rFonts w:ascii="Arial Narrow" w:hAnsi="Arial Narrow"/>
                <w:b/>
                <w:sz w:val="20"/>
                <w:szCs w:val="20"/>
              </w:rPr>
              <w:t>Available brands</w:t>
            </w:r>
          </w:p>
        </w:tc>
      </w:tr>
      <w:tr w:rsidR="00E26DA4" w:rsidRPr="00AB34C7" w14:paraId="7AB3790C" w14:textId="77777777" w:rsidTr="00E26DA4">
        <w:trPr>
          <w:cantSplit/>
        </w:trPr>
        <w:tc>
          <w:tcPr>
            <w:tcW w:w="5000" w:type="pct"/>
            <w:gridSpan w:val="8"/>
          </w:tcPr>
          <w:p w14:paraId="10612ACB" w14:textId="77777777" w:rsidR="00E26DA4" w:rsidRPr="00AB34C7" w:rsidRDefault="00E26DA4" w:rsidP="00DB278B">
            <w:pPr>
              <w:ind w:left="-57"/>
              <w:rPr>
                <w:rFonts w:ascii="Arial Narrow" w:hAnsi="Arial Narrow"/>
                <w:sz w:val="20"/>
                <w:szCs w:val="20"/>
              </w:rPr>
            </w:pPr>
            <w:r w:rsidRPr="00AB34C7">
              <w:rPr>
                <w:rFonts w:ascii="Arial Narrow" w:hAnsi="Arial Narrow"/>
                <w:sz w:val="20"/>
                <w:szCs w:val="20"/>
              </w:rPr>
              <w:t>VENETOCLAX</w:t>
            </w:r>
          </w:p>
        </w:tc>
      </w:tr>
      <w:tr w:rsidR="00E26DA4" w:rsidRPr="00AB34C7" w14:paraId="6A1974FB" w14:textId="77777777" w:rsidTr="00E26DA4">
        <w:trPr>
          <w:cantSplit/>
          <w:trHeight w:val="918"/>
        </w:trPr>
        <w:tc>
          <w:tcPr>
            <w:tcW w:w="1492" w:type="pct"/>
            <w:gridSpan w:val="3"/>
          </w:tcPr>
          <w:p w14:paraId="3D7180DC" w14:textId="5C6A696F" w:rsidR="00E26DA4" w:rsidRPr="00AB34C7" w:rsidRDefault="00E26DA4" w:rsidP="00E26DA4">
            <w:pPr>
              <w:jc w:val="left"/>
              <w:rPr>
                <w:rFonts w:ascii="Arial Narrow" w:hAnsi="Arial Narrow"/>
                <w:sz w:val="20"/>
                <w:szCs w:val="20"/>
              </w:rPr>
            </w:pPr>
            <w:r w:rsidRPr="00AB34C7">
              <w:rPr>
                <w:rFonts w:ascii="Arial Narrow" w:hAnsi="Arial Narrow" w:cstheme="minorBidi"/>
                <w:sz w:val="20"/>
                <w:szCs w:val="20"/>
              </w:rPr>
              <w:t>venetoclax 10 mg tablet [14] (&amp;) venetoclax 50 mg tablet [7] (&amp;) venetoclax 100 mg tablet [7] (&amp;) venetoclax 100 mg tablet [14], 1 pack</w:t>
            </w:r>
          </w:p>
        </w:tc>
        <w:tc>
          <w:tcPr>
            <w:tcW w:w="672" w:type="pct"/>
          </w:tcPr>
          <w:p w14:paraId="46694A31" w14:textId="77777777" w:rsidR="00E26DA4" w:rsidRPr="00AB34C7" w:rsidRDefault="00E26DA4" w:rsidP="00DB278B">
            <w:pPr>
              <w:jc w:val="center"/>
              <w:rPr>
                <w:rFonts w:ascii="Arial Narrow" w:hAnsi="Arial Narrow"/>
                <w:sz w:val="20"/>
                <w:szCs w:val="20"/>
              </w:rPr>
            </w:pPr>
            <w:r w:rsidRPr="00AB34C7">
              <w:rPr>
                <w:rFonts w:ascii="Arial Narrow" w:hAnsi="Arial Narrow"/>
                <w:sz w:val="20"/>
                <w:szCs w:val="20"/>
              </w:rPr>
              <w:t>NEW</w:t>
            </w:r>
          </w:p>
        </w:tc>
        <w:tc>
          <w:tcPr>
            <w:tcW w:w="709" w:type="pct"/>
          </w:tcPr>
          <w:p w14:paraId="50502493" w14:textId="77777777" w:rsidR="00E26DA4" w:rsidRPr="00AB34C7" w:rsidRDefault="00E26DA4" w:rsidP="00DB278B">
            <w:pPr>
              <w:jc w:val="center"/>
              <w:rPr>
                <w:rFonts w:ascii="Arial Narrow" w:hAnsi="Arial Narrow"/>
                <w:sz w:val="20"/>
                <w:szCs w:val="20"/>
              </w:rPr>
            </w:pPr>
            <w:r w:rsidRPr="00AB34C7">
              <w:rPr>
                <w:rFonts w:ascii="Arial Narrow" w:hAnsi="Arial Narrow"/>
                <w:sz w:val="20"/>
                <w:szCs w:val="20"/>
              </w:rPr>
              <w:t>1</w:t>
            </w:r>
          </w:p>
        </w:tc>
        <w:tc>
          <w:tcPr>
            <w:tcW w:w="709" w:type="pct"/>
          </w:tcPr>
          <w:p w14:paraId="2D97EF06" w14:textId="77777777" w:rsidR="00E26DA4" w:rsidRPr="00AB34C7" w:rsidRDefault="00E26DA4" w:rsidP="00DB278B">
            <w:pPr>
              <w:jc w:val="center"/>
              <w:rPr>
                <w:rFonts w:ascii="Arial Narrow" w:hAnsi="Arial Narrow"/>
                <w:sz w:val="20"/>
                <w:szCs w:val="20"/>
              </w:rPr>
            </w:pPr>
            <w:r w:rsidRPr="00AB34C7">
              <w:rPr>
                <w:rFonts w:ascii="Arial Narrow" w:hAnsi="Arial Narrow"/>
                <w:sz w:val="20"/>
                <w:szCs w:val="20"/>
              </w:rPr>
              <w:t>1</w:t>
            </w:r>
          </w:p>
        </w:tc>
        <w:tc>
          <w:tcPr>
            <w:tcW w:w="709" w:type="pct"/>
          </w:tcPr>
          <w:p w14:paraId="38B987EE" w14:textId="77777777" w:rsidR="00E26DA4" w:rsidRPr="00AB34C7" w:rsidRDefault="00E26DA4" w:rsidP="00DB278B">
            <w:pPr>
              <w:jc w:val="center"/>
              <w:rPr>
                <w:rFonts w:ascii="Arial Narrow" w:hAnsi="Arial Narrow"/>
                <w:sz w:val="20"/>
                <w:szCs w:val="20"/>
              </w:rPr>
            </w:pPr>
            <w:r w:rsidRPr="00AB34C7">
              <w:rPr>
                <w:rFonts w:ascii="Arial Narrow" w:hAnsi="Arial Narrow"/>
                <w:sz w:val="20"/>
                <w:szCs w:val="20"/>
              </w:rPr>
              <w:t>0</w:t>
            </w:r>
          </w:p>
        </w:tc>
        <w:tc>
          <w:tcPr>
            <w:tcW w:w="709" w:type="pct"/>
          </w:tcPr>
          <w:p w14:paraId="40A08BA1" w14:textId="77777777" w:rsidR="00E26DA4" w:rsidRPr="00AB34C7" w:rsidRDefault="00E26DA4" w:rsidP="00DB278B">
            <w:pPr>
              <w:jc w:val="center"/>
              <w:rPr>
                <w:rFonts w:ascii="Arial Narrow" w:eastAsiaTheme="majorEastAsia" w:hAnsi="Arial Narrow" w:cstheme="majorBidi"/>
                <w:bCs/>
                <w:sz w:val="20"/>
                <w:szCs w:val="20"/>
              </w:rPr>
            </w:pPr>
            <w:r w:rsidRPr="00AB34C7">
              <w:rPr>
                <w:rFonts w:ascii="Arial Narrow" w:eastAsiaTheme="majorEastAsia" w:hAnsi="Arial Narrow"/>
                <w:bCs/>
                <w:sz w:val="20"/>
                <w:szCs w:val="20"/>
              </w:rPr>
              <w:t>Venclexta</w:t>
            </w:r>
          </w:p>
        </w:tc>
      </w:tr>
      <w:tr w:rsidR="00E26DA4" w:rsidRPr="00AB34C7" w14:paraId="00680E8F" w14:textId="77777777" w:rsidTr="00E26DA4">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14:paraId="201FD62C" w14:textId="77777777" w:rsidR="00E26DA4" w:rsidRPr="00AB34C7" w:rsidRDefault="00E26DA4" w:rsidP="00DB278B">
            <w:pPr>
              <w:rPr>
                <w:rFonts w:ascii="Arial Narrow" w:hAnsi="Arial Narrow"/>
                <w:sz w:val="20"/>
                <w:szCs w:val="20"/>
              </w:rPr>
            </w:pPr>
          </w:p>
        </w:tc>
      </w:tr>
      <w:tr w:rsidR="00E26DA4" w:rsidRPr="00AB34C7" w14:paraId="5420F714" w14:textId="77777777" w:rsidTr="00E26DA4">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14:paraId="1E3E3917" w14:textId="77777777" w:rsidR="00E26DA4" w:rsidRPr="00AB34C7" w:rsidRDefault="00E26DA4" w:rsidP="00DB278B">
            <w:pPr>
              <w:rPr>
                <w:rFonts w:ascii="Arial Narrow" w:hAnsi="Arial Narrow"/>
                <w:b/>
                <w:sz w:val="20"/>
                <w:szCs w:val="20"/>
              </w:rPr>
            </w:pPr>
            <w:r w:rsidRPr="00AB34C7">
              <w:rPr>
                <w:rFonts w:ascii="Arial Narrow" w:hAnsi="Arial Narrow"/>
                <w:b/>
                <w:sz w:val="20"/>
                <w:szCs w:val="20"/>
              </w:rPr>
              <w:t xml:space="preserve">Restriction Summary [new] / Treatment of Concept: [new] </w:t>
            </w:r>
          </w:p>
        </w:tc>
      </w:tr>
      <w:tr w:rsidR="00E26DA4" w:rsidRPr="00AB34C7" w14:paraId="50DC5FCB" w14:textId="77777777" w:rsidTr="00E26DA4">
        <w:tblPrEx>
          <w:tblCellMar>
            <w:top w:w="15" w:type="dxa"/>
            <w:left w:w="15" w:type="dxa"/>
            <w:bottom w:w="15" w:type="dxa"/>
            <w:right w:w="15" w:type="dxa"/>
          </w:tblCellMar>
          <w:tblLook w:val="04A0" w:firstRow="1" w:lastRow="0" w:firstColumn="1" w:lastColumn="0" w:noHBand="0" w:noVBand="1"/>
        </w:tblPrEx>
        <w:tc>
          <w:tcPr>
            <w:tcW w:w="862" w:type="pct"/>
            <w:gridSpan w:val="2"/>
            <w:vMerge w:val="restart"/>
            <w:tcBorders>
              <w:top w:val="single" w:sz="4" w:space="0" w:color="auto"/>
              <w:left w:val="single" w:sz="4" w:space="0" w:color="auto"/>
              <w:right w:val="single" w:sz="4" w:space="0" w:color="auto"/>
            </w:tcBorders>
          </w:tcPr>
          <w:p w14:paraId="78CC8FE4" w14:textId="26A0E57E" w:rsidR="00E26DA4" w:rsidRPr="00AB34C7" w:rsidRDefault="00E26DA4" w:rsidP="00DB278B">
            <w:pPr>
              <w:jc w:val="center"/>
              <w:rPr>
                <w:rFonts w:ascii="Arial Narrow" w:hAnsi="Arial Narrow"/>
                <w:b/>
                <w:sz w:val="20"/>
                <w:szCs w:val="20"/>
              </w:rPr>
            </w:pPr>
          </w:p>
        </w:tc>
        <w:tc>
          <w:tcPr>
            <w:tcW w:w="4138" w:type="pct"/>
            <w:gridSpan w:val="6"/>
            <w:tcBorders>
              <w:top w:val="single" w:sz="4" w:space="0" w:color="auto"/>
              <w:left w:val="single" w:sz="4" w:space="0" w:color="auto"/>
              <w:right w:val="single" w:sz="4" w:space="0" w:color="auto"/>
            </w:tcBorders>
          </w:tcPr>
          <w:p w14:paraId="072FD3C8" w14:textId="77777777" w:rsidR="00E26DA4" w:rsidRPr="00AB34C7" w:rsidRDefault="00E26DA4" w:rsidP="00DB278B">
            <w:pPr>
              <w:rPr>
                <w:rFonts w:ascii="Arial Narrow" w:hAnsi="Arial Narrow"/>
                <w:sz w:val="20"/>
                <w:szCs w:val="20"/>
              </w:rPr>
            </w:pPr>
            <w:r w:rsidRPr="00AB34C7">
              <w:rPr>
                <w:rFonts w:ascii="Arial Narrow" w:hAnsi="Arial Narrow"/>
                <w:b/>
                <w:sz w:val="20"/>
                <w:szCs w:val="20"/>
              </w:rPr>
              <w:t xml:space="preserve">Category / Program: </w:t>
            </w:r>
            <w:r w:rsidRPr="00AB34C7">
              <w:rPr>
                <w:rFonts w:ascii="Arial Narrow" w:hAnsi="Arial Narrow"/>
                <w:sz w:val="20"/>
                <w:szCs w:val="20"/>
              </w:rPr>
              <w:t xml:space="preserve">GENERAL – General Schedule (Code GE) </w:t>
            </w:r>
          </w:p>
        </w:tc>
      </w:tr>
      <w:tr w:rsidR="00E26DA4" w:rsidRPr="00AB34C7" w14:paraId="4F1508E4" w14:textId="77777777" w:rsidTr="00E26DA4">
        <w:tblPrEx>
          <w:tblCellMar>
            <w:top w:w="15" w:type="dxa"/>
            <w:left w:w="15" w:type="dxa"/>
            <w:bottom w:w="15" w:type="dxa"/>
            <w:right w:w="15" w:type="dxa"/>
          </w:tblCellMar>
          <w:tblLook w:val="04A0" w:firstRow="1" w:lastRow="0" w:firstColumn="1" w:lastColumn="0" w:noHBand="0" w:noVBand="1"/>
        </w:tblPrEx>
        <w:tc>
          <w:tcPr>
            <w:tcW w:w="862" w:type="pct"/>
            <w:gridSpan w:val="2"/>
            <w:vMerge/>
            <w:tcBorders>
              <w:left w:val="single" w:sz="4" w:space="0" w:color="auto"/>
              <w:right w:val="single" w:sz="4" w:space="0" w:color="auto"/>
            </w:tcBorders>
          </w:tcPr>
          <w:p w14:paraId="3153DB2B" w14:textId="77777777" w:rsidR="00E26DA4" w:rsidRPr="00AB34C7" w:rsidRDefault="00E26DA4" w:rsidP="00DB278B">
            <w:pPr>
              <w:rPr>
                <w:rFonts w:ascii="Arial Narrow" w:hAnsi="Arial Narrow"/>
                <w:sz w:val="20"/>
                <w:szCs w:val="20"/>
              </w:rPr>
            </w:pPr>
          </w:p>
        </w:tc>
        <w:tc>
          <w:tcPr>
            <w:tcW w:w="4138" w:type="pct"/>
            <w:gridSpan w:val="6"/>
            <w:tcBorders>
              <w:left w:val="single" w:sz="4" w:space="0" w:color="auto"/>
              <w:right w:val="single" w:sz="4" w:space="0" w:color="auto"/>
            </w:tcBorders>
          </w:tcPr>
          <w:p w14:paraId="55D45D88" w14:textId="77777777" w:rsidR="00E26DA4" w:rsidRPr="00AB34C7" w:rsidRDefault="00E26DA4" w:rsidP="00DB278B">
            <w:pPr>
              <w:rPr>
                <w:rFonts w:ascii="Arial Narrow" w:hAnsi="Arial Narrow"/>
                <w:b/>
                <w:sz w:val="20"/>
                <w:szCs w:val="20"/>
              </w:rPr>
            </w:pPr>
            <w:r w:rsidRPr="00AB34C7">
              <w:rPr>
                <w:rFonts w:ascii="Arial Narrow" w:hAnsi="Arial Narrow"/>
                <w:b/>
                <w:sz w:val="20"/>
                <w:szCs w:val="20"/>
              </w:rPr>
              <w:t xml:space="preserve">Prescriber type: </w:t>
            </w:r>
            <w:r w:rsidRPr="00AB34C7">
              <w:rPr>
                <w:rFonts w:ascii="Arial Narrow" w:hAnsi="Arial Narrow"/>
                <w:sz w:val="20"/>
                <w:szCs w:val="20"/>
              </w:rPr>
              <w:fldChar w:fldCharType="begin" w:fldLock="1">
                <w:ffData>
                  <w:name w:val=""/>
                  <w:enabled/>
                  <w:calcOnExit w:val="0"/>
                  <w:checkBox>
                    <w:sizeAuto/>
                    <w:default w:val="1"/>
                  </w:checkBox>
                </w:ffData>
              </w:fldChar>
            </w:r>
            <w:r w:rsidRPr="00AB34C7">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AB34C7">
              <w:rPr>
                <w:rFonts w:ascii="Arial Narrow" w:hAnsi="Arial Narrow"/>
                <w:sz w:val="20"/>
                <w:szCs w:val="20"/>
              </w:rPr>
              <w:fldChar w:fldCharType="end"/>
            </w:r>
            <w:r w:rsidRPr="00AB34C7">
              <w:rPr>
                <w:rFonts w:ascii="Arial Narrow" w:hAnsi="Arial Narrow"/>
                <w:sz w:val="20"/>
                <w:szCs w:val="20"/>
              </w:rPr>
              <w:t>Medical Practitioners</w:t>
            </w:r>
          </w:p>
        </w:tc>
      </w:tr>
      <w:tr w:rsidR="00E26DA4" w:rsidRPr="00AB34C7" w14:paraId="4F8927E1" w14:textId="77777777" w:rsidTr="00E26DA4">
        <w:tblPrEx>
          <w:tblCellMar>
            <w:top w:w="15" w:type="dxa"/>
            <w:left w:w="15" w:type="dxa"/>
            <w:bottom w:w="15" w:type="dxa"/>
            <w:right w:w="15" w:type="dxa"/>
          </w:tblCellMar>
          <w:tblLook w:val="04A0" w:firstRow="1" w:lastRow="0" w:firstColumn="1" w:lastColumn="0" w:noHBand="0" w:noVBand="1"/>
        </w:tblPrEx>
        <w:tc>
          <w:tcPr>
            <w:tcW w:w="862" w:type="pct"/>
            <w:gridSpan w:val="2"/>
            <w:vMerge/>
            <w:tcBorders>
              <w:left w:val="single" w:sz="4" w:space="0" w:color="auto"/>
              <w:bottom w:val="single" w:sz="4" w:space="0" w:color="auto"/>
              <w:right w:val="single" w:sz="4" w:space="0" w:color="auto"/>
            </w:tcBorders>
          </w:tcPr>
          <w:p w14:paraId="7502EE8A" w14:textId="77777777" w:rsidR="00E26DA4" w:rsidRPr="00AB34C7" w:rsidRDefault="00E26DA4" w:rsidP="00DB278B">
            <w:pPr>
              <w:rPr>
                <w:rFonts w:ascii="Arial Narrow" w:hAnsi="Arial Narrow"/>
                <w:sz w:val="20"/>
                <w:szCs w:val="20"/>
              </w:rPr>
            </w:pPr>
          </w:p>
        </w:tc>
        <w:tc>
          <w:tcPr>
            <w:tcW w:w="4138" w:type="pct"/>
            <w:gridSpan w:val="6"/>
            <w:tcBorders>
              <w:left w:val="single" w:sz="4" w:space="0" w:color="auto"/>
              <w:bottom w:val="single" w:sz="4" w:space="0" w:color="auto"/>
              <w:right w:val="single" w:sz="4" w:space="0" w:color="auto"/>
            </w:tcBorders>
          </w:tcPr>
          <w:p w14:paraId="0D4FF57B" w14:textId="77777777" w:rsidR="00E26DA4" w:rsidRPr="00AB34C7" w:rsidRDefault="00E26DA4" w:rsidP="00DB278B">
            <w:pPr>
              <w:rPr>
                <w:rFonts w:ascii="Arial Narrow" w:eastAsia="Calibri" w:hAnsi="Arial Narrow"/>
                <w:sz w:val="20"/>
                <w:szCs w:val="20"/>
              </w:rPr>
            </w:pPr>
            <w:r w:rsidRPr="00AB34C7">
              <w:rPr>
                <w:rFonts w:ascii="Arial Narrow" w:hAnsi="Arial Narrow"/>
                <w:b/>
                <w:sz w:val="20"/>
                <w:szCs w:val="20"/>
              </w:rPr>
              <w:t xml:space="preserve">Restriction type: </w:t>
            </w:r>
            <w:r w:rsidRPr="00AB34C7">
              <w:rPr>
                <w:rFonts w:ascii="Arial Narrow" w:eastAsia="Calibri" w:hAnsi="Arial Narrow"/>
                <w:sz w:val="20"/>
                <w:szCs w:val="20"/>
              </w:rPr>
              <w:fldChar w:fldCharType="begin" w:fldLock="1">
                <w:ffData>
                  <w:name w:val="Check3"/>
                  <w:enabled/>
                  <w:calcOnExit w:val="0"/>
                  <w:checkBox>
                    <w:sizeAuto/>
                    <w:default w:val="1"/>
                  </w:checkBox>
                </w:ffData>
              </w:fldChar>
            </w:r>
            <w:r w:rsidRPr="00AB34C7">
              <w:rPr>
                <w:rFonts w:ascii="Arial Narrow" w:eastAsia="Calibri" w:hAnsi="Arial Narrow"/>
                <w:sz w:val="20"/>
                <w:szCs w:val="20"/>
              </w:rPr>
              <w:instrText xml:space="preserve"> FORMCHECKBOX </w:instrText>
            </w:r>
            <w:r w:rsidR="00000000">
              <w:rPr>
                <w:rFonts w:ascii="Arial Narrow" w:eastAsia="Calibri" w:hAnsi="Arial Narrow"/>
                <w:sz w:val="20"/>
                <w:szCs w:val="20"/>
              </w:rPr>
            </w:r>
            <w:r w:rsidR="00000000">
              <w:rPr>
                <w:rFonts w:ascii="Arial Narrow" w:eastAsia="Calibri" w:hAnsi="Arial Narrow"/>
                <w:sz w:val="20"/>
                <w:szCs w:val="20"/>
              </w:rPr>
              <w:fldChar w:fldCharType="separate"/>
            </w:r>
            <w:r w:rsidRPr="00AB34C7">
              <w:rPr>
                <w:rFonts w:ascii="Arial Narrow" w:eastAsia="Calibri" w:hAnsi="Arial Narrow"/>
                <w:sz w:val="20"/>
                <w:szCs w:val="20"/>
              </w:rPr>
              <w:fldChar w:fldCharType="end"/>
            </w:r>
            <w:r w:rsidRPr="00AB34C7">
              <w:rPr>
                <w:rFonts w:ascii="Arial Narrow" w:eastAsia="Calibri" w:hAnsi="Arial Narrow"/>
                <w:sz w:val="20"/>
                <w:szCs w:val="20"/>
              </w:rPr>
              <w:t xml:space="preserve"> Authority Required (telephone/electronic via PBS Authorities system)</w:t>
            </w:r>
          </w:p>
        </w:tc>
      </w:tr>
      <w:tr w:rsidR="00E26DA4" w:rsidRPr="00AB34C7" w14:paraId="2FA4826B" w14:textId="77777777" w:rsidTr="00E26DA4">
        <w:tblPrEx>
          <w:tblCellMar>
            <w:top w:w="15" w:type="dxa"/>
            <w:left w:w="15" w:type="dxa"/>
            <w:bottom w:w="15" w:type="dxa"/>
            <w:right w:w="15" w:type="dxa"/>
          </w:tblCellMar>
          <w:tblLook w:val="04A0" w:firstRow="1" w:lastRow="0" w:firstColumn="1" w:lastColumn="0" w:noHBand="0" w:noVBand="1"/>
        </w:tblPrEx>
        <w:tc>
          <w:tcPr>
            <w:tcW w:w="5000" w:type="pct"/>
            <w:gridSpan w:val="8"/>
            <w:tcBorders>
              <w:left w:val="single" w:sz="4" w:space="0" w:color="auto"/>
              <w:bottom w:val="single" w:sz="4" w:space="0" w:color="auto"/>
              <w:right w:val="single" w:sz="4" w:space="0" w:color="auto"/>
            </w:tcBorders>
          </w:tcPr>
          <w:p w14:paraId="3DE5B02D" w14:textId="77777777" w:rsidR="00E26DA4" w:rsidRPr="00AB34C7" w:rsidRDefault="00E26DA4" w:rsidP="00DB278B">
            <w:pPr>
              <w:rPr>
                <w:rFonts w:ascii="Arial Narrow" w:hAnsi="Arial Narrow"/>
                <w:b/>
                <w:sz w:val="20"/>
                <w:szCs w:val="20"/>
              </w:rPr>
            </w:pPr>
          </w:p>
        </w:tc>
      </w:tr>
      <w:tr w:rsidR="00E26DA4" w:rsidRPr="00AB34C7" w14:paraId="468F29A5" w14:textId="77777777" w:rsidTr="00E26DA4">
        <w:tblPrEx>
          <w:tblCellMar>
            <w:top w:w="15" w:type="dxa"/>
            <w:left w:w="15" w:type="dxa"/>
            <w:bottom w:w="15" w:type="dxa"/>
            <w:right w:w="15" w:type="dxa"/>
          </w:tblCellMar>
          <w:tblLook w:val="04A0" w:firstRow="1" w:lastRow="0" w:firstColumn="1" w:lastColumn="0" w:noHBand="0" w:noVBand="1"/>
        </w:tblPrEx>
        <w:tc>
          <w:tcPr>
            <w:tcW w:w="151" w:type="pct"/>
            <w:vMerge w:val="restart"/>
            <w:tcBorders>
              <w:left w:val="single" w:sz="4" w:space="0" w:color="auto"/>
              <w:right w:val="single" w:sz="4" w:space="0" w:color="auto"/>
            </w:tcBorders>
            <w:textDirection w:val="btLr"/>
          </w:tcPr>
          <w:p w14:paraId="552C1511" w14:textId="0590E7F9" w:rsidR="00E26DA4" w:rsidRPr="00AB34C7" w:rsidRDefault="00E26DA4" w:rsidP="00DB278B">
            <w:pPr>
              <w:ind w:left="113" w:right="113"/>
              <w:jc w:val="center"/>
              <w:rPr>
                <w:rFonts w:ascii="Arial Narrow" w:hAnsi="Arial Narrow"/>
                <w:sz w:val="20"/>
                <w:szCs w:val="20"/>
              </w:rPr>
            </w:pPr>
          </w:p>
        </w:tc>
        <w:tc>
          <w:tcPr>
            <w:tcW w:w="711" w:type="pct"/>
          </w:tcPr>
          <w:p w14:paraId="173110FC" w14:textId="231FDCBA" w:rsidR="00E26DA4" w:rsidRPr="00AB34C7" w:rsidRDefault="00E26DA4" w:rsidP="00DB278B">
            <w:pPr>
              <w:jc w:val="center"/>
              <w:rPr>
                <w:rFonts w:ascii="Arial Narrow" w:hAnsi="Arial Narrow"/>
                <w:bCs/>
                <w:sz w:val="20"/>
                <w:szCs w:val="20"/>
              </w:rPr>
            </w:pPr>
          </w:p>
        </w:tc>
        <w:tc>
          <w:tcPr>
            <w:tcW w:w="4138" w:type="pct"/>
            <w:gridSpan w:val="6"/>
            <w:tcBorders>
              <w:right w:val="single" w:sz="4" w:space="0" w:color="auto"/>
            </w:tcBorders>
          </w:tcPr>
          <w:p w14:paraId="58120679" w14:textId="6F731995" w:rsidR="00E26DA4" w:rsidRPr="00AB34C7" w:rsidRDefault="00E26DA4" w:rsidP="00DB278B">
            <w:pPr>
              <w:rPr>
                <w:rFonts w:ascii="Arial Narrow" w:eastAsia="Arial Narrow" w:hAnsi="Arial Narrow" w:cs="Arial Narrow"/>
                <w:bCs/>
                <w:color w:val="333333"/>
                <w:sz w:val="20"/>
                <w:szCs w:val="20"/>
              </w:rPr>
            </w:pPr>
            <w:r w:rsidRPr="00AB34C7">
              <w:rPr>
                <w:rFonts w:ascii="Arial Narrow" w:eastAsia="Arial Narrow" w:hAnsi="Arial Narrow" w:cs="Arial Narrow"/>
                <w:b/>
                <w:color w:val="333333"/>
                <w:sz w:val="20"/>
                <w:szCs w:val="20"/>
              </w:rPr>
              <w:t xml:space="preserve">Administrative advice: </w:t>
            </w:r>
            <w:r w:rsidRPr="00AB34C7">
              <w:rPr>
                <w:rFonts w:ascii="Arial Narrow" w:eastAsia="Arial Narrow" w:hAnsi="Arial Narrow" w:cs="Arial Narrow"/>
                <w:bCs/>
                <w:color w:val="333333"/>
                <w:sz w:val="20"/>
                <w:szCs w:val="20"/>
              </w:rPr>
              <w:t xml:space="preserve">Applications for authorisation under this restriction may be made in real time using the Online PBS Authorities system (see </w:t>
            </w:r>
            <w:hyperlink r:id="rId12" w:history="1">
              <w:r w:rsidR="0050539C" w:rsidRPr="00326077">
                <w:rPr>
                  <w:rStyle w:val="Hyperlink"/>
                  <w:rFonts w:ascii="Arial Narrow" w:eastAsia="Arial Narrow" w:hAnsi="Arial Narrow" w:cs="Arial Narrow"/>
                  <w:bCs/>
                  <w:sz w:val="20"/>
                  <w:szCs w:val="20"/>
                </w:rPr>
                <w:t>www.servicesaustralia</w:t>
              </w:r>
            </w:hyperlink>
            <w:r w:rsidRPr="00AB34C7">
              <w:rPr>
                <w:rFonts w:ascii="Arial Narrow" w:eastAsia="Arial Narrow" w:hAnsi="Arial Narrow" w:cs="Arial Narrow"/>
                <w:bCs/>
                <w:color w:val="333333"/>
                <w:sz w:val="20"/>
                <w:szCs w:val="20"/>
              </w:rPr>
              <w:t>.gov.au/HPOS) or by telephone by contacting Services Australia on 1800 888 333</w:t>
            </w:r>
          </w:p>
        </w:tc>
      </w:tr>
      <w:tr w:rsidR="00E26DA4" w:rsidRPr="00AB34C7" w14:paraId="64B95AF1" w14:textId="77777777" w:rsidTr="00E26DA4">
        <w:tblPrEx>
          <w:tblCellMar>
            <w:top w:w="15" w:type="dxa"/>
            <w:left w:w="15" w:type="dxa"/>
            <w:bottom w:w="15" w:type="dxa"/>
            <w:right w:w="15" w:type="dxa"/>
          </w:tblCellMar>
          <w:tblLook w:val="04A0" w:firstRow="1" w:lastRow="0" w:firstColumn="1" w:lastColumn="0" w:noHBand="0" w:noVBand="1"/>
        </w:tblPrEx>
        <w:tc>
          <w:tcPr>
            <w:tcW w:w="151" w:type="pct"/>
            <w:vMerge/>
            <w:tcBorders>
              <w:left w:val="single" w:sz="4" w:space="0" w:color="auto"/>
              <w:right w:val="single" w:sz="4" w:space="0" w:color="auto"/>
            </w:tcBorders>
            <w:textDirection w:val="btLr"/>
          </w:tcPr>
          <w:p w14:paraId="7D3D8909" w14:textId="77777777" w:rsidR="00E26DA4" w:rsidRPr="00AB34C7" w:rsidRDefault="00E26DA4" w:rsidP="00DB278B">
            <w:pPr>
              <w:ind w:left="113" w:right="113"/>
              <w:jc w:val="center"/>
              <w:rPr>
                <w:rFonts w:ascii="Arial Narrow" w:hAnsi="Arial Narrow"/>
                <w:sz w:val="20"/>
                <w:szCs w:val="20"/>
              </w:rPr>
            </w:pPr>
          </w:p>
        </w:tc>
        <w:tc>
          <w:tcPr>
            <w:tcW w:w="711" w:type="pct"/>
          </w:tcPr>
          <w:p w14:paraId="3CBF2644" w14:textId="186397ED" w:rsidR="00E26DA4" w:rsidRPr="00AB34C7" w:rsidRDefault="00E26DA4" w:rsidP="00DB278B">
            <w:pPr>
              <w:jc w:val="center"/>
              <w:rPr>
                <w:rFonts w:ascii="Arial Narrow" w:hAnsi="Arial Narrow"/>
                <w:sz w:val="20"/>
                <w:szCs w:val="20"/>
              </w:rPr>
            </w:pPr>
          </w:p>
        </w:tc>
        <w:tc>
          <w:tcPr>
            <w:tcW w:w="4138" w:type="pct"/>
            <w:gridSpan w:val="6"/>
            <w:tcBorders>
              <w:right w:val="single" w:sz="4" w:space="0" w:color="auto"/>
            </w:tcBorders>
          </w:tcPr>
          <w:p w14:paraId="0747B362" w14:textId="77777777" w:rsidR="00E26DA4" w:rsidRPr="00AB34C7" w:rsidRDefault="00E26DA4" w:rsidP="00DB278B">
            <w:pPr>
              <w:rPr>
                <w:rFonts w:ascii="Arial Narrow" w:hAnsi="Arial Narrow"/>
                <w:sz w:val="20"/>
                <w:szCs w:val="20"/>
              </w:rPr>
            </w:pPr>
            <w:r w:rsidRPr="00AB34C7">
              <w:rPr>
                <w:rFonts w:ascii="Arial Narrow" w:eastAsia="Arial Narrow" w:hAnsi="Arial Narrow" w:cs="Arial Narrow"/>
                <w:b/>
                <w:color w:val="333333"/>
                <w:sz w:val="20"/>
                <w:szCs w:val="20"/>
              </w:rPr>
              <w:t xml:space="preserve">Administrative Advice: </w:t>
            </w:r>
            <w:r w:rsidRPr="00AB34C7">
              <w:rPr>
                <w:rFonts w:ascii="Arial Narrow" w:eastAsia="Arial Narrow" w:hAnsi="Arial Narrow" w:cs="Arial Narrow"/>
                <w:color w:val="333333"/>
                <w:sz w:val="20"/>
                <w:szCs w:val="20"/>
              </w:rPr>
              <w:t>No increase in the maximum quantity or number of units may be authorised.</w:t>
            </w:r>
          </w:p>
        </w:tc>
      </w:tr>
      <w:tr w:rsidR="00E26DA4" w:rsidRPr="00AB34C7" w14:paraId="53D10E7E" w14:textId="77777777" w:rsidTr="00E26DA4">
        <w:tblPrEx>
          <w:tblCellMar>
            <w:top w:w="15" w:type="dxa"/>
            <w:left w:w="15" w:type="dxa"/>
            <w:bottom w:w="15" w:type="dxa"/>
            <w:right w:w="15" w:type="dxa"/>
          </w:tblCellMar>
          <w:tblLook w:val="04A0" w:firstRow="1" w:lastRow="0" w:firstColumn="1" w:lastColumn="0" w:noHBand="0" w:noVBand="1"/>
        </w:tblPrEx>
        <w:tc>
          <w:tcPr>
            <w:tcW w:w="151" w:type="pct"/>
            <w:vMerge/>
            <w:tcBorders>
              <w:left w:val="single" w:sz="4" w:space="0" w:color="auto"/>
              <w:right w:val="single" w:sz="4" w:space="0" w:color="auto"/>
            </w:tcBorders>
            <w:textDirection w:val="btLr"/>
          </w:tcPr>
          <w:p w14:paraId="35E2AD10" w14:textId="77777777" w:rsidR="00E26DA4" w:rsidRPr="00AB34C7" w:rsidRDefault="00E26DA4" w:rsidP="00DB278B">
            <w:pPr>
              <w:ind w:left="113" w:right="113"/>
              <w:jc w:val="center"/>
              <w:rPr>
                <w:rFonts w:ascii="Arial Narrow" w:hAnsi="Arial Narrow"/>
                <w:sz w:val="20"/>
                <w:szCs w:val="20"/>
              </w:rPr>
            </w:pPr>
          </w:p>
        </w:tc>
        <w:tc>
          <w:tcPr>
            <w:tcW w:w="711" w:type="pct"/>
          </w:tcPr>
          <w:p w14:paraId="54160CA9" w14:textId="3FC81618" w:rsidR="00E26DA4" w:rsidRPr="00AB34C7" w:rsidRDefault="00E26DA4" w:rsidP="00DB278B">
            <w:pPr>
              <w:jc w:val="center"/>
              <w:rPr>
                <w:rFonts w:ascii="Arial Narrow" w:hAnsi="Arial Narrow"/>
                <w:sz w:val="20"/>
                <w:szCs w:val="20"/>
              </w:rPr>
            </w:pPr>
          </w:p>
        </w:tc>
        <w:tc>
          <w:tcPr>
            <w:tcW w:w="4138" w:type="pct"/>
            <w:gridSpan w:val="6"/>
          </w:tcPr>
          <w:p w14:paraId="66F8047D" w14:textId="77777777" w:rsidR="00E26DA4" w:rsidRPr="00AB34C7" w:rsidRDefault="00E26DA4" w:rsidP="00DB278B">
            <w:pPr>
              <w:rPr>
                <w:rFonts w:ascii="Arial Narrow" w:hAnsi="Arial Narrow"/>
                <w:sz w:val="20"/>
                <w:szCs w:val="20"/>
              </w:rPr>
            </w:pPr>
            <w:r w:rsidRPr="00AB34C7">
              <w:rPr>
                <w:rFonts w:ascii="Arial Narrow" w:hAnsi="Arial Narrow"/>
                <w:b/>
                <w:bCs/>
                <w:sz w:val="20"/>
                <w:szCs w:val="20"/>
              </w:rPr>
              <w:t xml:space="preserve">Administrative Advice: </w:t>
            </w:r>
            <w:r w:rsidRPr="00AB34C7">
              <w:rPr>
                <w:rFonts w:ascii="Arial Narrow" w:hAnsi="Arial Narrow"/>
                <w:bCs/>
                <w:sz w:val="20"/>
                <w:szCs w:val="20"/>
              </w:rPr>
              <w:t>No increase in the maximum number of repeats may be authorised.</w:t>
            </w:r>
          </w:p>
        </w:tc>
      </w:tr>
      <w:tr w:rsidR="00E26DA4" w:rsidRPr="00AB34C7" w14:paraId="4E22D0B4" w14:textId="77777777" w:rsidTr="00E26DA4">
        <w:tblPrEx>
          <w:tblCellMar>
            <w:top w:w="15" w:type="dxa"/>
            <w:left w:w="15" w:type="dxa"/>
            <w:bottom w:w="15" w:type="dxa"/>
            <w:right w:w="15" w:type="dxa"/>
          </w:tblCellMar>
          <w:tblLook w:val="04A0" w:firstRow="1" w:lastRow="0" w:firstColumn="1" w:lastColumn="0" w:noHBand="0" w:noVBand="1"/>
        </w:tblPrEx>
        <w:tc>
          <w:tcPr>
            <w:tcW w:w="151" w:type="pct"/>
            <w:vMerge/>
            <w:tcBorders>
              <w:left w:val="single" w:sz="4" w:space="0" w:color="auto"/>
              <w:right w:val="single" w:sz="4" w:space="0" w:color="auto"/>
            </w:tcBorders>
          </w:tcPr>
          <w:p w14:paraId="1625E4DF" w14:textId="77777777" w:rsidR="00E26DA4" w:rsidRPr="00AB34C7" w:rsidRDefault="00E26DA4" w:rsidP="00DB278B">
            <w:pPr>
              <w:rPr>
                <w:rFonts w:ascii="Arial Narrow" w:hAnsi="Arial Narrow"/>
                <w:sz w:val="20"/>
                <w:szCs w:val="20"/>
              </w:rPr>
            </w:pPr>
          </w:p>
        </w:tc>
        <w:tc>
          <w:tcPr>
            <w:tcW w:w="711" w:type="pct"/>
          </w:tcPr>
          <w:p w14:paraId="46CA0478" w14:textId="7A047CFE" w:rsidR="00E26DA4" w:rsidRPr="00AB34C7" w:rsidRDefault="00E26DA4" w:rsidP="00DB278B">
            <w:pPr>
              <w:jc w:val="center"/>
              <w:rPr>
                <w:rFonts w:ascii="Arial Narrow" w:hAnsi="Arial Narrow"/>
                <w:sz w:val="20"/>
                <w:szCs w:val="20"/>
              </w:rPr>
            </w:pPr>
          </w:p>
        </w:tc>
        <w:tc>
          <w:tcPr>
            <w:tcW w:w="4138" w:type="pct"/>
            <w:gridSpan w:val="6"/>
          </w:tcPr>
          <w:p w14:paraId="40B07FC7" w14:textId="77777777" w:rsidR="00E26DA4" w:rsidRPr="00AB34C7" w:rsidRDefault="00E26DA4" w:rsidP="00DB278B">
            <w:pPr>
              <w:rPr>
                <w:rFonts w:ascii="Arial Narrow" w:hAnsi="Arial Narrow"/>
                <w:b/>
                <w:bCs/>
                <w:sz w:val="20"/>
                <w:szCs w:val="20"/>
              </w:rPr>
            </w:pPr>
            <w:r w:rsidRPr="00AB34C7">
              <w:rPr>
                <w:rFonts w:ascii="Arial Narrow" w:hAnsi="Arial Narrow"/>
                <w:b/>
                <w:bCs/>
                <w:sz w:val="20"/>
                <w:szCs w:val="20"/>
              </w:rPr>
              <w:t xml:space="preserve">Administrative Advice: </w:t>
            </w:r>
            <w:r w:rsidRPr="00AB34C7">
              <w:rPr>
                <w:rFonts w:ascii="Arial Narrow" w:hAnsi="Arial Narrow"/>
                <w:bCs/>
                <w:sz w:val="20"/>
                <w:szCs w:val="20"/>
              </w:rPr>
              <w:t>Special Pricing Arrangements apply.</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79"/>
        <w:gridCol w:w="1277"/>
        <w:gridCol w:w="7461"/>
      </w:tblGrid>
      <w:tr w:rsidR="00CB5957" w:rsidRPr="00AB34C7" w14:paraId="5AA95661" w14:textId="77777777" w:rsidTr="00E26DA4">
        <w:tc>
          <w:tcPr>
            <w:tcW w:w="155" w:type="pct"/>
            <w:vMerge w:val="restart"/>
            <w:tcBorders>
              <w:left w:val="single" w:sz="4" w:space="0" w:color="auto"/>
              <w:right w:val="single" w:sz="4" w:space="0" w:color="auto"/>
            </w:tcBorders>
            <w:textDirection w:val="btLr"/>
          </w:tcPr>
          <w:p w14:paraId="36B5DE31" w14:textId="193C1A28" w:rsidR="00CB5957" w:rsidRPr="00AB34C7" w:rsidRDefault="00CB5957" w:rsidP="00DB278B">
            <w:pPr>
              <w:ind w:left="113" w:right="113"/>
              <w:jc w:val="center"/>
              <w:rPr>
                <w:rFonts w:ascii="Arial Narrow" w:hAnsi="Arial Narrow"/>
                <w:sz w:val="20"/>
                <w:szCs w:val="20"/>
              </w:rPr>
            </w:pPr>
          </w:p>
        </w:tc>
        <w:tc>
          <w:tcPr>
            <w:tcW w:w="708" w:type="pct"/>
          </w:tcPr>
          <w:p w14:paraId="7A19CBDF" w14:textId="31C42A01" w:rsidR="00CB5957" w:rsidRPr="00AB34C7" w:rsidRDefault="00CB5957" w:rsidP="00DB278B">
            <w:pPr>
              <w:jc w:val="center"/>
              <w:rPr>
                <w:rFonts w:ascii="Arial Narrow" w:hAnsi="Arial Narrow"/>
                <w:bCs/>
                <w:sz w:val="20"/>
                <w:szCs w:val="20"/>
              </w:rPr>
            </w:pPr>
          </w:p>
        </w:tc>
        <w:tc>
          <w:tcPr>
            <w:tcW w:w="4138" w:type="pct"/>
            <w:tcBorders>
              <w:top w:val="single" w:sz="4" w:space="0" w:color="auto"/>
              <w:left w:val="single" w:sz="4" w:space="0" w:color="auto"/>
              <w:bottom w:val="single" w:sz="4" w:space="0" w:color="auto"/>
              <w:right w:val="single" w:sz="4" w:space="0" w:color="auto"/>
            </w:tcBorders>
            <w:vAlign w:val="center"/>
          </w:tcPr>
          <w:p w14:paraId="4AAF348E" w14:textId="77777777" w:rsidR="00CB5957" w:rsidRPr="00AB34C7" w:rsidRDefault="00CB5957" w:rsidP="00DB278B">
            <w:pPr>
              <w:rPr>
                <w:rFonts w:ascii="Arial Narrow" w:eastAsia="Arial Narrow" w:hAnsi="Arial Narrow" w:cs="Arial Narrow"/>
                <w:bCs/>
                <w:color w:val="333333"/>
                <w:sz w:val="20"/>
                <w:szCs w:val="20"/>
              </w:rPr>
            </w:pPr>
            <w:r w:rsidRPr="00AB34C7">
              <w:rPr>
                <w:rFonts w:ascii="Arial Narrow" w:eastAsia="Arial Narrow" w:hAnsi="Arial Narrow" w:cs="Arial Narrow"/>
                <w:b/>
                <w:color w:val="333333"/>
                <w:sz w:val="20"/>
                <w:szCs w:val="20"/>
              </w:rPr>
              <w:t xml:space="preserve">Administrative Advice: </w:t>
            </w:r>
            <w:r w:rsidRPr="00AB34C7">
              <w:rPr>
                <w:rFonts w:ascii="Arial Narrow" w:eastAsia="Arial Narrow" w:hAnsi="Arial Narrow" w:cs="Arial Narrow"/>
                <w:bCs/>
                <w:color w:val="333333"/>
                <w:sz w:val="20"/>
                <w:szCs w:val="20"/>
              </w:rPr>
              <w:t>The latest International Workshop on CLL (iwCLL) provides guidance on various aspects of management of CLL/SLL. Notably, two of these are:</w:t>
            </w:r>
          </w:p>
          <w:p w14:paraId="3E7FFFE1" w14:textId="3E4F98F4" w:rsidR="00CB5957" w:rsidRPr="00AB34C7" w:rsidRDefault="00CB5957" w:rsidP="00DB278B">
            <w:pPr>
              <w:rPr>
                <w:rFonts w:ascii="Arial Narrow" w:eastAsia="Arial Narrow" w:hAnsi="Arial Narrow" w:cs="Arial Narrow"/>
                <w:bCs/>
                <w:color w:val="333333"/>
                <w:sz w:val="20"/>
                <w:szCs w:val="20"/>
              </w:rPr>
            </w:pPr>
            <w:r w:rsidRPr="00AB34C7">
              <w:rPr>
                <w:rFonts w:ascii="Arial Narrow" w:eastAsia="Arial Narrow" w:hAnsi="Arial Narrow" w:cs="Arial Narrow"/>
                <w:bCs/>
                <w:color w:val="333333"/>
                <w:sz w:val="20"/>
                <w:szCs w:val="20"/>
              </w:rPr>
              <w:t xml:space="preserve">(1) when to treat versus when to monitor the patient without therapy </w:t>
            </w:r>
            <w:r w:rsidR="0050539C">
              <w:rPr>
                <w:rFonts w:ascii="Arial Narrow" w:eastAsia="Arial Narrow" w:hAnsi="Arial Narrow" w:cs="Arial Narrow"/>
                <w:bCs/>
                <w:color w:val="333333"/>
                <w:sz w:val="20"/>
                <w:szCs w:val="20"/>
              </w:rPr>
              <w:t>–</w:t>
            </w:r>
            <w:r w:rsidRPr="00AB34C7">
              <w:rPr>
                <w:rFonts w:ascii="Arial Narrow" w:eastAsia="Arial Narrow" w:hAnsi="Arial Narrow" w:cs="Arial Narrow"/>
                <w:bCs/>
                <w:color w:val="333333"/>
                <w:sz w:val="20"/>
                <w:szCs w:val="20"/>
              </w:rPr>
              <w:t xml:space="preserve"> see </w:t>
            </w:r>
            <w:r w:rsidR="0050539C">
              <w:rPr>
                <w:rFonts w:ascii="Arial Narrow" w:eastAsia="Arial Narrow" w:hAnsi="Arial Narrow" w:cs="Arial Narrow"/>
                <w:bCs/>
                <w:color w:val="333333"/>
                <w:sz w:val="20"/>
                <w:szCs w:val="20"/>
              </w:rPr>
              <w:t>‘</w:t>
            </w:r>
            <w:r w:rsidRPr="00AB34C7">
              <w:rPr>
                <w:rFonts w:ascii="Arial Narrow" w:eastAsia="Arial Narrow" w:hAnsi="Arial Narrow" w:cs="Arial Narrow"/>
                <w:bCs/>
                <w:color w:val="333333"/>
                <w:sz w:val="20"/>
                <w:szCs w:val="20"/>
              </w:rPr>
              <w:t>Indications for treatment</w:t>
            </w:r>
            <w:r w:rsidR="0050539C">
              <w:rPr>
                <w:rFonts w:ascii="Arial Narrow" w:eastAsia="Arial Narrow" w:hAnsi="Arial Narrow" w:cs="Arial Narrow"/>
                <w:bCs/>
                <w:color w:val="333333"/>
                <w:sz w:val="20"/>
                <w:szCs w:val="20"/>
              </w:rPr>
              <w:t>’</w:t>
            </w:r>
            <w:r w:rsidRPr="00AB34C7">
              <w:rPr>
                <w:rFonts w:ascii="Arial Narrow" w:eastAsia="Arial Narrow" w:hAnsi="Arial Narrow" w:cs="Arial Narrow"/>
                <w:bCs/>
                <w:color w:val="333333"/>
                <w:sz w:val="20"/>
                <w:szCs w:val="20"/>
              </w:rPr>
              <w:t xml:space="preserve"> section; and</w:t>
            </w:r>
          </w:p>
          <w:p w14:paraId="4F8841D7" w14:textId="694788C1" w:rsidR="00CB5957" w:rsidRPr="00AB34C7" w:rsidRDefault="00CB5957" w:rsidP="00DB278B">
            <w:pPr>
              <w:rPr>
                <w:rFonts w:ascii="Arial Narrow" w:eastAsia="Arial Narrow" w:hAnsi="Arial Narrow" w:cs="Arial Narrow"/>
                <w:bCs/>
                <w:color w:val="333333"/>
                <w:sz w:val="20"/>
                <w:szCs w:val="20"/>
              </w:rPr>
            </w:pPr>
            <w:r w:rsidRPr="00AB34C7">
              <w:rPr>
                <w:rFonts w:ascii="Arial Narrow" w:eastAsia="Arial Narrow" w:hAnsi="Arial Narrow" w:cs="Arial Narrow"/>
                <w:bCs/>
                <w:color w:val="333333"/>
                <w:sz w:val="20"/>
                <w:szCs w:val="20"/>
              </w:rPr>
              <w:t xml:space="preserve">(2) recognising progressive disease </w:t>
            </w:r>
            <w:r w:rsidR="0050539C">
              <w:rPr>
                <w:rFonts w:ascii="Arial Narrow" w:eastAsia="Arial Narrow" w:hAnsi="Arial Narrow" w:cs="Arial Narrow"/>
                <w:bCs/>
                <w:color w:val="333333"/>
                <w:sz w:val="20"/>
                <w:szCs w:val="20"/>
              </w:rPr>
              <w:t>–</w:t>
            </w:r>
            <w:r w:rsidRPr="00AB34C7">
              <w:rPr>
                <w:rFonts w:ascii="Arial Narrow" w:eastAsia="Arial Narrow" w:hAnsi="Arial Narrow" w:cs="Arial Narrow"/>
                <w:bCs/>
                <w:color w:val="333333"/>
                <w:sz w:val="20"/>
                <w:szCs w:val="20"/>
              </w:rPr>
              <w:t xml:space="preserve"> see </w:t>
            </w:r>
            <w:r w:rsidR="0050539C">
              <w:rPr>
                <w:rFonts w:ascii="Arial Narrow" w:eastAsia="Arial Narrow" w:hAnsi="Arial Narrow" w:cs="Arial Narrow"/>
                <w:bCs/>
                <w:color w:val="333333"/>
                <w:sz w:val="20"/>
                <w:szCs w:val="20"/>
              </w:rPr>
              <w:t>‘</w:t>
            </w:r>
            <w:r w:rsidRPr="00AB34C7">
              <w:rPr>
                <w:rFonts w:ascii="Arial Narrow" w:eastAsia="Arial Narrow" w:hAnsi="Arial Narrow" w:cs="Arial Narrow"/>
                <w:bCs/>
                <w:color w:val="333333"/>
                <w:sz w:val="20"/>
                <w:szCs w:val="20"/>
              </w:rPr>
              <w:t>Definition of response, relapse, and refractory disease</w:t>
            </w:r>
            <w:r w:rsidR="0050539C">
              <w:rPr>
                <w:rFonts w:ascii="Arial Narrow" w:eastAsia="Arial Narrow" w:hAnsi="Arial Narrow" w:cs="Arial Narrow"/>
                <w:bCs/>
                <w:color w:val="333333"/>
                <w:sz w:val="20"/>
                <w:szCs w:val="20"/>
              </w:rPr>
              <w:t>’</w:t>
            </w:r>
            <w:r w:rsidRPr="00AB34C7">
              <w:rPr>
                <w:rFonts w:ascii="Arial Narrow" w:eastAsia="Arial Narrow" w:hAnsi="Arial Narrow" w:cs="Arial Narrow"/>
                <w:bCs/>
                <w:color w:val="333333"/>
                <w:sz w:val="20"/>
                <w:szCs w:val="20"/>
              </w:rPr>
              <w:t xml:space="preserve"> section.</w:t>
            </w:r>
          </w:p>
          <w:p w14:paraId="3952AC8C" w14:textId="77777777" w:rsidR="00CB5957" w:rsidRPr="00AB34C7" w:rsidRDefault="00CB5957" w:rsidP="00DB278B">
            <w:pPr>
              <w:rPr>
                <w:rFonts w:ascii="Arial Narrow" w:eastAsia="Arial Narrow" w:hAnsi="Arial Narrow" w:cs="Arial Narrow"/>
                <w:bCs/>
                <w:color w:val="333333"/>
                <w:sz w:val="20"/>
                <w:szCs w:val="20"/>
              </w:rPr>
            </w:pPr>
            <w:r w:rsidRPr="00AB34C7">
              <w:rPr>
                <w:rFonts w:ascii="Arial Narrow" w:eastAsia="Arial Narrow" w:hAnsi="Arial Narrow" w:cs="Arial Narrow"/>
                <w:bCs/>
                <w:color w:val="333333"/>
                <w:sz w:val="20"/>
                <w:szCs w:val="20"/>
              </w:rPr>
              <w:t>See the following literature reference for details:</w:t>
            </w:r>
          </w:p>
          <w:p w14:paraId="33B24FBA" w14:textId="77777777" w:rsidR="00CB5957" w:rsidRPr="00AB34C7" w:rsidRDefault="00CB5957" w:rsidP="00DB278B">
            <w:pPr>
              <w:rPr>
                <w:rFonts w:ascii="Arial Narrow" w:eastAsia="Arial Narrow" w:hAnsi="Arial Narrow" w:cs="Arial Narrow"/>
                <w:bCs/>
                <w:color w:val="333333"/>
                <w:sz w:val="20"/>
                <w:szCs w:val="20"/>
              </w:rPr>
            </w:pPr>
            <w:r w:rsidRPr="00AB34C7">
              <w:rPr>
                <w:rFonts w:ascii="Arial Narrow" w:eastAsia="Arial Narrow" w:hAnsi="Arial Narrow" w:cs="Arial Narrow"/>
                <w:bCs/>
                <w:color w:val="333333"/>
                <w:sz w:val="20"/>
                <w:szCs w:val="20"/>
              </w:rPr>
              <w:t>Hallek, M et al. iwCLL guidelines for diagnosis, indications for treatment, response assessment, and supportive management of CLL. Blood vol. 131, 25 (2018): 2745-2760.</w:t>
            </w:r>
          </w:p>
        </w:tc>
      </w:tr>
      <w:tr w:rsidR="00CB5957" w:rsidRPr="00AB34C7" w14:paraId="4C2CB8EF" w14:textId="77777777" w:rsidTr="00E26DA4">
        <w:tc>
          <w:tcPr>
            <w:tcW w:w="155" w:type="pct"/>
            <w:vMerge/>
            <w:tcBorders>
              <w:left w:val="single" w:sz="4" w:space="0" w:color="auto"/>
              <w:right w:val="single" w:sz="4" w:space="0" w:color="auto"/>
            </w:tcBorders>
          </w:tcPr>
          <w:p w14:paraId="2D63AFD7" w14:textId="77777777" w:rsidR="00CB5957" w:rsidRPr="00AB34C7" w:rsidRDefault="00CB5957" w:rsidP="00DB278B">
            <w:pPr>
              <w:rPr>
                <w:rFonts w:ascii="Arial Narrow" w:hAnsi="Arial Narrow"/>
                <w:sz w:val="20"/>
                <w:szCs w:val="20"/>
              </w:rPr>
            </w:pPr>
          </w:p>
        </w:tc>
        <w:tc>
          <w:tcPr>
            <w:tcW w:w="708" w:type="pct"/>
          </w:tcPr>
          <w:p w14:paraId="645D9475" w14:textId="4D8C280D" w:rsidR="00CB5957" w:rsidRPr="00AB34C7" w:rsidRDefault="00CB5957" w:rsidP="00DB278B">
            <w:pPr>
              <w:jc w:val="center"/>
              <w:rPr>
                <w:rFonts w:ascii="Arial Narrow" w:hAnsi="Arial Narrow"/>
                <w:bCs/>
                <w:sz w:val="20"/>
                <w:szCs w:val="20"/>
              </w:rPr>
            </w:pPr>
          </w:p>
        </w:tc>
        <w:tc>
          <w:tcPr>
            <w:tcW w:w="4138" w:type="pct"/>
          </w:tcPr>
          <w:p w14:paraId="75154609" w14:textId="77777777" w:rsidR="00CB5957" w:rsidRPr="00AB34C7" w:rsidRDefault="00CB5957" w:rsidP="00DB278B">
            <w:pPr>
              <w:rPr>
                <w:rFonts w:ascii="Arial Narrow" w:hAnsi="Arial Narrow"/>
                <w:b/>
                <w:bCs/>
                <w:sz w:val="20"/>
                <w:szCs w:val="20"/>
              </w:rPr>
            </w:pPr>
            <w:r w:rsidRPr="00AB34C7">
              <w:rPr>
                <w:rFonts w:ascii="Arial Narrow" w:hAnsi="Arial Narrow"/>
                <w:b/>
                <w:bCs/>
                <w:sz w:val="20"/>
                <w:szCs w:val="20"/>
              </w:rPr>
              <w:t>Administrative Advice:</w:t>
            </w:r>
            <w:r w:rsidRPr="00AB34C7">
              <w:rPr>
                <w:rFonts w:ascii="Arial Narrow" w:hAnsi="Arial Narrow" w:cs="Calibri"/>
                <w:color w:val="333333"/>
                <w:sz w:val="20"/>
                <w:szCs w:val="20"/>
              </w:rPr>
              <w:t xml:space="preserve"> A patient may only qualify for PBS-subsidised treatment under this restriction once in a lifetime.</w:t>
            </w:r>
          </w:p>
        </w:tc>
      </w:tr>
      <w:tr w:rsidR="00CB5957" w:rsidRPr="00AB34C7" w14:paraId="52104B84" w14:textId="77777777" w:rsidTr="00E26DA4">
        <w:tc>
          <w:tcPr>
            <w:tcW w:w="862" w:type="pct"/>
            <w:gridSpan w:val="2"/>
            <w:tcBorders>
              <w:top w:val="single" w:sz="4" w:space="0" w:color="auto"/>
              <w:left w:val="single" w:sz="4" w:space="0" w:color="auto"/>
              <w:bottom w:val="single" w:sz="4" w:space="0" w:color="auto"/>
              <w:right w:val="single" w:sz="4" w:space="0" w:color="auto"/>
            </w:tcBorders>
          </w:tcPr>
          <w:p w14:paraId="6ABF97CA" w14:textId="77777777" w:rsidR="00CB5957" w:rsidRPr="00AB34C7" w:rsidRDefault="00CB5957" w:rsidP="00DB278B">
            <w:pPr>
              <w:jc w:val="center"/>
              <w:rPr>
                <w:rFonts w:ascii="Arial Narrow" w:eastAsia="Arial Narrow" w:hAnsi="Arial Narrow" w:cs="Arial Narrow"/>
                <w:bCs/>
                <w:color w:val="333333"/>
                <w:sz w:val="20"/>
                <w:szCs w:val="20"/>
              </w:rPr>
            </w:pPr>
          </w:p>
        </w:tc>
        <w:tc>
          <w:tcPr>
            <w:tcW w:w="4138" w:type="pct"/>
            <w:tcBorders>
              <w:top w:val="single" w:sz="4" w:space="0" w:color="auto"/>
              <w:left w:val="single" w:sz="4" w:space="0" w:color="auto"/>
              <w:bottom w:val="single" w:sz="4" w:space="0" w:color="auto"/>
              <w:right w:val="single" w:sz="4" w:space="0" w:color="auto"/>
            </w:tcBorders>
            <w:vAlign w:val="center"/>
          </w:tcPr>
          <w:p w14:paraId="532F20F5" w14:textId="77777777" w:rsidR="00CB5957" w:rsidRPr="00AB34C7" w:rsidRDefault="00CB5957" w:rsidP="00DB278B">
            <w:pPr>
              <w:rPr>
                <w:rFonts w:ascii="Arial Narrow" w:eastAsia="Arial Narrow" w:hAnsi="Arial Narrow" w:cs="Arial Narrow"/>
                <w:b/>
                <w:bCs/>
                <w:color w:val="333333"/>
                <w:sz w:val="20"/>
                <w:szCs w:val="20"/>
              </w:rPr>
            </w:pPr>
          </w:p>
        </w:tc>
      </w:tr>
      <w:tr w:rsidR="00CB5957" w:rsidRPr="00AB34C7" w14:paraId="0ECE7802" w14:textId="77777777" w:rsidTr="00E26DA4">
        <w:tc>
          <w:tcPr>
            <w:tcW w:w="862" w:type="pct"/>
            <w:gridSpan w:val="2"/>
            <w:tcBorders>
              <w:top w:val="single" w:sz="4" w:space="0" w:color="auto"/>
              <w:left w:val="single" w:sz="4" w:space="0" w:color="auto"/>
              <w:bottom w:val="single" w:sz="4" w:space="0" w:color="auto"/>
              <w:right w:val="single" w:sz="4" w:space="0" w:color="auto"/>
            </w:tcBorders>
          </w:tcPr>
          <w:p w14:paraId="562DF219" w14:textId="14E963B3" w:rsidR="00CB5957" w:rsidRPr="00AB34C7" w:rsidRDefault="00CB5957" w:rsidP="00DB278B">
            <w:pPr>
              <w:jc w:val="center"/>
              <w:rPr>
                <w:rFonts w:ascii="Arial Narrow" w:hAnsi="Arial Narrow"/>
                <w:sz w:val="20"/>
                <w:szCs w:val="20"/>
              </w:rPr>
            </w:pPr>
          </w:p>
        </w:tc>
        <w:tc>
          <w:tcPr>
            <w:tcW w:w="4138" w:type="pct"/>
            <w:tcBorders>
              <w:top w:val="single" w:sz="4" w:space="0" w:color="auto"/>
              <w:left w:val="single" w:sz="4" w:space="0" w:color="auto"/>
              <w:bottom w:val="single" w:sz="4" w:space="0" w:color="auto"/>
              <w:right w:val="single" w:sz="4" w:space="0" w:color="auto"/>
            </w:tcBorders>
            <w:vAlign w:val="center"/>
          </w:tcPr>
          <w:p w14:paraId="3BAD9F8B" w14:textId="77777777" w:rsidR="00CB5957" w:rsidRPr="00AB34C7" w:rsidRDefault="00CB5957" w:rsidP="00DB278B">
            <w:pPr>
              <w:rPr>
                <w:rFonts w:ascii="Arial Narrow" w:hAnsi="Arial Narrow"/>
                <w:sz w:val="20"/>
                <w:szCs w:val="20"/>
              </w:rPr>
            </w:pPr>
            <w:r w:rsidRPr="00AB34C7">
              <w:rPr>
                <w:rFonts w:ascii="Arial Narrow" w:eastAsia="Arial Narrow" w:hAnsi="Arial Narrow" w:cs="Arial Narrow"/>
                <w:b/>
                <w:bCs/>
                <w:color w:val="333333"/>
                <w:sz w:val="20"/>
                <w:szCs w:val="20"/>
              </w:rPr>
              <w:t>Indication:</w:t>
            </w:r>
            <w:r w:rsidRPr="00AB34C7">
              <w:rPr>
                <w:rFonts w:ascii="Arial Narrow" w:eastAsia="Arial Narrow" w:hAnsi="Arial Narrow" w:cs="Arial Narrow"/>
                <w:color w:val="333333"/>
                <w:sz w:val="20"/>
                <w:szCs w:val="20"/>
              </w:rPr>
              <w:t xml:space="preserve"> Chronic lymphocytic leukaemia (CLL) or small lymphocytic lymphoma (SLL)</w:t>
            </w:r>
          </w:p>
        </w:tc>
      </w:tr>
      <w:tr w:rsidR="00CB5957" w:rsidRPr="00AB34C7" w14:paraId="002A8455" w14:textId="77777777" w:rsidTr="00E26DA4">
        <w:tc>
          <w:tcPr>
            <w:tcW w:w="862" w:type="pct"/>
            <w:gridSpan w:val="2"/>
            <w:tcBorders>
              <w:top w:val="single" w:sz="4" w:space="0" w:color="auto"/>
              <w:left w:val="single" w:sz="4" w:space="0" w:color="auto"/>
              <w:bottom w:val="single" w:sz="4" w:space="0" w:color="auto"/>
              <w:right w:val="single" w:sz="4" w:space="0" w:color="auto"/>
            </w:tcBorders>
          </w:tcPr>
          <w:p w14:paraId="21DE9668" w14:textId="77777777" w:rsidR="00CB5957" w:rsidRPr="00AB34C7" w:rsidRDefault="00CB5957" w:rsidP="00DB278B">
            <w:pPr>
              <w:jc w:val="center"/>
              <w:rPr>
                <w:rFonts w:ascii="Arial Narrow" w:hAnsi="Arial Narrow"/>
                <w:sz w:val="20"/>
                <w:szCs w:val="20"/>
              </w:rPr>
            </w:pPr>
          </w:p>
        </w:tc>
        <w:tc>
          <w:tcPr>
            <w:tcW w:w="4138" w:type="pct"/>
            <w:tcBorders>
              <w:top w:val="single" w:sz="4" w:space="0" w:color="auto"/>
              <w:left w:val="single" w:sz="4" w:space="0" w:color="auto"/>
              <w:bottom w:val="single" w:sz="4" w:space="0" w:color="auto"/>
              <w:right w:val="single" w:sz="4" w:space="0" w:color="auto"/>
            </w:tcBorders>
            <w:vAlign w:val="center"/>
          </w:tcPr>
          <w:p w14:paraId="733CD7AA" w14:textId="1DDFF34C" w:rsidR="00CB5957" w:rsidRPr="00AB34C7" w:rsidRDefault="00CB5957" w:rsidP="00DB278B">
            <w:pPr>
              <w:rPr>
                <w:rFonts w:ascii="Arial Narrow" w:hAnsi="Arial Narrow"/>
                <w:sz w:val="20"/>
                <w:szCs w:val="20"/>
              </w:rPr>
            </w:pPr>
            <w:r w:rsidRPr="00AB34C7">
              <w:rPr>
                <w:rFonts w:ascii="Arial Narrow" w:eastAsia="Arial Narrow" w:hAnsi="Arial Narrow" w:cs="Arial Narrow"/>
                <w:b/>
                <w:bCs/>
                <w:color w:val="333333"/>
                <w:sz w:val="20"/>
                <w:szCs w:val="20"/>
              </w:rPr>
              <w:t>Treatment Phase:</w:t>
            </w:r>
            <w:r w:rsidRPr="00AB34C7">
              <w:rPr>
                <w:rFonts w:ascii="Arial Narrow" w:eastAsia="Arial Narrow" w:hAnsi="Arial Narrow" w:cs="Arial Narrow"/>
                <w:color w:val="333333"/>
                <w:sz w:val="20"/>
                <w:szCs w:val="20"/>
              </w:rPr>
              <w:t xml:space="preserve"> Initial treatment in first-line therapy </w:t>
            </w:r>
            <w:r w:rsidR="0050539C">
              <w:rPr>
                <w:rFonts w:ascii="Arial Narrow" w:eastAsia="Arial Narrow" w:hAnsi="Arial Narrow" w:cs="Arial Narrow"/>
                <w:color w:val="333333"/>
                <w:sz w:val="20"/>
                <w:szCs w:val="20"/>
              </w:rPr>
              <w:t>–</w:t>
            </w:r>
            <w:r w:rsidRPr="00AB34C7">
              <w:rPr>
                <w:rFonts w:ascii="Arial Narrow" w:eastAsia="Arial Narrow" w:hAnsi="Arial Narrow" w:cs="Arial Narrow"/>
                <w:color w:val="333333"/>
                <w:sz w:val="20"/>
                <w:szCs w:val="20"/>
              </w:rPr>
              <w:t xml:space="preserve"> Dose titration (weeks 1 to 4 of a 5-week ramp-up schedule) </w:t>
            </w:r>
          </w:p>
        </w:tc>
      </w:tr>
      <w:tr w:rsidR="00CB5957" w:rsidRPr="00AB34C7" w14:paraId="7C3D3FAA" w14:textId="77777777" w:rsidTr="00E26DA4">
        <w:tc>
          <w:tcPr>
            <w:tcW w:w="862" w:type="pct"/>
            <w:gridSpan w:val="2"/>
            <w:tcBorders>
              <w:top w:val="single" w:sz="4" w:space="0" w:color="auto"/>
              <w:left w:val="single" w:sz="4" w:space="0" w:color="auto"/>
              <w:bottom w:val="single" w:sz="4" w:space="0" w:color="auto"/>
              <w:right w:val="single" w:sz="4" w:space="0" w:color="auto"/>
            </w:tcBorders>
          </w:tcPr>
          <w:p w14:paraId="7A234FD2" w14:textId="77777777" w:rsidR="00CB5957" w:rsidRPr="00AB34C7" w:rsidRDefault="00CB5957" w:rsidP="00DB278B">
            <w:pPr>
              <w:jc w:val="center"/>
              <w:rPr>
                <w:rFonts w:ascii="Arial Narrow" w:eastAsia="Arial Narrow" w:hAnsi="Arial Narrow" w:cs="Arial Narrow"/>
                <w:bCs/>
                <w:color w:val="333333"/>
                <w:sz w:val="20"/>
                <w:szCs w:val="20"/>
              </w:rPr>
            </w:pPr>
          </w:p>
        </w:tc>
        <w:tc>
          <w:tcPr>
            <w:tcW w:w="4138" w:type="pct"/>
            <w:tcBorders>
              <w:top w:val="single" w:sz="4" w:space="0" w:color="auto"/>
              <w:left w:val="single" w:sz="4" w:space="0" w:color="auto"/>
              <w:bottom w:val="single" w:sz="4" w:space="0" w:color="auto"/>
              <w:right w:val="single" w:sz="4" w:space="0" w:color="auto"/>
            </w:tcBorders>
            <w:vAlign w:val="center"/>
          </w:tcPr>
          <w:p w14:paraId="37BA2C2B" w14:textId="77777777" w:rsidR="00CB5957" w:rsidRPr="00AB34C7" w:rsidRDefault="00CB5957" w:rsidP="00DB278B">
            <w:pPr>
              <w:rPr>
                <w:rFonts w:ascii="Arial Narrow" w:eastAsia="Arial Narrow" w:hAnsi="Arial Narrow" w:cs="Arial Narrow"/>
                <w:b/>
                <w:bCs/>
                <w:color w:val="333333"/>
                <w:sz w:val="20"/>
                <w:szCs w:val="20"/>
              </w:rPr>
            </w:pPr>
          </w:p>
        </w:tc>
      </w:tr>
      <w:tr w:rsidR="00CB5957" w:rsidRPr="00AB34C7" w14:paraId="3A7AFB8F" w14:textId="77777777" w:rsidTr="00E26DA4">
        <w:tc>
          <w:tcPr>
            <w:tcW w:w="862" w:type="pct"/>
            <w:gridSpan w:val="2"/>
            <w:tcBorders>
              <w:top w:val="single" w:sz="4" w:space="0" w:color="auto"/>
              <w:left w:val="single" w:sz="4" w:space="0" w:color="auto"/>
              <w:bottom w:val="single" w:sz="4" w:space="0" w:color="auto"/>
              <w:right w:val="single" w:sz="4" w:space="0" w:color="auto"/>
            </w:tcBorders>
          </w:tcPr>
          <w:p w14:paraId="54C058FD" w14:textId="58A28FDC" w:rsidR="00CB5957" w:rsidRPr="00AB34C7" w:rsidRDefault="00CB5957" w:rsidP="00DB278B">
            <w:pPr>
              <w:jc w:val="center"/>
              <w:rPr>
                <w:rFonts w:ascii="Arial Narrow" w:hAnsi="Arial Narrow"/>
                <w:sz w:val="20"/>
                <w:szCs w:val="20"/>
              </w:rPr>
            </w:pPr>
          </w:p>
        </w:tc>
        <w:tc>
          <w:tcPr>
            <w:tcW w:w="4138" w:type="pct"/>
            <w:tcBorders>
              <w:top w:val="single" w:sz="4" w:space="0" w:color="auto"/>
              <w:left w:val="single" w:sz="4" w:space="0" w:color="auto"/>
              <w:bottom w:val="single" w:sz="4" w:space="0" w:color="auto"/>
              <w:right w:val="single" w:sz="4" w:space="0" w:color="auto"/>
            </w:tcBorders>
            <w:vAlign w:val="center"/>
          </w:tcPr>
          <w:p w14:paraId="7222C20A" w14:textId="77777777" w:rsidR="00CB5957" w:rsidRPr="00AB34C7" w:rsidRDefault="00CB5957" w:rsidP="00DB278B">
            <w:pPr>
              <w:rPr>
                <w:rFonts w:ascii="Arial Narrow" w:hAnsi="Arial Narrow"/>
                <w:sz w:val="20"/>
                <w:szCs w:val="20"/>
              </w:rPr>
            </w:pPr>
            <w:r w:rsidRPr="00AB34C7">
              <w:rPr>
                <w:rFonts w:ascii="Arial Narrow" w:eastAsia="Arial Narrow" w:hAnsi="Arial Narrow" w:cs="Arial Narrow"/>
                <w:b/>
                <w:bCs/>
                <w:color w:val="333333"/>
                <w:sz w:val="20"/>
                <w:szCs w:val="20"/>
              </w:rPr>
              <w:t>Clinical criteria:</w:t>
            </w:r>
          </w:p>
        </w:tc>
      </w:tr>
      <w:tr w:rsidR="00CB5957" w:rsidRPr="00AB34C7" w14:paraId="298D553A" w14:textId="77777777" w:rsidTr="00E26DA4">
        <w:tc>
          <w:tcPr>
            <w:tcW w:w="862" w:type="pct"/>
            <w:gridSpan w:val="2"/>
            <w:tcBorders>
              <w:top w:val="single" w:sz="4" w:space="0" w:color="auto"/>
              <w:left w:val="single" w:sz="4" w:space="0" w:color="auto"/>
              <w:bottom w:val="single" w:sz="4" w:space="0" w:color="auto"/>
              <w:right w:val="single" w:sz="4" w:space="0" w:color="auto"/>
            </w:tcBorders>
          </w:tcPr>
          <w:p w14:paraId="1B117598" w14:textId="6F75CFD9" w:rsidR="00CB5957" w:rsidRPr="00AB34C7" w:rsidRDefault="00CB5957" w:rsidP="00DB278B">
            <w:pPr>
              <w:jc w:val="center"/>
              <w:rPr>
                <w:rFonts w:ascii="Arial Narrow" w:hAnsi="Arial Narrow"/>
                <w:sz w:val="20"/>
                <w:szCs w:val="20"/>
              </w:rPr>
            </w:pPr>
          </w:p>
        </w:tc>
        <w:tc>
          <w:tcPr>
            <w:tcW w:w="4138" w:type="pct"/>
            <w:tcBorders>
              <w:top w:val="single" w:sz="4" w:space="0" w:color="auto"/>
              <w:left w:val="single" w:sz="4" w:space="0" w:color="auto"/>
              <w:bottom w:val="single" w:sz="4" w:space="0" w:color="auto"/>
              <w:right w:val="single" w:sz="4" w:space="0" w:color="auto"/>
            </w:tcBorders>
            <w:vAlign w:val="center"/>
          </w:tcPr>
          <w:p w14:paraId="07D8F721" w14:textId="77777777" w:rsidR="00CB5957" w:rsidRPr="00AB34C7" w:rsidRDefault="00CB5957" w:rsidP="00DB278B">
            <w:pPr>
              <w:rPr>
                <w:rFonts w:ascii="Arial Narrow" w:hAnsi="Arial Narrow"/>
                <w:bCs/>
                <w:sz w:val="20"/>
                <w:szCs w:val="20"/>
              </w:rPr>
            </w:pPr>
            <w:r w:rsidRPr="00AB34C7">
              <w:rPr>
                <w:rFonts w:ascii="Arial Narrow" w:eastAsia="Arial Narrow" w:hAnsi="Arial Narrow" w:cs="Arial Narrow"/>
                <w:color w:val="333333"/>
                <w:sz w:val="20"/>
                <w:szCs w:val="20"/>
              </w:rPr>
              <w:t>The condition must be untreated with drug treatment at the time of the first dose of this drug; OR</w:t>
            </w:r>
          </w:p>
        </w:tc>
      </w:tr>
      <w:tr w:rsidR="00CB5957" w:rsidRPr="00AB34C7" w14:paraId="40AB1782" w14:textId="77777777" w:rsidTr="00E26DA4">
        <w:tc>
          <w:tcPr>
            <w:tcW w:w="862" w:type="pct"/>
            <w:gridSpan w:val="2"/>
            <w:tcBorders>
              <w:top w:val="single" w:sz="4" w:space="0" w:color="auto"/>
              <w:left w:val="single" w:sz="4" w:space="0" w:color="auto"/>
              <w:bottom w:val="single" w:sz="4" w:space="0" w:color="auto"/>
              <w:right w:val="single" w:sz="4" w:space="0" w:color="auto"/>
            </w:tcBorders>
          </w:tcPr>
          <w:p w14:paraId="2E0B5A4D" w14:textId="15B3AB60" w:rsidR="00CB5957" w:rsidRPr="00AB34C7" w:rsidRDefault="00CB5957" w:rsidP="00DB278B">
            <w:pPr>
              <w:jc w:val="center"/>
              <w:rPr>
                <w:rFonts w:ascii="Arial Narrow" w:hAnsi="Arial Narrow"/>
                <w:sz w:val="20"/>
                <w:szCs w:val="20"/>
              </w:rPr>
            </w:pPr>
          </w:p>
        </w:tc>
        <w:tc>
          <w:tcPr>
            <w:tcW w:w="4138" w:type="pct"/>
            <w:tcBorders>
              <w:top w:val="single" w:sz="4" w:space="0" w:color="auto"/>
              <w:left w:val="single" w:sz="4" w:space="0" w:color="auto"/>
              <w:bottom w:val="single" w:sz="4" w:space="0" w:color="auto"/>
              <w:right w:val="single" w:sz="4" w:space="0" w:color="auto"/>
            </w:tcBorders>
            <w:vAlign w:val="center"/>
          </w:tcPr>
          <w:p w14:paraId="049419B6" w14:textId="77777777" w:rsidR="00CB5957" w:rsidRPr="00AB34C7" w:rsidRDefault="00CB5957" w:rsidP="00DB278B">
            <w:pPr>
              <w:rPr>
                <w:rFonts w:ascii="Arial Narrow" w:eastAsia="Arial Narrow" w:hAnsi="Arial Narrow" w:cs="Arial Narrow"/>
                <w:color w:val="333333"/>
                <w:sz w:val="20"/>
                <w:szCs w:val="20"/>
              </w:rPr>
            </w:pPr>
            <w:r w:rsidRPr="00AB34C7">
              <w:rPr>
                <w:rFonts w:ascii="Arial Narrow" w:eastAsia="Arial Narrow" w:hAnsi="Arial Narrow" w:cs="Arial Narrow"/>
                <w:color w:val="333333"/>
                <w:sz w:val="20"/>
                <w:szCs w:val="20"/>
              </w:rPr>
              <w:t xml:space="preserve">Patient must have developed an intolerance of a severity necessitating permanent treatment withdrawal following use of another drug PBS indicated as first-line treatment of CLL/SLL, </w:t>
            </w:r>
          </w:p>
        </w:tc>
      </w:tr>
      <w:tr w:rsidR="00CB5957" w:rsidRPr="00AB34C7" w14:paraId="6CAC8CB2" w14:textId="77777777" w:rsidTr="00E26DA4">
        <w:tc>
          <w:tcPr>
            <w:tcW w:w="862" w:type="pct"/>
            <w:gridSpan w:val="2"/>
            <w:tcBorders>
              <w:top w:val="single" w:sz="4" w:space="0" w:color="auto"/>
              <w:left w:val="single" w:sz="4" w:space="0" w:color="auto"/>
              <w:bottom w:val="single" w:sz="4" w:space="0" w:color="auto"/>
              <w:right w:val="single" w:sz="4" w:space="0" w:color="auto"/>
            </w:tcBorders>
          </w:tcPr>
          <w:p w14:paraId="7EB1BF7F" w14:textId="77777777" w:rsidR="00CB5957" w:rsidRPr="00AB34C7" w:rsidRDefault="00CB5957" w:rsidP="00DB278B">
            <w:pPr>
              <w:jc w:val="center"/>
              <w:rPr>
                <w:rFonts w:ascii="Arial Narrow" w:hAnsi="Arial Narrow"/>
                <w:sz w:val="20"/>
                <w:szCs w:val="20"/>
              </w:rPr>
            </w:pPr>
          </w:p>
        </w:tc>
        <w:tc>
          <w:tcPr>
            <w:tcW w:w="4138" w:type="pct"/>
            <w:tcBorders>
              <w:top w:val="single" w:sz="4" w:space="0" w:color="auto"/>
              <w:left w:val="single" w:sz="4" w:space="0" w:color="auto"/>
              <w:bottom w:val="single" w:sz="4" w:space="0" w:color="auto"/>
              <w:right w:val="single" w:sz="4" w:space="0" w:color="auto"/>
            </w:tcBorders>
            <w:vAlign w:val="center"/>
          </w:tcPr>
          <w:p w14:paraId="040C7336" w14:textId="77777777" w:rsidR="00CB5957" w:rsidRPr="00AB34C7" w:rsidRDefault="00CB5957" w:rsidP="00DB278B">
            <w:pPr>
              <w:rPr>
                <w:rFonts w:ascii="Arial Narrow" w:hAnsi="Arial Narrow"/>
                <w:sz w:val="20"/>
                <w:szCs w:val="20"/>
              </w:rPr>
            </w:pPr>
            <w:r w:rsidRPr="00AB34C7">
              <w:rPr>
                <w:rFonts w:ascii="Arial Narrow" w:eastAsia="Arial Narrow" w:hAnsi="Arial Narrow" w:cs="Arial Narrow"/>
                <w:b/>
                <w:bCs/>
                <w:color w:val="333333"/>
                <w:sz w:val="20"/>
                <w:szCs w:val="20"/>
              </w:rPr>
              <w:t>AND</w:t>
            </w:r>
          </w:p>
        </w:tc>
      </w:tr>
      <w:tr w:rsidR="00CB5957" w:rsidRPr="00AB34C7" w14:paraId="64060736" w14:textId="77777777" w:rsidTr="00E26DA4">
        <w:tc>
          <w:tcPr>
            <w:tcW w:w="862" w:type="pct"/>
            <w:gridSpan w:val="2"/>
            <w:tcBorders>
              <w:top w:val="single" w:sz="4" w:space="0" w:color="auto"/>
              <w:left w:val="single" w:sz="4" w:space="0" w:color="auto"/>
              <w:bottom w:val="single" w:sz="4" w:space="0" w:color="auto"/>
              <w:right w:val="single" w:sz="4" w:space="0" w:color="auto"/>
            </w:tcBorders>
          </w:tcPr>
          <w:p w14:paraId="329E7DB4" w14:textId="28C238F3" w:rsidR="00CB5957" w:rsidRPr="00AB34C7" w:rsidRDefault="00CB5957" w:rsidP="00DB278B">
            <w:pPr>
              <w:jc w:val="center"/>
              <w:rPr>
                <w:rFonts w:ascii="Arial Narrow" w:hAnsi="Arial Narrow"/>
                <w:sz w:val="20"/>
                <w:szCs w:val="20"/>
              </w:rPr>
            </w:pPr>
          </w:p>
        </w:tc>
        <w:tc>
          <w:tcPr>
            <w:tcW w:w="4138" w:type="pct"/>
            <w:tcBorders>
              <w:top w:val="single" w:sz="4" w:space="0" w:color="auto"/>
              <w:left w:val="single" w:sz="4" w:space="0" w:color="auto"/>
              <w:bottom w:val="single" w:sz="4" w:space="0" w:color="auto"/>
              <w:right w:val="single" w:sz="4" w:space="0" w:color="auto"/>
            </w:tcBorders>
            <w:vAlign w:val="center"/>
          </w:tcPr>
          <w:p w14:paraId="054931BE" w14:textId="77777777" w:rsidR="00CB5957" w:rsidRPr="00AB34C7" w:rsidRDefault="00CB5957" w:rsidP="00DB278B">
            <w:pPr>
              <w:rPr>
                <w:rFonts w:ascii="Arial Narrow" w:hAnsi="Arial Narrow"/>
                <w:sz w:val="20"/>
                <w:szCs w:val="20"/>
              </w:rPr>
            </w:pPr>
            <w:r w:rsidRPr="00AB34C7">
              <w:rPr>
                <w:rFonts w:ascii="Arial Narrow" w:eastAsia="Arial Narrow" w:hAnsi="Arial Narrow" w:cs="Arial Narrow"/>
                <w:b/>
                <w:bCs/>
                <w:color w:val="333333"/>
                <w:sz w:val="20"/>
                <w:szCs w:val="20"/>
              </w:rPr>
              <w:t>Clinical criteria:</w:t>
            </w:r>
          </w:p>
        </w:tc>
      </w:tr>
      <w:tr w:rsidR="00CB5957" w:rsidRPr="00AB34C7" w14:paraId="75447034" w14:textId="77777777" w:rsidTr="00E26DA4">
        <w:tc>
          <w:tcPr>
            <w:tcW w:w="862" w:type="pct"/>
            <w:gridSpan w:val="2"/>
            <w:tcBorders>
              <w:top w:val="single" w:sz="4" w:space="0" w:color="auto"/>
              <w:left w:val="single" w:sz="4" w:space="0" w:color="auto"/>
              <w:bottom w:val="single" w:sz="4" w:space="0" w:color="auto"/>
              <w:right w:val="single" w:sz="4" w:space="0" w:color="auto"/>
            </w:tcBorders>
          </w:tcPr>
          <w:p w14:paraId="564F7D81" w14:textId="3E0F8929" w:rsidR="00CB5957" w:rsidRPr="00AB34C7" w:rsidRDefault="00CB5957" w:rsidP="00DB278B">
            <w:pPr>
              <w:jc w:val="center"/>
              <w:rPr>
                <w:rFonts w:ascii="Arial Narrow" w:hAnsi="Arial Narrow"/>
                <w:sz w:val="20"/>
                <w:szCs w:val="20"/>
              </w:rPr>
            </w:pPr>
          </w:p>
        </w:tc>
        <w:tc>
          <w:tcPr>
            <w:tcW w:w="4138" w:type="pct"/>
            <w:tcBorders>
              <w:top w:val="single" w:sz="4" w:space="0" w:color="auto"/>
              <w:left w:val="single" w:sz="4" w:space="0" w:color="auto"/>
              <w:bottom w:val="single" w:sz="4" w:space="0" w:color="auto"/>
              <w:right w:val="single" w:sz="4" w:space="0" w:color="auto"/>
            </w:tcBorders>
            <w:vAlign w:val="center"/>
          </w:tcPr>
          <w:p w14:paraId="428EA45E" w14:textId="77777777" w:rsidR="00CB5957" w:rsidRPr="00AB34C7" w:rsidRDefault="00CB5957" w:rsidP="00DB278B">
            <w:pPr>
              <w:rPr>
                <w:rFonts w:ascii="Arial Narrow" w:hAnsi="Arial Narrow"/>
                <w:sz w:val="20"/>
                <w:szCs w:val="20"/>
              </w:rPr>
            </w:pPr>
            <w:r w:rsidRPr="00AB34C7">
              <w:rPr>
                <w:rFonts w:ascii="Arial Narrow" w:eastAsia="Arial Narrow" w:hAnsi="Arial Narrow" w:cs="Arial Narrow"/>
                <w:color w:val="333333"/>
                <w:sz w:val="20"/>
                <w:szCs w:val="20"/>
              </w:rPr>
              <w:t>The treatment must only be prescribed for a patient with active disease in accordance with the International Workshop on CLL (iwCLL) guidance (latest version) in relation to when to prescribe drug treatment for this condition,</w:t>
            </w:r>
          </w:p>
        </w:tc>
      </w:tr>
      <w:tr w:rsidR="00CB5957" w:rsidRPr="00AB34C7" w14:paraId="667B81C0" w14:textId="77777777" w:rsidTr="00E26DA4">
        <w:tc>
          <w:tcPr>
            <w:tcW w:w="862" w:type="pct"/>
            <w:gridSpan w:val="2"/>
            <w:tcBorders>
              <w:top w:val="single" w:sz="4" w:space="0" w:color="auto"/>
              <w:left w:val="single" w:sz="4" w:space="0" w:color="auto"/>
              <w:bottom w:val="single" w:sz="4" w:space="0" w:color="auto"/>
              <w:right w:val="single" w:sz="4" w:space="0" w:color="auto"/>
            </w:tcBorders>
          </w:tcPr>
          <w:p w14:paraId="5D9174B9" w14:textId="77777777" w:rsidR="00CB5957" w:rsidRPr="00AB34C7" w:rsidRDefault="00CB5957" w:rsidP="00DB278B">
            <w:pPr>
              <w:jc w:val="center"/>
              <w:rPr>
                <w:rFonts w:ascii="Arial Narrow" w:hAnsi="Arial Narrow"/>
                <w:sz w:val="20"/>
                <w:szCs w:val="20"/>
              </w:rPr>
            </w:pPr>
          </w:p>
        </w:tc>
        <w:tc>
          <w:tcPr>
            <w:tcW w:w="4138" w:type="pct"/>
            <w:tcBorders>
              <w:top w:val="single" w:sz="4" w:space="0" w:color="auto"/>
              <w:left w:val="single" w:sz="4" w:space="0" w:color="auto"/>
              <w:bottom w:val="single" w:sz="4" w:space="0" w:color="auto"/>
              <w:right w:val="single" w:sz="4" w:space="0" w:color="auto"/>
            </w:tcBorders>
            <w:vAlign w:val="center"/>
          </w:tcPr>
          <w:p w14:paraId="3037C489" w14:textId="77777777" w:rsidR="00CB5957" w:rsidRPr="00AB34C7" w:rsidRDefault="00CB5957" w:rsidP="00DB278B">
            <w:pPr>
              <w:rPr>
                <w:rFonts w:ascii="Arial Narrow" w:hAnsi="Arial Narrow"/>
                <w:strike/>
                <w:sz w:val="20"/>
                <w:szCs w:val="20"/>
              </w:rPr>
            </w:pPr>
            <w:r w:rsidRPr="00AB34C7">
              <w:rPr>
                <w:rFonts w:ascii="Arial Narrow" w:eastAsia="Arial Narrow" w:hAnsi="Arial Narrow" w:cs="Arial Narrow"/>
                <w:b/>
                <w:bCs/>
                <w:color w:val="333333"/>
                <w:sz w:val="20"/>
                <w:szCs w:val="20"/>
              </w:rPr>
              <w:t>AND</w:t>
            </w:r>
          </w:p>
        </w:tc>
      </w:tr>
      <w:tr w:rsidR="00CB5957" w:rsidRPr="00AB34C7" w14:paraId="190E01EB" w14:textId="77777777" w:rsidTr="00E26DA4">
        <w:tc>
          <w:tcPr>
            <w:tcW w:w="862" w:type="pct"/>
            <w:gridSpan w:val="2"/>
            <w:tcBorders>
              <w:top w:val="single" w:sz="4" w:space="0" w:color="auto"/>
              <w:left w:val="single" w:sz="4" w:space="0" w:color="auto"/>
              <w:bottom w:val="single" w:sz="4" w:space="0" w:color="auto"/>
              <w:right w:val="single" w:sz="4" w:space="0" w:color="auto"/>
            </w:tcBorders>
          </w:tcPr>
          <w:p w14:paraId="2B2D959E" w14:textId="750DBD49" w:rsidR="00CB5957" w:rsidRPr="00AB34C7" w:rsidRDefault="00CB5957" w:rsidP="00DB278B">
            <w:pPr>
              <w:jc w:val="center"/>
              <w:rPr>
                <w:rFonts w:ascii="Arial Narrow" w:hAnsi="Arial Narrow"/>
                <w:sz w:val="20"/>
                <w:szCs w:val="20"/>
              </w:rPr>
            </w:pPr>
          </w:p>
        </w:tc>
        <w:tc>
          <w:tcPr>
            <w:tcW w:w="4138" w:type="pct"/>
            <w:tcBorders>
              <w:top w:val="single" w:sz="4" w:space="0" w:color="auto"/>
              <w:left w:val="single" w:sz="4" w:space="0" w:color="auto"/>
              <w:bottom w:val="single" w:sz="4" w:space="0" w:color="auto"/>
              <w:right w:val="single" w:sz="4" w:space="0" w:color="auto"/>
            </w:tcBorders>
            <w:vAlign w:val="center"/>
          </w:tcPr>
          <w:p w14:paraId="0ED19356" w14:textId="77777777" w:rsidR="00CB5957" w:rsidRPr="00AB34C7" w:rsidRDefault="00CB5957" w:rsidP="00DB278B">
            <w:pPr>
              <w:rPr>
                <w:rFonts w:ascii="Arial Narrow" w:hAnsi="Arial Narrow"/>
                <w:strike/>
                <w:sz w:val="20"/>
                <w:szCs w:val="20"/>
              </w:rPr>
            </w:pPr>
            <w:r w:rsidRPr="00AB34C7">
              <w:rPr>
                <w:rFonts w:ascii="Arial Narrow" w:eastAsia="Arial Narrow" w:hAnsi="Arial Narrow" w:cs="Arial Narrow"/>
                <w:b/>
                <w:bCs/>
                <w:color w:val="333333"/>
                <w:sz w:val="20"/>
                <w:szCs w:val="20"/>
              </w:rPr>
              <w:t>Clinical criteria:</w:t>
            </w:r>
          </w:p>
        </w:tc>
      </w:tr>
      <w:tr w:rsidR="00CB5957" w:rsidRPr="00AB34C7" w14:paraId="7C049694" w14:textId="77777777" w:rsidTr="00E26DA4">
        <w:tc>
          <w:tcPr>
            <w:tcW w:w="862" w:type="pct"/>
            <w:gridSpan w:val="2"/>
            <w:tcBorders>
              <w:top w:val="single" w:sz="4" w:space="0" w:color="auto"/>
              <w:left w:val="single" w:sz="4" w:space="0" w:color="auto"/>
              <w:bottom w:val="single" w:sz="4" w:space="0" w:color="auto"/>
              <w:right w:val="single" w:sz="4" w:space="0" w:color="auto"/>
            </w:tcBorders>
          </w:tcPr>
          <w:p w14:paraId="59D0C438" w14:textId="75C96572" w:rsidR="00CB5957" w:rsidRPr="00AB34C7" w:rsidRDefault="00CB5957" w:rsidP="00DB278B">
            <w:pPr>
              <w:jc w:val="center"/>
              <w:rPr>
                <w:rFonts w:ascii="Arial Narrow" w:hAnsi="Arial Narrow"/>
                <w:sz w:val="20"/>
                <w:szCs w:val="20"/>
              </w:rPr>
            </w:pPr>
          </w:p>
        </w:tc>
        <w:tc>
          <w:tcPr>
            <w:tcW w:w="4138" w:type="pct"/>
            <w:tcBorders>
              <w:top w:val="single" w:sz="4" w:space="0" w:color="auto"/>
              <w:left w:val="single" w:sz="4" w:space="0" w:color="auto"/>
              <w:bottom w:val="single" w:sz="4" w:space="0" w:color="auto"/>
              <w:right w:val="single" w:sz="4" w:space="0" w:color="auto"/>
            </w:tcBorders>
            <w:vAlign w:val="center"/>
          </w:tcPr>
          <w:p w14:paraId="39047B8D" w14:textId="63B24249" w:rsidR="00CB5957" w:rsidRPr="00AB34C7" w:rsidRDefault="00CB5957" w:rsidP="00DB278B">
            <w:pPr>
              <w:rPr>
                <w:rFonts w:ascii="Arial Narrow" w:hAnsi="Arial Narrow"/>
                <w:strike/>
                <w:sz w:val="20"/>
                <w:szCs w:val="20"/>
              </w:rPr>
            </w:pPr>
            <w:r w:rsidRPr="00AB34C7">
              <w:rPr>
                <w:rFonts w:ascii="Arial Narrow" w:eastAsia="Arial Narrow" w:hAnsi="Arial Narrow" w:cs="Arial Narrow"/>
                <w:color w:val="333333"/>
                <w:sz w:val="20"/>
                <w:szCs w:val="20"/>
              </w:rPr>
              <w:t>The treatment must be in combination with ibrutinib (refer to Product Information for timing of ibrutinib and venetoclax doses).</w:t>
            </w:r>
          </w:p>
        </w:tc>
      </w:tr>
    </w:tbl>
    <w:p w14:paraId="2723A591" w14:textId="77777777" w:rsidR="00CB5957" w:rsidRPr="00AB34C7" w:rsidRDefault="00CB5957" w:rsidP="00CB5957">
      <w:pPr>
        <w:pStyle w:val="Tableheadingrow"/>
        <w:keepNext w:val="0"/>
        <w:rPr>
          <w:sz w:val="18"/>
          <w:szCs w:val="18"/>
          <w:lang w:val="en-AU"/>
        </w:rPr>
      </w:pPr>
    </w:p>
    <w:p w14:paraId="0B0A5A48" w14:textId="106BC148" w:rsidR="00CB5957" w:rsidRPr="00AB34C7" w:rsidRDefault="00CB5957" w:rsidP="00E26DA4">
      <w:pPr>
        <w:pStyle w:val="Tableheadingrow"/>
        <w:rPr>
          <w:szCs w:val="20"/>
          <w:lang w:val="en-AU"/>
        </w:rPr>
      </w:pPr>
      <w:r w:rsidRPr="00AB34C7">
        <w:rPr>
          <w:szCs w:val="20"/>
          <w:lang w:val="en-AU"/>
        </w:rPr>
        <w:t xml:space="preserve">FIRST CONTINUING TREATMENT (TREATMENT CYCLES </w:t>
      </w:r>
      <w:r w:rsidR="003B2D64">
        <w:rPr>
          <w:szCs w:val="20"/>
          <w:lang w:val="en-AU"/>
        </w:rPr>
        <w:t>4</w:t>
      </w:r>
      <w:r w:rsidRPr="00AB34C7">
        <w:rPr>
          <w:szCs w:val="20"/>
          <w:lang w:val="en-AU"/>
        </w:rPr>
        <w:t xml:space="preserve"> TO </w:t>
      </w:r>
      <w:r w:rsidR="003B2D64">
        <w:rPr>
          <w:szCs w:val="20"/>
          <w:lang w:val="en-AU"/>
        </w:rPr>
        <w:t>8</w:t>
      </w:r>
      <w:r w:rsidRPr="00AB34C7">
        <w:rPr>
          <w:szCs w:val="20"/>
          <w:lang w:val="en-AU"/>
        </w:rPr>
        <w:t xml:space="preserve"> INCLUSIVE) OF FIRST-LINE THERAPY</w:t>
      </w: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
        <w:gridCol w:w="995"/>
        <w:gridCol w:w="1717"/>
        <w:gridCol w:w="1182"/>
        <w:gridCol w:w="1012"/>
        <w:gridCol w:w="843"/>
        <w:gridCol w:w="843"/>
        <w:gridCol w:w="2197"/>
      </w:tblGrid>
      <w:tr w:rsidR="00CB5957" w:rsidRPr="00AB34C7" w14:paraId="126BC9B1" w14:textId="77777777" w:rsidTr="005D4A35">
        <w:trPr>
          <w:cantSplit/>
          <w:trHeight w:val="471"/>
        </w:trPr>
        <w:tc>
          <w:tcPr>
            <w:tcW w:w="2990" w:type="dxa"/>
            <w:gridSpan w:val="3"/>
          </w:tcPr>
          <w:p w14:paraId="27363CBF" w14:textId="77777777" w:rsidR="00CB5957" w:rsidRPr="00AB34C7" w:rsidRDefault="00CB5957" w:rsidP="00DB278B">
            <w:pPr>
              <w:ind w:left="-57"/>
              <w:rPr>
                <w:rFonts w:ascii="Arial Narrow" w:hAnsi="Arial Narrow"/>
                <w:b/>
                <w:bCs/>
                <w:sz w:val="20"/>
                <w:szCs w:val="20"/>
              </w:rPr>
            </w:pPr>
            <w:r w:rsidRPr="00AB34C7">
              <w:rPr>
                <w:rFonts w:ascii="Arial Narrow" w:hAnsi="Arial Narrow"/>
                <w:b/>
                <w:bCs/>
                <w:sz w:val="20"/>
                <w:szCs w:val="20"/>
              </w:rPr>
              <w:t>MEDICINAL PRODUCT</w:t>
            </w:r>
          </w:p>
          <w:p w14:paraId="66C534E4" w14:textId="77777777" w:rsidR="00CB5957" w:rsidRPr="00AB34C7" w:rsidRDefault="00CB5957" w:rsidP="00DB278B">
            <w:pPr>
              <w:ind w:left="-57"/>
              <w:rPr>
                <w:rFonts w:ascii="Arial Narrow" w:hAnsi="Arial Narrow"/>
                <w:b/>
                <w:sz w:val="20"/>
                <w:szCs w:val="20"/>
              </w:rPr>
            </w:pPr>
            <w:r w:rsidRPr="00AB34C7">
              <w:rPr>
                <w:rFonts w:ascii="Arial Narrow" w:hAnsi="Arial Narrow"/>
                <w:b/>
                <w:bCs/>
                <w:sz w:val="20"/>
                <w:szCs w:val="20"/>
              </w:rPr>
              <w:t>medicinal product pack</w:t>
            </w:r>
          </w:p>
        </w:tc>
        <w:tc>
          <w:tcPr>
            <w:tcW w:w="1182" w:type="dxa"/>
          </w:tcPr>
          <w:p w14:paraId="368AEFF0" w14:textId="77777777" w:rsidR="00CB5957" w:rsidRPr="00AB34C7" w:rsidRDefault="00CB5957" w:rsidP="00DB278B">
            <w:pPr>
              <w:ind w:left="-108"/>
              <w:jc w:val="center"/>
              <w:rPr>
                <w:rFonts w:ascii="Arial Narrow" w:hAnsi="Arial Narrow"/>
                <w:b/>
                <w:sz w:val="20"/>
                <w:szCs w:val="20"/>
              </w:rPr>
            </w:pPr>
            <w:r w:rsidRPr="00AB34C7">
              <w:rPr>
                <w:rFonts w:ascii="Arial Narrow" w:hAnsi="Arial Narrow"/>
                <w:b/>
                <w:sz w:val="20"/>
                <w:szCs w:val="20"/>
              </w:rPr>
              <w:t>PBS item code</w:t>
            </w:r>
          </w:p>
        </w:tc>
        <w:tc>
          <w:tcPr>
            <w:tcW w:w="1012" w:type="dxa"/>
          </w:tcPr>
          <w:p w14:paraId="0B238D40" w14:textId="77777777" w:rsidR="00CB5957" w:rsidRPr="00AB34C7" w:rsidRDefault="00CB5957" w:rsidP="00DB278B">
            <w:pPr>
              <w:ind w:left="-108"/>
              <w:jc w:val="center"/>
              <w:rPr>
                <w:rFonts w:ascii="Arial Narrow" w:hAnsi="Arial Narrow"/>
                <w:b/>
                <w:sz w:val="20"/>
                <w:szCs w:val="20"/>
              </w:rPr>
            </w:pPr>
            <w:r w:rsidRPr="00AB34C7">
              <w:rPr>
                <w:rFonts w:ascii="Arial Narrow" w:hAnsi="Arial Narrow"/>
                <w:b/>
                <w:sz w:val="20"/>
                <w:szCs w:val="20"/>
              </w:rPr>
              <w:t>Max. qty packs</w:t>
            </w:r>
          </w:p>
        </w:tc>
        <w:tc>
          <w:tcPr>
            <w:tcW w:w="843" w:type="dxa"/>
          </w:tcPr>
          <w:p w14:paraId="6DEE9987" w14:textId="77777777" w:rsidR="00CB5957" w:rsidRPr="00AB34C7" w:rsidRDefault="00CB5957" w:rsidP="00DB278B">
            <w:pPr>
              <w:ind w:left="-108"/>
              <w:jc w:val="center"/>
              <w:rPr>
                <w:rFonts w:ascii="Arial Narrow" w:hAnsi="Arial Narrow"/>
                <w:b/>
                <w:sz w:val="20"/>
                <w:szCs w:val="20"/>
              </w:rPr>
            </w:pPr>
            <w:r w:rsidRPr="00AB34C7">
              <w:rPr>
                <w:rFonts w:ascii="Arial Narrow" w:hAnsi="Arial Narrow"/>
                <w:b/>
                <w:sz w:val="20"/>
                <w:szCs w:val="20"/>
              </w:rPr>
              <w:t>Max. qty units</w:t>
            </w:r>
          </w:p>
        </w:tc>
        <w:tc>
          <w:tcPr>
            <w:tcW w:w="843" w:type="dxa"/>
          </w:tcPr>
          <w:p w14:paraId="7584C29B" w14:textId="77777777" w:rsidR="00CB5957" w:rsidRPr="00AB34C7" w:rsidRDefault="00CB5957" w:rsidP="00DB278B">
            <w:pPr>
              <w:ind w:left="-108"/>
              <w:jc w:val="center"/>
              <w:rPr>
                <w:rFonts w:ascii="Arial Narrow" w:hAnsi="Arial Narrow"/>
                <w:b/>
                <w:sz w:val="20"/>
                <w:szCs w:val="20"/>
              </w:rPr>
            </w:pPr>
            <w:r w:rsidRPr="00AB34C7">
              <w:rPr>
                <w:rFonts w:ascii="Arial Narrow" w:hAnsi="Arial Narrow"/>
                <w:b/>
                <w:sz w:val="20"/>
                <w:szCs w:val="20"/>
              </w:rPr>
              <w:t>№.of</w:t>
            </w:r>
          </w:p>
          <w:p w14:paraId="012AAA2D" w14:textId="77777777" w:rsidR="00CB5957" w:rsidRPr="00AB34C7" w:rsidRDefault="00CB5957" w:rsidP="00DB278B">
            <w:pPr>
              <w:ind w:left="-108"/>
              <w:jc w:val="center"/>
              <w:rPr>
                <w:rFonts w:ascii="Arial Narrow" w:hAnsi="Arial Narrow"/>
                <w:b/>
                <w:sz w:val="20"/>
                <w:szCs w:val="20"/>
              </w:rPr>
            </w:pPr>
            <w:r w:rsidRPr="00AB34C7">
              <w:rPr>
                <w:rFonts w:ascii="Arial Narrow" w:hAnsi="Arial Narrow"/>
                <w:b/>
                <w:sz w:val="20"/>
                <w:szCs w:val="20"/>
              </w:rPr>
              <w:t>Rpts</w:t>
            </w:r>
          </w:p>
        </w:tc>
        <w:tc>
          <w:tcPr>
            <w:tcW w:w="2197" w:type="dxa"/>
          </w:tcPr>
          <w:p w14:paraId="5CCF292F" w14:textId="77777777" w:rsidR="00CB5957" w:rsidRPr="00B95C74" w:rsidRDefault="00CB5957" w:rsidP="00DB278B">
            <w:pPr>
              <w:jc w:val="center"/>
              <w:rPr>
                <w:rFonts w:ascii="Arial Narrow" w:hAnsi="Arial Narrow"/>
                <w:b/>
                <w:sz w:val="20"/>
                <w:szCs w:val="20"/>
              </w:rPr>
            </w:pPr>
            <w:r w:rsidRPr="00AB34C7">
              <w:rPr>
                <w:rFonts w:ascii="Arial Narrow" w:hAnsi="Arial Narrow"/>
                <w:b/>
                <w:sz w:val="20"/>
                <w:szCs w:val="20"/>
              </w:rPr>
              <w:t>Available brands</w:t>
            </w:r>
          </w:p>
        </w:tc>
      </w:tr>
      <w:tr w:rsidR="00CB5957" w:rsidRPr="00AB34C7" w14:paraId="4F026624" w14:textId="77777777" w:rsidTr="005D4A35">
        <w:trPr>
          <w:cantSplit/>
          <w:trHeight w:val="224"/>
        </w:trPr>
        <w:tc>
          <w:tcPr>
            <w:tcW w:w="9067" w:type="dxa"/>
            <w:gridSpan w:val="8"/>
          </w:tcPr>
          <w:p w14:paraId="4C255388" w14:textId="23B89E60" w:rsidR="00CB5957" w:rsidRPr="00AB34C7" w:rsidRDefault="00CB5957" w:rsidP="00DB278B">
            <w:pPr>
              <w:ind w:left="-57"/>
              <w:rPr>
                <w:rFonts w:ascii="Arial Narrow" w:hAnsi="Arial Narrow"/>
                <w:sz w:val="20"/>
                <w:szCs w:val="20"/>
              </w:rPr>
            </w:pPr>
            <w:r w:rsidRPr="00AB34C7">
              <w:rPr>
                <w:rFonts w:ascii="Arial Narrow" w:hAnsi="Arial Narrow"/>
                <w:sz w:val="20"/>
                <w:szCs w:val="20"/>
              </w:rPr>
              <w:t>VENETOCLAX</w:t>
            </w:r>
          </w:p>
        </w:tc>
      </w:tr>
      <w:tr w:rsidR="005D4A35" w:rsidRPr="00AB34C7" w14:paraId="0722CD94" w14:textId="77777777" w:rsidTr="005D4A35">
        <w:trPr>
          <w:cantSplit/>
        </w:trPr>
        <w:tc>
          <w:tcPr>
            <w:tcW w:w="2990" w:type="dxa"/>
            <w:gridSpan w:val="3"/>
          </w:tcPr>
          <w:p w14:paraId="2A1555D6" w14:textId="7286BAF6" w:rsidR="005D4A35" w:rsidRPr="00AB34C7" w:rsidRDefault="005D4A35" w:rsidP="00DB278B">
            <w:pPr>
              <w:ind w:left="-57"/>
              <w:rPr>
                <w:rFonts w:ascii="Arial Narrow" w:hAnsi="Arial Narrow"/>
                <w:sz w:val="20"/>
                <w:szCs w:val="20"/>
              </w:rPr>
            </w:pPr>
            <w:r w:rsidRPr="00AB34C7">
              <w:rPr>
                <w:rFonts w:ascii="Arial Narrow" w:hAnsi="Arial Narrow" w:cstheme="minorBidi"/>
                <w:sz w:val="20"/>
                <w:szCs w:val="20"/>
              </w:rPr>
              <w:t>Venetoclax 100 mg tablet, 120</w:t>
            </w:r>
          </w:p>
        </w:tc>
        <w:tc>
          <w:tcPr>
            <w:tcW w:w="1182" w:type="dxa"/>
          </w:tcPr>
          <w:p w14:paraId="0F8AB5A8" w14:textId="77777777" w:rsidR="005D4A35" w:rsidRPr="00AB34C7" w:rsidRDefault="005D4A35" w:rsidP="00DB278B">
            <w:pPr>
              <w:jc w:val="center"/>
              <w:rPr>
                <w:rFonts w:ascii="Arial Narrow" w:hAnsi="Arial Narrow"/>
                <w:sz w:val="20"/>
                <w:szCs w:val="20"/>
              </w:rPr>
            </w:pPr>
            <w:r w:rsidRPr="00AB34C7">
              <w:rPr>
                <w:rFonts w:ascii="Arial Narrow" w:hAnsi="Arial Narrow"/>
                <w:sz w:val="20"/>
                <w:szCs w:val="20"/>
              </w:rPr>
              <w:t>NEW</w:t>
            </w:r>
          </w:p>
        </w:tc>
        <w:tc>
          <w:tcPr>
            <w:tcW w:w="1012" w:type="dxa"/>
          </w:tcPr>
          <w:p w14:paraId="5767A960" w14:textId="77777777" w:rsidR="005D4A35" w:rsidRPr="00AB34C7" w:rsidRDefault="005D4A35" w:rsidP="00DB278B">
            <w:pPr>
              <w:jc w:val="center"/>
              <w:rPr>
                <w:rFonts w:ascii="Arial Narrow" w:hAnsi="Arial Narrow"/>
                <w:sz w:val="20"/>
                <w:szCs w:val="20"/>
              </w:rPr>
            </w:pPr>
            <w:r w:rsidRPr="00AB34C7">
              <w:rPr>
                <w:rFonts w:ascii="Arial Narrow" w:hAnsi="Arial Narrow"/>
                <w:sz w:val="20"/>
                <w:szCs w:val="20"/>
              </w:rPr>
              <w:t>1</w:t>
            </w:r>
          </w:p>
        </w:tc>
        <w:tc>
          <w:tcPr>
            <w:tcW w:w="843" w:type="dxa"/>
          </w:tcPr>
          <w:p w14:paraId="3ED99C52" w14:textId="2B7FB582" w:rsidR="005D4A35" w:rsidRPr="00AB34C7" w:rsidRDefault="005D4A35" w:rsidP="00DB278B">
            <w:pPr>
              <w:jc w:val="center"/>
              <w:rPr>
                <w:rFonts w:ascii="Arial Narrow" w:hAnsi="Arial Narrow"/>
                <w:sz w:val="20"/>
                <w:szCs w:val="20"/>
              </w:rPr>
            </w:pPr>
            <w:r w:rsidRPr="00AB34C7">
              <w:rPr>
                <w:rFonts w:ascii="Arial Narrow" w:hAnsi="Arial Narrow"/>
                <w:sz w:val="20"/>
                <w:szCs w:val="20"/>
              </w:rPr>
              <w:t>120</w:t>
            </w:r>
          </w:p>
        </w:tc>
        <w:tc>
          <w:tcPr>
            <w:tcW w:w="843" w:type="dxa"/>
          </w:tcPr>
          <w:p w14:paraId="3D4EC477" w14:textId="24A63012" w:rsidR="005D4A35" w:rsidRPr="00AB34C7" w:rsidRDefault="005D4A35" w:rsidP="00DB278B">
            <w:pPr>
              <w:jc w:val="center"/>
              <w:rPr>
                <w:rFonts w:ascii="Arial Narrow" w:hAnsi="Arial Narrow"/>
                <w:sz w:val="20"/>
                <w:szCs w:val="20"/>
              </w:rPr>
            </w:pPr>
            <w:r w:rsidRPr="00AB34C7">
              <w:rPr>
                <w:rFonts w:ascii="Arial Narrow" w:hAnsi="Arial Narrow"/>
                <w:sz w:val="20"/>
                <w:szCs w:val="20"/>
              </w:rPr>
              <w:t>4</w:t>
            </w:r>
          </w:p>
        </w:tc>
        <w:tc>
          <w:tcPr>
            <w:tcW w:w="2197" w:type="dxa"/>
          </w:tcPr>
          <w:p w14:paraId="11D3D86F" w14:textId="68D5D4DB" w:rsidR="005D4A35" w:rsidRPr="00AB34C7" w:rsidRDefault="005D4A35" w:rsidP="00DB278B">
            <w:pPr>
              <w:jc w:val="center"/>
              <w:rPr>
                <w:rFonts w:ascii="Arial Narrow" w:eastAsiaTheme="majorEastAsia" w:hAnsi="Arial Narrow" w:cstheme="majorBidi"/>
                <w:bCs/>
                <w:sz w:val="20"/>
                <w:szCs w:val="20"/>
              </w:rPr>
            </w:pPr>
            <w:r w:rsidRPr="00AB34C7">
              <w:rPr>
                <w:rFonts w:ascii="Arial Narrow" w:eastAsiaTheme="majorEastAsia" w:hAnsi="Arial Narrow"/>
                <w:bCs/>
                <w:sz w:val="20"/>
                <w:szCs w:val="20"/>
              </w:rPr>
              <w:t>Venclexta</w:t>
            </w:r>
          </w:p>
        </w:tc>
      </w:tr>
      <w:tr w:rsidR="00CB5957" w:rsidRPr="00AB34C7" w14:paraId="72508D89" w14:textId="77777777" w:rsidTr="005D4A35">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65AB28FE" w14:textId="77777777" w:rsidR="00CB5957" w:rsidRPr="00AB34C7" w:rsidRDefault="00CB5957" w:rsidP="00DB278B">
            <w:pPr>
              <w:rPr>
                <w:rFonts w:ascii="Arial Narrow" w:hAnsi="Arial Narrow"/>
                <w:sz w:val="20"/>
                <w:szCs w:val="20"/>
              </w:rPr>
            </w:pPr>
          </w:p>
        </w:tc>
      </w:tr>
      <w:tr w:rsidR="00CB5957" w:rsidRPr="00AB34C7" w14:paraId="588BF2A0" w14:textId="77777777" w:rsidTr="005D4A35">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1752A4E0" w14:textId="77777777" w:rsidR="00CB5957" w:rsidRPr="00AB34C7" w:rsidRDefault="00CB5957" w:rsidP="00DB278B">
            <w:pPr>
              <w:rPr>
                <w:rFonts w:ascii="Arial Narrow" w:hAnsi="Arial Narrow"/>
                <w:b/>
                <w:sz w:val="20"/>
                <w:szCs w:val="20"/>
              </w:rPr>
            </w:pPr>
            <w:r w:rsidRPr="00AB34C7">
              <w:rPr>
                <w:rFonts w:ascii="Arial Narrow" w:hAnsi="Arial Narrow"/>
                <w:b/>
                <w:sz w:val="20"/>
                <w:szCs w:val="20"/>
              </w:rPr>
              <w:t xml:space="preserve">Restriction Summary [new] / Treatment of Concept: [new] </w:t>
            </w:r>
          </w:p>
        </w:tc>
      </w:tr>
      <w:tr w:rsidR="00CB5957" w:rsidRPr="00AB34C7" w14:paraId="0F21759D" w14:textId="77777777" w:rsidTr="005D4A35">
        <w:tblPrEx>
          <w:tblCellMar>
            <w:top w:w="15" w:type="dxa"/>
            <w:left w:w="15" w:type="dxa"/>
            <w:bottom w:w="15" w:type="dxa"/>
            <w:right w:w="15" w:type="dxa"/>
          </w:tblCellMar>
        </w:tblPrEx>
        <w:tc>
          <w:tcPr>
            <w:tcW w:w="1273" w:type="dxa"/>
            <w:gridSpan w:val="2"/>
            <w:vMerge w:val="restart"/>
            <w:tcBorders>
              <w:top w:val="single" w:sz="4" w:space="0" w:color="auto"/>
              <w:left w:val="single" w:sz="4" w:space="0" w:color="auto"/>
              <w:right w:val="single" w:sz="4" w:space="0" w:color="auto"/>
            </w:tcBorders>
          </w:tcPr>
          <w:p w14:paraId="55FF0C6D" w14:textId="4A004B32" w:rsidR="00CB5957" w:rsidRPr="00AB34C7" w:rsidRDefault="00CB5957" w:rsidP="00DB278B">
            <w:pPr>
              <w:jc w:val="center"/>
              <w:rPr>
                <w:rFonts w:ascii="Arial Narrow" w:hAnsi="Arial Narrow"/>
                <w:b/>
                <w:sz w:val="20"/>
                <w:szCs w:val="20"/>
              </w:rPr>
            </w:pPr>
          </w:p>
        </w:tc>
        <w:tc>
          <w:tcPr>
            <w:tcW w:w="7794" w:type="dxa"/>
            <w:gridSpan w:val="6"/>
            <w:tcBorders>
              <w:top w:val="single" w:sz="4" w:space="0" w:color="auto"/>
              <w:left w:val="single" w:sz="4" w:space="0" w:color="auto"/>
              <w:bottom w:val="single" w:sz="4" w:space="0" w:color="auto"/>
              <w:right w:val="single" w:sz="4" w:space="0" w:color="auto"/>
            </w:tcBorders>
          </w:tcPr>
          <w:p w14:paraId="348C8D9C" w14:textId="77777777" w:rsidR="00CB5957" w:rsidRPr="00AB34C7" w:rsidRDefault="00CB5957" w:rsidP="00DB278B">
            <w:pPr>
              <w:rPr>
                <w:rFonts w:ascii="Arial Narrow" w:hAnsi="Arial Narrow"/>
                <w:sz w:val="20"/>
                <w:szCs w:val="20"/>
              </w:rPr>
            </w:pPr>
            <w:r w:rsidRPr="00AB34C7">
              <w:rPr>
                <w:rFonts w:ascii="Arial Narrow" w:hAnsi="Arial Narrow"/>
                <w:b/>
                <w:sz w:val="20"/>
                <w:szCs w:val="20"/>
              </w:rPr>
              <w:t xml:space="preserve">Category / Program: </w:t>
            </w:r>
            <w:r w:rsidRPr="00AB34C7">
              <w:rPr>
                <w:rFonts w:ascii="Arial Narrow" w:hAnsi="Arial Narrow"/>
                <w:sz w:val="20"/>
                <w:szCs w:val="20"/>
              </w:rPr>
              <w:t xml:space="preserve">GENERAL – General Schedule (Code GE) </w:t>
            </w:r>
          </w:p>
        </w:tc>
      </w:tr>
      <w:tr w:rsidR="00CB5957" w:rsidRPr="00AB34C7" w14:paraId="79649AD5" w14:textId="77777777" w:rsidTr="005D4A35">
        <w:tblPrEx>
          <w:tblCellMar>
            <w:top w:w="15" w:type="dxa"/>
            <w:left w:w="15" w:type="dxa"/>
            <w:bottom w:w="15" w:type="dxa"/>
            <w:right w:w="15" w:type="dxa"/>
          </w:tblCellMar>
        </w:tblPrEx>
        <w:trPr>
          <w:trHeight w:val="240"/>
        </w:trPr>
        <w:tc>
          <w:tcPr>
            <w:tcW w:w="1273" w:type="dxa"/>
            <w:gridSpan w:val="2"/>
            <w:vMerge/>
            <w:tcBorders>
              <w:left w:val="single" w:sz="4" w:space="0" w:color="auto"/>
              <w:right w:val="single" w:sz="4" w:space="0" w:color="auto"/>
            </w:tcBorders>
          </w:tcPr>
          <w:p w14:paraId="11A9B6A5" w14:textId="77777777" w:rsidR="00CB5957" w:rsidRPr="00AB34C7" w:rsidRDefault="00CB5957" w:rsidP="00DB278B">
            <w:pP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tcPr>
          <w:p w14:paraId="36D08AAB" w14:textId="77777777" w:rsidR="00CB5957" w:rsidRPr="00AB34C7" w:rsidRDefault="00CB5957" w:rsidP="00DB278B">
            <w:pPr>
              <w:rPr>
                <w:rFonts w:ascii="Arial Narrow" w:hAnsi="Arial Narrow"/>
                <w:b/>
                <w:sz w:val="20"/>
                <w:szCs w:val="20"/>
              </w:rPr>
            </w:pPr>
            <w:r w:rsidRPr="00AB34C7">
              <w:rPr>
                <w:rFonts w:ascii="Arial Narrow" w:hAnsi="Arial Narrow"/>
                <w:b/>
                <w:sz w:val="20"/>
                <w:szCs w:val="20"/>
              </w:rPr>
              <w:t xml:space="preserve">Prescriber type: </w:t>
            </w:r>
            <w:r w:rsidRPr="00AB34C7">
              <w:rPr>
                <w:rFonts w:ascii="Arial Narrow" w:hAnsi="Arial Narrow"/>
                <w:sz w:val="20"/>
                <w:szCs w:val="20"/>
              </w:rPr>
              <w:fldChar w:fldCharType="begin" w:fldLock="1">
                <w:ffData>
                  <w:name w:val=""/>
                  <w:enabled/>
                  <w:calcOnExit w:val="0"/>
                  <w:checkBox>
                    <w:sizeAuto/>
                    <w:default w:val="1"/>
                  </w:checkBox>
                </w:ffData>
              </w:fldChar>
            </w:r>
            <w:r w:rsidRPr="00AB34C7">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AB34C7">
              <w:rPr>
                <w:rFonts w:ascii="Arial Narrow" w:hAnsi="Arial Narrow"/>
                <w:sz w:val="20"/>
                <w:szCs w:val="20"/>
              </w:rPr>
              <w:fldChar w:fldCharType="end"/>
            </w:r>
            <w:r w:rsidRPr="00AB34C7">
              <w:rPr>
                <w:rFonts w:ascii="Arial Narrow" w:hAnsi="Arial Narrow"/>
                <w:sz w:val="20"/>
                <w:szCs w:val="20"/>
              </w:rPr>
              <w:t>Medical Practitioners</w:t>
            </w:r>
          </w:p>
        </w:tc>
      </w:tr>
      <w:tr w:rsidR="00CB5957" w:rsidRPr="00AB34C7" w14:paraId="3148A43C" w14:textId="77777777" w:rsidTr="005D4A35">
        <w:tblPrEx>
          <w:tblCellMar>
            <w:top w:w="15" w:type="dxa"/>
            <w:left w:w="15" w:type="dxa"/>
            <w:bottom w:w="15" w:type="dxa"/>
            <w:right w:w="15" w:type="dxa"/>
          </w:tblCellMar>
        </w:tblPrEx>
        <w:tc>
          <w:tcPr>
            <w:tcW w:w="1273" w:type="dxa"/>
            <w:gridSpan w:val="2"/>
            <w:vMerge/>
            <w:tcBorders>
              <w:left w:val="single" w:sz="4" w:space="0" w:color="auto"/>
              <w:bottom w:val="single" w:sz="4" w:space="0" w:color="auto"/>
              <w:right w:val="single" w:sz="4" w:space="0" w:color="auto"/>
            </w:tcBorders>
          </w:tcPr>
          <w:p w14:paraId="2394DFFB" w14:textId="77777777" w:rsidR="00CB5957" w:rsidRPr="00AB34C7" w:rsidRDefault="00CB5957" w:rsidP="00DB278B">
            <w:pP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tcPr>
          <w:p w14:paraId="21616ABD" w14:textId="77777777" w:rsidR="00CB5957" w:rsidRPr="00AB34C7" w:rsidRDefault="00CB5957" w:rsidP="00DB278B">
            <w:pPr>
              <w:rPr>
                <w:rFonts w:ascii="Arial Narrow" w:eastAsia="Calibri" w:hAnsi="Arial Narrow"/>
                <w:sz w:val="20"/>
                <w:szCs w:val="20"/>
              </w:rPr>
            </w:pPr>
            <w:r w:rsidRPr="00AB34C7">
              <w:rPr>
                <w:rFonts w:ascii="Arial Narrow" w:hAnsi="Arial Narrow"/>
                <w:b/>
                <w:sz w:val="20"/>
                <w:szCs w:val="20"/>
              </w:rPr>
              <w:t xml:space="preserve">Restriction type: </w:t>
            </w:r>
            <w:r w:rsidRPr="00AB34C7">
              <w:rPr>
                <w:rFonts w:ascii="Arial Narrow" w:eastAsia="Calibri" w:hAnsi="Arial Narrow"/>
                <w:sz w:val="20"/>
                <w:szCs w:val="20"/>
              </w:rPr>
              <w:fldChar w:fldCharType="begin" w:fldLock="1">
                <w:ffData>
                  <w:name w:val="Check3"/>
                  <w:enabled/>
                  <w:calcOnExit w:val="0"/>
                  <w:checkBox>
                    <w:sizeAuto/>
                    <w:default w:val="1"/>
                  </w:checkBox>
                </w:ffData>
              </w:fldChar>
            </w:r>
            <w:r w:rsidRPr="00AB34C7">
              <w:rPr>
                <w:rFonts w:ascii="Arial Narrow" w:eastAsia="Calibri" w:hAnsi="Arial Narrow"/>
                <w:sz w:val="20"/>
                <w:szCs w:val="20"/>
              </w:rPr>
              <w:instrText xml:space="preserve"> FORMCHECKBOX </w:instrText>
            </w:r>
            <w:r w:rsidR="00000000">
              <w:rPr>
                <w:rFonts w:ascii="Arial Narrow" w:eastAsia="Calibri" w:hAnsi="Arial Narrow"/>
                <w:sz w:val="20"/>
                <w:szCs w:val="20"/>
              </w:rPr>
            </w:r>
            <w:r w:rsidR="00000000">
              <w:rPr>
                <w:rFonts w:ascii="Arial Narrow" w:eastAsia="Calibri" w:hAnsi="Arial Narrow"/>
                <w:sz w:val="20"/>
                <w:szCs w:val="20"/>
              </w:rPr>
              <w:fldChar w:fldCharType="separate"/>
            </w:r>
            <w:r w:rsidRPr="00AB34C7">
              <w:rPr>
                <w:rFonts w:ascii="Arial Narrow" w:eastAsia="Calibri" w:hAnsi="Arial Narrow"/>
                <w:sz w:val="20"/>
                <w:szCs w:val="20"/>
              </w:rPr>
              <w:fldChar w:fldCharType="end"/>
            </w:r>
            <w:r w:rsidRPr="00AB34C7">
              <w:rPr>
                <w:rFonts w:ascii="Arial Narrow" w:eastAsia="Calibri" w:hAnsi="Arial Narrow"/>
                <w:sz w:val="20"/>
                <w:szCs w:val="20"/>
              </w:rPr>
              <w:t xml:space="preserve"> Authority Required (telephone/electronic via PBS Authorities system)</w:t>
            </w:r>
          </w:p>
        </w:tc>
      </w:tr>
      <w:tr w:rsidR="00CB5957" w:rsidRPr="00AB34C7" w14:paraId="2495B853" w14:textId="77777777" w:rsidTr="005D4A35">
        <w:tblPrEx>
          <w:tblCellMar>
            <w:top w:w="15" w:type="dxa"/>
            <w:left w:w="15" w:type="dxa"/>
            <w:bottom w:w="15" w:type="dxa"/>
            <w:right w:w="15" w:type="dxa"/>
          </w:tblCellMar>
          <w:tblLook w:val="04A0" w:firstRow="1" w:lastRow="0" w:firstColumn="1" w:lastColumn="0" w:noHBand="0" w:noVBand="1"/>
        </w:tblPrEx>
        <w:tc>
          <w:tcPr>
            <w:tcW w:w="1273" w:type="dxa"/>
            <w:gridSpan w:val="2"/>
            <w:tcBorders>
              <w:left w:val="single" w:sz="4" w:space="0" w:color="auto"/>
              <w:bottom w:val="single" w:sz="4" w:space="0" w:color="auto"/>
              <w:right w:val="single" w:sz="4" w:space="0" w:color="auto"/>
            </w:tcBorders>
          </w:tcPr>
          <w:p w14:paraId="4AD167E4" w14:textId="77777777" w:rsidR="00CB5957" w:rsidRPr="00AB34C7" w:rsidRDefault="00CB5957" w:rsidP="00DB278B">
            <w:pP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tcPr>
          <w:p w14:paraId="5E8B645A" w14:textId="77777777" w:rsidR="00CB5957" w:rsidRPr="00AB34C7" w:rsidRDefault="00CB5957" w:rsidP="00DB278B">
            <w:pPr>
              <w:rPr>
                <w:rFonts w:ascii="Arial Narrow" w:hAnsi="Arial Narrow"/>
                <w:b/>
                <w:sz w:val="20"/>
                <w:szCs w:val="20"/>
              </w:rPr>
            </w:pPr>
          </w:p>
        </w:tc>
      </w:tr>
      <w:tr w:rsidR="00CB5957" w:rsidRPr="00AB34C7" w14:paraId="675C7370" w14:textId="77777777" w:rsidTr="005D4A35">
        <w:tblPrEx>
          <w:tblCellMar>
            <w:top w:w="15" w:type="dxa"/>
            <w:left w:w="15" w:type="dxa"/>
            <w:bottom w:w="15" w:type="dxa"/>
            <w:right w:w="15" w:type="dxa"/>
          </w:tblCellMar>
        </w:tblPrEx>
        <w:tc>
          <w:tcPr>
            <w:tcW w:w="278" w:type="dxa"/>
            <w:vMerge w:val="restart"/>
            <w:tcBorders>
              <w:left w:val="single" w:sz="4" w:space="0" w:color="auto"/>
              <w:right w:val="single" w:sz="4" w:space="0" w:color="auto"/>
            </w:tcBorders>
            <w:textDirection w:val="btLr"/>
          </w:tcPr>
          <w:p w14:paraId="1ECD03A6" w14:textId="08519668" w:rsidR="00CB5957" w:rsidRPr="00AB34C7" w:rsidRDefault="00CB5957" w:rsidP="00DB278B">
            <w:pPr>
              <w:ind w:left="113" w:right="113"/>
              <w:jc w:val="center"/>
              <w:rPr>
                <w:rFonts w:ascii="Arial Narrow" w:hAnsi="Arial Narrow"/>
                <w:sz w:val="20"/>
                <w:szCs w:val="20"/>
              </w:rPr>
            </w:pPr>
          </w:p>
        </w:tc>
        <w:tc>
          <w:tcPr>
            <w:tcW w:w="995" w:type="dxa"/>
          </w:tcPr>
          <w:p w14:paraId="3A11B353" w14:textId="3D03D412" w:rsidR="00CB5957" w:rsidRPr="00AB34C7" w:rsidRDefault="00CB5957"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54193D96" w14:textId="77777777" w:rsidR="00CB5957" w:rsidRPr="00AB34C7" w:rsidRDefault="00CB5957" w:rsidP="00DB278B">
            <w:pPr>
              <w:rPr>
                <w:rFonts w:ascii="Arial Narrow" w:hAnsi="Arial Narrow"/>
                <w:sz w:val="20"/>
                <w:szCs w:val="20"/>
              </w:rPr>
            </w:pPr>
            <w:r w:rsidRPr="00AB34C7">
              <w:rPr>
                <w:rFonts w:ascii="Arial Narrow" w:eastAsia="Arial Narrow" w:hAnsi="Arial Narrow" w:cs="Arial Narrow"/>
                <w:b/>
                <w:color w:val="333333"/>
                <w:sz w:val="20"/>
                <w:szCs w:val="20"/>
              </w:rPr>
              <w:t xml:space="preserve">Administrative Advice: </w:t>
            </w:r>
            <w:r w:rsidRPr="00AB34C7">
              <w:rPr>
                <w:rFonts w:ascii="Arial Narrow" w:eastAsia="Arial Narrow" w:hAnsi="Arial Narrow" w:cs="Arial Narrow"/>
                <w:color w:val="333333"/>
                <w:sz w:val="20"/>
                <w:szCs w:val="20"/>
              </w:rPr>
              <w:t>No increase in the maximum quantity or number of units may be authorised.</w:t>
            </w:r>
          </w:p>
        </w:tc>
      </w:tr>
      <w:tr w:rsidR="00CB5957" w:rsidRPr="00AB34C7" w14:paraId="1B74C763" w14:textId="77777777" w:rsidTr="005D4A35">
        <w:tblPrEx>
          <w:tblCellMar>
            <w:top w:w="15" w:type="dxa"/>
            <w:left w:w="15" w:type="dxa"/>
            <w:bottom w:w="15" w:type="dxa"/>
            <w:right w:w="15" w:type="dxa"/>
          </w:tblCellMar>
        </w:tblPrEx>
        <w:tc>
          <w:tcPr>
            <w:tcW w:w="278" w:type="dxa"/>
            <w:vMerge/>
            <w:tcBorders>
              <w:left w:val="single" w:sz="4" w:space="0" w:color="auto"/>
              <w:right w:val="single" w:sz="4" w:space="0" w:color="auto"/>
            </w:tcBorders>
            <w:textDirection w:val="btLr"/>
          </w:tcPr>
          <w:p w14:paraId="60C5889F" w14:textId="77777777" w:rsidR="00CB5957" w:rsidRPr="00AB34C7" w:rsidRDefault="00CB5957" w:rsidP="00DB278B">
            <w:pPr>
              <w:ind w:left="113" w:right="113"/>
              <w:jc w:val="center"/>
              <w:rPr>
                <w:rFonts w:ascii="Arial Narrow" w:hAnsi="Arial Narrow"/>
                <w:sz w:val="20"/>
                <w:szCs w:val="20"/>
              </w:rPr>
            </w:pPr>
          </w:p>
        </w:tc>
        <w:tc>
          <w:tcPr>
            <w:tcW w:w="995" w:type="dxa"/>
          </w:tcPr>
          <w:p w14:paraId="15171C0C" w14:textId="56EB8A88" w:rsidR="00CB5957" w:rsidRPr="00AB34C7" w:rsidRDefault="00CB5957" w:rsidP="00DB278B">
            <w:pPr>
              <w:jc w:val="center"/>
              <w:rPr>
                <w:rFonts w:ascii="Arial Narrow" w:hAnsi="Arial Narrow"/>
                <w:sz w:val="20"/>
                <w:szCs w:val="20"/>
              </w:rPr>
            </w:pPr>
          </w:p>
        </w:tc>
        <w:tc>
          <w:tcPr>
            <w:tcW w:w="7794" w:type="dxa"/>
            <w:gridSpan w:val="6"/>
          </w:tcPr>
          <w:p w14:paraId="329BBB7F" w14:textId="77777777" w:rsidR="00CB5957" w:rsidRPr="00AB34C7" w:rsidRDefault="00CB5957" w:rsidP="00DB278B">
            <w:pPr>
              <w:rPr>
                <w:rFonts w:ascii="Arial Narrow" w:hAnsi="Arial Narrow"/>
                <w:sz w:val="20"/>
                <w:szCs w:val="20"/>
              </w:rPr>
            </w:pPr>
            <w:r w:rsidRPr="00AB34C7">
              <w:rPr>
                <w:rFonts w:ascii="Arial Narrow" w:hAnsi="Arial Narrow"/>
                <w:b/>
                <w:bCs/>
                <w:sz w:val="20"/>
                <w:szCs w:val="20"/>
              </w:rPr>
              <w:t xml:space="preserve">Administrative Advice: </w:t>
            </w:r>
            <w:r w:rsidRPr="00AB34C7">
              <w:rPr>
                <w:rFonts w:ascii="Arial Narrow" w:hAnsi="Arial Narrow"/>
                <w:bCs/>
                <w:sz w:val="20"/>
                <w:szCs w:val="20"/>
              </w:rPr>
              <w:t>No increase in the maximum number of repeats may be authorised.</w:t>
            </w:r>
          </w:p>
        </w:tc>
      </w:tr>
      <w:tr w:rsidR="00CB5957" w:rsidRPr="00AB34C7" w14:paraId="469BD191" w14:textId="77777777" w:rsidTr="005D4A35">
        <w:tblPrEx>
          <w:tblCellMar>
            <w:top w:w="15" w:type="dxa"/>
            <w:left w:w="15" w:type="dxa"/>
            <w:bottom w:w="15" w:type="dxa"/>
            <w:right w:w="15" w:type="dxa"/>
          </w:tblCellMar>
        </w:tblPrEx>
        <w:tc>
          <w:tcPr>
            <w:tcW w:w="278" w:type="dxa"/>
            <w:vMerge/>
            <w:tcBorders>
              <w:left w:val="single" w:sz="4" w:space="0" w:color="auto"/>
              <w:right w:val="single" w:sz="4" w:space="0" w:color="auto"/>
            </w:tcBorders>
          </w:tcPr>
          <w:p w14:paraId="6A11E90B" w14:textId="77777777" w:rsidR="00CB5957" w:rsidRPr="00AB34C7" w:rsidRDefault="00CB5957" w:rsidP="00DB278B">
            <w:pPr>
              <w:rPr>
                <w:rFonts w:ascii="Arial Narrow" w:hAnsi="Arial Narrow"/>
                <w:sz w:val="20"/>
                <w:szCs w:val="20"/>
              </w:rPr>
            </w:pPr>
          </w:p>
        </w:tc>
        <w:tc>
          <w:tcPr>
            <w:tcW w:w="995" w:type="dxa"/>
          </w:tcPr>
          <w:p w14:paraId="4C264128" w14:textId="252E7500" w:rsidR="00CB5957" w:rsidRPr="00AB34C7" w:rsidRDefault="00CB5957" w:rsidP="00DB278B">
            <w:pPr>
              <w:jc w:val="center"/>
              <w:rPr>
                <w:rFonts w:ascii="Arial Narrow" w:hAnsi="Arial Narrow"/>
                <w:sz w:val="20"/>
                <w:szCs w:val="20"/>
              </w:rPr>
            </w:pPr>
          </w:p>
        </w:tc>
        <w:tc>
          <w:tcPr>
            <w:tcW w:w="7794" w:type="dxa"/>
            <w:gridSpan w:val="6"/>
          </w:tcPr>
          <w:p w14:paraId="729E8687" w14:textId="77777777" w:rsidR="00CB5957" w:rsidRPr="00AB34C7" w:rsidRDefault="00CB5957" w:rsidP="00DB278B">
            <w:pPr>
              <w:rPr>
                <w:rFonts w:ascii="Arial Narrow" w:hAnsi="Arial Narrow"/>
                <w:b/>
                <w:bCs/>
                <w:sz w:val="20"/>
                <w:szCs w:val="20"/>
              </w:rPr>
            </w:pPr>
            <w:r w:rsidRPr="00AB34C7">
              <w:rPr>
                <w:rFonts w:ascii="Arial Narrow" w:hAnsi="Arial Narrow"/>
                <w:b/>
                <w:bCs/>
                <w:sz w:val="20"/>
                <w:szCs w:val="20"/>
              </w:rPr>
              <w:t xml:space="preserve">Administrative Advice: </w:t>
            </w:r>
            <w:r w:rsidRPr="00AB34C7">
              <w:rPr>
                <w:rFonts w:ascii="Arial Narrow" w:hAnsi="Arial Narrow"/>
                <w:bCs/>
                <w:sz w:val="20"/>
                <w:szCs w:val="20"/>
              </w:rPr>
              <w:t>Special Pricing Arrangements apply.</w:t>
            </w:r>
          </w:p>
        </w:tc>
      </w:tr>
      <w:tr w:rsidR="005D4A35" w:rsidRPr="00AB34C7" w14:paraId="04988BBC" w14:textId="77777777" w:rsidTr="005D4A35">
        <w:tblPrEx>
          <w:tblCellMar>
            <w:top w:w="15" w:type="dxa"/>
            <w:left w:w="15" w:type="dxa"/>
            <w:bottom w:w="15" w:type="dxa"/>
            <w:right w:w="15" w:type="dxa"/>
          </w:tblCellMar>
        </w:tblPrEx>
        <w:tc>
          <w:tcPr>
            <w:tcW w:w="278" w:type="dxa"/>
            <w:vMerge/>
            <w:tcBorders>
              <w:left w:val="single" w:sz="4" w:space="0" w:color="auto"/>
              <w:right w:val="single" w:sz="4" w:space="0" w:color="auto"/>
            </w:tcBorders>
          </w:tcPr>
          <w:p w14:paraId="62C39080" w14:textId="77777777" w:rsidR="005D4A35" w:rsidRPr="00AB34C7" w:rsidRDefault="005D4A35" w:rsidP="00DB278B">
            <w:pPr>
              <w:rPr>
                <w:rFonts w:ascii="Arial Narrow" w:hAnsi="Arial Narrow"/>
                <w:sz w:val="20"/>
                <w:szCs w:val="20"/>
              </w:rPr>
            </w:pPr>
          </w:p>
        </w:tc>
        <w:tc>
          <w:tcPr>
            <w:tcW w:w="995" w:type="dxa"/>
            <w:vAlign w:val="center"/>
          </w:tcPr>
          <w:p w14:paraId="038B5CC4" w14:textId="6184D47C" w:rsidR="005D4A35" w:rsidRPr="00AB34C7" w:rsidRDefault="005D4A35" w:rsidP="00DB278B">
            <w:pPr>
              <w:jc w:val="center"/>
              <w:rPr>
                <w:rFonts w:ascii="Arial Narrow" w:hAnsi="Arial Narrow"/>
                <w:bCs/>
                <w:sz w:val="20"/>
                <w:szCs w:val="20"/>
              </w:rPr>
            </w:pPr>
          </w:p>
        </w:tc>
        <w:tc>
          <w:tcPr>
            <w:tcW w:w="7794" w:type="dxa"/>
            <w:gridSpan w:val="6"/>
            <w:vAlign w:val="center"/>
          </w:tcPr>
          <w:p w14:paraId="14726BA6" w14:textId="228F0BD5" w:rsidR="005D4A35" w:rsidRPr="00AB34C7" w:rsidRDefault="005D4A35" w:rsidP="00DB278B">
            <w:pPr>
              <w:rPr>
                <w:rFonts w:ascii="Arial Narrow" w:hAnsi="Arial Narrow"/>
                <w:b/>
                <w:bCs/>
                <w:sz w:val="20"/>
                <w:szCs w:val="20"/>
              </w:rPr>
            </w:pPr>
            <w:r w:rsidRPr="00AB34C7">
              <w:rPr>
                <w:rFonts w:ascii="Arial Narrow" w:hAnsi="Arial Narrow"/>
                <w:b/>
                <w:bCs/>
                <w:color w:val="333333"/>
                <w:sz w:val="20"/>
                <w:szCs w:val="20"/>
              </w:rPr>
              <w:t>Administrative Advice:</w:t>
            </w:r>
            <w:r w:rsidRPr="00AB34C7">
              <w:rPr>
                <w:sz w:val="20"/>
                <w:szCs w:val="20"/>
              </w:rPr>
              <w:t xml:space="preserve"> </w:t>
            </w:r>
            <w:r w:rsidRPr="00AB34C7">
              <w:rPr>
                <w:rStyle w:val="normaltextrun"/>
                <w:rFonts w:ascii="Arial Narrow" w:hAnsi="Arial Narrow" w:cs="Segoe UI"/>
                <w:sz w:val="20"/>
                <w:szCs w:val="20"/>
              </w:rPr>
              <w:t xml:space="preserve">Applications for authorisation under this restriction may be made in real time using the Online PBS Authorities system (see </w:t>
            </w:r>
            <w:hyperlink r:id="rId13" w:history="1">
              <w:r w:rsidR="0050539C" w:rsidRPr="00326077">
                <w:rPr>
                  <w:rStyle w:val="Hyperlink"/>
                  <w:rFonts w:ascii="Arial Narrow" w:hAnsi="Arial Narrow" w:cs="Segoe UI"/>
                  <w:sz w:val="20"/>
                  <w:szCs w:val="20"/>
                </w:rPr>
                <w:t>www.servicesaustralia</w:t>
              </w:r>
            </w:hyperlink>
            <w:r w:rsidRPr="00AB34C7">
              <w:rPr>
                <w:rStyle w:val="normaltextrun"/>
                <w:rFonts w:ascii="Arial Narrow" w:hAnsi="Arial Narrow" w:cs="Segoe UI"/>
                <w:sz w:val="20"/>
                <w:szCs w:val="20"/>
              </w:rPr>
              <w:t>.gov.au/HPOS) or by telephone by contacting Services Australia on 1800 888 333.</w:t>
            </w:r>
          </w:p>
        </w:tc>
      </w:tr>
      <w:tr w:rsidR="005D4A35" w:rsidRPr="00AB34C7" w14:paraId="5A8FFC10" w14:textId="77777777" w:rsidTr="00B95C74">
        <w:tblPrEx>
          <w:tblCellMar>
            <w:top w:w="15" w:type="dxa"/>
            <w:left w:w="15" w:type="dxa"/>
            <w:bottom w:w="15" w:type="dxa"/>
            <w:right w:w="15" w:type="dxa"/>
          </w:tblCellMar>
        </w:tblPrEx>
        <w:trPr>
          <w:trHeight w:val="382"/>
        </w:trPr>
        <w:tc>
          <w:tcPr>
            <w:tcW w:w="1273" w:type="dxa"/>
            <w:gridSpan w:val="2"/>
            <w:tcBorders>
              <w:top w:val="single" w:sz="4" w:space="0" w:color="auto"/>
              <w:left w:val="single" w:sz="4" w:space="0" w:color="auto"/>
              <w:bottom w:val="single" w:sz="4" w:space="0" w:color="auto"/>
              <w:right w:val="single" w:sz="4" w:space="0" w:color="auto"/>
            </w:tcBorders>
          </w:tcPr>
          <w:p w14:paraId="0CBDBB83" w14:textId="77777777" w:rsidR="005D4A35" w:rsidRPr="00AB34C7" w:rsidRDefault="005D4A35"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65CF3E25" w14:textId="195DC54B" w:rsidR="005D4A35" w:rsidRPr="00AB34C7" w:rsidRDefault="005D4A35"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b/>
                <w:bCs/>
                <w:color w:val="333333"/>
                <w:sz w:val="20"/>
                <w:szCs w:val="20"/>
              </w:rPr>
              <w:t>Indication:</w:t>
            </w:r>
            <w:r w:rsidRPr="00AB34C7">
              <w:rPr>
                <w:rFonts w:ascii="Arial Narrow" w:eastAsia="Arial Narrow" w:hAnsi="Arial Narrow" w:cs="Arial Narrow"/>
                <w:color w:val="333333"/>
                <w:sz w:val="20"/>
                <w:szCs w:val="20"/>
              </w:rPr>
              <w:t xml:space="preserve"> Chronic lymphocytic leukaemia (CLL) or small lymphocytic lymphoma (SLL)</w:t>
            </w:r>
          </w:p>
        </w:tc>
      </w:tr>
      <w:tr w:rsidR="005D4A35" w:rsidRPr="00AB34C7" w14:paraId="39EB416D" w14:textId="77777777" w:rsidTr="005D4A35">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60C5DDDB" w14:textId="073D8F1C" w:rsidR="005D4A35" w:rsidRPr="00AB34C7" w:rsidRDefault="005D4A35"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21DD17EA" w14:textId="2BEEBA4C" w:rsidR="005D4A35" w:rsidRPr="00AB34C7" w:rsidRDefault="005D4A35" w:rsidP="00DB278B">
            <w:pPr>
              <w:rPr>
                <w:rFonts w:ascii="Arial Narrow" w:hAnsi="Arial Narrow"/>
                <w:sz w:val="20"/>
                <w:szCs w:val="20"/>
              </w:rPr>
            </w:pPr>
            <w:r w:rsidRPr="00AB34C7">
              <w:rPr>
                <w:rFonts w:ascii="Arial Narrow" w:eastAsia="Arial Narrow" w:hAnsi="Arial Narrow" w:cs="Arial Narrow"/>
                <w:b/>
                <w:bCs/>
                <w:color w:val="333333"/>
                <w:sz w:val="20"/>
                <w:szCs w:val="20"/>
              </w:rPr>
              <w:t>Treatment Phase:</w:t>
            </w:r>
            <w:r w:rsidRPr="00AB34C7">
              <w:rPr>
                <w:rFonts w:ascii="Arial Narrow" w:eastAsia="Arial Narrow" w:hAnsi="Arial Narrow" w:cs="Arial Narrow"/>
                <w:color w:val="333333"/>
                <w:sz w:val="20"/>
                <w:szCs w:val="20"/>
              </w:rPr>
              <w:t xml:space="preserve"> </w:t>
            </w:r>
            <w:r w:rsidRPr="00AB34C7">
              <w:t xml:space="preserve"> </w:t>
            </w:r>
            <w:r w:rsidRPr="00AB34C7">
              <w:rPr>
                <w:rFonts w:ascii="Arial Narrow" w:eastAsia="Arial Narrow" w:hAnsi="Arial Narrow" w:cs="Arial Narrow"/>
                <w:color w:val="333333"/>
                <w:sz w:val="20"/>
                <w:szCs w:val="20"/>
              </w:rPr>
              <w:t xml:space="preserve">First continuing treatment (treatment cycles </w:t>
            </w:r>
            <w:r w:rsidR="00A23A9D">
              <w:rPr>
                <w:rFonts w:ascii="Arial Narrow" w:eastAsia="Arial Narrow" w:hAnsi="Arial Narrow" w:cs="Arial Narrow"/>
                <w:color w:val="333333"/>
                <w:sz w:val="20"/>
                <w:szCs w:val="20"/>
              </w:rPr>
              <w:t>4</w:t>
            </w:r>
            <w:r w:rsidR="00A23A9D" w:rsidRPr="00AB34C7">
              <w:rPr>
                <w:rFonts w:ascii="Arial Narrow" w:eastAsia="Arial Narrow" w:hAnsi="Arial Narrow" w:cs="Arial Narrow"/>
                <w:color w:val="333333"/>
                <w:sz w:val="20"/>
                <w:szCs w:val="20"/>
              </w:rPr>
              <w:t xml:space="preserve"> </w:t>
            </w:r>
            <w:r w:rsidRPr="00AB34C7">
              <w:rPr>
                <w:rFonts w:ascii="Arial Narrow" w:eastAsia="Arial Narrow" w:hAnsi="Arial Narrow" w:cs="Arial Narrow"/>
                <w:color w:val="333333"/>
                <w:sz w:val="20"/>
                <w:szCs w:val="20"/>
              </w:rPr>
              <w:t xml:space="preserve">to </w:t>
            </w:r>
            <w:r w:rsidR="00A23A9D">
              <w:rPr>
                <w:rFonts w:ascii="Arial Narrow" w:eastAsia="Arial Narrow" w:hAnsi="Arial Narrow" w:cs="Arial Narrow"/>
                <w:color w:val="333333"/>
                <w:sz w:val="20"/>
                <w:szCs w:val="20"/>
              </w:rPr>
              <w:t>8</w:t>
            </w:r>
            <w:r w:rsidRPr="00AB34C7">
              <w:rPr>
                <w:rFonts w:ascii="Arial Narrow" w:eastAsia="Arial Narrow" w:hAnsi="Arial Narrow" w:cs="Arial Narrow"/>
                <w:color w:val="333333"/>
                <w:sz w:val="20"/>
                <w:szCs w:val="20"/>
              </w:rPr>
              <w:t xml:space="preserve"> inclusive) of first-line therapy</w:t>
            </w:r>
          </w:p>
        </w:tc>
      </w:tr>
      <w:tr w:rsidR="005D4A35" w:rsidRPr="00AB34C7" w14:paraId="419BA4E0" w14:textId="77777777" w:rsidTr="005D4A35">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1139CF23" w14:textId="77777777" w:rsidR="005D4A35" w:rsidRPr="00AB34C7" w:rsidRDefault="005D4A35"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71CC31B3" w14:textId="57F8697A" w:rsidR="005D4A35" w:rsidRPr="00AB34C7" w:rsidRDefault="005D4A35" w:rsidP="00DB278B">
            <w:pPr>
              <w:rPr>
                <w:rFonts w:ascii="Arial Narrow" w:hAnsi="Arial Narrow"/>
                <w:sz w:val="20"/>
                <w:szCs w:val="20"/>
              </w:rPr>
            </w:pPr>
          </w:p>
        </w:tc>
      </w:tr>
      <w:tr w:rsidR="005D4A35" w:rsidRPr="00AB34C7" w14:paraId="42C84B37" w14:textId="77777777" w:rsidTr="005D4A35">
        <w:tblPrEx>
          <w:tblCellMar>
            <w:top w:w="15" w:type="dxa"/>
            <w:left w:w="15" w:type="dxa"/>
            <w:bottom w:w="15" w:type="dxa"/>
            <w:right w:w="15" w:type="dxa"/>
          </w:tblCellMar>
          <w:tblLook w:val="04A0" w:firstRow="1" w:lastRow="0" w:firstColumn="1" w:lastColumn="0" w:noHBand="0" w:noVBand="1"/>
        </w:tblPrEx>
        <w:tc>
          <w:tcPr>
            <w:tcW w:w="1273" w:type="dxa"/>
            <w:gridSpan w:val="2"/>
            <w:tcBorders>
              <w:top w:val="single" w:sz="4" w:space="0" w:color="auto"/>
              <w:left w:val="single" w:sz="4" w:space="0" w:color="auto"/>
              <w:bottom w:val="single" w:sz="4" w:space="0" w:color="auto"/>
              <w:right w:val="single" w:sz="4" w:space="0" w:color="auto"/>
            </w:tcBorders>
          </w:tcPr>
          <w:p w14:paraId="0B11012A" w14:textId="77777777" w:rsidR="005D4A35" w:rsidRPr="00AB34C7" w:rsidRDefault="005D4A35"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26666F4B" w14:textId="6FF34762" w:rsidR="005D4A35" w:rsidRPr="00AB34C7" w:rsidRDefault="005D4A35"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b/>
                <w:bCs/>
                <w:color w:val="333333"/>
                <w:sz w:val="20"/>
                <w:szCs w:val="20"/>
              </w:rPr>
              <w:t>Clinical criteria:</w:t>
            </w:r>
          </w:p>
        </w:tc>
      </w:tr>
      <w:tr w:rsidR="005D4A35" w:rsidRPr="00AB34C7" w14:paraId="60496A7D" w14:textId="77777777" w:rsidTr="005D4A35">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18FA54F3" w14:textId="5FA7DDF7" w:rsidR="005D4A35" w:rsidRPr="00AB34C7" w:rsidRDefault="005D4A35"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5699AB31" w14:textId="06CAEED1" w:rsidR="005D4A35" w:rsidRPr="00AB34C7" w:rsidRDefault="005D4A35" w:rsidP="00DB278B">
            <w:pPr>
              <w:rPr>
                <w:rFonts w:ascii="Arial Narrow" w:hAnsi="Arial Narrow"/>
                <w:sz w:val="20"/>
                <w:szCs w:val="20"/>
              </w:rPr>
            </w:pPr>
            <w:r w:rsidRPr="00AB34C7">
              <w:rPr>
                <w:rFonts w:ascii="Arial Narrow" w:eastAsia="Arial Narrow" w:hAnsi="Arial Narrow" w:cs="Arial Narrow"/>
                <w:color w:val="333333"/>
                <w:sz w:val="20"/>
                <w:szCs w:val="20"/>
              </w:rPr>
              <w:t>Patient must have previously received PBS-subsidised treatment with this drug for this condition</w:t>
            </w:r>
          </w:p>
        </w:tc>
      </w:tr>
      <w:tr w:rsidR="005D4A35" w:rsidRPr="00AB34C7" w14:paraId="17A004E9" w14:textId="77777777" w:rsidTr="005D4A35">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7B8728A1" w14:textId="45FB40CB" w:rsidR="005D4A35" w:rsidRPr="00AB34C7" w:rsidRDefault="005D4A35"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0B2EA5EC" w14:textId="3B5BD62B" w:rsidR="005D4A35" w:rsidRPr="00AB34C7" w:rsidRDefault="005D4A35"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b/>
                <w:bCs/>
                <w:color w:val="333333"/>
                <w:sz w:val="20"/>
                <w:szCs w:val="20"/>
              </w:rPr>
              <w:t>AND</w:t>
            </w:r>
          </w:p>
        </w:tc>
      </w:tr>
      <w:tr w:rsidR="005D4A35" w:rsidRPr="00AB34C7" w14:paraId="1F44BE08" w14:textId="77777777" w:rsidTr="005D4A35">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70E91EA1" w14:textId="77777777" w:rsidR="005D4A35" w:rsidRPr="00AB34C7" w:rsidRDefault="005D4A35"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3A490B56" w14:textId="60926315" w:rsidR="005D4A35" w:rsidRPr="00AB34C7" w:rsidRDefault="005D4A35"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b/>
                <w:bCs/>
                <w:color w:val="333333"/>
                <w:sz w:val="20"/>
                <w:szCs w:val="20"/>
              </w:rPr>
              <w:t>Clinical criteria:</w:t>
            </w:r>
          </w:p>
        </w:tc>
      </w:tr>
      <w:tr w:rsidR="005D4A35" w:rsidRPr="00AB34C7" w14:paraId="7C847547" w14:textId="77777777" w:rsidTr="005D4A35">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2B3AFFF1" w14:textId="52F19372" w:rsidR="005D4A35" w:rsidRPr="00AB34C7" w:rsidRDefault="005D4A35"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11797B86" w14:textId="4A57E18E" w:rsidR="005D4A35" w:rsidRPr="00AB34C7" w:rsidRDefault="005D4A35"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color w:val="333333"/>
                <w:sz w:val="20"/>
                <w:szCs w:val="20"/>
              </w:rPr>
              <w:t>The treatment must be in combination with ibrutinib (refer to Product Information for timing of ibrutinib and venetoclax doses)</w:t>
            </w:r>
          </w:p>
        </w:tc>
      </w:tr>
      <w:tr w:rsidR="005D4A35" w:rsidRPr="00AB34C7" w14:paraId="15FC1B7D" w14:textId="77777777" w:rsidTr="005D4A35">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4FC64C16" w14:textId="5C3D5B6C" w:rsidR="005D4A35" w:rsidRPr="00AB34C7" w:rsidRDefault="005D4A35"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0561DA30" w14:textId="51493657" w:rsidR="005D4A35" w:rsidRPr="00AB34C7" w:rsidRDefault="005D4A35"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b/>
                <w:bCs/>
                <w:color w:val="333333"/>
                <w:sz w:val="20"/>
                <w:szCs w:val="20"/>
              </w:rPr>
              <w:t>AND</w:t>
            </w:r>
          </w:p>
        </w:tc>
      </w:tr>
      <w:tr w:rsidR="005D4A35" w:rsidRPr="00AB34C7" w14:paraId="5A0D9A8A" w14:textId="77777777" w:rsidTr="005D4A35">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03B738CB" w14:textId="77777777" w:rsidR="005D4A35" w:rsidRPr="00AB34C7" w:rsidRDefault="005D4A35"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270A87EF" w14:textId="749683D3" w:rsidR="005D4A35" w:rsidRPr="00AB34C7" w:rsidRDefault="005D4A35"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b/>
                <w:bCs/>
                <w:color w:val="333333"/>
                <w:sz w:val="20"/>
                <w:szCs w:val="20"/>
              </w:rPr>
              <w:t>Clinical criteria:</w:t>
            </w:r>
          </w:p>
        </w:tc>
      </w:tr>
      <w:tr w:rsidR="005D4A35" w:rsidRPr="00AB34C7" w14:paraId="57932E85" w14:textId="77777777" w:rsidTr="005D4A35">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56EE7B3F" w14:textId="38E92290" w:rsidR="005D4A35" w:rsidRPr="00AB34C7" w:rsidRDefault="005D4A35"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15FAF4EF" w14:textId="7E6D7ED8" w:rsidR="005D4A35" w:rsidRPr="00AB34C7" w:rsidRDefault="005D4A35"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color w:val="333333"/>
                <w:sz w:val="20"/>
                <w:szCs w:val="20"/>
              </w:rPr>
              <w:t>The treatment must cease upon disease progression.</w:t>
            </w:r>
          </w:p>
        </w:tc>
      </w:tr>
    </w:tbl>
    <w:p w14:paraId="78665C28" w14:textId="77777777" w:rsidR="00CB5957" w:rsidRPr="00AB34C7" w:rsidRDefault="00CB5957" w:rsidP="001C30EF">
      <w:pPr>
        <w:keepNext/>
        <w:keepLines/>
        <w:rPr>
          <w:b/>
          <w:bCs/>
        </w:rPr>
      </w:pPr>
    </w:p>
    <w:p w14:paraId="15438055" w14:textId="32AA6018" w:rsidR="005D4A35" w:rsidRPr="00F0309A" w:rsidRDefault="005D4A35" w:rsidP="005D4A35">
      <w:pPr>
        <w:pStyle w:val="Tableheadingrow"/>
        <w:keepNext w:val="0"/>
        <w:rPr>
          <w:szCs w:val="20"/>
          <w:lang w:val="en-AU"/>
        </w:rPr>
      </w:pPr>
      <w:r w:rsidRPr="00AB34C7">
        <w:rPr>
          <w:szCs w:val="20"/>
          <w:lang w:val="en-AU"/>
        </w:rPr>
        <w:t xml:space="preserve">SECOND AND FINAL CONTINUING TREATMENT PRESCRIPTION (TREATMENT CYCLES </w:t>
      </w:r>
      <w:r w:rsidR="003B2D64">
        <w:rPr>
          <w:szCs w:val="20"/>
          <w:lang w:val="en-AU"/>
        </w:rPr>
        <w:t>9</w:t>
      </w:r>
      <w:r w:rsidRPr="00AB34C7">
        <w:rPr>
          <w:szCs w:val="20"/>
          <w:lang w:val="en-AU"/>
        </w:rPr>
        <w:t xml:space="preserve"> TO 1</w:t>
      </w:r>
      <w:r w:rsidR="003B2D64">
        <w:rPr>
          <w:szCs w:val="20"/>
          <w:lang w:val="en-AU"/>
        </w:rPr>
        <w:t>5</w:t>
      </w:r>
      <w:r w:rsidRPr="00AB34C7">
        <w:rPr>
          <w:szCs w:val="20"/>
          <w:lang w:val="en-AU"/>
        </w:rPr>
        <w:t xml:space="preserve"> INCLUSIVE) OF FIRST-LINE THERAPY</w:t>
      </w: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
        <w:gridCol w:w="995"/>
        <w:gridCol w:w="1717"/>
        <w:gridCol w:w="1182"/>
        <w:gridCol w:w="1012"/>
        <w:gridCol w:w="843"/>
        <w:gridCol w:w="843"/>
        <w:gridCol w:w="2197"/>
      </w:tblGrid>
      <w:tr w:rsidR="005D4A35" w:rsidRPr="00AB34C7" w14:paraId="1441E55A" w14:textId="77777777" w:rsidTr="00DB278B">
        <w:trPr>
          <w:cantSplit/>
          <w:trHeight w:val="471"/>
        </w:trPr>
        <w:tc>
          <w:tcPr>
            <w:tcW w:w="2990" w:type="dxa"/>
            <w:gridSpan w:val="3"/>
          </w:tcPr>
          <w:p w14:paraId="599F09D4" w14:textId="77777777" w:rsidR="005D4A35" w:rsidRPr="00AB34C7" w:rsidRDefault="005D4A35" w:rsidP="00DB278B">
            <w:pPr>
              <w:ind w:left="-57"/>
              <w:rPr>
                <w:rFonts w:ascii="Arial Narrow" w:hAnsi="Arial Narrow"/>
                <w:b/>
                <w:bCs/>
                <w:sz w:val="20"/>
                <w:szCs w:val="20"/>
              </w:rPr>
            </w:pPr>
            <w:r w:rsidRPr="00AB34C7">
              <w:rPr>
                <w:rFonts w:ascii="Arial Narrow" w:hAnsi="Arial Narrow"/>
                <w:b/>
                <w:bCs/>
                <w:sz w:val="20"/>
                <w:szCs w:val="20"/>
              </w:rPr>
              <w:t>MEDICINAL PRODUCT</w:t>
            </w:r>
          </w:p>
          <w:p w14:paraId="4548F8C2" w14:textId="77777777" w:rsidR="005D4A35" w:rsidRPr="00AB34C7" w:rsidRDefault="005D4A35" w:rsidP="00DB278B">
            <w:pPr>
              <w:ind w:left="-57"/>
              <w:rPr>
                <w:rFonts w:ascii="Arial Narrow" w:hAnsi="Arial Narrow"/>
                <w:b/>
                <w:sz w:val="20"/>
                <w:szCs w:val="20"/>
              </w:rPr>
            </w:pPr>
            <w:r w:rsidRPr="00AB34C7">
              <w:rPr>
                <w:rFonts w:ascii="Arial Narrow" w:hAnsi="Arial Narrow"/>
                <w:b/>
                <w:bCs/>
                <w:sz w:val="20"/>
                <w:szCs w:val="20"/>
              </w:rPr>
              <w:t>medicinal product pack</w:t>
            </w:r>
          </w:p>
        </w:tc>
        <w:tc>
          <w:tcPr>
            <w:tcW w:w="1182" w:type="dxa"/>
          </w:tcPr>
          <w:p w14:paraId="1B7C1627" w14:textId="77777777" w:rsidR="005D4A35" w:rsidRPr="00AB34C7" w:rsidRDefault="005D4A35" w:rsidP="00DB278B">
            <w:pPr>
              <w:ind w:left="-108"/>
              <w:jc w:val="center"/>
              <w:rPr>
                <w:rFonts w:ascii="Arial Narrow" w:hAnsi="Arial Narrow"/>
                <w:b/>
                <w:sz w:val="20"/>
                <w:szCs w:val="20"/>
              </w:rPr>
            </w:pPr>
            <w:r w:rsidRPr="00AB34C7">
              <w:rPr>
                <w:rFonts w:ascii="Arial Narrow" w:hAnsi="Arial Narrow"/>
                <w:b/>
                <w:sz w:val="20"/>
                <w:szCs w:val="20"/>
              </w:rPr>
              <w:t>PBS item code</w:t>
            </w:r>
          </w:p>
        </w:tc>
        <w:tc>
          <w:tcPr>
            <w:tcW w:w="1012" w:type="dxa"/>
          </w:tcPr>
          <w:p w14:paraId="026A8A52" w14:textId="77777777" w:rsidR="005D4A35" w:rsidRPr="00AB34C7" w:rsidRDefault="005D4A35" w:rsidP="00DB278B">
            <w:pPr>
              <w:ind w:left="-108"/>
              <w:jc w:val="center"/>
              <w:rPr>
                <w:rFonts w:ascii="Arial Narrow" w:hAnsi="Arial Narrow"/>
                <w:b/>
                <w:sz w:val="20"/>
                <w:szCs w:val="20"/>
              </w:rPr>
            </w:pPr>
            <w:r w:rsidRPr="00AB34C7">
              <w:rPr>
                <w:rFonts w:ascii="Arial Narrow" w:hAnsi="Arial Narrow"/>
                <w:b/>
                <w:sz w:val="20"/>
                <w:szCs w:val="20"/>
              </w:rPr>
              <w:t>Max. qty packs</w:t>
            </w:r>
          </w:p>
        </w:tc>
        <w:tc>
          <w:tcPr>
            <w:tcW w:w="843" w:type="dxa"/>
          </w:tcPr>
          <w:p w14:paraId="4C492F73" w14:textId="77777777" w:rsidR="005D4A35" w:rsidRPr="00AB34C7" w:rsidRDefault="005D4A35" w:rsidP="00DB278B">
            <w:pPr>
              <w:ind w:left="-108"/>
              <w:jc w:val="center"/>
              <w:rPr>
                <w:rFonts w:ascii="Arial Narrow" w:hAnsi="Arial Narrow"/>
                <w:b/>
                <w:sz w:val="20"/>
                <w:szCs w:val="20"/>
              </w:rPr>
            </w:pPr>
            <w:r w:rsidRPr="00AB34C7">
              <w:rPr>
                <w:rFonts w:ascii="Arial Narrow" w:hAnsi="Arial Narrow"/>
                <w:b/>
                <w:sz w:val="20"/>
                <w:szCs w:val="20"/>
              </w:rPr>
              <w:t>Max. qty units</w:t>
            </w:r>
          </w:p>
        </w:tc>
        <w:tc>
          <w:tcPr>
            <w:tcW w:w="843" w:type="dxa"/>
          </w:tcPr>
          <w:p w14:paraId="2EAE2972" w14:textId="77777777" w:rsidR="005D4A35" w:rsidRPr="00AB34C7" w:rsidRDefault="005D4A35" w:rsidP="00DB278B">
            <w:pPr>
              <w:ind w:left="-108"/>
              <w:jc w:val="center"/>
              <w:rPr>
                <w:rFonts w:ascii="Arial Narrow" w:hAnsi="Arial Narrow"/>
                <w:b/>
                <w:sz w:val="20"/>
                <w:szCs w:val="20"/>
              </w:rPr>
            </w:pPr>
            <w:r w:rsidRPr="00AB34C7">
              <w:rPr>
                <w:rFonts w:ascii="Arial Narrow" w:hAnsi="Arial Narrow"/>
                <w:b/>
                <w:sz w:val="20"/>
                <w:szCs w:val="20"/>
              </w:rPr>
              <w:t>№.of</w:t>
            </w:r>
          </w:p>
          <w:p w14:paraId="6A78BCA6" w14:textId="77777777" w:rsidR="005D4A35" w:rsidRPr="00AB34C7" w:rsidRDefault="005D4A35" w:rsidP="00DB278B">
            <w:pPr>
              <w:ind w:left="-108"/>
              <w:jc w:val="center"/>
              <w:rPr>
                <w:rFonts w:ascii="Arial Narrow" w:hAnsi="Arial Narrow"/>
                <w:b/>
                <w:sz w:val="20"/>
                <w:szCs w:val="20"/>
              </w:rPr>
            </w:pPr>
            <w:r w:rsidRPr="00AB34C7">
              <w:rPr>
                <w:rFonts w:ascii="Arial Narrow" w:hAnsi="Arial Narrow"/>
                <w:b/>
                <w:sz w:val="20"/>
                <w:szCs w:val="20"/>
              </w:rPr>
              <w:t>Rpts</w:t>
            </w:r>
          </w:p>
        </w:tc>
        <w:tc>
          <w:tcPr>
            <w:tcW w:w="2197" w:type="dxa"/>
          </w:tcPr>
          <w:p w14:paraId="34EA1C06" w14:textId="77777777" w:rsidR="005D4A35" w:rsidRPr="00B95C74" w:rsidRDefault="005D4A35" w:rsidP="00DB278B">
            <w:pPr>
              <w:jc w:val="center"/>
              <w:rPr>
                <w:rFonts w:ascii="Arial Narrow" w:hAnsi="Arial Narrow"/>
                <w:b/>
                <w:sz w:val="20"/>
                <w:szCs w:val="20"/>
              </w:rPr>
            </w:pPr>
            <w:r w:rsidRPr="00AB34C7">
              <w:rPr>
                <w:rFonts w:ascii="Arial Narrow" w:hAnsi="Arial Narrow"/>
                <w:b/>
                <w:sz w:val="20"/>
                <w:szCs w:val="20"/>
              </w:rPr>
              <w:t>Available brands</w:t>
            </w:r>
          </w:p>
        </w:tc>
      </w:tr>
      <w:tr w:rsidR="005D4A35" w:rsidRPr="00AB34C7" w14:paraId="4316BD88" w14:textId="77777777" w:rsidTr="00DB278B">
        <w:trPr>
          <w:cantSplit/>
          <w:trHeight w:val="224"/>
        </w:trPr>
        <w:tc>
          <w:tcPr>
            <w:tcW w:w="9067" w:type="dxa"/>
            <w:gridSpan w:val="8"/>
          </w:tcPr>
          <w:p w14:paraId="3F087900" w14:textId="77777777" w:rsidR="005D4A35" w:rsidRPr="00AB34C7" w:rsidRDefault="005D4A35" w:rsidP="00DB278B">
            <w:pPr>
              <w:ind w:left="-57"/>
              <w:rPr>
                <w:rFonts w:ascii="Arial Narrow" w:hAnsi="Arial Narrow"/>
                <w:sz w:val="20"/>
                <w:szCs w:val="20"/>
              </w:rPr>
            </w:pPr>
            <w:r w:rsidRPr="00AB34C7">
              <w:rPr>
                <w:rFonts w:ascii="Arial Narrow" w:hAnsi="Arial Narrow"/>
                <w:sz w:val="20"/>
                <w:szCs w:val="20"/>
              </w:rPr>
              <w:t>VENETOCLAX</w:t>
            </w:r>
          </w:p>
        </w:tc>
      </w:tr>
      <w:tr w:rsidR="005D4A35" w:rsidRPr="00AB34C7" w14:paraId="03FE74CF" w14:textId="77777777" w:rsidTr="00DB278B">
        <w:trPr>
          <w:cantSplit/>
        </w:trPr>
        <w:tc>
          <w:tcPr>
            <w:tcW w:w="2990" w:type="dxa"/>
            <w:gridSpan w:val="3"/>
          </w:tcPr>
          <w:p w14:paraId="5A71DDA6" w14:textId="77777777" w:rsidR="005D4A35" w:rsidRPr="00AB34C7" w:rsidRDefault="005D4A35" w:rsidP="00DB278B">
            <w:pPr>
              <w:ind w:left="-57"/>
              <w:rPr>
                <w:rFonts w:ascii="Arial Narrow" w:hAnsi="Arial Narrow"/>
                <w:sz w:val="20"/>
                <w:szCs w:val="20"/>
              </w:rPr>
            </w:pPr>
            <w:r w:rsidRPr="00AB34C7">
              <w:rPr>
                <w:rFonts w:ascii="Arial Narrow" w:hAnsi="Arial Narrow" w:cstheme="minorBidi"/>
                <w:sz w:val="20"/>
                <w:szCs w:val="20"/>
              </w:rPr>
              <w:t>Venetoclax 100 mg tablet, 120</w:t>
            </w:r>
          </w:p>
        </w:tc>
        <w:tc>
          <w:tcPr>
            <w:tcW w:w="1182" w:type="dxa"/>
          </w:tcPr>
          <w:p w14:paraId="5D5121F0" w14:textId="77777777" w:rsidR="005D4A35" w:rsidRPr="00AB34C7" w:rsidRDefault="005D4A35" w:rsidP="00DB278B">
            <w:pPr>
              <w:jc w:val="center"/>
              <w:rPr>
                <w:rFonts w:ascii="Arial Narrow" w:hAnsi="Arial Narrow"/>
                <w:sz w:val="20"/>
                <w:szCs w:val="20"/>
              </w:rPr>
            </w:pPr>
            <w:r w:rsidRPr="00AB34C7">
              <w:rPr>
                <w:rFonts w:ascii="Arial Narrow" w:hAnsi="Arial Narrow"/>
                <w:sz w:val="20"/>
                <w:szCs w:val="20"/>
              </w:rPr>
              <w:t>NEW</w:t>
            </w:r>
          </w:p>
        </w:tc>
        <w:tc>
          <w:tcPr>
            <w:tcW w:w="1012" w:type="dxa"/>
          </w:tcPr>
          <w:p w14:paraId="0C8FDEF7" w14:textId="77777777" w:rsidR="005D4A35" w:rsidRPr="00AB34C7" w:rsidRDefault="005D4A35" w:rsidP="00DB278B">
            <w:pPr>
              <w:jc w:val="center"/>
              <w:rPr>
                <w:rFonts w:ascii="Arial Narrow" w:hAnsi="Arial Narrow"/>
                <w:sz w:val="20"/>
                <w:szCs w:val="20"/>
              </w:rPr>
            </w:pPr>
            <w:r w:rsidRPr="00AB34C7">
              <w:rPr>
                <w:rFonts w:ascii="Arial Narrow" w:hAnsi="Arial Narrow"/>
                <w:sz w:val="20"/>
                <w:szCs w:val="20"/>
              </w:rPr>
              <w:t>1</w:t>
            </w:r>
          </w:p>
        </w:tc>
        <w:tc>
          <w:tcPr>
            <w:tcW w:w="843" w:type="dxa"/>
          </w:tcPr>
          <w:p w14:paraId="066956FE" w14:textId="77777777" w:rsidR="005D4A35" w:rsidRPr="00AB34C7" w:rsidRDefault="005D4A35" w:rsidP="00DB278B">
            <w:pPr>
              <w:jc w:val="center"/>
              <w:rPr>
                <w:rFonts w:ascii="Arial Narrow" w:hAnsi="Arial Narrow"/>
                <w:sz w:val="20"/>
                <w:szCs w:val="20"/>
              </w:rPr>
            </w:pPr>
            <w:r w:rsidRPr="00AB34C7">
              <w:rPr>
                <w:rFonts w:ascii="Arial Narrow" w:hAnsi="Arial Narrow"/>
                <w:sz w:val="20"/>
                <w:szCs w:val="20"/>
              </w:rPr>
              <w:t>120</w:t>
            </w:r>
          </w:p>
        </w:tc>
        <w:tc>
          <w:tcPr>
            <w:tcW w:w="843" w:type="dxa"/>
          </w:tcPr>
          <w:p w14:paraId="123AF6AA" w14:textId="13446117" w:rsidR="005D4A35" w:rsidRPr="00AB34C7" w:rsidRDefault="005D4A35" w:rsidP="00DB278B">
            <w:pPr>
              <w:jc w:val="center"/>
              <w:rPr>
                <w:rFonts w:ascii="Arial Narrow" w:hAnsi="Arial Narrow"/>
                <w:sz w:val="20"/>
                <w:szCs w:val="20"/>
              </w:rPr>
            </w:pPr>
            <w:r w:rsidRPr="00AB34C7">
              <w:rPr>
                <w:rFonts w:ascii="Arial Narrow" w:hAnsi="Arial Narrow"/>
                <w:sz w:val="20"/>
                <w:szCs w:val="20"/>
              </w:rPr>
              <w:t>5</w:t>
            </w:r>
          </w:p>
        </w:tc>
        <w:tc>
          <w:tcPr>
            <w:tcW w:w="2197" w:type="dxa"/>
          </w:tcPr>
          <w:p w14:paraId="7B15878F" w14:textId="77777777" w:rsidR="005D4A35" w:rsidRPr="00AB34C7" w:rsidRDefault="005D4A35" w:rsidP="00DB278B">
            <w:pPr>
              <w:jc w:val="center"/>
              <w:rPr>
                <w:rFonts w:ascii="Arial Narrow" w:eastAsiaTheme="majorEastAsia" w:hAnsi="Arial Narrow" w:cstheme="majorBidi"/>
                <w:bCs/>
                <w:sz w:val="20"/>
                <w:szCs w:val="20"/>
              </w:rPr>
            </w:pPr>
            <w:r w:rsidRPr="00AB34C7">
              <w:rPr>
                <w:rFonts w:ascii="Arial Narrow" w:eastAsiaTheme="majorEastAsia" w:hAnsi="Arial Narrow"/>
                <w:bCs/>
                <w:sz w:val="20"/>
                <w:szCs w:val="20"/>
              </w:rPr>
              <w:t>Venclexta</w:t>
            </w:r>
          </w:p>
        </w:tc>
      </w:tr>
      <w:tr w:rsidR="005D4A35" w:rsidRPr="00AB34C7" w14:paraId="033B59B6" w14:textId="77777777" w:rsidTr="00DB278B">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53D3E66A" w14:textId="77777777" w:rsidR="005D4A35" w:rsidRPr="00AB34C7" w:rsidRDefault="005D4A35" w:rsidP="00DB278B">
            <w:pPr>
              <w:rPr>
                <w:rFonts w:ascii="Arial Narrow" w:hAnsi="Arial Narrow"/>
                <w:sz w:val="20"/>
                <w:szCs w:val="20"/>
              </w:rPr>
            </w:pPr>
          </w:p>
        </w:tc>
      </w:tr>
      <w:tr w:rsidR="005D4A35" w:rsidRPr="00AB34C7" w14:paraId="290F6D58" w14:textId="77777777" w:rsidTr="00DB278B">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16ED4F7F" w14:textId="77777777" w:rsidR="005D4A35" w:rsidRPr="00AB34C7" w:rsidRDefault="005D4A35" w:rsidP="00DB278B">
            <w:pPr>
              <w:rPr>
                <w:rFonts w:ascii="Arial Narrow" w:hAnsi="Arial Narrow"/>
                <w:b/>
                <w:sz w:val="20"/>
                <w:szCs w:val="20"/>
              </w:rPr>
            </w:pPr>
            <w:r w:rsidRPr="00AB34C7">
              <w:rPr>
                <w:rFonts w:ascii="Arial Narrow" w:hAnsi="Arial Narrow"/>
                <w:b/>
                <w:sz w:val="20"/>
                <w:szCs w:val="20"/>
              </w:rPr>
              <w:t xml:space="preserve">Restriction Summary [new] / Treatment of Concept: [new] </w:t>
            </w:r>
          </w:p>
        </w:tc>
      </w:tr>
      <w:tr w:rsidR="005D4A35" w:rsidRPr="00AB34C7" w14:paraId="3964A8DA" w14:textId="77777777" w:rsidTr="00DB278B">
        <w:tblPrEx>
          <w:tblCellMar>
            <w:top w:w="15" w:type="dxa"/>
            <w:left w:w="15" w:type="dxa"/>
            <w:bottom w:w="15" w:type="dxa"/>
            <w:right w:w="15" w:type="dxa"/>
          </w:tblCellMar>
        </w:tblPrEx>
        <w:tc>
          <w:tcPr>
            <w:tcW w:w="1273" w:type="dxa"/>
            <w:gridSpan w:val="2"/>
            <w:vMerge w:val="restart"/>
            <w:tcBorders>
              <w:top w:val="single" w:sz="4" w:space="0" w:color="auto"/>
              <w:left w:val="single" w:sz="4" w:space="0" w:color="auto"/>
              <w:right w:val="single" w:sz="4" w:space="0" w:color="auto"/>
            </w:tcBorders>
          </w:tcPr>
          <w:p w14:paraId="4084BF4D" w14:textId="532662DE" w:rsidR="005D4A35" w:rsidRPr="00AB34C7" w:rsidRDefault="005D4A35" w:rsidP="00DB278B">
            <w:pPr>
              <w:jc w:val="center"/>
              <w:rPr>
                <w:rFonts w:ascii="Arial Narrow" w:hAnsi="Arial Narrow"/>
                <w:b/>
                <w:sz w:val="20"/>
                <w:szCs w:val="20"/>
              </w:rPr>
            </w:pPr>
          </w:p>
        </w:tc>
        <w:tc>
          <w:tcPr>
            <w:tcW w:w="7794" w:type="dxa"/>
            <w:gridSpan w:val="6"/>
            <w:tcBorders>
              <w:top w:val="single" w:sz="4" w:space="0" w:color="auto"/>
              <w:left w:val="single" w:sz="4" w:space="0" w:color="auto"/>
              <w:bottom w:val="single" w:sz="4" w:space="0" w:color="auto"/>
              <w:right w:val="single" w:sz="4" w:space="0" w:color="auto"/>
            </w:tcBorders>
          </w:tcPr>
          <w:p w14:paraId="3FABB5A7" w14:textId="77777777" w:rsidR="005D4A35" w:rsidRPr="00AB34C7" w:rsidRDefault="005D4A35" w:rsidP="00DB278B">
            <w:pPr>
              <w:rPr>
                <w:rFonts w:ascii="Arial Narrow" w:hAnsi="Arial Narrow"/>
                <w:sz w:val="20"/>
                <w:szCs w:val="20"/>
              </w:rPr>
            </w:pPr>
            <w:r w:rsidRPr="00AB34C7">
              <w:rPr>
                <w:rFonts w:ascii="Arial Narrow" w:hAnsi="Arial Narrow"/>
                <w:b/>
                <w:sz w:val="20"/>
                <w:szCs w:val="20"/>
              </w:rPr>
              <w:t xml:space="preserve">Category / Program: </w:t>
            </w:r>
            <w:r w:rsidRPr="00AB34C7">
              <w:rPr>
                <w:rFonts w:ascii="Arial Narrow" w:hAnsi="Arial Narrow"/>
                <w:sz w:val="20"/>
                <w:szCs w:val="20"/>
              </w:rPr>
              <w:t xml:space="preserve">GENERAL – General Schedule (Code GE) </w:t>
            </w:r>
          </w:p>
        </w:tc>
      </w:tr>
      <w:tr w:rsidR="005D4A35" w:rsidRPr="00AB34C7" w14:paraId="0CAEA704" w14:textId="77777777" w:rsidTr="00DB278B">
        <w:tblPrEx>
          <w:tblCellMar>
            <w:top w:w="15" w:type="dxa"/>
            <w:left w:w="15" w:type="dxa"/>
            <w:bottom w:w="15" w:type="dxa"/>
            <w:right w:w="15" w:type="dxa"/>
          </w:tblCellMar>
        </w:tblPrEx>
        <w:trPr>
          <w:trHeight w:val="240"/>
        </w:trPr>
        <w:tc>
          <w:tcPr>
            <w:tcW w:w="1273" w:type="dxa"/>
            <w:gridSpan w:val="2"/>
            <w:vMerge/>
            <w:tcBorders>
              <w:left w:val="single" w:sz="4" w:space="0" w:color="auto"/>
              <w:right w:val="single" w:sz="4" w:space="0" w:color="auto"/>
            </w:tcBorders>
          </w:tcPr>
          <w:p w14:paraId="65AE7D39" w14:textId="77777777" w:rsidR="005D4A35" w:rsidRPr="00AB34C7" w:rsidRDefault="005D4A35" w:rsidP="00DB278B">
            <w:pP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tcPr>
          <w:p w14:paraId="7206DF3A" w14:textId="77777777" w:rsidR="005D4A35" w:rsidRPr="00AB34C7" w:rsidRDefault="005D4A35" w:rsidP="00DB278B">
            <w:pPr>
              <w:rPr>
                <w:rFonts w:ascii="Arial Narrow" w:hAnsi="Arial Narrow"/>
                <w:b/>
                <w:sz w:val="20"/>
                <w:szCs w:val="20"/>
              </w:rPr>
            </w:pPr>
            <w:r w:rsidRPr="00AB34C7">
              <w:rPr>
                <w:rFonts w:ascii="Arial Narrow" w:hAnsi="Arial Narrow"/>
                <w:b/>
                <w:sz w:val="20"/>
                <w:szCs w:val="20"/>
              </w:rPr>
              <w:t xml:space="preserve">Prescriber type: </w:t>
            </w:r>
            <w:r w:rsidRPr="00AB34C7">
              <w:rPr>
                <w:rFonts w:ascii="Arial Narrow" w:hAnsi="Arial Narrow"/>
                <w:sz w:val="20"/>
                <w:szCs w:val="20"/>
              </w:rPr>
              <w:fldChar w:fldCharType="begin" w:fldLock="1">
                <w:ffData>
                  <w:name w:val=""/>
                  <w:enabled/>
                  <w:calcOnExit w:val="0"/>
                  <w:checkBox>
                    <w:sizeAuto/>
                    <w:default w:val="1"/>
                  </w:checkBox>
                </w:ffData>
              </w:fldChar>
            </w:r>
            <w:r w:rsidRPr="00AB34C7">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AB34C7">
              <w:rPr>
                <w:rFonts w:ascii="Arial Narrow" w:hAnsi="Arial Narrow"/>
                <w:sz w:val="20"/>
                <w:szCs w:val="20"/>
              </w:rPr>
              <w:fldChar w:fldCharType="end"/>
            </w:r>
            <w:r w:rsidRPr="00AB34C7">
              <w:rPr>
                <w:rFonts w:ascii="Arial Narrow" w:hAnsi="Arial Narrow"/>
                <w:sz w:val="20"/>
                <w:szCs w:val="20"/>
              </w:rPr>
              <w:t>Medical Practitioners</w:t>
            </w:r>
          </w:p>
        </w:tc>
      </w:tr>
      <w:tr w:rsidR="005D4A35" w:rsidRPr="00AB34C7" w14:paraId="04E8D0DD" w14:textId="77777777" w:rsidTr="00DB278B">
        <w:tblPrEx>
          <w:tblCellMar>
            <w:top w:w="15" w:type="dxa"/>
            <w:left w:w="15" w:type="dxa"/>
            <w:bottom w:w="15" w:type="dxa"/>
            <w:right w:w="15" w:type="dxa"/>
          </w:tblCellMar>
        </w:tblPrEx>
        <w:tc>
          <w:tcPr>
            <w:tcW w:w="1273" w:type="dxa"/>
            <w:gridSpan w:val="2"/>
            <w:vMerge/>
            <w:tcBorders>
              <w:left w:val="single" w:sz="4" w:space="0" w:color="auto"/>
              <w:bottom w:val="single" w:sz="4" w:space="0" w:color="auto"/>
              <w:right w:val="single" w:sz="4" w:space="0" w:color="auto"/>
            </w:tcBorders>
          </w:tcPr>
          <w:p w14:paraId="2349EA25" w14:textId="77777777" w:rsidR="005D4A35" w:rsidRPr="00AB34C7" w:rsidRDefault="005D4A35" w:rsidP="00DB278B">
            <w:pP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tcPr>
          <w:p w14:paraId="65A84EED" w14:textId="77777777" w:rsidR="005D4A35" w:rsidRPr="00AB34C7" w:rsidRDefault="005D4A35" w:rsidP="00DB278B">
            <w:pPr>
              <w:rPr>
                <w:rFonts w:ascii="Arial Narrow" w:eastAsia="Calibri" w:hAnsi="Arial Narrow"/>
                <w:sz w:val="20"/>
                <w:szCs w:val="20"/>
              </w:rPr>
            </w:pPr>
            <w:r w:rsidRPr="00AB34C7">
              <w:rPr>
                <w:rFonts w:ascii="Arial Narrow" w:hAnsi="Arial Narrow"/>
                <w:b/>
                <w:sz w:val="20"/>
                <w:szCs w:val="20"/>
              </w:rPr>
              <w:t xml:space="preserve">Restriction type: </w:t>
            </w:r>
            <w:r w:rsidRPr="00AB34C7">
              <w:rPr>
                <w:rFonts w:ascii="Arial Narrow" w:eastAsia="Calibri" w:hAnsi="Arial Narrow"/>
                <w:sz w:val="20"/>
                <w:szCs w:val="20"/>
              </w:rPr>
              <w:fldChar w:fldCharType="begin" w:fldLock="1">
                <w:ffData>
                  <w:name w:val="Check3"/>
                  <w:enabled/>
                  <w:calcOnExit w:val="0"/>
                  <w:checkBox>
                    <w:sizeAuto/>
                    <w:default w:val="1"/>
                  </w:checkBox>
                </w:ffData>
              </w:fldChar>
            </w:r>
            <w:r w:rsidRPr="00AB34C7">
              <w:rPr>
                <w:rFonts w:ascii="Arial Narrow" w:eastAsia="Calibri" w:hAnsi="Arial Narrow"/>
                <w:sz w:val="20"/>
                <w:szCs w:val="20"/>
              </w:rPr>
              <w:instrText xml:space="preserve"> FORMCHECKBOX </w:instrText>
            </w:r>
            <w:r w:rsidR="00000000">
              <w:rPr>
                <w:rFonts w:ascii="Arial Narrow" w:eastAsia="Calibri" w:hAnsi="Arial Narrow"/>
                <w:sz w:val="20"/>
                <w:szCs w:val="20"/>
              </w:rPr>
            </w:r>
            <w:r w:rsidR="00000000">
              <w:rPr>
                <w:rFonts w:ascii="Arial Narrow" w:eastAsia="Calibri" w:hAnsi="Arial Narrow"/>
                <w:sz w:val="20"/>
                <w:szCs w:val="20"/>
              </w:rPr>
              <w:fldChar w:fldCharType="separate"/>
            </w:r>
            <w:r w:rsidRPr="00AB34C7">
              <w:rPr>
                <w:rFonts w:ascii="Arial Narrow" w:eastAsia="Calibri" w:hAnsi="Arial Narrow"/>
                <w:sz w:val="20"/>
                <w:szCs w:val="20"/>
              </w:rPr>
              <w:fldChar w:fldCharType="end"/>
            </w:r>
            <w:r w:rsidRPr="00AB34C7">
              <w:rPr>
                <w:rFonts w:ascii="Arial Narrow" w:eastAsia="Calibri" w:hAnsi="Arial Narrow"/>
                <w:sz w:val="20"/>
                <w:szCs w:val="20"/>
              </w:rPr>
              <w:t xml:space="preserve"> Authority Required (telephone/electronic via PBS Authorities system)</w:t>
            </w:r>
          </w:p>
        </w:tc>
      </w:tr>
      <w:tr w:rsidR="005D4A35" w:rsidRPr="00AB34C7" w14:paraId="432D2DA1" w14:textId="77777777" w:rsidTr="00DB278B">
        <w:tblPrEx>
          <w:tblCellMar>
            <w:top w:w="15" w:type="dxa"/>
            <w:left w:w="15" w:type="dxa"/>
            <w:bottom w:w="15" w:type="dxa"/>
            <w:right w:w="15" w:type="dxa"/>
          </w:tblCellMar>
          <w:tblLook w:val="04A0" w:firstRow="1" w:lastRow="0" w:firstColumn="1" w:lastColumn="0" w:noHBand="0" w:noVBand="1"/>
        </w:tblPrEx>
        <w:tc>
          <w:tcPr>
            <w:tcW w:w="1273" w:type="dxa"/>
            <w:gridSpan w:val="2"/>
            <w:tcBorders>
              <w:left w:val="single" w:sz="4" w:space="0" w:color="auto"/>
              <w:bottom w:val="single" w:sz="4" w:space="0" w:color="auto"/>
              <w:right w:val="single" w:sz="4" w:space="0" w:color="auto"/>
            </w:tcBorders>
          </w:tcPr>
          <w:p w14:paraId="72A15DF0" w14:textId="77777777" w:rsidR="005D4A35" w:rsidRPr="00AB34C7" w:rsidRDefault="005D4A35" w:rsidP="00DB278B">
            <w:pP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tcPr>
          <w:p w14:paraId="339DAE1C" w14:textId="77777777" w:rsidR="005D4A35" w:rsidRPr="00AB34C7" w:rsidRDefault="005D4A35" w:rsidP="00DB278B">
            <w:pPr>
              <w:rPr>
                <w:rFonts w:ascii="Arial Narrow" w:hAnsi="Arial Narrow"/>
                <w:b/>
                <w:sz w:val="20"/>
                <w:szCs w:val="20"/>
              </w:rPr>
            </w:pPr>
          </w:p>
        </w:tc>
      </w:tr>
      <w:tr w:rsidR="005D4A35" w:rsidRPr="00AB34C7" w14:paraId="2CD193C8" w14:textId="77777777" w:rsidTr="00DB278B">
        <w:tblPrEx>
          <w:tblCellMar>
            <w:top w:w="15" w:type="dxa"/>
            <w:left w:w="15" w:type="dxa"/>
            <w:bottom w:w="15" w:type="dxa"/>
            <w:right w:w="15" w:type="dxa"/>
          </w:tblCellMar>
        </w:tblPrEx>
        <w:tc>
          <w:tcPr>
            <w:tcW w:w="278" w:type="dxa"/>
            <w:vMerge w:val="restart"/>
            <w:tcBorders>
              <w:left w:val="single" w:sz="4" w:space="0" w:color="auto"/>
              <w:right w:val="single" w:sz="4" w:space="0" w:color="auto"/>
            </w:tcBorders>
            <w:textDirection w:val="btLr"/>
          </w:tcPr>
          <w:p w14:paraId="373C61F0" w14:textId="02ABC980" w:rsidR="005D4A35" w:rsidRPr="00AB34C7" w:rsidRDefault="005D4A35" w:rsidP="00DB278B">
            <w:pPr>
              <w:ind w:left="113" w:right="113"/>
              <w:jc w:val="center"/>
              <w:rPr>
                <w:rFonts w:ascii="Arial Narrow" w:hAnsi="Arial Narrow"/>
                <w:sz w:val="20"/>
                <w:szCs w:val="20"/>
              </w:rPr>
            </w:pPr>
          </w:p>
        </w:tc>
        <w:tc>
          <w:tcPr>
            <w:tcW w:w="995" w:type="dxa"/>
          </w:tcPr>
          <w:p w14:paraId="228615F9" w14:textId="135DE7BA" w:rsidR="005D4A35" w:rsidRPr="00AB34C7" w:rsidRDefault="005D4A35"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0D05A682" w14:textId="77777777" w:rsidR="005D4A35" w:rsidRPr="00AB34C7" w:rsidRDefault="005D4A35" w:rsidP="00DB278B">
            <w:pPr>
              <w:rPr>
                <w:rFonts w:ascii="Arial Narrow" w:hAnsi="Arial Narrow"/>
                <w:sz w:val="20"/>
                <w:szCs w:val="20"/>
              </w:rPr>
            </w:pPr>
            <w:r w:rsidRPr="00AB34C7">
              <w:rPr>
                <w:rFonts w:ascii="Arial Narrow" w:eastAsia="Arial Narrow" w:hAnsi="Arial Narrow" w:cs="Arial Narrow"/>
                <w:b/>
                <w:color w:val="333333"/>
                <w:sz w:val="20"/>
                <w:szCs w:val="20"/>
              </w:rPr>
              <w:t xml:space="preserve">Administrative Advice: </w:t>
            </w:r>
            <w:r w:rsidRPr="00AB34C7">
              <w:rPr>
                <w:rFonts w:ascii="Arial Narrow" w:eastAsia="Arial Narrow" w:hAnsi="Arial Narrow" w:cs="Arial Narrow"/>
                <w:color w:val="333333"/>
                <w:sz w:val="20"/>
                <w:szCs w:val="20"/>
              </w:rPr>
              <w:t>No increase in the maximum quantity or number of units may be authorised.</w:t>
            </w:r>
          </w:p>
        </w:tc>
      </w:tr>
      <w:tr w:rsidR="005D4A35" w:rsidRPr="00AB34C7" w14:paraId="4A8D872C" w14:textId="77777777" w:rsidTr="00DB278B">
        <w:tblPrEx>
          <w:tblCellMar>
            <w:top w:w="15" w:type="dxa"/>
            <w:left w:w="15" w:type="dxa"/>
            <w:bottom w:w="15" w:type="dxa"/>
            <w:right w:w="15" w:type="dxa"/>
          </w:tblCellMar>
        </w:tblPrEx>
        <w:tc>
          <w:tcPr>
            <w:tcW w:w="278" w:type="dxa"/>
            <w:vMerge/>
            <w:tcBorders>
              <w:left w:val="single" w:sz="4" w:space="0" w:color="auto"/>
              <w:right w:val="single" w:sz="4" w:space="0" w:color="auto"/>
            </w:tcBorders>
            <w:textDirection w:val="btLr"/>
          </w:tcPr>
          <w:p w14:paraId="7F1F2F3A" w14:textId="77777777" w:rsidR="005D4A35" w:rsidRPr="00AB34C7" w:rsidRDefault="005D4A35" w:rsidP="00DB278B">
            <w:pPr>
              <w:ind w:left="113" w:right="113"/>
              <w:jc w:val="center"/>
              <w:rPr>
                <w:rFonts w:ascii="Arial Narrow" w:hAnsi="Arial Narrow"/>
                <w:sz w:val="20"/>
                <w:szCs w:val="20"/>
              </w:rPr>
            </w:pPr>
          </w:p>
        </w:tc>
        <w:tc>
          <w:tcPr>
            <w:tcW w:w="995" w:type="dxa"/>
          </w:tcPr>
          <w:p w14:paraId="6A63C086" w14:textId="148F9534" w:rsidR="005D4A35" w:rsidRPr="00AB34C7" w:rsidRDefault="005D4A35" w:rsidP="00DB278B">
            <w:pPr>
              <w:jc w:val="center"/>
              <w:rPr>
                <w:rFonts w:ascii="Arial Narrow" w:hAnsi="Arial Narrow"/>
                <w:sz w:val="20"/>
                <w:szCs w:val="20"/>
              </w:rPr>
            </w:pPr>
          </w:p>
        </w:tc>
        <w:tc>
          <w:tcPr>
            <w:tcW w:w="7794" w:type="dxa"/>
            <w:gridSpan w:val="6"/>
          </w:tcPr>
          <w:p w14:paraId="0FDDC9A5" w14:textId="77777777" w:rsidR="005D4A35" w:rsidRPr="00AB34C7" w:rsidRDefault="005D4A35" w:rsidP="00DB278B">
            <w:pPr>
              <w:rPr>
                <w:rFonts w:ascii="Arial Narrow" w:hAnsi="Arial Narrow"/>
                <w:sz w:val="20"/>
                <w:szCs w:val="20"/>
              </w:rPr>
            </w:pPr>
            <w:r w:rsidRPr="00AB34C7">
              <w:rPr>
                <w:rFonts w:ascii="Arial Narrow" w:hAnsi="Arial Narrow"/>
                <w:b/>
                <w:bCs/>
                <w:sz w:val="20"/>
                <w:szCs w:val="20"/>
              </w:rPr>
              <w:t xml:space="preserve">Administrative Advice: </w:t>
            </w:r>
            <w:r w:rsidRPr="00AB34C7">
              <w:rPr>
                <w:rFonts w:ascii="Arial Narrow" w:hAnsi="Arial Narrow"/>
                <w:bCs/>
                <w:sz w:val="20"/>
                <w:szCs w:val="20"/>
              </w:rPr>
              <w:t>No increase in the maximum number of repeats may be authorised.</w:t>
            </w:r>
          </w:p>
        </w:tc>
      </w:tr>
      <w:tr w:rsidR="005D4A35" w:rsidRPr="00AB34C7" w14:paraId="1DC0CE44" w14:textId="77777777" w:rsidTr="00DB278B">
        <w:tblPrEx>
          <w:tblCellMar>
            <w:top w:w="15" w:type="dxa"/>
            <w:left w:w="15" w:type="dxa"/>
            <w:bottom w:w="15" w:type="dxa"/>
            <w:right w:w="15" w:type="dxa"/>
          </w:tblCellMar>
        </w:tblPrEx>
        <w:tc>
          <w:tcPr>
            <w:tcW w:w="278" w:type="dxa"/>
            <w:vMerge/>
            <w:tcBorders>
              <w:left w:val="single" w:sz="4" w:space="0" w:color="auto"/>
              <w:right w:val="single" w:sz="4" w:space="0" w:color="auto"/>
            </w:tcBorders>
          </w:tcPr>
          <w:p w14:paraId="328780B9" w14:textId="77777777" w:rsidR="005D4A35" w:rsidRPr="00AB34C7" w:rsidRDefault="005D4A35" w:rsidP="00DB278B">
            <w:pPr>
              <w:rPr>
                <w:rFonts w:ascii="Arial Narrow" w:hAnsi="Arial Narrow"/>
                <w:sz w:val="20"/>
                <w:szCs w:val="20"/>
              </w:rPr>
            </w:pPr>
          </w:p>
        </w:tc>
        <w:tc>
          <w:tcPr>
            <w:tcW w:w="995" w:type="dxa"/>
          </w:tcPr>
          <w:p w14:paraId="1361F59A" w14:textId="635BB312" w:rsidR="005D4A35" w:rsidRPr="00AB34C7" w:rsidRDefault="005D4A35" w:rsidP="00DB278B">
            <w:pPr>
              <w:jc w:val="center"/>
              <w:rPr>
                <w:rFonts w:ascii="Arial Narrow" w:hAnsi="Arial Narrow"/>
                <w:sz w:val="20"/>
                <w:szCs w:val="20"/>
              </w:rPr>
            </w:pPr>
          </w:p>
        </w:tc>
        <w:tc>
          <w:tcPr>
            <w:tcW w:w="7794" w:type="dxa"/>
            <w:gridSpan w:val="6"/>
          </w:tcPr>
          <w:p w14:paraId="3017D7DC" w14:textId="77777777" w:rsidR="005D4A35" w:rsidRPr="00AB34C7" w:rsidRDefault="005D4A35" w:rsidP="00DB278B">
            <w:pPr>
              <w:rPr>
                <w:rFonts w:ascii="Arial Narrow" w:hAnsi="Arial Narrow"/>
                <w:b/>
                <w:bCs/>
                <w:sz w:val="20"/>
                <w:szCs w:val="20"/>
              </w:rPr>
            </w:pPr>
            <w:r w:rsidRPr="00AB34C7">
              <w:rPr>
                <w:rFonts w:ascii="Arial Narrow" w:hAnsi="Arial Narrow"/>
                <w:b/>
                <w:bCs/>
                <w:sz w:val="20"/>
                <w:szCs w:val="20"/>
              </w:rPr>
              <w:t xml:space="preserve">Administrative Advice: </w:t>
            </w:r>
            <w:r w:rsidRPr="00AB34C7">
              <w:rPr>
                <w:rFonts w:ascii="Arial Narrow" w:hAnsi="Arial Narrow"/>
                <w:bCs/>
                <w:sz w:val="20"/>
                <w:szCs w:val="20"/>
              </w:rPr>
              <w:t>Special Pricing Arrangements apply.</w:t>
            </w:r>
          </w:p>
        </w:tc>
      </w:tr>
      <w:tr w:rsidR="005D4A35" w:rsidRPr="00AB34C7" w14:paraId="6BCBFA9C" w14:textId="77777777" w:rsidTr="00DB278B">
        <w:tblPrEx>
          <w:tblCellMar>
            <w:top w:w="15" w:type="dxa"/>
            <w:left w:w="15" w:type="dxa"/>
            <w:bottom w:w="15" w:type="dxa"/>
            <w:right w:w="15" w:type="dxa"/>
          </w:tblCellMar>
        </w:tblPrEx>
        <w:tc>
          <w:tcPr>
            <w:tcW w:w="278" w:type="dxa"/>
            <w:vMerge/>
            <w:tcBorders>
              <w:left w:val="single" w:sz="4" w:space="0" w:color="auto"/>
              <w:right w:val="single" w:sz="4" w:space="0" w:color="auto"/>
            </w:tcBorders>
          </w:tcPr>
          <w:p w14:paraId="08B5DB27" w14:textId="77777777" w:rsidR="005D4A35" w:rsidRPr="00AB34C7" w:rsidRDefault="005D4A35" w:rsidP="00DB278B">
            <w:pPr>
              <w:rPr>
                <w:rFonts w:ascii="Arial Narrow" w:hAnsi="Arial Narrow"/>
                <w:sz w:val="20"/>
                <w:szCs w:val="20"/>
              </w:rPr>
            </w:pPr>
          </w:p>
        </w:tc>
        <w:tc>
          <w:tcPr>
            <w:tcW w:w="995" w:type="dxa"/>
            <w:vAlign w:val="center"/>
          </w:tcPr>
          <w:p w14:paraId="2E4FB0E2" w14:textId="77777777" w:rsidR="005D4A35" w:rsidRPr="00AB34C7" w:rsidRDefault="005D4A35" w:rsidP="00DB278B">
            <w:pPr>
              <w:jc w:val="center"/>
              <w:rPr>
                <w:rFonts w:ascii="Arial Narrow" w:hAnsi="Arial Narrow"/>
                <w:bCs/>
                <w:sz w:val="20"/>
                <w:szCs w:val="20"/>
              </w:rPr>
            </w:pPr>
          </w:p>
        </w:tc>
        <w:tc>
          <w:tcPr>
            <w:tcW w:w="7794" w:type="dxa"/>
            <w:gridSpan w:val="6"/>
            <w:vAlign w:val="center"/>
          </w:tcPr>
          <w:p w14:paraId="4241A7B7" w14:textId="15296A93" w:rsidR="005D4A35" w:rsidRPr="00AB34C7" w:rsidRDefault="005D4A35" w:rsidP="00DB278B">
            <w:pPr>
              <w:rPr>
                <w:rFonts w:ascii="Arial Narrow" w:hAnsi="Arial Narrow"/>
                <w:b/>
                <w:bCs/>
                <w:sz w:val="20"/>
                <w:szCs w:val="20"/>
              </w:rPr>
            </w:pPr>
            <w:r w:rsidRPr="00AB34C7">
              <w:rPr>
                <w:rFonts w:ascii="Arial Narrow" w:hAnsi="Arial Narrow"/>
                <w:b/>
                <w:bCs/>
                <w:color w:val="333333"/>
                <w:sz w:val="20"/>
                <w:szCs w:val="20"/>
              </w:rPr>
              <w:t>Administrative Advice:</w:t>
            </w:r>
            <w:r w:rsidRPr="00AB34C7">
              <w:rPr>
                <w:sz w:val="20"/>
                <w:szCs w:val="20"/>
              </w:rPr>
              <w:t xml:space="preserve"> </w:t>
            </w:r>
            <w:r w:rsidRPr="00AB34C7">
              <w:rPr>
                <w:rStyle w:val="normaltextrun"/>
                <w:rFonts w:ascii="Arial Narrow" w:hAnsi="Arial Narrow" w:cs="Segoe UI"/>
                <w:sz w:val="20"/>
                <w:szCs w:val="20"/>
              </w:rPr>
              <w:t xml:space="preserve">Applications for authorisation under this restriction may be made in real time using the Online PBS Authorities system (see </w:t>
            </w:r>
            <w:hyperlink r:id="rId14" w:history="1">
              <w:r w:rsidR="0050539C" w:rsidRPr="00326077">
                <w:rPr>
                  <w:rStyle w:val="Hyperlink"/>
                  <w:rFonts w:ascii="Arial Narrow" w:hAnsi="Arial Narrow" w:cs="Segoe UI"/>
                  <w:sz w:val="20"/>
                  <w:szCs w:val="20"/>
                </w:rPr>
                <w:t>www.servicesaustralia</w:t>
              </w:r>
            </w:hyperlink>
            <w:r w:rsidRPr="00AB34C7">
              <w:rPr>
                <w:rStyle w:val="normaltextrun"/>
                <w:rFonts w:ascii="Arial Narrow" w:hAnsi="Arial Narrow" w:cs="Segoe UI"/>
                <w:sz w:val="20"/>
                <w:szCs w:val="20"/>
              </w:rPr>
              <w:t>.gov.au/HPOS) or by telephone by contacting Services Australia on 1800 888 333.</w:t>
            </w:r>
          </w:p>
        </w:tc>
      </w:tr>
      <w:tr w:rsidR="005D4A35" w:rsidRPr="00AB34C7" w14:paraId="1D439B17" w14:textId="77777777" w:rsidTr="00DB278B">
        <w:tblPrEx>
          <w:tblCellMar>
            <w:top w:w="15" w:type="dxa"/>
            <w:left w:w="15" w:type="dxa"/>
            <w:bottom w:w="15" w:type="dxa"/>
            <w:right w:w="15" w:type="dxa"/>
          </w:tblCellMar>
          <w:tblLook w:val="04A0" w:firstRow="1" w:lastRow="0" w:firstColumn="1" w:lastColumn="0" w:noHBand="0" w:noVBand="1"/>
        </w:tblPrEx>
        <w:tc>
          <w:tcPr>
            <w:tcW w:w="1273" w:type="dxa"/>
            <w:gridSpan w:val="2"/>
            <w:tcBorders>
              <w:top w:val="single" w:sz="4" w:space="0" w:color="auto"/>
              <w:left w:val="single" w:sz="4" w:space="0" w:color="auto"/>
              <w:bottom w:val="single" w:sz="4" w:space="0" w:color="auto"/>
              <w:right w:val="single" w:sz="4" w:space="0" w:color="auto"/>
            </w:tcBorders>
          </w:tcPr>
          <w:p w14:paraId="0B5A186E" w14:textId="77777777" w:rsidR="005D4A35" w:rsidRPr="00AB34C7" w:rsidRDefault="005D4A35"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1A67DADA" w14:textId="77777777" w:rsidR="005D4A35" w:rsidRPr="00AB34C7" w:rsidRDefault="005D4A35"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b/>
                <w:bCs/>
                <w:color w:val="333333"/>
                <w:sz w:val="20"/>
                <w:szCs w:val="20"/>
              </w:rPr>
              <w:t>Indication:</w:t>
            </w:r>
            <w:r w:rsidRPr="00AB34C7">
              <w:rPr>
                <w:rFonts w:ascii="Arial Narrow" w:eastAsia="Arial Narrow" w:hAnsi="Arial Narrow" w:cs="Arial Narrow"/>
                <w:color w:val="333333"/>
                <w:sz w:val="20"/>
                <w:szCs w:val="20"/>
              </w:rPr>
              <w:t xml:space="preserve"> Chronic lymphocytic leukaemia (CLL) or small lymphocytic lymphoma (SLL)</w:t>
            </w:r>
          </w:p>
        </w:tc>
      </w:tr>
      <w:tr w:rsidR="005D4A35" w:rsidRPr="00AB34C7" w14:paraId="49B8FB25" w14:textId="77777777" w:rsidTr="00DB278B">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45A1762E" w14:textId="553D7E7C" w:rsidR="005D4A35" w:rsidRPr="00AB34C7" w:rsidRDefault="005D4A35"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5E3F9EB9" w14:textId="0C91A4EC" w:rsidR="005D4A35" w:rsidRPr="00AB34C7" w:rsidRDefault="005D4A35" w:rsidP="00DB278B">
            <w:pPr>
              <w:rPr>
                <w:rFonts w:ascii="Arial Narrow" w:hAnsi="Arial Narrow"/>
                <w:sz w:val="20"/>
                <w:szCs w:val="20"/>
              </w:rPr>
            </w:pPr>
            <w:r w:rsidRPr="00AB34C7">
              <w:rPr>
                <w:rFonts w:ascii="Arial Narrow" w:eastAsia="Arial Narrow" w:hAnsi="Arial Narrow" w:cs="Arial Narrow"/>
                <w:b/>
                <w:bCs/>
                <w:color w:val="333333"/>
                <w:sz w:val="20"/>
                <w:szCs w:val="20"/>
              </w:rPr>
              <w:t>Treatment Phase:</w:t>
            </w:r>
            <w:r w:rsidRPr="00AB34C7">
              <w:rPr>
                <w:rFonts w:ascii="Arial Narrow" w:eastAsia="Arial Narrow" w:hAnsi="Arial Narrow" w:cs="Arial Narrow"/>
                <w:color w:val="333333"/>
                <w:sz w:val="20"/>
                <w:szCs w:val="20"/>
              </w:rPr>
              <w:t xml:space="preserve"> </w:t>
            </w:r>
            <w:r w:rsidRPr="00AB34C7">
              <w:t xml:space="preserve">  </w:t>
            </w:r>
            <w:r w:rsidRPr="00AB34C7">
              <w:rPr>
                <w:rFonts w:ascii="Arial Narrow" w:eastAsia="Arial Narrow" w:hAnsi="Arial Narrow" w:cs="Arial Narrow"/>
                <w:color w:val="333333"/>
                <w:sz w:val="20"/>
                <w:szCs w:val="20"/>
              </w:rPr>
              <w:t xml:space="preserve">Second and final continuing treatment prescription (treatment cycles </w:t>
            </w:r>
            <w:r w:rsidR="00A23A9D">
              <w:rPr>
                <w:rFonts w:ascii="Arial Narrow" w:eastAsia="Arial Narrow" w:hAnsi="Arial Narrow" w:cs="Arial Narrow"/>
                <w:color w:val="333333"/>
                <w:sz w:val="20"/>
                <w:szCs w:val="20"/>
              </w:rPr>
              <w:t>9</w:t>
            </w:r>
            <w:r w:rsidR="00A23A9D" w:rsidRPr="00AB34C7">
              <w:rPr>
                <w:rFonts w:ascii="Arial Narrow" w:eastAsia="Arial Narrow" w:hAnsi="Arial Narrow" w:cs="Arial Narrow"/>
                <w:color w:val="333333"/>
                <w:sz w:val="20"/>
                <w:szCs w:val="20"/>
              </w:rPr>
              <w:t xml:space="preserve"> </w:t>
            </w:r>
            <w:r w:rsidRPr="00AB34C7">
              <w:rPr>
                <w:rFonts w:ascii="Arial Narrow" w:eastAsia="Arial Narrow" w:hAnsi="Arial Narrow" w:cs="Arial Narrow"/>
                <w:color w:val="333333"/>
                <w:sz w:val="20"/>
                <w:szCs w:val="20"/>
              </w:rPr>
              <w:t xml:space="preserve">to </w:t>
            </w:r>
            <w:r w:rsidR="00A23A9D" w:rsidRPr="00AB34C7">
              <w:rPr>
                <w:rFonts w:ascii="Arial Narrow" w:eastAsia="Arial Narrow" w:hAnsi="Arial Narrow" w:cs="Arial Narrow"/>
                <w:color w:val="333333"/>
                <w:sz w:val="20"/>
                <w:szCs w:val="20"/>
              </w:rPr>
              <w:t>1</w:t>
            </w:r>
            <w:r w:rsidR="00A23A9D">
              <w:rPr>
                <w:rFonts w:ascii="Arial Narrow" w:eastAsia="Arial Narrow" w:hAnsi="Arial Narrow" w:cs="Arial Narrow"/>
                <w:color w:val="333333"/>
                <w:sz w:val="20"/>
                <w:szCs w:val="20"/>
              </w:rPr>
              <w:t>5</w:t>
            </w:r>
            <w:r w:rsidR="00A23A9D" w:rsidRPr="00AB34C7">
              <w:rPr>
                <w:rFonts w:ascii="Arial Narrow" w:eastAsia="Arial Narrow" w:hAnsi="Arial Narrow" w:cs="Arial Narrow"/>
                <w:color w:val="333333"/>
                <w:sz w:val="20"/>
                <w:szCs w:val="20"/>
              </w:rPr>
              <w:t xml:space="preserve"> </w:t>
            </w:r>
            <w:r w:rsidRPr="00AB34C7">
              <w:rPr>
                <w:rFonts w:ascii="Arial Narrow" w:eastAsia="Arial Narrow" w:hAnsi="Arial Narrow" w:cs="Arial Narrow"/>
                <w:color w:val="333333"/>
                <w:sz w:val="20"/>
                <w:szCs w:val="20"/>
              </w:rPr>
              <w:t>inclusive) of first-line therapy</w:t>
            </w:r>
          </w:p>
        </w:tc>
      </w:tr>
      <w:tr w:rsidR="005D4A35" w:rsidRPr="00AB34C7" w14:paraId="7A983E82" w14:textId="77777777" w:rsidTr="00DB278B">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58878F69" w14:textId="77777777" w:rsidR="005D4A35" w:rsidRPr="00AB34C7" w:rsidRDefault="005D4A35"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6395883C" w14:textId="77777777" w:rsidR="005D4A35" w:rsidRPr="00AB34C7" w:rsidRDefault="005D4A35" w:rsidP="00DB278B">
            <w:pPr>
              <w:rPr>
                <w:rFonts w:ascii="Arial Narrow" w:hAnsi="Arial Narrow"/>
                <w:sz w:val="20"/>
                <w:szCs w:val="20"/>
              </w:rPr>
            </w:pPr>
          </w:p>
        </w:tc>
      </w:tr>
      <w:tr w:rsidR="005D4A35" w:rsidRPr="00AB34C7" w14:paraId="12C0FE9E" w14:textId="77777777" w:rsidTr="00DB278B">
        <w:tblPrEx>
          <w:tblCellMar>
            <w:top w:w="15" w:type="dxa"/>
            <w:left w:w="15" w:type="dxa"/>
            <w:bottom w:w="15" w:type="dxa"/>
            <w:right w:w="15" w:type="dxa"/>
          </w:tblCellMar>
          <w:tblLook w:val="04A0" w:firstRow="1" w:lastRow="0" w:firstColumn="1" w:lastColumn="0" w:noHBand="0" w:noVBand="1"/>
        </w:tblPrEx>
        <w:tc>
          <w:tcPr>
            <w:tcW w:w="1273" w:type="dxa"/>
            <w:gridSpan w:val="2"/>
            <w:tcBorders>
              <w:top w:val="single" w:sz="4" w:space="0" w:color="auto"/>
              <w:left w:val="single" w:sz="4" w:space="0" w:color="auto"/>
              <w:bottom w:val="single" w:sz="4" w:space="0" w:color="auto"/>
              <w:right w:val="single" w:sz="4" w:space="0" w:color="auto"/>
            </w:tcBorders>
          </w:tcPr>
          <w:p w14:paraId="3DA303D4" w14:textId="77777777" w:rsidR="005D4A35" w:rsidRPr="00AB34C7" w:rsidRDefault="005D4A35"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31D6A692" w14:textId="77777777" w:rsidR="005D4A35" w:rsidRPr="00AB34C7" w:rsidRDefault="005D4A35"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b/>
                <w:bCs/>
                <w:color w:val="333333"/>
                <w:sz w:val="20"/>
                <w:szCs w:val="20"/>
              </w:rPr>
              <w:t>Clinical criteria:</w:t>
            </w:r>
          </w:p>
        </w:tc>
      </w:tr>
      <w:tr w:rsidR="005D4A35" w:rsidRPr="00AB34C7" w14:paraId="1C7E4438" w14:textId="77777777" w:rsidTr="00DB278B">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10F4A322" w14:textId="332A436D" w:rsidR="005D4A35" w:rsidRPr="00AB34C7" w:rsidRDefault="005D4A35"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1422F784" w14:textId="77777777" w:rsidR="005D4A35" w:rsidRPr="00AB34C7" w:rsidRDefault="005D4A35" w:rsidP="00DB278B">
            <w:pPr>
              <w:rPr>
                <w:rFonts w:ascii="Arial Narrow" w:hAnsi="Arial Narrow"/>
                <w:sz w:val="20"/>
                <w:szCs w:val="20"/>
              </w:rPr>
            </w:pPr>
            <w:r w:rsidRPr="00AB34C7">
              <w:rPr>
                <w:rFonts w:ascii="Arial Narrow" w:eastAsia="Arial Narrow" w:hAnsi="Arial Narrow" w:cs="Arial Narrow"/>
                <w:color w:val="333333"/>
                <w:sz w:val="20"/>
                <w:szCs w:val="20"/>
              </w:rPr>
              <w:t>Patient must have previously received PBS-subsidised treatment with this drug for this condition</w:t>
            </w:r>
          </w:p>
        </w:tc>
      </w:tr>
      <w:tr w:rsidR="005D4A35" w:rsidRPr="00AB34C7" w14:paraId="62ADE10E" w14:textId="77777777" w:rsidTr="00DB278B">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330BD3D7" w14:textId="77696C82" w:rsidR="005D4A35" w:rsidRPr="00AB34C7" w:rsidRDefault="005D4A35"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67CA9B1F" w14:textId="77777777" w:rsidR="005D4A35" w:rsidRPr="00AB34C7" w:rsidRDefault="005D4A35"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b/>
                <w:bCs/>
                <w:color w:val="333333"/>
                <w:sz w:val="20"/>
                <w:szCs w:val="20"/>
              </w:rPr>
              <w:t>AND</w:t>
            </w:r>
          </w:p>
        </w:tc>
      </w:tr>
      <w:tr w:rsidR="005D4A35" w:rsidRPr="00AB34C7" w14:paraId="666FD568" w14:textId="77777777" w:rsidTr="00DB278B">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439FCC66" w14:textId="77777777" w:rsidR="005D4A35" w:rsidRPr="00AB34C7" w:rsidRDefault="005D4A35"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647137A0" w14:textId="77777777" w:rsidR="005D4A35" w:rsidRPr="00AB34C7" w:rsidRDefault="005D4A35"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b/>
                <w:bCs/>
                <w:color w:val="333333"/>
                <w:sz w:val="20"/>
                <w:szCs w:val="20"/>
              </w:rPr>
              <w:t>Clinical criteria:</w:t>
            </w:r>
          </w:p>
        </w:tc>
      </w:tr>
      <w:tr w:rsidR="005D4A35" w:rsidRPr="00AB34C7" w14:paraId="75452FEF" w14:textId="77777777" w:rsidTr="00DB278B">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6B5AE047" w14:textId="2274B51C" w:rsidR="005D4A35" w:rsidRPr="00AB34C7" w:rsidRDefault="005D4A35"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185AFA68" w14:textId="77777777" w:rsidR="005D4A35" w:rsidRPr="00AB34C7" w:rsidRDefault="005D4A35"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color w:val="333333"/>
                <w:sz w:val="20"/>
                <w:szCs w:val="20"/>
              </w:rPr>
              <w:t>The treatment must be in combination with ibrutinib (refer to Product Information for timing of ibrutinib and venetoclax doses)</w:t>
            </w:r>
          </w:p>
        </w:tc>
      </w:tr>
      <w:tr w:rsidR="005D4A35" w:rsidRPr="00AB34C7" w14:paraId="66EF0326" w14:textId="77777777" w:rsidTr="00DB278B">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725ED7AA" w14:textId="5EB6FCCE" w:rsidR="005D4A35" w:rsidRPr="00AB34C7" w:rsidRDefault="005D4A35"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3B848BAB" w14:textId="77777777" w:rsidR="005D4A35" w:rsidRPr="00AB34C7" w:rsidRDefault="005D4A35"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b/>
                <w:bCs/>
                <w:color w:val="333333"/>
                <w:sz w:val="20"/>
                <w:szCs w:val="20"/>
              </w:rPr>
              <w:t>AND</w:t>
            </w:r>
          </w:p>
        </w:tc>
      </w:tr>
      <w:tr w:rsidR="005D4A35" w:rsidRPr="00AB34C7" w14:paraId="06A4E40F" w14:textId="77777777" w:rsidTr="00DB278B">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7A58B573" w14:textId="77777777" w:rsidR="005D4A35" w:rsidRPr="00AB34C7" w:rsidRDefault="005D4A35"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3835E527" w14:textId="77777777" w:rsidR="005D4A35" w:rsidRPr="00AB34C7" w:rsidRDefault="005D4A35"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b/>
                <w:bCs/>
                <w:color w:val="333333"/>
                <w:sz w:val="20"/>
                <w:szCs w:val="20"/>
              </w:rPr>
              <w:t>Clinical criteria:</w:t>
            </w:r>
          </w:p>
        </w:tc>
      </w:tr>
      <w:tr w:rsidR="005D4A35" w:rsidRPr="00AB34C7" w14:paraId="29919D8E" w14:textId="77777777" w:rsidTr="00DB278B">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7ECDD396" w14:textId="2D0D4786" w:rsidR="005D4A35" w:rsidRPr="00AB34C7" w:rsidRDefault="005D4A35"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393B0DEA" w14:textId="62E56277" w:rsidR="005D4A35" w:rsidRPr="00AB34C7" w:rsidRDefault="005D4A35" w:rsidP="00DB278B">
            <w:pPr>
              <w:rPr>
                <w:rFonts w:ascii="Arial Narrow" w:eastAsia="Arial Narrow" w:hAnsi="Arial Narrow" w:cs="Arial Narrow"/>
                <w:b/>
                <w:bCs/>
                <w:color w:val="333333"/>
                <w:sz w:val="20"/>
                <w:szCs w:val="20"/>
              </w:rPr>
            </w:pPr>
            <w:r w:rsidRPr="00AB34C7">
              <w:rPr>
                <w:rFonts w:ascii="Arial Narrow" w:eastAsia="Arial Narrow" w:hAnsi="Arial Narrow" w:cs="Arial Narrow"/>
                <w:color w:val="333333"/>
                <w:sz w:val="20"/>
                <w:szCs w:val="20"/>
              </w:rPr>
              <w:t>The treatment must cease upon disease progression</w:t>
            </w:r>
            <w:r w:rsidR="002C23BF" w:rsidRPr="00AB34C7">
              <w:rPr>
                <w:rFonts w:ascii="Arial Narrow" w:eastAsia="Arial Narrow" w:hAnsi="Arial Narrow" w:cs="Arial Narrow"/>
                <w:color w:val="333333"/>
                <w:sz w:val="20"/>
                <w:szCs w:val="20"/>
              </w:rPr>
              <w:t>; OR</w:t>
            </w:r>
          </w:p>
        </w:tc>
      </w:tr>
      <w:tr w:rsidR="005D4A35" w:rsidRPr="00AB34C7" w14:paraId="10D7A5CF" w14:textId="77777777" w:rsidTr="00DB278B">
        <w:tblPrEx>
          <w:tblCellMar>
            <w:top w:w="15" w:type="dxa"/>
            <w:left w:w="15" w:type="dxa"/>
            <w:bottom w:w="15" w:type="dxa"/>
            <w:right w:w="15" w:type="dxa"/>
          </w:tblCellMar>
        </w:tblPrEx>
        <w:tc>
          <w:tcPr>
            <w:tcW w:w="1273" w:type="dxa"/>
            <w:gridSpan w:val="2"/>
            <w:tcBorders>
              <w:top w:val="single" w:sz="4" w:space="0" w:color="auto"/>
              <w:left w:val="single" w:sz="4" w:space="0" w:color="auto"/>
              <w:bottom w:val="single" w:sz="4" w:space="0" w:color="auto"/>
              <w:right w:val="single" w:sz="4" w:space="0" w:color="auto"/>
            </w:tcBorders>
          </w:tcPr>
          <w:p w14:paraId="5256185E" w14:textId="717DAD9A" w:rsidR="005D4A35" w:rsidRPr="00AB34C7" w:rsidRDefault="005D4A35" w:rsidP="00DB278B">
            <w:pPr>
              <w:jc w:val="center"/>
              <w:rPr>
                <w:rFonts w:ascii="Arial Narrow" w:hAnsi="Arial Narrow"/>
                <w:sz w:val="20"/>
                <w:szCs w:val="20"/>
              </w:rPr>
            </w:pP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4BF1A870" w14:textId="073DFA3E" w:rsidR="005D4A35" w:rsidRPr="00AB34C7" w:rsidRDefault="002C23BF" w:rsidP="00DB278B">
            <w:pPr>
              <w:rPr>
                <w:rFonts w:ascii="Arial Narrow" w:eastAsia="Arial Narrow" w:hAnsi="Arial Narrow" w:cs="Arial Narrow"/>
                <w:color w:val="333333"/>
                <w:sz w:val="20"/>
                <w:szCs w:val="20"/>
              </w:rPr>
            </w:pPr>
            <w:r w:rsidRPr="00AB34C7">
              <w:rPr>
                <w:rFonts w:ascii="Arial Narrow" w:eastAsia="Arial Narrow" w:hAnsi="Arial Narrow" w:cs="Arial Narrow"/>
                <w:color w:val="333333"/>
                <w:sz w:val="20"/>
                <w:szCs w:val="20"/>
              </w:rPr>
              <w:t>The treatment must cease upon completion of 12 cycles of treatment with this drug for this condition, whichever comes first.</w:t>
            </w:r>
          </w:p>
        </w:tc>
      </w:tr>
    </w:tbl>
    <w:bookmarkEnd w:id="71"/>
    <w:p w14:paraId="2A18283E" w14:textId="5FA23C44" w:rsidR="0050539C" w:rsidRDefault="0050539C" w:rsidP="00F0309A">
      <w:pPr>
        <w:pStyle w:val="COMexecsumnumberedpara"/>
        <w:spacing w:before="120"/>
        <w:ind w:hanging="720"/>
      </w:pPr>
      <w:r>
        <w:t xml:space="preserve">The following </w:t>
      </w:r>
      <w:r w:rsidRPr="00AB34C7">
        <w:t>flow</w:t>
      </w:r>
      <w:r>
        <w:t>-</w:t>
      </w:r>
      <w:r w:rsidRPr="00AB34C7">
        <w:t xml:space="preserve">on changes </w:t>
      </w:r>
      <w:r>
        <w:t xml:space="preserve">will also be required to </w:t>
      </w:r>
      <w:r w:rsidR="006A4780">
        <w:t xml:space="preserve">the venetoclax </w:t>
      </w:r>
      <w:r>
        <w:t>restrictions 12188L and 12199C as follows</w:t>
      </w:r>
      <w:r w:rsidRPr="00AB34C7">
        <w:t>:</w:t>
      </w:r>
    </w:p>
    <w:p w14:paraId="4BDD5558" w14:textId="5512A527" w:rsidR="0050539C" w:rsidRPr="0050539C" w:rsidRDefault="003B2D64" w:rsidP="0050539C">
      <w:pPr>
        <w:pStyle w:val="ListParagraph"/>
        <w:numPr>
          <w:ilvl w:val="0"/>
          <w:numId w:val="28"/>
        </w:numPr>
        <w:tabs>
          <w:tab w:val="left" w:pos="1080"/>
        </w:tabs>
        <w:autoSpaceDE w:val="0"/>
        <w:autoSpaceDN w:val="0"/>
        <w:adjustRightInd w:val="0"/>
        <w:rPr>
          <w:rFonts w:cstheme="minorHAnsi"/>
        </w:rPr>
      </w:pPr>
      <w:r w:rsidRPr="0050539C">
        <w:rPr>
          <w:rFonts w:cstheme="minorHAnsi"/>
        </w:rPr>
        <w:t>concept ID 11532 "Administrative Advice: A patient may only qualify for PBS-subsidised treatment under this restriction once in a lifetime"</w:t>
      </w:r>
      <w:r w:rsidR="0050539C" w:rsidRPr="0050539C">
        <w:rPr>
          <w:rFonts w:cstheme="minorHAnsi"/>
        </w:rPr>
        <w:t xml:space="preserve"> will need to be added to restriction 12188L, and </w:t>
      </w:r>
    </w:p>
    <w:p w14:paraId="3AA1311A" w14:textId="2126ED6F" w:rsidR="003B2D64" w:rsidRPr="0050539C" w:rsidRDefault="003B2D64" w:rsidP="0050539C">
      <w:pPr>
        <w:pStyle w:val="ListParagraph"/>
        <w:numPr>
          <w:ilvl w:val="0"/>
          <w:numId w:val="28"/>
        </w:numPr>
        <w:tabs>
          <w:tab w:val="left" w:pos="1080"/>
        </w:tabs>
        <w:autoSpaceDE w:val="0"/>
        <w:autoSpaceDN w:val="0"/>
        <w:adjustRightInd w:val="0"/>
        <w:rPr>
          <w:rFonts w:cstheme="minorHAnsi"/>
        </w:rPr>
      </w:pPr>
      <w:r w:rsidRPr="0050539C">
        <w:rPr>
          <w:rFonts w:cstheme="minorHAnsi"/>
        </w:rPr>
        <w:t xml:space="preserve">concept ID 26595 </w:t>
      </w:r>
      <w:r w:rsidR="0050539C" w:rsidRPr="0050539C">
        <w:rPr>
          <w:rFonts w:cstheme="minorHAnsi"/>
        </w:rPr>
        <w:t xml:space="preserve">will need to be added </w:t>
      </w:r>
      <w:r w:rsidRPr="0050539C">
        <w:rPr>
          <w:rFonts w:cstheme="minorHAnsi"/>
        </w:rPr>
        <w:t>to restriction 12199C, i.e., "the treatment must be in combination with obinutuzumab (refer to Product Information for timing of obinutuzumab and venetoclax doses)"</w:t>
      </w:r>
      <w:r w:rsidR="0050539C" w:rsidRPr="0050539C">
        <w:rPr>
          <w:rFonts w:cstheme="minorHAnsi"/>
        </w:rPr>
        <w:t>.</w:t>
      </w:r>
    </w:p>
    <w:p w14:paraId="0D174246" w14:textId="5ECDD2E7" w:rsidR="00D34A49" w:rsidRDefault="00D34A49" w:rsidP="004A1F23">
      <w:pPr>
        <w:tabs>
          <w:tab w:val="left" w:pos="1080"/>
        </w:tabs>
        <w:autoSpaceDE w:val="0"/>
        <w:autoSpaceDN w:val="0"/>
        <w:adjustRightInd w:val="0"/>
        <w:rPr>
          <w:rFonts w:asciiTheme="minorHAnsi" w:hAnsiTheme="minorHAnsi" w:cstheme="minorHAnsi"/>
        </w:rPr>
      </w:pPr>
      <w:r w:rsidRPr="00B95C74">
        <w:rPr>
          <w:rFonts w:asciiTheme="minorHAnsi" w:hAnsiTheme="minorHAnsi" w:cstheme="minorHAnsi"/>
          <w:b/>
          <w:bCs/>
          <w:i/>
          <w:iCs/>
        </w:rPr>
        <w:t>Th</w:t>
      </w:r>
      <w:r w:rsidR="00FE3B89">
        <w:rPr>
          <w:rFonts w:asciiTheme="minorHAnsi" w:hAnsiTheme="minorHAnsi" w:cstheme="minorHAnsi"/>
          <w:b/>
          <w:bCs/>
          <w:i/>
          <w:iCs/>
        </w:rPr>
        <w:t>is</w:t>
      </w:r>
      <w:r w:rsidRPr="00B95C74">
        <w:rPr>
          <w:rFonts w:asciiTheme="minorHAnsi" w:hAnsiTheme="minorHAnsi" w:cstheme="minorHAnsi"/>
          <w:b/>
          <w:bCs/>
          <w:i/>
          <w:iCs/>
        </w:rPr>
        <w:t xml:space="preserve"> restriction may be subject to further review. Should there be any changes made to the restriction</w:t>
      </w:r>
      <w:r w:rsidR="00FE3B89">
        <w:rPr>
          <w:rFonts w:asciiTheme="minorHAnsi" w:hAnsiTheme="minorHAnsi" w:cstheme="minorHAnsi"/>
          <w:b/>
          <w:bCs/>
          <w:i/>
          <w:iCs/>
        </w:rPr>
        <w:t>s</w:t>
      </w:r>
      <w:r w:rsidRPr="00B95C74">
        <w:rPr>
          <w:rFonts w:asciiTheme="minorHAnsi" w:hAnsiTheme="minorHAnsi" w:cstheme="minorHAnsi"/>
          <w:b/>
          <w:bCs/>
          <w:i/>
          <w:iCs/>
        </w:rPr>
        <w:t xml:space="preserve"> the sponsor will be informed.</w:t>
      </w:r>
    </w:p>
    <w:bookmarkEnd w:id="58"/>
    <w:bookmarkEnd w:id="69"/>
    <w:p w14:paraId="73A21B79" w14:textId="5DF9053F" w:rsidR="00D540C3" w:rsidRPr="00061CBE" w:rsidRDefault="00D540C3" w:rsidP="001C30EF">
      <w:pPr>
        <w:pStyle w:val="COMH1numbered"/>
        <w:rPr>
          <w:lang w:val="en-GB"/>
        </w:rPr>
      </w:pPr>
      <w:r w:rsidRPr="00061CBE">
        <w:t>Context for Decision</w:t>
      </w:r>
    </w:p>
    <w:p w14:paraId="2D04EFBD" w14:textId="77777777" w:rsidR="00D540C3" w:rsidRPr="00061CBE" w:rsidRDefault="00D540C3" w:rsidP="00D540C3">
      <w:pPr>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16DE606" w14:textId="354B23D2" w:rsidR="00D540C3" w:rsidRPr="00061CBE" w:rsidRDefault="00D540C3" w:rsidP="001C30EF">
      <w:pPr>
        <w:pStyle w:val="COMH1numbered"/>
      </w:pPr>
      <w:r w:rsidRPr="00061CBE">
        <w:t>Sponsor’s Comment</w:t>
      </w:r>
    </w:p>
    <w:p w14:paraId="05CF058D" w14:textId="77777777" w:rsidR="00D540C3" w:rsidRDefault="00D540C3" w:rsidP="00D540C3">
      <w:pPr>
        <w:ind w:firstLine="720"/>
        <w:rPr>
          <w:bCs/>
        </w:rPr>
      </w:pPr>
      <w:r w:rsidRPr="00061CBE">
        <w:rPr>
          <w:bCs/>
        </w:rPr>
        <w:t>The sponsor had no comment.</w:t>
      </w:r>
    </w:p>
    <w:p w14:paraId="074AB0F1" w14:textId="77777777" w:rsidR="004A1F23" w:rsidRPr="00AB34C7" w:rsidRDefault="004A1F23" w:rsidP="004A1F23">
      <w:pPr>
        <w:pStyle w:val="COMexecsumnumberedpara"/>
        <w:numPr>
          <w:ilvl w:val="0"/>
          <w:numId w:val="0"/>
        </w:numPr>
      </w:pPr>
    </w:p>
    <w:sectPr w:rsidR="004A1F23" w:rsidRPr="00AB34C7" w:rsidSect="008E153A">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BA6CE" w14:textId="77777777" w:rsidR="003A2DAA" w:rsidRDefault="003A2DAA" w:rsidP="00124A51">
      <w:r>
        <w:separator/>
      </w:r>
    </w:p>
    <w:p w14:paraId="1F6B0388" w14:textId="77777777" w:rsidR="003A2DAA" w:rsidRDefault="003A2DAA"/>
    <w:p w14:paraId="677331F3" w14:textId="77777777" w:rsidR="003A2DAA" w:rsidRDefault="003A2DAA"/>
  </w:endnote>
  <w:endnote w:type="continuationSeparator" w:id="0">
    <w:p w14:paraId="228D5C77" w14:textId="77777777" w:rsidR="003A2DAA" w:rsidRDefault="003A2DAA" w:rsidP="00124A51">
      <w:r>
        <w:continuationSeparator/>
      </w:r>
    </w:p>
    <w:p w14:paraId="24210771" w14:textId="77777777" w:rsidR="003A2DAA" w:rsidRDefault="003A2DAA"/>
    <w:p w14:paraId="22273519" w14:textId="77777777" w:rsidR="003A2DAA" w:rsidRDefault="003A2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9988" w14:textId="77777777" w:rsidR="003666AE" w:rsidRDefault="00366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67DAD566" w:rsidR="00D843F2" w:rsidRDefault="00D843F2" w:rsidP="00753B29">
    <w:pPr>
      <w:jc w:val="center"/>
    </w:pPr>
  </w:p>
  <w:p w14:paraId="37484CD3" w14:textId="2A4F8706" w:rsidR="00D843F2" w:rsidRPr="00F0309A" w:rsidRDefault="00000000" w:rsidP="00753B29">
    <w:pPr>
      <w:jc w:val="center"/>
      <w:rPr>
        <w:b/>
        <w:bCs/>
      </w:rPr>
    </w:pPr>
    <w:sdt>
      <w:sdtPr>
        <w:rPr>
          <w:b/>
          <w:bCs/>
        </w:rPr>
        <w:id w:val="1036156457"/>
        <w:docPartObj>
          <w:docPartGallery w:val="Page Numbers (Bottom of Page)"/>
          <w:docPartUnique/>
        </w:docPartObj>
      </w:sdtPr>
      <w:sdtEndPr>
        <w:rPr>
          <w:noProof/>
        </w:rPr>
      </w:sdtEndPr>
      <w:sdtContent>
        <w:r w:rsidR="00D843F2" w:rsidRPr="00F0309A">
          <w:rPr>
            <w:b/>
            <w:bCs/>
          </w:rPr>
          <w:fldChar w:fldCharType="begin"/>
        </w:r>
        <w:r w:rsidR="00D843F2" w:rsidRPr="00F0309A">
          <w:rPr>
            <w:b/>
            <w:bCs/>
          </w:rPr>
          <w:instrText xml:space="preserve"> PAGE   \* MERGEFORMAT </w:instrText>
        </w:r>
        <w:r w:rsidR="00D843F2" w:rsidRPr="00F0309A">
          <w:rPr>
            <w:b/>
            <w:bCs/>
          </w:rPr>
          <w:fldChar w:fldCharType="separate"/>
        </w:r>
        <w:r w:rsidR="00D843F2" w:rsidRPr="00F0309A">
          <w:rPr>
            <w:b/>
            <w:bCs/>
            <w:noProof/>
          </w:rPr>
          <w:t>2</w:t>
        </w:r>
        <w:r w:rsidR="00D843F2" w:rsidRPr="00F0309A">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4DC1" w14:textId="77777777" w:rsidR="003666AE" w:rsidRDefault="00366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9634" w14:textId="77777777" w:rsidR="003A2DAA" w:rsidRDefault="003A2DAA" w:rsidP="00124A51">
      <w:r>
        <w:separator/>
      </w:r>
    </w:p>
    <w:p w14:paraId="683CEF07" w14:textId="77777777" w:rsidR="003A2DAA" w:rsidRDefault="003A2DAA"/>
    <w:p w14:paraId="04AACAD8" w14:textId="77777777" w:rsidR="003A2DAA" w:rsidRDefault="003A2DAA"/>
  </w:footnote>
  <w:footnote w:type="continuationSeparator" w:id="0">
    <w:p w14:paraId="22F1D559" w14:textId="77777777" w:rsidR="003A2DAA" w:rsidRDefault="003A2DAA" w:rsidP="00124A51">
      <w:r>
        <w:continuationSeparator/>
      </w:r>
    </w:p>
    <w:p w14:paraId="329269C3" w14:textId="77777777" w:rsidR="003A2DAA" w:rsidRDefault="003A2DAA"/>
    <w:p w14:paraId="35F01AAF" w14:textId="77777777" w:rsidR="003A2DAA" w:rsidRDefault="003A2D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144B" w14:textId="77777777" w:rsidR="003666AE" w:rsidRDefault="00366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79D17218" w:rsidR="00D843F2" w:rsidRPr="00195452" w:rsidRDefault="00D540C3" w:rsidP="003C2DE2">
    <w:pPr>
      <w:jc w:val="center"/>
      <w:rPr>
        <w:rFonts w:asciiTheme="minorHAnsi" w:hAnsiTheme="minorHAnsi"/>
        <w:i/>
        <w:color w:val="808080"/>
      </w:rPr>
    </w:pPr>
    <w:r>
      <w:rPr>
        <w:rFonts w:asciiTheme="minorHAnsi" w:hAnsiTheme="minorHAnsi"/>
        <w:i/>
        <w:color w:val="808080"/>
      </w:rPr>
      <w:t>Public Summary Document</w:t>
    </w:r>
    <w:r w:rsidR="00F70838">
      <w:rPr>
        <w:rFonts w:asciiTheme="minorHAnsi" w:hAnsiTheme="minorHAnsi"/>
        <w:i/>
        <w:color w:val="808080"/>
      </w:rPr>
      <w:t xml:space="preserve"> – </w:t>
    </w:r>
    <w:r w:rsidR="00961F11">
      <w:rPr>
        <w:rFonts w:asciiTheme="minorHAnsi" w:hAnsiTheme="minorHAnsi"/>
        <w:i/>
        <w:color w:val="808080"/>
      </w:rPr>
      <w:t>March</w:t>
    </w:r>
    <w:r w:rsidR="00D843F2">
      <w:rPr>
        <w:rFonts w:asciiTheme="minorHAnsi" w:hAnsiTheme="minorHAnsi"/>
        <w:i/>
        <w:color w:val="808080"/>
      </w:rPr>
      <w:t xml:space="preserve"> 202</w:t>
    </w:r>
    <w:r w:rsidR="00961F11">
      <w:rPr>
        <w:rFonts w:asciiTheme="minorHAnsi" w:hAnsiTheme="minorHAnsi"/>
        <w:i/>
        <w:color w:val="808080"/>
      </w:rPr>
      <w:t>4</w:t>
    </w:r>
    <w:r w:rsidR="00D843F2">
      <w:rPr>
        <w:rFonts w:asciiTheme="minorHAnsi" w:hAnsiTheme="minorHAnsi"/>
        <w:i/>
        <w:color w:val="808080"/>
      </w:rPr>
      <w:t xml:space="preserve"> </w:t>
    </w:r>
    <w:r w:rsidR="00D843F2" w:rsidRPr="00195452">
      <w:rPr>
        <w:rFonts w:asciiTheme="minorHAnsi" w:hAnsiTheme="minorHAnsi"/>
        <w:i/>
        <w:color w:val="808080"/>
      </w:rPr>
      <w:t>PBAC Meeting</w:t>
    </w:r>
  </w:p>
  <w:p w14:paraId="03AF943B" w14:textId="77777777" w:rsidR="00D843F2" w:rsidRPr="008C7ECB" w:rsidRDefault="00D843F2" w:rsidP="00CC71CA">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4CDF" w14:textId="77777777" w:rsidR="003666AE" w:rsidRDefault="00366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7066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7175BC"/>
    <w:multiLevelType w:val="hybridMultilevel"/>
    <w:tmpl w:val="D42AE20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E81E1B"/>
    <w:multiLevelType w:val="hybridMultilevel"/>
    <w:tmpl w:val="1BE44FC8"/>
    <w:lvl w:ilvl="0" w:tplc="0C090001">
      <w:start w:val="1"/>
      <w:numFmt w:val="bullet"/>
      <w:lvlText w:val=""/>
      <w:lvlJc w:val="left"/>
      <w:pPr>
        <w:ind w:left="2574" w:hanging="360"/>
      </w:pPr>
      <w:rPr>
        <w:rFonts w:ascii="Symbol" w:hAnsi="Symbol" w:hint="default"/>
      </w:rPr>
    </w:lvl>
    <w:lvl w:ilvl="1" w:tplc="0C090003" w:tentative="1">
      <w:start w:val="1"/>
      <w:numFmt w:val="bullet"/>
      <w:lvlText w:val="o"/>
      <w:lvlJc w:val="left"/>
      <w:pPr>
        <w:ind w:left="3294" w:hanging="360"/>
      </w:pPr>
      <w:rPr>
        <w:rFonts w:ascii="Courier New" w:hAnsi="Courier New" w:cs="Courier New" w:hint="default"/>
      </w:rPr>
    </w:lvl>
    <w:lvl w:ilvl="2" w:tplc="0C090005" w:tentative="1">
      <w:start w:val="1"/>
      <w:numFmt w:val="bullet"/>
      <w:lvlText w:val=""/>
      <w:lvlJc w:val="left"/>
      <w:pPr>
        <w:ind w:left="4014" w:hanging="360"/>
      </w:pPr>
      <w:rPr>
        <w:rFonts w:ascii="Wingdings" w:hAnsi="Wingdings" w:hint="default"/>
      </w:rPr>
    </w:lvl>
    <w:lvl w:ilvl="3" w:tplc="0C090001" w:tentative="1">
      <w:start w:val="1"/>
      <w:numFmt w:val="bullet"/>
      <w:lvlText w:val=""/>
      <w:lvlJc w:val="left"/>
      <w:pPr>
        <w:ind w:left="4734" w:hanging="360"/>
      </w:pPr>
      <w:rPr>
        <w:rFonts w:ascii="Symbol" w:hAnsi="Symbol" w:hint="default"/>
      </w:rPr>
    </w:lvl>
    <w:lvl w:ilvl="4" w:tplc="0C090003" w:tentative="1">
      <w:start w:val="1"/>
      <w:numFmt w:val="bullet"/>
      <w:lvlText w:val="o"/>
      <w:lvlJc w:val="left"/>
      <w:pPr>
        <w:ind w:left="5454" w:hanging="360"/>
      </w:pPr>
      <w:rPr>
        <w:rFonts w:ascii="Courier New" w:hAnsi="Courier New" w:cs="Courier New" w:hint="default"/>
      </w:rPr>
    </w:lvl>
    <w:lvl w:ilvl="5" w:tplc="0C090005" w:tentative="1">
      <w:start w:val="1"/>
      <w:numFmt w:val="bullet"/>
      <w:lvlText w:val=""/>
      <w:lvlJc w:val="left"/>
      <w:pPr>
        <w:ind w:left="6174" w:hanging="360"/>
      </w:pPr>
      <w:rPr>
        <w:rFonts w:ascii="Wingdings" w:hAnsi="Wingdings" w:hint="default"/>
      </w:rPr>
    </w:lvl>
    <w:lvl w:ilvl="6" w:tplc="0C090001" w:tentative="1">
      <w:start w:val="1"/>
      <w:numFmt w:val="bullet"/>
      <w:lvlText w:val=""/>
      <w:lvlJc w:val="left"/>
      <w:pPr>
        <w:ind w:left="6894" w:hanging="360"/>
      </w:pPr>
      <w:rPr>
        <w:rFonts w:ascii="Symbol" w:hAnsi="Symbol" w:hint="default"/>
      </w:rPr>
    </w:lvl>
    <w:lvl w:ilvl="7" w:tplc="0C090003" w:tentative="1">
      <w:start w:val="1"/>
      <w:numFmt w:val="bullet"/>
      <w:lvlText w:val="o"/>
      <w:lvlJc w:val="left"/>
      <w:pPr>
        <w:ind w:left="7614" w:hanging="360"/>
      </w:pPr>
      <w:rPr>
        <w:rFonts w:ascii="Courier New" w:hAnsi="Courier New" w:cs="Courier New" w:hint="default"/>
      </w:rPr>
    </w:lvl>
    <w:lvl w:ilvl="8" w:tplc="0C090005" w:tentative="1">
      <w:start w:val="1"/>
      <w:numFmt w:val="bullet"/>
      <w:lvlText w:val=""/>
      <w:lvlJc w:val="left"/>
      <w:pPr>
        <w:ind w:left="8334" w:hanging="360"/>
      </w:pPr>
      <w:rPr>
        <w:rFonts w:ascii="Wingdings" w:hAnsi="Wingdings" w:hint="default"/>
      </w:rPr>
    </w:lvl>
  </w:abstractNum>
  <w:abstractNum w:abstractNumId="6" w15:restartNumberingAfterBreak="0">
    <w:nsid w:val="13270110"/>
    <w:multiLevelType w:val="hybridMultilevel"/>
    <w:tmpl w:val="D0144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B219F8"/>
    <w:multiLevelType w:val="hybridMultilevel"/>
    <w:tmpl w:val="68ECC412"/>
    <w:lvl w:ilvl="0" w:tplc="4F38898A">
      <w:start w:val="1"/>
      <w:numFmt w:val="bullet"/>
      <w:pStyle w:val="COMexecsummmainissuesbullets"/>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B6274A"/>
    <w:multiLevelType w:val="hybridMultilevel"/>
    <w:tmpl w:val="97A653BA"/>
    <w:lvl w:ilvl="0" w:tplc="E3641BB2">
      <w:start w:val="1"/>
      <w:numFmt w:val="decimal"/>
      <w:lvlText w:val="%1."/>
      <w:lvlJc w:val="left"/>
      <w:pPr>
        <w:ind w:left="360" w:hanging="360"/>
      </w:pPr>
      <w:rPr>
        <w:rFonts w:hint="default"/>
        <w:b w:val="0"/>
        <w:i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E2455A"/>
    <w:multiLevelType w:val="hybridMultilevel"/>
    <w:tmpl w:val="BCC0B042"/>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3BDC288F"/>
    <w:multiLevelType w:val="hybridMultilevel"/>
    <w:tmpl w:val="2C4A9264"/>
    <w:lvl w:ilvl="0" w:tplc="9084B902">
      <w:start w:val="1"/>
      <w:numFmt w:val="bullet"/>
      <w:pStyle w:val="COMbodybulletlist"/>
      <w:lvlText w:val=""/>
      <w:lvlJc w:val="left"/>
      <w:pPr>
        <w:ind w:left="4374" w:hanging="360"/>
      </w:pPr>
      <w:rPr>
        <w:rFonts w:ascii="Symbol" w:hAnsi="Symbol" w:hint="default"/>
      </w:rPr>
    </w:lvl>
    <w:lvl w:ilvl="1" w:tplc="0C090003" w:tentative="1">
      <w:start w:val="1"/>
      <w:numFmt w:val="bullet"/>
      <w:lvlText w:val="o"/>
      <w:lvlJc w:val="left"/>
      <w:pPr>
        <w:ind w:left="5094" w:hanging="360"/>
      </w:pPr>
      <w:rPr>
        <w:rFonts w:ascii="Courier New" w:hAnsi="Courier New" w:cs="Courier New" w:hint="default"/>
      </w:rPr>
    </w:lvl>
    <w:lvl w:ilvl="2" w:tplc="0C090005" w:tentative="1">
      <w:start w:val="1"/>
      <w:numFmt w:val="bullet"/>
      <w:lvlText w:val=""/>
      <w:lvlJc w:val="left"/>
      <w:pPr>
        <w:ind w:left="5814" w:hanging="360"/>
      </w:pPr>
      <w:rPr>
        <w:rFonts w:ascii="Wingdings" w:hAnsi="Wingdings" w:hint="default"/>
      </w:rPr>
    </w:lvl>
    <w:lvl w:ilvl="3" w:tplc="0C090001" w:tentative="1">
      <w:start w:val="1"/>
      <w:numFmt w:val="bullet"/>
      <w:lvlText w:val=""/>
      <w:lvlJc w:val="left"/>
      <w:pPr>
        <w:ind w:left="6534" w:hanging="360"/>
      </w:pPr>
      <w:rPr>
        <w:rFonts w:ascii="Symbol" w:hAnsi="Symbol" w:hint="default"/>
      </w:rPr>
    </w:lvl>
    <w:lvl w:ilvl="4" w:tplc="0C090003" w:tentative="1">
      <w:start w:val="1"/>
      <w:numFmt w:val="bullet"/>
      <w:lvlText w:val="o"/>
      <w:lvlJc w:val="left"/>
      <w:pPr>
        <w:ind w:left="7254" w:hanging="360"/>
      </w:pPr>
      <w:rPr>
        <w:rFonts w:ascii="Courier New" w:hAnsi="Courier New" w:cs="Courier New" w:hint="default"/>
      </w:rPr>
    </w:lvl>
    <w:lvl w:ilvl="5" w:tplc="0C090005" w:tentative="1">
      <w:start w:val="1"/>
      <w:numFmt w:val="bullet"/>
      <w:lvlText w:val=""/>
      <w:lvlJc w:val="left"/>
      <w:pPr>
        <w:ind w:left="7974" w:hanging="360"/>
      </w:pPr>
      <w:rPr>
        <w:rFonts w:ascii="Wingdings" w:hAnsi="Wingdings" w:hint="default"/>
      </w:rPr>
    </w:lvl>
    <w:lvl w:ilvl="6" w:tplc="0C090001" w:tentative="1">
      <w:start w:val="1"/>
      <w:numFmt w:val="bullet"/>
      <w:lvlText w:val=""/>
      <w:lvlJc w:val="left"/>
      <w:pPr>
        <w:ind w:left="8694" w:hanging="360"/>
      </w:pPr>
      <w:rPr>
        <w:rFonts w:ascii="Symbol" w:hAnsi="Symbol" w:hint="default"/>
      </w:rPr>
    </w:lvl>
    <w:lvl w:ilvl="7" w:tplc="0C090003" w:tentative="1">
      <w:start w:val="1"/>
      <w:numFmt w:val="bullet"/>
      <w:lvlText w:val="o"/>
      <w:lvlJc w:val="left"/>
      <w:pPr>
        <w:ind w:left="9414" w:hanging="360"/>
      </w:pPr>
      <w:rPr>
        <w:rFonts w:ascii="Courier New" w:hAnsi="Courier New" w:cs="Courier New" w:hint="default"/>
      </w:rPr>
    </w:lvl>
    <w:lvl w:ilvl="8" w:tplc="0C090005" w:tentative="1">
      <w:start w:val="1"/>
      <w:numFmt w:val="bullet"/>
      <w:lvlText w:val=""/>
      <w:lvlJc w:val="left"/>
      <w:pPr>
        <w:ind w:left="10134" w:hanging="360"/>
      </w:pPr>
      <w:rPr>
        <w:rFonts w:ascii="Wingdings" w:hAnsi="Wingdings" w:hint="default"/>
      </w:rPr>
    </w:lvl>
  </w:abstractNum>
  <w:abstractNum w:abstractNumId="14" w15:restartNumberingAfterBreak="0">
    <w:nsid w:val="40414261"/>
    <w:multiLevelType w:val="hybridMultilevel"/>
    <w:tmpl w:val="77323D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0CA51A3"/>
    <w:multiLevelType w:val="hybridMultilevel"/>
    <w:tmpl w:val="4E8A8EB4"/>
    <w:lvl w:ilvl="0" w:tplc="0C090001">
      <w:start w:val="1"/>
      <w:numFmt w:val="bullet"/>
      <w:lvlText w:val=""/>
      <w:lvlJc w:val="left"/>
      <w:pPr>
        <w:ind w:left="4374" w:hanging="360"/>
      </w:pPr>
      <w:rPr>
        <w:rFonts w:ascii="Symbol" w:hAnsi="Symbol" w:hint="default"/>
      </w:rPr>
    </w:lvl>
    <w:lvl w:ilvl="1" w:tplc="0C090003" w:tentative="1">
      <w:start w:val="1"/>
      <w:numFmt w:val="bullet"/>
      <w:lvlText w:val="o"/>
      <w:lvlJc w:val="left"/>
      <w:pPr>
        <w:ind w:left="5094" w:hanging="360"/>
      </w:pPr>
      <w:rPr>
        <w:rFonts w:ascii="Courier New" w:hAnsi="Courier New" w:cs="Courier New" w:hint="default"/>
      </w:rPr>
    </w:lvl>
    <w:lvl w:ilvl="2" w:tplc="0C090005" w:tentative="1">
      <w:start w:val="1"/>
      <w:numFmt w:val="bullet"/>
      <w:lvlText w:val=""/>
      <w:lvlJc w:val="left"/>
      <w:pPr>
        <w:ind w:left="5814" w:hanging="360"/>
      </w:pPr>
      <w:rPr>
        <w:rFonts w:ascii="Wingdings" w:hAnsi="Wingdings" w:hint="default"/>
      </w:rPr>
    </w:lvl>
    <w:lvl w:ilvl="3" w:tplc="0C090001" w:tentative="1">
      <w:start w:val="1"/>
      <w:numFmt w:val="bullet"/>
      <w:lvlText w:val=""/>
      <w:lvlJc w:val="left"/>
      <w:pPr>
        <w:ind w:left="6534" w:hanging="360"/>
      </w:pPr>
      <w:rPr>
        <w:rFonts w:ascii="Symbol" w:hAnsi="Symbol" w:hint="default"/>
      </w:rPr>
    </w:lvl>
    <w:lvl w:ilvl="4" w:tplc="0C090003" w:tentative="1">
      <w:start w:val="1"/>
      <w:numFmt w:val="bullet"/>
      <w:lvlText w:val="o"/>
      <w:lvlJc w:val="left"/>
      <w:pPr>
        <w:ind w:left="7254" w:hanging="360"/>
      </w:pPr>
      <w:rPr>
        <w:rFonts w:ascii="Courier New" w:hAnsi="Courier New" w:cs="Courier New" w:hint="default"/>
      </w:rPr>
    </w:lvl>
    <w:lvl w:ilvl="5" w:tplc="0C090005" w:tentative="1">
      <w:start w:val="1"/>
      <w:numFmt w:val="bullet"/>
      <w:lvlText w:val=""/>
      <w:lvlJc w:val="left"/>
      <w:pPr>
        <w:ind w:left="7974" w:hanging="360"/>
      </w:pPr>
      <w:rPr>
        <w:rFonts w:ascii="Wingdings" w:hAnsi="Wingdings" w:hint="default"/>
      </w:rPr>
    </w:lvl>
    <w:lvl w:ilvl="6" w:tplc="0C090001" w:tentative="1">
      <w:start w:val="1"/>
      <w:numFmt w:val="bullet"/>
      <w:lvlText w:val=""/>
      <w:lvlJc w:val="left"/>
      <w:pPr>
        <w:ind w:left="8694" w:hanging="360"/>
      </w:pPr>
      <w:rPr>
        <w:rFonts w:ascii="Symbol" w:hAnsi="Symbol" w:hint="default"/>
      </w:rPr>
    </w:lvl>
    <w:lvl w:ilvl="7" w:tplc="0C090003" w:tentative="1">
      <w:start w:val="1"/>
      <w:numFmt w:val="bullet"/>
      <w:lvlText w:val="o"/>
      <w:lvlJc w:val="left"/>
      <w:pPr>
        <w:ind w:left="9414" w:hanging="360"/>
      </w:pPr>
      <w:rPr>
        <w:rFonts w:ascii="Courier New" w:hAnsi="Courier New" w:cs="Courier New" w:hint="default"/>
      </w:rPr>
    </w:lvl>
    <w:lvl w:ilvl="8" w:tplc="0C090005" w:tentative="1">
      <w:start w:val="1"/>
      <w:numFmt w:val="bullet"/>
      <w:lvlText w:val=""/>
      <w:lvlJc w:val="left"/>
      <w:pPr>
        <w:ind w:left="10134" w:hanging="360"/>
      </w:pPr>
      <w:rPr>
        <w:rFonts w:ascii="Wingdings" w:hAnsi="Wingdings" w:hint="default"/>
      </w:rPr>
    </w:lvl>
  </w:abstractNum>
  <w:abstractNum w:abstractNumId="16" w15:restartNumberingAfterBreak="0">
    <w:nsid w:val="44442297"/>
    <w:multiLevelType w:val="hybridMultilevel"/>
    <w:tmpl w:val="E6FE4E00"/>
    <w:lvl w:ilvl="0" w:tplc="C324F4FC">
      <w:start w:val="1"/>
      <w:numFmt w:val="bullet"/>
      <w:pStyle w:val="zz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D2DD8"/>
    <w:multiLevelType w:val="hybridMultilevel"/>
    <w:tmpl w:val="D59A2718"/>
    <w:lvl w:ilvl="0" w:tplc="194E4C14">
      <w:start w:val="1"/>
      <w:numFmt w:val="bullet"/>
      <w:lvlText w:val=""/>
      <w:lvlJc w:val="left"/>
      <w:pPr>
        <w:ind w:left="1080" w:hanging="360"/>
      </w:pPr>
      <w:rPr>
        <w:rFonts w:ascii="Symbol" w:hAnsi="Symbol"/>
      </w:rPr>
    </w:lvl>
    <w:lvl w:ilvl="1" w:tplc="20F837B2">
      <w:start w:val="1"/>
      <w:numFmt w:val="bullet"/>
      <w:lvlText w:val=""/>
      <w:lvlJc w:val="left"/>
      <w:pPr>
        <w:ind w:left="1080" w:hanging="360"/>
      </w:pPr>
      <w:rPr>
        <w:rFonts w:ascii="Symbol" w:hAnsi="Symbol"/>
      </w:rPr>
    </w:lvl>
    <w:lvl w:ilvl="2" w:tplc="267E2978">
      <w:start w:val="1"/>
      <w:numFmt w:val="bullet"/>
      <w:lvlText w:val=""/>
      <w:lvlJc w:val="left"/>
      <w:pPr>
        <w:ind w:left="1080" w:hanging="360"/>
      </w:pPr>
      <w:rPr>
        <w:rFonts w:ascii="Symbol" w:hAnsi="Symbol"/>
      </w:rPr>
    </w:lvl>
    <w:lvl w:ilvl="3" w:tplc="2DDA7FC0">
      <w:start w:val="1"/>
      <w:numFmt w:val="bullet"/>
      <w:lvlText w:val=""/>
      <w:lvlJc w:val="left"/>
      <w:pPr>
        <w:ind w:left="1080" w:hanging="360"/>
      </w:pPr>
      <w:rPr>
        <w:rFonts w:ascii="Symbol" w:hAnsi="Symbol"/>
      </w:rPr>
    </w:lvl>
    <w:lvl w:ilvl="4" w:tplc="8E1C424A">
      <w:start w:val="1"/>
      <w:numFmt w:val="bullet"/>
      <w:lvlText w:val=""/>
      <w:lvlJc w:val="left"/>
      <w:pPr>
        <w:ind w:left="1080" w:hanging="360"/>
      </w:pPr>
      <w:rPr>
        <w:rFonts w:ascii="Symbol" w:hAnsi="Symbol"/>
      </w:rPr>
    </w:lvl>
    <w:lvl w:ilvl="5" w:tplc="A1C69336">
      <w:start w:val="1"/>
      <w:numFmt w:val="bullet"/>
      <w:lvlText w:val=""/>
      <w:lvlJc w:val="left"/>
      <w:pPr>
        <w:ind w:left="1080" w:hanging="360"/>
      </w:pPr>
      <w:rPr>
        <w:rFonts w:ascii="Symbol" w:hAnsi="Symbol"/>
      </w:rPr>
    </w:lvl>
    <w:lvl w:ilvl="6" w:tplc="1FEC08F8">
      <w:start w:val="1"/>
      <w:numFmt w:val="bullet"/>
      <w:lvlText w:val=""/>
      <w:lvlJc w:val="left"/>
      <w:pPr>
        <w:ind w:left="1080" w:hanging="360"/>
      </w:pPr>
      <w:rPr>
        <w:rFonts w:ascii="Symbol" w:hAnsi="Symbol"/>
      </w:rPr>
    </w:lvl>
    <w:lvl w:ilvl="7" w:tplc="8B7E0ADE">
      <w:start w:val="1"/>
      <w:numFmt w:val="bullet"/>
      <w:lvlText w:val=""/>
      <w:lvlJc w:val="left"/>
      <w:pPr>
        <w:ind w:left="1080" w:hanging="360"/>
      </w:pPr>
      <w:rPr>
        <w:rFonts w:ascii="Symbol" w:hAnsi="Symbol"/>
      </w:rPr>
    </w:lvl>
    <w:lvl w:ilvl="8" w:tplc="4566C776">
      <w:start w:val="1"/>
      <w:numFmt w:val="bullet"/>
      <w:lvlText w:val=""/>
      <w:lvlJc w:val="left"/>
      <w:pPr>
        <w:ind w:left="1080" w:hanging="360"/>
      </w:pPr>
      <w:rPr>
        <w:rFonts w:ascii="Symbol" w:hAnsi="Symbol"/>
      </w:rPr>
    </w:lvl>
  </w:abstractNum>
  <w:abstractNum w:abstractNumId="1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2B7470B"/>
    <w:multiLevelType w:val="hybridMultilevel"/>
    <w:tmpl w:val="4E6047DE"/>
    <w:lvl w:ilvl="0" w:tplc="6DDAA740">
      <w:start w:val="1"/>
      <w:numFmt w:val="bullet"/>
      <w:lvlText w:val=""/>
      <w:lvlJc w:val="left"/>
      <w:pPr>
        <w:ind w:left="1800" w:hanging="360"/>
      </w:pPr>
      <w:rPr>
        <w:rFonts w:ascii="Symbol" w:hAnsi="Symbol"/>
      </w:rPr>
    </w:lvl>
    <w:lvl w:ilvl="1" w:tplc="C0A89E94">
      <w:start w:val="1"/>
      <w:numFmt w:val="bullet"/>
      <w:lvlText w:val=""/>
      <w:lvlJc w:val="left"/>
      <w:pPr>
        <w:ind w:left="1800" w:hanging="360"/>
      </w:pPr>
      <w:rPr>
        <w:rFonts w:ascii="Symbol" w:hAnsi="Symbol"/>
      </w:rPr>
    </w:lvl>
    <w:lvl w:ilvl="2" w:tplc="334AFD5A">
      <w:start w:val="1"/>
      <w:numFmt w:val="bullet"/>
      <w:lvlText w:val=""/>
      <w:lvlJc w:val="left"/>
      <w:pPr>
        <w:ind w:left="1800" w:hanging="360"/>
      </w:pPr>
      <w:rPr>
        <w:rFonts w:ascii="Symbol" w:hAnsi="Symbol"/>
      </w:rPr>
    </w:lvl>
    <w:lvl w:ilvl="3" w:tplc="0D10751C">
      <w:start w:val="1"/>
      <w:numFmt w:val="bullet"/>
      <w:lvlText w:val=""/>
      <w:lvlJc w:val="left"/>
      <w:pPr>
        <w:ind w:left="1800" w:hanging="360"/>
      </w:pPr>
      <w:rPr>
        <w:rFonts w:ascii="Symbol" w:hAnsi="Symbol"/>
      </w:rPr>
    </w:lvl>
    <w:lvl w:ilvl="4" w:tplc="123E4CF2">
      <w:start w:val="1"/>
      <w:numFmt w:val="bullet"/>
      <w:lvlText w:val=""/>
      <w:lvlJc w:val="left"/>
      <w:pPr>
        <w:ind w:left="1800" w:hanging="360"/>
      </w:pPr>
      <w:rPr>
        <w:rFonts w:ascii="Symbol" w:hAnsi="Symbol"/>
      </w:rPr>
    </w:lvl>
    <w:lvl w:ilvl="5" w:tplc="4614BAF2">
      <w:start w:val="1"/>
      <w:numFmt w:val="bullet"/>
      <w:lvlText w:val=""/>
      <w:lvlJc w:val="left"/>
      <w:pPr>
        <w:ind w:left="1800" w:hanging="360"/>
      </w:pPr>
      <w:rPr>
        <w:rFonts w:ascii="Symbol" w:hAnsi="Symbol"/>
      </w:rPr>
    </w:lvl>
    <w:lvl w:ilvl="6" w:tplc="630667CC">
      <w:start w:val="1"/>
      <w:numFmt w:val="bullet"/>
      <w:lvlText w:val=""/>
      <w:lvlJc w:val="left"/>
      <w:pPr>
        <w:ind w:left="1800" w:hanging="360"/>
      </w:pPr>
      <w:rPr>
        <w:rFonts w:ascii="Symbol" w:hAnsi="Symbol"/>
      </w:rPr>
    </w:lvl>
    <w:lvl w:ilvl="7" w:tplc="53F20572">
      <w:start w:val="1"/>
      <w:numFmt w:val="bullet"/>
      <w:lvlText w:val=""/>
      <w:lvlJc w:val="left"/>
      <w:pPr>
        <w:ind w:left="1800" w:hanging="360"/>
      </w:pPr>
      <w:rPr>
        <w:rFonts w:ascii="Symbol" w:hAnsi="Symbol"/>
      </w:rPr>
    </w:lvl>
    <w:lvl w:ilvl="8" w:tplc="342A84E4">
      <w:start w:val="1"/>
      <w:numFmt w:val="bullet"/>
      <w:lvlText w:val=""/>
      <w:lvlJc w:val="left"/>
      <w:pPr>
        <w:ind w:left="1800" w:hanging="360"/>
      </w:pPr>
      <w:rPr>
        <w:rFonts w:ascii="Symbol" w:hAnsi="Symbol"/>
      </w:rPr>
    </w:lvl>
  </w:abstractNum>
  <w:abstractNum w:abstractNumId="21" w15:restartNumberingAfterBreak="0">
    <w:nsid w:val="63940120"/>
    <w:multiLevelType w:val="hybridMultilevel"/>
    <w:tmpl w:val="9DFE8DBA"/>
    <w:lvl w:ilvl="0" w:tplc="0C090001">
      <w:start w:val="1"/>
      <w:numFmt w:val="bullet"/>
      <w:lvlText w:val=""/>
      <w:lvlJc w:val="left"/>
      <w:pPr>
        <w:ind w:left="2934" w:hanging="360"/>
      </w:pPr>
      <w:rPr>
        <w:rFonts w:ascii="Symbol" w:hAnsi="Symbol" w:hint="default"/>
      </w:rPr>
    </w:lvl>
    <w:lvl w:ilvl="1" w:tplc="0C090003" w:tentative="1">
      <w:start w:val="1"/>
      <w:numFmt w:val="bullet"/>
      <w:lvlText w:val="o"/>
      <w:lvlJc w:val="left"/>
      <w:pPr>
        <w:ind w:left="3654" w:hanging="360"/>
      </w:pPr>
      <w:rPr>
        <w:rFonts w:ascii="Courier New" w:hAnsi="Courier New" w:cs="Courier New" w:hint="default"/>
      </w:rPr>
    </w:lvl>
    <w:lvl w:ilvl="2" w:tplc="0C090005" w:tentative="1">
      <w:start w:val="1"/>
      <w:numFmt w:val="bullet"/>
      <w:lvlText w:val=""/>
      <w:lvlJc w:val="left"/>
      <w:pPr>
        <w:ind w:left="4374" w:hanging="360"/>
      </w:pPr>
      <w:rPr>
        <w:rFonts w:ascii="Wingdings" w:hAnsi="Wingdings" w:hint="default"/>
      </w:rPr>
    </w:lvl>
    <w:lvl w:ilvl="3" w:tplc="0C090001" w:tentative="1">
      <w:start w:val="1"/>
      <w:numFmt w:val="bullet"/>
      <w:lvlText w:val=""/>
      <w:lvlJc w:val="left"/>
      <w:pPr>
        <w:ind w:left="5094" w:hanging="360"/>
      </w:pPr>
      <w:rPr>
        <w:rFonts w:ascii="Symbol" w:hAnsi="Symbol" w:hint="default"/>
      </w:rPr>
    </w:lvl>
    <w:lvl w:ilvl="4" w:tplc="0C090003" w:tentative="1">
      <w:start w:val="1"/>
      <w:numFmt w:val="bullet"/>
      <w:lvlText w:val="o"/>
      <w:lvlJc w:val="left"/>
      <w:pPr>
        <w:ind w:left="5814" w:hanging="360"/>
      </w:pPr>
      <w:rPr>
        <w:rFonts w:ascii="Courier New" w:hAnsi="Courier New" w:cs="Courier New" w:hint="default"/>
      </w:rPr>
    </w:lvl>
    <w:lvl w:ilvl="5" w:tplc="0C090005" w:tentative="1">
      <w:start w:val="1"/>
      <w:numFmt w:val="bullet"/>
      <w:lvlText w:val=""/>
      <w:lvlJc w:val="left"/>
      <w:pPr>
        <w:ind w:left="6534" w:hanging="360"/>
      </w:pPr>
      <w:rPr>
        <w:rFonts w:ascii="Wingdings" w:hAnsi="Wingdings" w:hint="default"/>
      </w:rPr>
    </w:lvl>
    <w:lvl w:ilvl="6" w:tplc="0C090001" w:tentative="1">
      <w:start w:val="1"/>
      <w:numFmt w:val="bullet"/>
      <w:lvlText w:val=""/>
      <w:lvlJc w:val="left"/>
      <w:pPr>
        <w:ind w:left="7254" w:hanging="360"/>
      </w:pPr>
      <w:rPr>
        <w:rFonts w:ascii="Symbol" w:hAnsi="Symbol" w:hint="default"/>
      </w:rPr>
    </w:lvl>
    <w:lvl w:ilvl="7" w:tplc="0C090003" w:tentative="1">
      <w:start w:val="1"/>
      <w:numFmt w:val="bullet"/>
      <w:lvlText w:val="o"/>
      <w:lvlJc w:val="left"/>
      <w:pPr>
        <w:ind w:left="7974" w:hanging="360"/>
      </w:pPr>
      <w:rPr>
        <w:rFonts w:ascii="Courier New" w:hAnsi="Courier New" w:cs="Courier New" w:hint="default"/>
      </w:rPr>
    </w:lvl>
    <w:lvl w:ilvl="8" w:tplc="0C090005" w:tentative="1">
      <w:start w:val="1"/>
      <w:numFmt w:val="bullet"/>
      <w:lvlText w:val=""/>
      <w:lvlJc w:val="left"/>
      <w:pPr>
        <w:ind w:left="8694" w:hanging="360"/>
      </w:pPr>
      <w:rPr>
        <w:rFonts w:ascii="Wingdings" w:hAnsi="Wingdings" w:hint="default"/>
      </w:rPr>
    </w:lvl>
  </w:abstractNum>
  <w:abstractNum w:abstractNumId="22" w15:restartNumberingAfterBreak="0">
    <w:nsid w:val="6AA22619"/>
    <w:multiLevelType w:val="hybridMultilevel"/>
    <w:tmpl w:val="FB72CFCA"/>
    <w:lvl w:ilvl="0" w:tplc="1A827340">
      <w:start w:val="6"/>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4D033C"/>
    <w:multiLevelType w:val="multilevel"/>
    <w:tmpl w:val="45FC285E"/>
    <w:lvl w:ilvl="0">
      <w:start w:val="1"/>
      <w:numFmt w:val="decimal"/>
      <w:pStyle w:val="COMH1numbered"/>
      <w:lvlText w:val="%1"/>
      <w:lvlJc w:val="left"/>
      <w:pPr>
        <w:ind w:left="720" w:hanging="720"/>
      </w:pPr>
      <w:rPr>
        <w:rFonts w:hint="default"/>
        <w:b/>
      </w:rPr>
    </w:lvl>
    <w:lvl w:ilvl="1">
      <w:start w:val="1"/>
      <w:numFmt w:val="decimal"/>
      <w:pStyle w:val="COMexecsumnumberedpara"/>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D951201"/>
    <w:multiLevelType w:val="hybridMultilevel"/>
    <w:tmpl w:val="C2DAAE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760447238">
    <w:abstractNumId w:val="24"/>
  </w:num>
  <w:num w:numId="2" w16cid:durableId="868109142">
    <w:abstractNumId w:val="16"/>
  </w:num>
  <w:num w:numId="3" w16cid:durableId="537398140">
    <w:abstractNumId w:val="0"/>
  </w:num>
  <w:num w:numId="4" w16cid:durableId="1380397676">
    <w:abstractNumId w:val="24"/>
  </w:num>
  <w:num w:numId="5" w16cid:durableId="731586578">
    <w:abstractNumId w:val="7"/>
  </w:num>
  <w:num w:numId="6" w16cid:durableId="1322543378">
    <w:abstractNumId w:val="2"/>
  </w:num>
  <w:num w:numId="7" w16cid:durableId="1218904457">
    <w:abstractNumId w:val="14"/>
  </w:num>
  <w:num w:numId="8" w16cid:durableId="580257281">
    <w:abstractNumId w:val="5"/>
  </w:num>
  <w:num w:numId="9" w16cid:durableId="1977442892">
    <w:abstractNumId w:val="13"/>
  </w:num>
  <w:num w:numId="10" w16cid:durableId="1766147357">
    <w:abstractNumId w:val="15"/>
  </w:num>
  <w:num w:numId="11" w16cid:durableId="1921016387">
    <w:abstractNumId w:val="21"/>
  </w:num>
  <w:num w:numId="12" w16cid:durableId="1728604911">
    <w:abstractNumId w:val="22"/>
  </w:num>
  <w:num w:numId="13" w16cid:durableId="472645904">
    <w:abstractNumId w:val="9"/>
  </w:num>
  <w:num w:numId="14" w16cid:durableId="199784705">
    <w:abstractNumId w:val="6"/>
  </w:num>
  <w:num w:numId="15" w16cid:durableId="1415467784">
    <w:abstractNumId w:val="3"/>
  </w:num>
  <w:num w:numId="16" w16cid:durableId="91947035">
    <w:abstractNumId w:val="18"/>
  </w:num>
  <w:num w:numId="17" w16cid:durableId="1351764554">
    <w:abstractNumId w:val="4"/>
  </w:num>
  <w:num w:numId="18" w16cid:durableId="886725537">
    <w:abstractNumId w:val="1"/>
  </w:num>
  <w:num w:numId="19" w16cid:durableId="1351688646">
    <w:abstractNumId w:val="10"/>
  </w:num>
  <w:num w:numId="20" w16cid:durableId="294454511">
    <w:abstractNumId w:val="11"/>
  </w:num>
  <w:num w:numId="21" w16cid:durableId="894967023">
    <w:abstractNumId w:val="8"/>
  </w:num>
  <w:num w:numId="22" w16cid:durableId="76264928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5124995">
    <w:abstractNumId w:val="23"/>
  </w:num>
  <w:num w:numId="24" w16cid:durableId="1179779526">
    <w:abstractNumId w:val="17"/>
  </w:num>
  <w:num w:numId="25" w16cid:durableId="398750496">
    <w:abstractNumId w:val="20"/>
  </w:num>
  <w:num w:numId="26" w16cid:durableId="290135533">
    <w:abstractNumId w:val="24"/>
  </w:num>
  <w:num w:numId="27" w16cid:durableId="4895598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3161272">
    <w:abstractNumId w:val="25"/>
  </w:num>
  <w:num w:numId="29" w16cid:durableId="850291386">
    <w:abstractNumId w:val="12"/>
  </w:num>
  <w:num w:numId="30" w16cid:durableId="830409204">
    <w:abstractNumId w:val="24"/>
  </w:num>
  <w:num w:numId="31" w16cid:durableId="1517842242">
    <w:abstractNumId w:val="24"/>
  </w:num>
  <w:num w:numId="32" w16cid:durableId="801850976">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00007D"/>
    <w:rsid w:val="00000790"/>
    <w:rsid w:val="00000A1E"/>
    <w:rsid w:val="0000110B"/>
    <w:rsid w:val="000013FC"/>
    <w:rsid w:val="00001542"/>
    <w:rsid w:val="000020E9"/>
    <w:rsid w:val="00003499"/>
    <w:rsid w:val="0000371F"/>
    <w:rsid w:val="000039B7"/>
    <w:rsid w:val="00004FD9"/>
    <w:rsid w:val="00005166"/>
    <w:rsid w:val="0000556C"/>
    <w:rsid w:val="000056B9"/>
    <w:rsid w:val="00006088"/>
    <w:rsid w:val="00006375"/>
    <w:rsid w:val="0000639A"/>
    <w:rsid w:val="00006DCD"/>
    <w:rsid w:val="000105B6"/>
    <w:rsid w:val="000121B5"/>
    <w:rsid w:val="00012305"/>
    <w:rsid w:val="0001276F"/>
    <w:rsid w:val="00013247"/>
    <w:rsid w:val="000132CE"/>
    <w:rsid w:val="00014047"/>
    <w:rsid w:val="00015886"/>
    <w:rsid w:val="00015920"/>
    <w:rsid w:val="000162EF"/>
    <w:rsid w:val="000164E2"/>
    <w:rsid w:val="00016BFC"/>
    <w:rsid w:val="000179DD"/>
    <w:rsid w:val="00020726"/>
    <w:rsid w:val="000207C9"/>
    <w:rsid w:val="00021136"/>
    <w:rsid w:val="0002225F"/>
    <w:rsid w:val="000222FC"/>
    <w:rsid w:val="0002374C"/>
    <w:rsid w:val="00023763"/>
    <w:rsid w:val="0002380A"/>
    <w:rsid w:val="0002393C"/>
    <w:rsid w:val="00023AB6"/>
    <w:rsid w:val="00024053"/>
    <w:rsid w:val="00024D4E"/>
    <w:rsid w:val="00024EB5"/>
    <w:rsid w:val="000256E7"/>
    <w:rsid w:val="00026696"/>
    <w:rsid w:val="000266E1"/>
    <w:rsid w:val="000274B8"/>
    <w:rsid w:val="00027966"/>
    <w:rsid w:val="0003083B"/>
    <w:rsid w:val="00031CF9"/>
    <w:rsid w:val="00031F26"/>
    <w:rsid w:val="00032A97"/>
    <w:rsid w:val="00032D84"/>
    <w:rsid w:val="00033154"/>
    <w:rsid w:val="000333C6"/>
    <w:rsid w:val="000334CE"/>
    <w:rsid w:val="000335B9"/>
    <w:rsid w:val="00033863"/>
    <w:rsid w:val="00033EED"/>
    <w:rsid w:val="00034B3E"/>
    <w:rsid w:val="00035450"/>
    <w:rsid w:val="000355DE"/>
    <w:rsid w:val="00035DC0"/>
    <w:rsid w:val="00036101"/>
    <w:rsid w:val="00036829"/>
    <w:rsid w:val="00036CCC"/>
    <w:rsid w:val="00040518"/>
    <w:rsid w:val="00040895"/>
    <w:rsid w:val="000410A0"/>
    <w:rsid w:val="00041BD2"/>
    <w:rsid w:val="00041EF1"/>
    <w:rsid w:val="000429FF"/>
    <w:rsid w:val="00042D1C"/>
    <w:rsid w:val="000435EE"/>
    <w:rsid w:val="00043938"/>
    <w:rsid w:val="00043C37"/>
    <w:rsid w:val="00043E94"/>
    <w:rsid w:val="00044B0C"/>
    <w:rsid w:val="00044B89"/>
    <w:rsid w:val="00045017"/>
    <w:rsid w:val="00045A27"/>
    <w:rsid w:val="00045A2B"/>
    <w:rsid w:val="00045E2F"/>
    <w:rsid w:val="00045FA7"/>
    <w:rsid w:val="0004631C"/>
    <w:rsid w:val="0004698F"/>
    <w:rsid w:val="00046C5D"/>
    <w:rsid w:val="00046D64"/>
    <w:rsid w:val="000475C8"/>
    <w:rsid w:val="000478AB"/>
    <w:rsid w:val="000501FE"/>
    <w:rsid w:val="000503B4"/>
    <w:rsid w:val="000508C2"/>
    <w:rsid w:val="00050F12"/>
    <w:rsid w:val="00051BF4"/>
    <w:rsid w:val="00051BF5"/>
    <w:rsid w:val="0005240C"/>
    <w:rsid w:val="00052877"/>
    <w:rsid w:val="000539D0"/>
    <w:rsid w:val="00053E48"/>
    <w:rsid w:val="00054621"/>
    <w:rsid w:val="000546D7"/>
    <w:rsid w:val="00054800"/>
    <w:rsid w:val="00054A8D"/>
    <w:rsid w:val="0005565F"/>
    <w:rsid w:val="00056ECF"/>
    <w:rsid w:val="000604DF"/>
    <w:rsid w:val="0006156E"/>
    <w:rsid w:val="00061C5D"/>
    <w:rsid w:val="00061CE6"/>
    <w:rsid w:val="0006217C"/>
    <w:rsid w:val="0006231D"/>
    <w:rsid w:val="00062324"/>
    <w:rsid w:val="0006363A"/>
    <w:rsid w:val="000646D2"/>
    <w:rsid w:val="00064E18"/>
    <w:rsid w:val="000651DC"/>
    <w:rsid w:val="000653B5"/>
    <w:rsid w:val="00065B3B"/>
    <w:rsid w:val="00066360"/>
    <w:rsid w:val="00066AF8"/>
    <w:rsid w:val="00067406"/>
    <w:rsid w:val="000675CC"/>
    <w:rsid w:val="000704EB"/>
    <w:rsid w:val="000706DC"/>
    <w:rsid w:val="00070C58"/>
    <w:rsid w:val="00071248"/>
    <w:rsid w:val="000720B9"/>
    <w:rsid w:val="00072B1D"/>
    <w:rsid w:val="000737F7"/>
    <w:rsid w:val="00074FCE"/>
    <w:rsid w:val="00075030"/>
    <w:rsid w:val="000753EA"/>
    <w:rsid w:val="000763E2"/>
    <w:rsid w:val="0007652A"/>
    <w:rsid w:val="0007672F"/>
    <w:rsid w:val="00076B54"/>
    <w:rsid w:val="00076CA1"/>
    <w:rsid w:val="000774F0"/>
    <w:rsid w:val="00077AFB"/>
    <w:rsid w:val="00080901"/>
    <w:rsid w:val="00080909"/>
    <w:rsid w:val="000812CA"/>
    <w:rsid w:val="0008188E"/>
    <w:rsid w:val="00081E63"/>
    <w:rsid w:val="0008258D"/>
    <w:rsid w:val="00082A2A"/>
    <w:rsid w:val="00082C26"/>
    <w:rsid w:val="0008346D"/>
    <w:rsid w:val="000837B3"/>
    <w:rsid w:val="00083E99"/>
    <w:rsid w:val="00084275"/>
    <w:rsid w:val="00084D0E"/>
    <w:rsid w:val="00084FA8"/>
    <w:rsid w:val="0008533D"/>
    <w:rsid w:val="000855AE"/>
    <w:rsid w:val="0008566C"/>
    <w:rsid w:val="000856C5"/>
    <w:rsid w:val="00085C31"/>
    <w:rsid w:val="00087579"/>
    <w:rsid w:val="000876F1"/>
    <w:rsid w:val="000878F6"/>
    <w:rsid w:val="00087C39"/>
    <w:rsid w:val="000900C3"/>
    <w:rsid w:val="000902D9"/>
    <w:rsid w:val="00090C7E"/>
    <w:rsid w:val="000911AC"/>
    <w:rsid w:val="000919A3"/>
    <w:rsid w:val="00091AF2"/>
    <w:rsid w:val="00092600"/>
    <w:rsid w:val="0009262B"/>
    <w:rsid w:val="00093270"/>
    <w:rsid w:val="0009329E"/>
    <w:rsid w:val="00093310"/>
    <w:rsid w:val="00093CF3"/>
    <w:rsid w:val="0009445C"/>
    <w:rsid w:val="00094D96"/>
    <w:rsid w:val="00095200"/>
    <w:rsid w:val="00095FE5"/>
    <w:rsid w:val="00096284"/>
    <w:rsid w:val="00096749"/>
    <w:rsid w:val="00097E28"/>
    <w:rsid w:val="000A0CB4"/>
    <w:rsid w:val="000A16A9"/>
    <w:rsid w:val="000A1BC0"/>
    <w:rsid w:val="000A2F9E"/>
    <w:rsid w:val="000A3E47"/>
    <w:rsid w:val="000A4C83"/>
    <w:rsid w:val="000A522B"/>
    <w:rsid w:val="000A5267"/>
    <w:rsid w:val="000A59A0"/>
    <w:rsid w:val="000A6039"/>
    <w:rsid w:val="000A7453"/>
    <w:rsid w:val="000A7855"/>
    <w:rsid w:val="000A7D08"/>
    <w:rsid w:val="000B0121"/>
    <w:rsid w:val="000B066F"/>
    <w:rsid w:val="000B0670"/>
    <w:rsid w:val="000B0DBE"/>
    <w:rsid w:val="000B0E75"/>
    <w:rsid w:val="000B1093"/>
    <w:rsid w:val="000B1295"/>
    <w:rsid w:val="000B16D9"/>
    <w:rsid w:val="000B1ED7"/>
    <w:rsid w:val="000B2333"/>
    <w:rsid w:val="000B27F6"/>
    <w:rsid w:val="000B2DCB"/>
    <w:rsid w:val="000B3BC2"/>
    <w:rsid w:val="000B41CC"/>
    <w:rsid w:val="000B443E"/>
    <w:rsid w:val="000B4CDE"/>
    <w:rsid w:val="000B4D15"/>
    <w:rsid w:val="000B578B"/>
    <w:rsid w:val="000B590E"/>
    <w:rsid w:val="000B59EF"/>
    <w:rsid w:val="000B5CE0"/>
    <w:rsid w:val="000B5D20"/>
    <w:rsid w:val="000B5DEC"/>
    <w:rsid w:val="000B5F08"/>
    <w:rsid w:val="000B6CAC"/>
    <w:rsid w:val="000B7612"/>
    <w:rsid w:val="000B78AE"/>
    <w:rsid w:val="000C135B"/>
    <w:rsid w:val="000C21B3"/>
    <w:rsid w:val="000C290F"/>
    <w:rsid w:val="000C2ACA"/>
    <w:rsid w:val="000C3435"/>
    <w:rsid w:val="000C3DF9"/>
    <w:rsid w:val="000C478D"/>
    <w:rsid w:val="000C4AA6"/>
    <w:rsid w:val="000C4CF2"/>
    <w:rsid w:val="000C52C6"/>
    <w:rsid w:val="000C53B4"/>
    <w:rsid w:val="000C6713"/>
    <w:rsid w:val="000C702C"/>
    <w:rsid w:val="000C7277"/>
    <w:rsid w:val="000C78FB"/>
    <w:rsid w:val="000C7D57"/>
    <w:rsid w:val="000D0707"/>
    <w:rsid w:val="000D14E6"/>
    <w:rsid w:val="000D1BFC"/>
    <w:rsid w:val="000D1D5D"/>
    <w:rsid w:val="000D281A"/>
    <w:rsid w:val="000D2848"/>
    <w:rsid w:val="000D29DE"/>
    <w:rsid w:val="000D2D8F"/>
    <w:rsid w:val="000D30DA"/>
    <w:rsid w:val="000D326A"/>
    <w:rsid w:val="000D413A"/>
    <w:rsid w:val="000D4212"/>
    <w:rsid w:val="000D43BA"/>
    <w:rsid w:val="000D4E3A"/>
    <w:rsid w:val="000D4E4B"/>
    <w:rsid w:val="000D51FB"/>
    <w:rsid w:val="000D56C1"/>
    <w:rsid w:val="000D5A9C"/>
    <w:rsid w:val="000D61E6"/>
    <w:rsid w:val="000D6712"/>
    <w:rsid w:val="000E0640"/>
    <w:rsid w:val="000E0819"/>
    <w:rsid w:val="000E0E3E"/>
    <w:rsid w:val="000E0FB5"/>
    <w:rsid w:val="000E135D"/>
    <w:rsid w:val="000E1765"/>
    <w:rsid w:val="000E17E5"/>
    <w:rsid w:val="000E2315"/>
    <w:rsid w:val="000E27C0"/>
    <w:rsid w:val="000E2B49"/>
    <w:rsid w:val="000E34D5"/>
    <w:rsid w:val="000E3FDD"/>
    <w:rsid w:val="000E414B"/>
    <w:rsid w:val="000E494E"/>
    <w:rsid w:val="000E51FA"/>
    <w:rsid w:val="000E5BAC"/>
    <w:rsid w:val="000E6BB9"/>
    <w:rsid w:val="000E6C7A"/>
    <w:rsid w:val="000E749E"/>
    <w:rsid w:val="000F00BA"/>
    <w:rsid w:val="000F1CB4"/>
    <w:rsid w:val="000F226D"/>
    <w:rsid w:val="000F26F8"/>
    <w:rsid w:val="000F316A"/>
    <w:rsid w:val="000F3A33"/>
    <w:rsid w:val="000F3C74"/>
    <w:rsid w:val="000F4BB8"/>
    <w:rsid w:val="000F4DFB"/>
    <w:rsid w:val="000F4FA9"/>
    <w:rsid w:val="000F53FB"/>
    <w:rsid w:val="000F5A72"/>
    <w:rsid w:val="000F604E"/>
    <w:rsid w:val="000F6E88"/>
    <w:rsid w:val="000F7127"/>
    <w:rsid w:val="000F7662"/>
    <w:rsid w:val="000F7B54"/>
    <w:rsid w:val="001000B3"/>
    <w:rsid w:val="0010053D"/>
    <w:rsid w:val="00100F36"/>
    <w:rsid w:val="00100F8A"/>
    <w:rsid w:val="001010EE"/>
    <w:rsid w:val="00101158"/>
    <w:rsid w:val="00101365"/>
    <w:rsid w:val="001013D9"/>
    <w:rsid w:val="00101832"/>
    <w:rsid w:val="00101A95"/>
    <w:rsid w:val="00102C64"/>
    <w:rsid w:val="001044DC"/>
    <w:rsid w:val="0010452E"/>
    <w:rsid w:val="001047A3"/>
    <w:rsid w:val="00105AE2"/>
    <w:rsid w:val="001060C6"/>
    <w:rsid w:val="00106B80"/>
    <w:rsid w:val="00106CF1"/>
    <w:rsid w:val="001074AD"/>
    <w:rsid w:val="001102B2"/>
    <w:rsid w:val="0011032E"/>
    <w:rsid w:val="001103E3"/>
    <w:rsid w:val="00112542"/>
    <w:rsid w:val="001131CE"/>
    <w:rsid w:val="0011348B"/>
    <w:rsid w:val="00113C0A"/>
    <w:rsid w:val="0011506C"/>
    <w:rsid w:val="0011573E"/>
    <w:rsid w:val="00115982"/>
    <w:rsid w:val="00116147"/>
    <w:rsid w:val="00116C53"/>
    <w:rsid w:val="001174DE"/>
    <w:rsid w:val="001176FB"/>
    <w:rsid w:val="0012082F"/>
    <w:rsid w:val="00120C85"/>
    <w:rsid w:val="00121799"/>
    <w:rsid w:val="001222FC"/>
    <w:rsid w:val="00123902"/>
    <w:rsid w:val="00124A51"/>
    <w:rsid w:val="001250B6"/>
    <w:rsid w:val="0012605E"/>
    <w:rsid w:val="00126359"/>
    <w:rsid w:val="00126621"/>
    <w:rsid w:val="0012693E"/>
    <w:rsid w:val="00126B1D"/>
    <w:rsid w:val="001301E9"/>
    <w:rsid w:val="001309BB"/>
    <w:rsid w:val="00131D82"/>
    <w:rsid w:val="00132B22"/>
    <w:rsid w:val="001332C7"/>
    <w:rsid w:val="001334DB"/>
    <w:rsid w:val="00133812"/>
    <w:rsid w:val="00133CA8"/>
    <w:rsid w:val="00133D36"/>
    <w:rsid w:val="00133F03"/>
    <w:rsid w:val="00134653"/>
    <w:rsid w:val="0013480D"/>
    <w:rsid w:val="00134B05"/>
    <w:rsid w:val="00134D67"/>
    <w:rsid w:val="00135C9E"/>
    <w:rsid w:val="00136422"/>
    <w:rsid w:val="001366BF"/>
    <w:rsid w:val="00136726"/>
    <w:rsid w:val="00137645"/>
    <w:rsid w:val="001376CB"/>
    <w:rsid w:val="0013772A"/>
    <w:rsid w:val="00137C0C"/>
    <w:rsid w:val="00140098"/>
    <w:rsid w:val="0014015A"/>
    <w:rsid w:val="00140933"/>
    <w:rsid w:val="00140AAD"/>
    <w:rsid w:val="00140B65"/>
    <w:rsid w:val="00140E99"/>
    <w:rsid w:val="00141BED"/>
    <w:rsid w:val="00141F87"/>
    <w:rsid w:val="001435F8"/>
    <w:rsid w:val="00143F67"/>
    <w:rsid w:val="00144F7F"/>
    <w:rsid w:val="00145041"/>
    <w:rsid w:val="001450C3"/>
    <w:rsid w:val="00145234"/>
    <w:rsid w:val="001454DA"/>
    <w:rsid w:val="00145540"/>
    <w:rsid w:val="001456B0"/>
    <w:rsid w:val="00146307"/>
    <w:rsid w:val="0014749D"/>
    <w:rsid w:val="00147A91"/>
    <w:rsid w:val="0015014D"/>
    <w:rsid w:val="00150A2E"/>
    <w:rsid w:val="001534D8"/>
    <w:rsid w:val="00153B3A"/>
    <w:rsid w:val="001547AB"/>
    <w:rsid w:val="00155536"/>
    <w:rsid w:val="00155B3B"/>
    <w:rsid w:val="00155F31"/>
    <w:rsid w:val="0015600C"/>
    <w:rsid w:val="0015666D"/>
    <w:rsid w:val="00156F8F"/>
    <w:rsid w:val="00157130"/>
    <w:rsid w:val="001576B1"/>
    <w:rsid w:val="00157C81"/>
    <w:rsid w:val="0016047B"/>
    <w:rsid w:val="00160A4C"/>
    <w:rsid w:val="00161F7C"/>
    <w:rsid w:val="0016264C"/>
    <w:rsid w:val="001626EA"/>
    <w:rsid w:val="00162913"/>
    <w:rsid w:val="001639BD"/>
    <w:rsid w:val="00163E81"/>
    <w:rsid w:val="00163EFF"/>
    <w:rsid w:val="00163F66"/>
    <w:rsid w:val="0016478E"/>
    <w:rsid w:val="00164AC7"/>
    <w:rsid w:val="00165C68"/>
    <w:rsid w:val="00165EC4"/>
    <w:rsid w:val="001661FB"/>
    <w:rsid w:val="001661FD"/>
    <w:rsid w:val="001666A4"/>
    <w:rsid w:val="00166F3B"/>
    <w:rsid w:val="001671A0"/>
    <w:rsid w:val="001672AE"/>
    <w:rsid w:val="00167592"/>
    <w:rsid w:val="0016767F"/>
    <w:rsid w:val="0017052D"/>
    <w:rsid w:val="001705C8"/>
    <w:rsid w:val="00170CEF"/>
    <w:rsid w:val="00170EF4"/>
    <w:rsid w:val="001710A4"/>
    <w:rsid w:val="001715F2"/>
    <w:rsid w:val="001720AD"/>
    <w:rsid w:val="00173565"/>
    <w:rsid w:val="0017359F"/>
    <w:rsid w:val="00173B07"/>
    <w:rsid w:val="001751FA"/>
    <w:rsid w:val="00176208"/>
    <w:rsid w:val="001764B0"/>
    <w:rsid w:val="0017652E"/>
    <w:rsid w:val="00176C52"/>
    <w:rsid w:val="0017790B"/>
    <w:rsid w:val="0017794F"/>
    <w:rsid w:val="00180BF2"/>
    <w:rsid w:val="0018118E"/>
    <w:rsid w:val="00181C10"/>
    <w:rsid w:val="00181D9C"/>
    <w:rsid w:val="001837FF"/>
    <w:rsid w:val="00184B0E"/>
    <w:rsid w:val="00185A86"/>
    <w:rsid w:val="001860DE"/>
    <w:rsid w:val="00186605"/>
    <w:rsid w:val="0018752F"/>
    <w:rsid w:val="00187639"/>
    <w:rsid w:val="001878FF"/>
    <w:rsid w:val="00190C73"/>
    <w:rsid w:val="00191003"/>
    <w:rsid w:val="00191697"/>
    <w:rsid w:val="00192186"/>
    <w:rsid w:val="00192BD5"/>
    <w:rsid w:val="0019365B"/>
    <w:rsid w:val="00193838"/>
    <w:rsid w:val="00193B61"/>
    <w:rsid w:val="00193D48"/>
    <w:rsid w:val="00193DA5"/>
    <w:rsid w:val="00194107"/>
    <w:rsid w:val="001947F3"/>
    <w:rsid w:val="00194AD8"/>
    <w:rsid w:val="00194D5B"/>
    <w:rsid w:val="0019519F"/>
    <w:rsid w:val="001951DC"/>
    <w:rsid w:val="00195222"/>
    <w:rsid w:val="00195452"/>
    <w:rsid w:val="00195544"/>
    <w:rsid w:val="0019581D"/>
    <w:rsid w:val="00195E69"/>
    <w:rsid w:val="00196251"/>
    <w:rsid w:val="001964BD"/>
    <w:rsid w:val="001975D8"/>
    <w:rsid w:val="001978A8"/>
    <w:rsid w:val="001A092D"/>
    <w:rsid w:val="001A13CA"/>
    <w:rsid w:val="001A178E"/>
    <w:rsid w:val="001A196D"/>
    <w:rsid w:val="001A1C7F"/>
    <w:rsid w:val="001A225F"/>
    <w:rsid w:val="001A226A"/>
    <w:rsid w:val="001A23A4"/>
    <w:rsid w:val="001A2FBE"/>
    <w:rsid w:val="001A43FA"/>
    <w:rsid w:val="001A47C5"/>
    <w:rsid w:val="001A55C8"/>
    <w:rsid w:val="001A59FB"/>
    <w:rsid w:val="001A5E9E"/>
    <w:rsid w:val="001A6350"/>
    <w:rsid w:val="001A6354"/>
    <w:rsid w:val="001A6366"/>
    <w:rsid w:val="001A7070"/>
    <w:rsid w:val="001A7804"/>
    <w:rsid w:val="001A7AE8"/>
    <w:rsid w:val="001A7CC8"/>
    <w:rsid w:val="001B07A3"/>
    <w:rsid w:val="001B1226"/>
    <w:rsid w:val="001B204E"/>
    <w:rsid w:val="001B2372"/>
    <w:rsid w:val="001B292F"/>
    <w:rsid w:val="001B3443"/>
    <w:rsid w:val="001B3C64"/>
    <w:rsid w:val="001B4D20"/>
    <w:rsid w:val="001B626D"/>
    <w:rsid w:val="001B67AB"/>
    <w:rsid w:val="001B725D"/>
    <w:rsid w:val="001B7ABB"/>
    <w:rsid w:val="001B7F84"/>
    <w:rsid w:val="001C0BCC"/>
    <w:rsid w:val="001C23CD"/>
    <w:rsid w:val="001C2A9B"/>
    <w:rsid w:val="001C30EF"/>
    <w:rsid w:val="001C3DD6"/>
    <w:rsid w:val="001C4299"/>
    <w:rsid w:val="001C4874"/>
    <w:rsid w:val="001C48BF"/>
    <w:rsid w:val="001C5F94"/>
    <w:rsid w:val="001C608E"/>
    <w:rsid w:val="001C6E66"/>
    <w:rsid w:val="001C7CBC"/>
    <w:rsid w:val="001D03F4"/>
    <w:rsid w:val="001D0741"/>
    <w:rsid w:val="001D0F21"/>
    <w:rsid w:val="001D1100"/>
    <w:rsid w:val="001D12D8"/>
    <w:rsid w:val="001D135D"/>
    <w:rsid w:val="001D1391"/>
    <w:rsid w:val="001D15F1"/>
    <w:rsid w:val="001D16D4"/>
    <w:rsid w:val="001D1889"/>
    <w:rsid w:val="001D233E"/>
    <w:rsid w:val="001D25D7"/>
    <w:rsid w:val="001D2D3E"/>
    <w:rsid w:val="001D50B2"/>
    <w:rsid w:val="001D54D5"/>
    <w:rsid w:val="001D59C6"/>
    <w:rsid w:val="001D6D03"/>
    <w:rsid w:val="001D6F87"/>
    <w:rsid w:val="001D71F4"/>
    <w:rsid w:val="001D72F7"/>
    <w:rsid w:val="001D75BD"/>
    <w:rsid w:val="001D7645"/>
    <w:rsid w:val="001D7849"/>
    <w:rsid w:val="001D7C39"/>
    <w:rsid w:val="001E0A43"/>
    <w:rsid w:val="001E148B"/>
    <w:rsid w:val="001E1E86"/>
    <w:rsid w:val="001E1F62"/>
    <w:rsid w:val="001E238E"/>
    <w:rsid w:val="001E2483"/>
    <w:rsid w:val="001E2B1E"/>
    <w:rsid w:val="001E2CFF"/>
    <w:rsid w:val="001E2F24"/>
    <w:rsid w:val="001E30D4"/>
    <w:rsid w:val="001E3184"/>
    <w:rsid w:val="001E335F"/>
    <w:rsid w:val="001E34DF"/>
    <w:rsid w:val="001E3BFE"/>
    <w:rsid w:val="001E44CC"/>
    <w:rsid w:val="001E46B1"/>
    <w:rsid w:val="001E496E"/>
    <w:rsid w:val="001E4B97"/>
    <w:rsid w:val="001E4FF7"/>
    <w:rsid w:val="001E52EB"/>
    <w:rsid w:val="001E5883"/>
    <w:rsid w:val="001E599E"/>
    <w:rsid w:val="001E5EC8"/>
    <w:rsid w:val="001E61D2"/>
    <w:rsid w:val="001E704D"/>
    <w:rsid w:val="001E740C"/>
    <w:rsid w:val="001F02B4"/>
    <w:rsid w:val="001F059C"/>
    <w:rsid w:val="001F1235"/>
    <w:rsid w:val="001F1CB3"/>
    <w:rsid w:val="001F1FC0"/>
    <w:rsid w:val="001F36FD"/>
    <w:rsid w:val="001F38B5"/>
    <w:rsid w:val="001F4081"/>
    <w:rsid w:val="001F4437"/>
    <w:rsid w:val="001F44B8"/>
    <w:rsid w:val="001F513E"/>
    <w:rsid w:val="001F58C4"/>
    <w:rsid w:val="001F599E"/>
    <w:rsid w:val="001F5EA3"/>
    <w:rsid w:val="001F62AA"/>
    <w:rsid w:val="001F698F"/>
    <w:rsid w:val="001F7202"/>
    <w:rsid w:val="001F7361"/>
    <w:rsid w:val="001F73A9"/>
    <w:rsid w:val="00200103"/>
    <w:rsid w:val="00200429"/>
    <w:rsid w:val="002011B0"/>
    <w:rsid w:val="00201B10"/>
    <w:rsid w:val="00203181"/>
    <w:rsid w:val="002032BE"/>
    <w:rsid w:val="00203783"/>
    <w:rsid w:val="0020385F"/>
    <w:rsid w:val="00203D9F"/>
    <w:rsid w:val="002043E7"/>
    <w:rsid w:val="00204453"/>
    <w:rsid w:val="00204A31"/>
    <w:rsid w:val="0020562F"/>
    <w:rsid w:val="002061C0"/>
    <w:rsid w:val="00206224"/>
    <w:rsid w:val="002068A0"/>
    <w:rsid w:val="002069D7"/>
    <w:rsid w:val="00206FE8"/>
    <w:rsid w:val="00207021"/>
    <w:rsid w:val="00207171"/>
    <w:rsid w:val="0020732F"/>
    <w:rsid w:val="00207D00"/>
    <w:rsid w:val="002105C1"/>
    <w:rsid w:val="00210DBC"/>
    <w:rsid w:val="00211537"/>
    <w:rsid w:val="002116FD"/>
    <w:rsid w:val="0021225A"/>
    <w:rsid w:val="00212949"/>
    <w:rsid w:val="00212E53"/>
    <w:rsid w:val="00213006"/>
    <w:rsid w:val="00213EF5"/>
    <w:rsid w:val="00215D86"/>
    <w:rsid w:val="00215F1C"/>
    <w:rsid w:val="00216BF5"/>
    <w:rsid w:val="00220205"/>
    <w:rsid w:val="00220F9D"/>
    <w:rsid w:val="002228E9"/>
    <w:rsid w:val="00222F7E"/>
    <w:rsid w:val="00223B49"/>
    <w:rsid w:val="00223D5A"/>
    <w:rsid w:val="0022460A"/>
    <w:rsid w:val="00224DD4"/>
    <w:rsid w:val="00224FE3"/>
    <w:rsid w:val="00226AB7"/>
    <w:rsid w:val="00226B7C"/>
    <w:rsid w:val="00227293"/>
    <w:rsid w:val="002278A0"/>
    <w:rsid w:val="00227CE0"/>
    <w:rsid w:val="002309CC"/>
    <w:rsid w:val="00231BA9"/>
    <w:rsid w:val="0023209F"/>
    <w:rsid w:val="0023213A"/>
    <w:rsid w:val="00232333"/>
    <w:rsid w:val="00233C01"/>
    <w:rsid w:val="0023413C"/>
    <w:rsid w:val="002346F0"/>
    <w:rsid w:val="0023534D"/>
    <w:rsid w:val="0023629D"/>
    <w:rsid w:val="0023665F"/>
    <w:rsid w:val="00237255"/>
    <w:rsid w:val="00240B82"/>
    <w:rsid w:val="00241914"/>
    <w:rsid w:val="002424AF"/>
    <w:rsid w:val="00242EDD"/>
    <w:rsid w:val="0024302B"/>
    <w:rsid w:val="002439DC"/>
    <w:rsid w:val="002441D2"/>
    <w:rsid w:val="00244DC8"/>
    <w:rsid w:val="00245896"/>
    <w:rsid w:val="002458BA"/>
    <w:rsid w:val="00245CE9"/>
    <w:rsid w:val="00245DF7"/>
    <w:rsid w:val="0024636C"/>
    <w:rsid w:val="00246A67"/>
    <w:rsid w:val="00247925"/>
    <w:rsid w:val="00250A6B"/>
    <w:rsid w:val="00251006"/>
    <w:rsid w:val="00251015"/>
    <w:rsid w:val="002512B3"/>
    <w:rsid w:val="002524D5"/>
    <w:rsid w:val="00252DBE"/>
    <w:rsid w:val="00253B1D"/>
    <w:rsid w:val="0025467B"/>
    <w:rsid w:val="00254DCF"/>
    <w:rsid w:val="00254E0A"/>
    <w:rsid w:val="0025534B"/>
    <w:rsid w:val="00255826"/>
    <w:rsid w:val="00255AD1"/>
    <w:rsid w:val="00255BB7"/>
    <w:rsid w:val="00256049"/>
    <w:rsid w:val="002560AC"/>
    <w:rsid w:val="0025702F"/>
    <w:rsid w:val="00257541"/>
    <w:rsid w:val="00257A39"/>
    <w:rsid w:val="00257AC4"/>
    <w:rsid w:val="00257BBE"/>
    <w:rsid w:val="00260CEB"/>
    <w:rsid w:val="00261597"/>
    <w:rsid w:val="00261EEF"/>
    <w:rsid w:val="0026261C"/>
    <w:rsid w:val="00262A1A"/>
    <w:rsid w:val="00262A87"/>
    <w:rsid w:val="00263B35"/>
    <w:rsid w:val="00263DB5"/>
    <w:rsid w:val="00263E60"/>
    <w:rsid w:val="00264D26"/>
    <w:rsid w:val="00265295"/>
    <w:rsid w:val="002653D4"/>
    <w:rsid w:val="0026556D"/>
    <w:rsid w:val="00265C69"/>
    <w:rsid w:val="00267642"/>
    <w:rsid w:val="00267AEA"/>
    <w:rsid w:val="00267EC3"/>
    <w:rsid w:val="002700E6"/>
    <w:rsid w:val="00270A0F"/>
    <w:rsid w:val="0027294B"/>
    <w:rsid w:val="00273908"/>
    <w:rsid w:val="00273EB4"/>
    <w:rsid w:val="0027424E"/>
    <w:rsid w:val="0027430B"/>
    <w:rsid w:val="00274682"/>
    <w:rsid w:val="00274AFA"/>
    <w:rsid w:val="00275158"/>
    <w:rsid w:val="00275C5A"/>
    <w:rsid w:val="002767EF"/>
    <w:rsid w:val="00276933"/>
    <w:rsid w:val="002771B7"/>
    <w:rsid w:val="002800FE"/>
    <w:rsid w:val="0028018D"/>
    <w:rsid w:val="00280D54"/>
    <w:rsid w:val="00280E17"/>
    <w:rsid w:val="00281014"/>
    <w:rsid w:val="00281015"/>
    <w:rsid w:val="0028253A"/>
    <w:rsid w:val="0028277A"/>
    <w:rsid w:val="00282CA1"/>
    <w:rsid w:val="00283182"/>
    <w:rsid w:val="0028361F"/>
    <w:rsid w:val="00284568"/>
    <w:rsid w:val="00285529"/>
    <w:rsid w:val="0028580E"/>
    <w:rsid w:val="00285BCE"/>
    <w:rsid w:val="00285E9A"/>
    <w:rsid w:val="002860D3"/>
    <w:rsid w:val="0028665D"/>
    <w:rsid w:val="00286982"/>
    <w:rsid w:val="002876FF"/>
    <w:rsid w:val="00287F92"/>
    <w:rsid w:val="00290AB4"/>
    <w:rsid w:val="002914FE"/>
    <w:rsid w:val="00291F78"/>
    <w:rsid w:val="0029252C"/>
    <w:rsid w:val="00292A0E"/>
    <w:rsid w:val="002935EC"/>
    <w:rsid w:val="002940F7"/>
    <w:rsid w:val="00295BA7"/>
    <w:rsid w:val="00295D45"/>
    <w:rsid w:val="00296E56"/>
    <w:rsid w:val="0029783C"/>
    <w:rsid w:val="002A14AB"/>
    <w:rsid w:val="002A1A28"/>
    <w:rsid w:val="002A2ADE"/>
    <w:rsid w:val="002A2F50"/>
    <w:rsid w:val="002A32A3"/>
    <w:rsid w:val="002A3D73"/>
    <w:rsid w:val="002A436C"/>
    <w:rsid w:val="002A5F46"/>
    <w:rsid w:val="002A6E05"/>
    <w:rsid w:val="002A6FE5"/>
    <w:rsid w:val="002A7943"/>
    <w:rsid w:val="002B05A1"/>
    <w:rsid w:val="002B069E"/>
    <w:rsid w:val="002B09A4"/>
    <w:rsid w:val="002B0EC0"/>
    <w:rsid w:val="002B10D7"/>
    <w:rsid w:val="002B1C1F"/>
    <w:rsid w:val="002B1D9F"/>
    <w:rsid w:val="002B1E38"/>
    <w:rsid w:val="002B25DC"/>
    <w:rsid w:val="002B2ABD"/>
    <w:rsid w:val="002B2B81"/>
    <w:rsid w:val="002B3F88"/>
    <w:rsid w:val="002B432F"/>
    <w:rsid w:val="002B4A1E"/>
    <w:rsid w:val="002B62B3"/>
    <w:rsid w:val="002B655D"/>
    <w:rsid w:val="002B6754"/>
    <w:rsid w:val="002B6CCE"/>
    <w:rsid w:val="002B7044"/>
    <w:rsid w:val="002B7288"/>
    <w:rsid w:val="002B7C0C"/>
    <w:rsid w:val="002C0FEA"/>
    <w:rsid w:val="002C1CDE"/>
    <w:rsid w:val="002C22C4"/>
    <w:rsid w:val="002C23BF"/>
    <w:rsid w:val="002C2510"/>
    <w:rsid w:val="002C2775"/>
    <w:rsid w:val="002C27C1"/>
    <w:rsid w:val="002C2826"/>
    <w:rsid w:val="002C36E3"/>
    <w:rsid w:val="002C408D"/>
    <w:rsid w:val="002C4318"/>
    <w:rsid w:val="002C5099"/>
    <w:rsid w:val="002C5889"/>
    <w:rsid w:val="002C5DBC"/>
    <w:rsid w:val="002C71CE"/>
    <w:rsid w:val="002C7D0D"/>
    <w:rsid w:val="002D045A"/>
    <w:rsid w:val="002D0865"/>
    <w:rsid w:val="002D08F8"/>
    <w:rsid w:val="002D209F"/>
    <w:rsid w:val="002D24F9"/>
    <w:rsid w:val="002D2B76"/>
    <w:rsid w:val="002D3151"/>
    <w:rsid w:val="002D5063"/>
    <w:rsid w:val="002D577C"/>
    <w:rsid w:val="002D7832"/>
    <w:rsid w:val="002E08A7"/>
    <w:rsid w:val="002E1071"/>
    <w:rsid w:val="002E1132"/>
    <w:rsid w:val="002E15B9"/>
    <w:rsid w:val="002E16C8"/>
    <w:rsid w:val="002E1979"/>
    <w:rsid w:val="002E2158"/>
    <w:rsid w:val="002E23DC"/>
    <w:rsid w:val="002E3576"/>
    <w:rsid w:val="002E3605"/>
    <w:rsid w:val="002E395D"/>
    <w:rsid w:val="002E3B98"/>
    <w:rsid w:val="002E3CFF"/>
    <w:rsid w:val="002E3D2C"/>
    <w:rsid w:val="002E40E5"/>
    <w:rsid w:val="002E4F02"/>
    <w:rsid w:val="002E5E44"/>
    <w:rsid w:val="002E6489"/>
    <w:rsid w:val="002E6A2C"/>
    <w:rsid w:val="002E70F5"/>
    <w:rsid w:val="002E7504"/>
    <w:rsid w:val="002E7722"/>
    <w:rsid w:val="002E7C6A"/>
    <w:rsid w:val="002E7D52"/>
    <w:rsid w:val="002F07BA"/>
    <w:rsid w:val="002F0DA9"/>
    <w:rsid w:val="002F0F81"/>
    <w:rsid w:val="002F1014"/>
    <w:rsid w:val="002F1A3C"/>
    <w:rsid w:val="002F1E3B"/>
    <w:rsid w:val="002F235D"/>
    <w:rsid w:val="002F319E"/>
    <w:rsid w:val="002F412D"/>
    <w:rsid w:val="002F468C"/>
    <w:rsid w:val="002F49E0"/>
    <w:rsid w:val="002F53F8"/>
    <w:rsid w:val="002F56D6"/>
    <w:rsid w:val="002F5ECC"/>
    <w:rsid w:val="002F643C"/>
    <w:rsid w:val="002F65EC"/>
    <w:rsid w:val="002F71C0"/>
    <w:rsid w:val="002F74F1"/>
    <w:rsid w:val="0030009C"/>
    <w:rsid w:val="00300B42"/>
    <w:rsid w:val="00301017"/>
    <w:rsid w:val="0030155F"/>
    <w:rsid w:val="00301728"/>
    <w:rsid w:val="00301FE6"/>
    <w:rsid w:val="003027CA"/>
    <w:rsid w:val="00302E4B"/>
    <w:rsid w:val="003030C1"/>
    <w:rsid w:val="0030310D"/>
    <w:rsid w:val="003037AE"/>
    <w:rsid w:val="003038F1"/>
    <w:rsid w:val="00305005"/>
    <w:rsid w:val="00305848"/>
    <w:rsid w:val="0030587B"/>
    <w:rsid w:val="00305A0E"/>
    <w:rsid w:val="003062EC"/>
    <w:rsid w:val="00306449"/>
    <w:rsid w:val="00306D98"/>
    <w:rsid w:val="00306DB1"/>
    <w:rsid w:val="00306F53"/>
    <w:rsid w:val="0030786C"/>
    <w:rsid w:val="0031031A"/>
    <w:rsid w:val="00310981"/>
    <w:rsid w:val="00311D9B"/>
    <w:rsid w:val="0031219F"/>
    <w:rsid w:val="003124D9"/>
    <w:rsid w:val="00312594"/>
    <w:rsid w:val="00312697"/>
    <w:rsid w:val="0031277B"/>
    <w:rsid w:val="00312D07"/>
    <w:rsid w:val="0031306B"/>
    <w:rsid w:val="0031403B"/>
    <w:rsid w:val="00314643"/>
    <w:rsid w:val="00314CE5"/>
    <w:rsid w:val="00315498"/>
    <w:rsid w:val="00315F72"/>
    <w:rsid w:val="003161AA"/>
    <w:rsid w:val="00316474"/>
    <w:rsid w:val="0031660A"/>
    <w:rsid w:val="0032004E"/>
    <w:rsid w:val="0032007C"/>
    <w:rsid w:val="0032112B"/>
    <w:rsid w:val="00322107"/>
    <w:rsid w:val="0032231D"/>
    <w:rsid w:val="00322355"/>
    <w:rsid w:val="003225E8"/>
    <w:rsid w:val="00322846"/>
    <w:rsid w:val="00323E60"/>
    <w:rsid w:val="0032413D"/>
    <w:rsid w:val="003252A2"/>
    <w:rsid w:val="00325300"/>
    <w:rsid w:val="00325961"/>
    <w:rsid w:val="003267F8"/>
    <w:rsid w:val="00326DA7"/>
    <w:rsid w:val="003270E4"/>
    <w:rsid w:val="0032753F"/>
    <w:rsid w:val="003279BA"/>
    <w:rsid w:val="00327B45"/>
    <w:rsid w:val="003303C2"/>
    <w:rsid w:val="00330BF8"/>
    <w:rsid w:val="00330DAA"/>
    <w:rsid w:val="00330E40"/>
    <w:rsid w:val="00330F5C"/>
    <w:rsid w:val="00331849"/>
    <w:rsid w:val="00331853"/>
    <w:rsid w:val="00331ADE"/>
    <w:rsid w:val="00333316"/>
    <w:rsid w:val="0033399E"/>
    <w:rsid w:val="00333BEA"/>
    <w:rsid w:val="0033416D"/>
    <w:rsid w:val="003341C3"/>
    <w:rsid w:val="003358B8"/>
    <w:rsid w:val="00336299"/>
    <w:rsid w:val="00336458"/>
    <w:rsid w:val="003365A4"/>
    <w:rsid w:val="003366C9"/>
    <w:rsid w:val="00336DCE"/>
    <w:rsid w:val="003371B0"/>
    <w:rsid w:val="00337239"/>
    <w:rsid w:val="00337A40"/>
    <w:rsid w:val="00337D1B"/>
    <w:rsid w:val="00340C4D"/>
    <w:rsid w:val="00340DF1"/>
    <w:rsid w:val="0034158B"/>
    <w:rsid w:val="00341E6E"/>
    <w:rsid w:val="00342070"/>
    <w:rsid w:val="00342BA5"/>
    <w:rsid w:val="0034390A"/>
    <w:rsid w:val="003443E9"/>
    <w:rsid w:val="00344C45"/>
    <w:rsid w:val="00344DFC"/>
    <w:rsid w:val="00344E7A"/>
    <w:rsid w:val="0034529E"/>
    <w:rsid w:val="00345425"/>
    <w:rsid w:val="003517F9"/>
    <w:rsid w:val="0035188D"/>
    <w:rsid w:val="00351BA9"/>
    <w:rsid w:val="00351D0E"/>
    <w:rsid w:val="00352097"/>
    <w:rsid w:val="003525D0"/>
    <w:rsid w:val="00352C00"/>
    <w:rsid w:val="00354F64"/>
    <w:rsid w:val="00354FE0"/>
    <w:rsid w:val="0035620E"/>
    <w:rsid w:val="003564EA"/>
    <w:rsid w:val="00356522"/>
    <w:rsid w:val="0035726C"/>
    <w:rsid w:val="003575BE"/>
    <w:rsid w:val="00357B59"/>
    <w:rsid w:val="00357CAD"/>
    <w:rsid w:val="00360345"/>
    <w:rsid w:val="0036046C"/>
    <w:rsid w:val="0036129D"/>
    <w:rsid w:val="003612DF"/>
    <w:rsid w:val="00361A05"/>
    <w:rsid w:val="003624C4"/>
    <w:rsid w:val="003627B8"/>
    <w:rsid w:val="00362963"/>
    <w:rsid w:val="00362CA3"/>
    <w:rsid w:val="003632DD"/>
    <w:rsid w:val="00363B00"/>
    <w:rsid w:val="00363FEF"/>
    <w:rsid w:val="00364CFE"/>
    <w:rsid w:val="00364DE9"/>
    <w:rsid w:val="003654AC"/>
    <w:rsid w:val="0036562A"/>
    <w:rsid w:val="003660D3"/>
    <w:rsid w:val="003666AE"/>
    <w:rsid w:val="003666F6"/>
    <w:rsid w:val="003710CF"/>
    <w:rsid w:val="0037156D"/>
    <w:rsid w:val="00371C87"/>
    <w:rsid w:val="00372669"/>
    <w:rsid w:val="00372756"/>
    <w:rsid w:val="0037358A"/>
    <w:rsid w:val="0037364E"/>
    <w:rsid w:val="003739E9"/>
    <w:rsid w:val="003746D7"/>
    <w:rsid w:val="003750F6"/>
    <w:rsid w:val="00375EE1"/>
    <w:rsid w:val="003760FC"/>
    <w:rsid w:val="00376154"/>
    <w:rsid w:val="00376263"/>
    <w:rsid w:val="003767EE"/>
    <w:rsid w:val="00380881"/>
    <w:rsid w:val="00381793"/>
    <w:rsid w:val="00382AA2"/>
    <w:rsid w:val="00382F5B"/>
    <w:rsid w:val="0038365C"/>
    <w:rsid w:val="0038369B"/>
    <w:rsid w:val="003836CB"/>
    <w:rsid w:val="00383B78"/>
    <w:rsid w:val="00383E78"/>
    <w:rsid w:val="003846B6"/>
    <w:rsid w:val="00384702"/>
    <w:rsid w:val="00385857"/>
    <w:rsid w:val="00385A9D"/>
    <w:rsid w:val="00386796"/>
    <w:rsid w:val="00386ACB"/>
    <w:rsid w:val="00387121"/>
    <w:rsid w:val="00387345"/>
    <w:rsid w:val="003902B1"/>
    <w:rsid w:val="00391305"/>
    <w:rsid w:val="0039179C"/>
    <w:rsid w:val="00392D32"/>
    <w:rsid w:val="00393352"/>
    <w:rsid w:val="003945F8"/>
    <w:rsid w:val="00394777"/>
    <w:rsid w:val="00394A74"/>
    <w:rsid w:val="00394E83"/>
    <w:rsid w:val="00394F8F"/>
    <w:rsid w:val="00396280"/>
    <w:rsid w:val="00396896"/>
    <w:rsid w:val="00396A25"/>
    <w:rsid w:val="00396B85"/>
    <w:rsid w:val="00396F48"/>
    <w:rsid w:val="00396FD0"/>
    <w:rsid w:val="00397920"/>
    <w:rsid w:val="00397EBA"/>
    <w:rsid w:val="003A0D2C"/>
    <w:rsid w:val="003A16BE"/>
    <w:rsid w:val="003A1A7A"/>
    <w:rsid w:val="003A1FDF"/>
    <w:rsid w:val="003A2392"/>
    <w:rsid w:val="003A2831"/>
    <w:rsid w:val="003A2DAA"/>
    <w:rsid w:val="003A308C"/>
    <w:rsid w:val="003A3CB6"/>
    <w:rsid w:val="003A3D5A"/>
    <w:rsid w:val="003A3ED1"/>
    <w:rsid w:val="003A403C"/>
    <w:rsid w:val="003A44DB"/>
    <w:rsid w:val="003A4C14"/>
    <w:rsid w:val="003A4C9A"/>
    <w:rsid w:val="003A5647"/>
    <w:rsid w:val="003A601F"/>
    <w:rsid w:val="003A642B"/>
    <w:rsid w:val="003A6E2E"/>
    <w:rsid w:val="003A6EC8"/>
    <w:rsid w:val="003A74D5"/>
    <w:rsid w:val="003A77AB"/>
    <w:rsid w:val="003A7D8F"/>
    <w:rsid w:val="003B0287"/>
    <w:rsid w:val="003B0B3A"/>
    <w:rsid w:val="003B0D21"/>
    <w:rsid w:val="003B111C"/>
    <w:rsid w:val="003B1B8F"/>
    <w:rsid w:val="003B2D64"/>
    <w:rsid w:val="003B3669"/>
    <w:rsid w:val="003B3971"/>
    <w:rsid w:val="003B39B9"/>
    <w:rsid w:val="003B4131"/>
    <w:rsid w:val="003B47C7"/>
    <w:rsid w:val="003B4B2D"/>
    <w:rsid w:val="003B5116"/>
    <w:rsid w:val="003B55D1"/>
    <w:rsid w:val="003B5B61"/>
    <w:rsid w:val="003B5D4C"/>
    <w:rsid w:val="003B668A"/>
    <w:rsid w:val="003B7D9C"/>
    <w:rsid w:val="003C047D"/>
    <w:rsid w:val="003C0C4D"/>
    <w:rsid w:val="003C1654"/>
    <w:rsid w:val="003C1BA3"/>
    <w:rsid w:val="003C2DE2"/>
    <w:rsid w:val="003C309A"/>
    <w:rsid w:val="003C348D"/>
    <w:rsid w:val="003C34FF"/>
    <w:rsid w:val="003C3DCC"/>
    <w:rsid w:val="003C5542"/>
    <w:rsid w:val="003C620F"/>
    <w:rsid w:val="003C6542"/>
    <w:rsid w:val="003C71EC"/>
    <w:rsid w:val="003C7C15"/>
    <w:rsid w:val="003C7D19"/>
    <w:rsid w:val="003C7D2F"/>
    <w:rsid w:val="003D01A1"/>
    <w:rsid w:val="003D0A54"/>
    <w:rsid w:val="003D0C5A"/>
    <w:rsid w:val="003D0E9B"/>
    <w:rsid w:val="003D0ED9"/>
    <w:rsid w:val="003D1828"/>
    <w:rsid w:val="003D1DE4"/>
    <w:rsid w:val="003D1E9A"/>
    <w:rsid w:val="003D2257"/>
    <w:rsid w:val="003D2422"/>
    <w:rsid w:val="003D31A5"/>
    <w:rsid w:val="003D3208"/>
    <w:rsid w:val="003D3374"/>
    <w:rsid w:val="003D39A1"/>
    <w:rsid w:val="003D3FBF"/>
    <w:rsid w:val="003D4A30"/>
    <w:rsid w:val="003D53EC"/>
    <w:rsid w:val="003D561A"/>
    <w:rsid w:val="003D57BB"/>
    <w:rsid w:val="003D5C12"/>
    <w:rsid w:val="003D5D67"/>
    <w:rsid w:val="003D643C"/>
    <w:rsid w:val="003D6F48"/>
    <w:rsid w:val="003D71A2"/>
    <w:rsid w:val="003D72BA"/>
    <w:rsid w:val="003D7452"/>
    <w:rsid w:val="003D79BB"/>
    <w:rsid w:val="003D7C98"/>
    <w:rsid w:val="003D7D9D"/>
    <w:rsid w:val="003D7E4F"/>
    <w:rsid w:val="003E0428"/>
    <w:rsid w:val="003E0543"/>
    <w:rsid w:val="003E107F"/>
    <w:rsid w:val="003E1203"/>
    <w:rsid w:val="003E12EE"/>
    <w:rsid w:val="003E2134"/>
    <w:rsid w:val="003E2774"/>
    <w:rsid w:val="003E2889"/>
    <w:rsid w:val="003E332D"/>
    <w:rsid w:val="003E3531"/>
    <w:rsid w:val="003E445C"/>
    <w:rsid w:val="003E4852"/>
    <w:rsid w:val="003E4ACE"/>
    <w:rsid w:val="003E4EBF"/>
    <w:rsid w:val="003E5603"/>
    <w:rsid w:val="003E6987"/>
    <w:rsid w:val="003E6A3D"/>
    <w:rsid w:val="003E749E"/>
    <w:rsid w:val="003E7CCA"/>
    <w:rsid w:val="003F0646"/>
    <w:rsid w:val="003F068A"/>
    <w:rsid w:val="003F141F"/>
    <w:rsid w:val="003F219C"/>
    <w:rsid w:val="003F2689"/>
    <w:rsid w:val="003F2AC3"/>
    <w:rsid w:val="003F2ACF"/>
    <w:rsid w:val="003F3B37"/>
    <w:rsid w:val="003F4156"/>
    <w:rsid w:val="003F501B"/>
    <w:rsid w:val="003F5076"/>
    <w:rsid w:val="003F50F9"/>
    <w:rsid w:val="003F516A"/>
    <w:rsid w:val="003F5544"/>
    <w:rsid w:val="003F5851"/>
    <w:rsid w:val="003F5ADF"/>
    <w:rsid w:val="003F7508"/>
    <w:rsid w:val="0040028C"/>
    <w:rsid w:val="00400B29"/>
    <w:rsid w:val="004012F1"/>
    <w:rsid w:val="0040211B"/>
    <w:rsid w:val="004026BE"/>
    <w:rsid w:val="00402812"/>
    <w:rsid w:val="00402ACD"/>
    <w:rsid w:val="0040307C"/>
    <w:rsid w:val="00403714"/>
    <w:rsid w:val="004037A0"/>
    <w:rsid w:val="00403B1C"/>
    <w:rsid w:val="00404A88"/>
    <w:rsid w:val="0040504B"/>
    <w:rsid w:val="004059F4"/>
    <w:rsid w:val="00405D98"/>
    <w:rsid w:val="00405F11"/>
    <w:rsid w:val="004060E6"/>
    <w:rsid w:val="00407D5A"/>
    <w:rsid w:val="00407F2A"/>
    <w:rsid w:val="00407FE5"/>
    <w:rsid w:val="004101B0"/>
    <w:rsid w:val="00410326"/>
    <w:rsid w:val="00410708"/>
    <w:rsid w:val="00410712"/>
    <w:rsid w:val="00410EC7"/>
    <w:rsid w:val="0041187A"/>
    <w:rsid w:val="00411B39"/>
    <w:rsid w:val="00411C1A"/>
    <w:rsid w:val="004127A7"/>
    <w:rsid w:val="004129A1"/>
    <w:rsid w:val="00413A1E"/>
    <w:rsid w:val="00414476"/>
    <w:rsid w:val="004144A0"/>
    <w:rsid w:val="004144ED"/>
    <w:rsid w:val="00414C2E"/>
    <w:rsid w:val="004151CF"/>
    <w:rsid w:val="004151D7"/>
    <w:rsid w:val="00415681"/>
    <w:rsid w:val="0041581D"/>
    <w:rsid w:val="00415E60"/>
    <w:rsid w:val="004160D7"/>
    <w:rsid w:val="00416364"/>
    <w:rsid w:val="0041638C"/>
    <w:rsid w:val="00416BFA"/>
    <w:rsid w:val="00416E3A"/>
    <w:rsid w:val="004170E2"/>
    <w:rsid w:val="004173A7"/>
    <w:rsid w:val="00417D3F"/>
    <w:rsid w:val="004202B5"/>
    <w:rsid w:val="0042047F"/>
    <w:rsid w:val="0042095E"/>
    <w:rsid w:val="00420AA6"/>
    <w:rsid w:val="00420B9F"/>
    <w:rsid w:val="0042192C"/>
    <w:rsid w:val="00422260"/>
    <w:rsid w:val="0042261C"/>
    <w:rsid w:val="00422FA1"/>
    <w:rsid w:val="00423E02"/>
    <w:rsid w:val="0042413F"/>
    <w:rsid w:val="0042472D"/>
    <w:rsid w:val="004248EE"/>
    <w:rsid w:val="00424A2C"/>
    <w:rsid w:val="00425D02"/>
    <w:rsid w:val="00426534"/>
    <w:rsid w:val="00426630"/>
    <w:rsid w:val="004268F0"/>
    <w:rsid w:val="00427E95"/>
    <w:rsid w:val="00430047"/>
    <w:rsid w:val="00430122"/>
    <w:rsid w:val="004307B1"/>
    <w:rsid w:val="00431249"/>
    <w:rsid w:val="0043167F"/>
    <w:rsid w:val="004319F8"/>
    <w:rsid w:val="00431E55"/>
    <w:rsid w:val="004321F6"/>
    <w:rsid w:val="00433044"/>
    <w:rsid w:val="00434088"/>
    <w:rsid w:val="00434283"/>
    <w:rsid w:val="00434371"/>
    <w:rsid w:val="0043451D"/>
    <w:rsid w:val="004356E1"/>
    <w:rsid w:val="00435825"/>
    <w:rsid w:val="00435C4D"/>
    <w:rsid w:val="004365A3"/>
    <w:rsid w:val="004375B9"/>
    <w:rsid w:val="004405B8"/>
    <w:rsid w:val="00441764"/>
    <w:rsid w:val="00442422"/>
    <w:rsid w:val="004428D0"/>
    <w:rsid w:val="00442F89"/>
    <w:rsid w:val="00444185"/>
    <w:rsid w:val="004443A7"/>
    <w:rsid w:val="0044442C"/>
    <w:rsid w:val="0044550D"/>
    <w:rsid w:val="004455A4"/>
    <w:rsid w:val="00445941"/>
    <w:rsid w:val="004459EE"/>
    <w:rsid w:val="004464EB"/>
    <w:rsid w:val="00447D26"/>
    <w:rsid w:val="00447DFC"/>
    <w:rsid w:val="004501B3"/>
    <w:rsid w:val="0045071C"/>
    <w:rsid w:val="0045140D"/>
    <w:rsid w:val="00451597"/>
    <w:rsid w:val="00452450"/>
    <w:rsid w:val="00452AC7"/>
    <w:rsid w:val="00452C28"/>
    <w:rsid w:val="00452E9D"/>
    <w:rsid w:val="004546AC"/>
    <w:rsid w:val="00454F92"/>
    <w:rsid w:val="00455A1E"/>
    <w:rsid w:val="00455D45"/>
    <w:rsid w:val="00456252"/>
    <w:rsid w:val="0045696E"/>
    <w:rsid w:val="00456E21"/>
    <w:rsid w:val="004573A7"/>
    <w:rsid w:val="004573BA"/>
    <w:rsid w:val="00460C0A"/>
    <w:rsid w:val="00460FAE"/>
    <w:rsid w:val="004610F4"/>
    <w:rsid w:val="0046160E"/>
    <w:rsid w:val="00463635"/>
    <w:rsid w:val="00464595"/>
    <w:rsid w:val="00464B71"/>
    <w:rsid w:val="004658B5"/>
    <w:rsid w:val="004666E9"/>
    <w:rsid w:val="00467EA3"/>
    <w:rsid w:val="00467FDD"/>
    <w:rsid w:val="0047039B"/>
    <w:rsid w:val="00470B38"/>
    <w:rsid w:val="0047181A"/>
    <w:rsid w:val="00471EA5"/>
    <w:rsid w:val="004726D1"/>
    <w:rsid w:val="00472A79"/>
    <w:rsid w:val="004739B5"/>
    <w:rsid w:val="00473F19"/>
    <w:rsid w:val="00474270"/>
    <w:rsid w:val="004755B3"/>
    <w:rsid w:val="004758F5"/>
    <w:rsid w:val="00475A1F"/>
    <w:rsid w:val="00475E22"/>
    <w:rsid w:val="0047644A"/>
    <w:rsid w:val="00476457"/>
    <w:rsid w:val="00476AB0"/>
    <w:rsid w:val="00477422"/>
    <w:rsid w:val="00477CD2"/>
    <w:rsid w:val="0048042F"/>
    <w:rsid w:val="0048088E"/>
    <w:rsid w:val="004808AA"/>
    <w:rsid w:val="00480F2B"/>
    <w:rsid w:val="004815BC"/>
    <w:rsid w:val="00482720"/>
    <w:rsid w:val="004827D3"/>
    <w:rsid w:val="00482D57"/>
    <w:rsid w:val="004831FE"/>
    <w:rsid w:val="004835E7"/>
    <w:rsid w:val="00484A39"/>
    <w:rsid w:val="004852B7"/>
    <w:rsid w:val="004854DA"/>
    <w:rsid w:val="004854E3"/>
    <w:rsid w:val="004859E1"/>
    <w:rsid w:val="004867E2"/>
    <w:rsid w:val="00486E5D"/>
    <w:rsid w:val="00487638"/>
    <w:rsid w:val="00487819"/>
    <w:rsid w:val="00490B17"/>
    <w:rsid w:val="00490CFC"/>
    <w:rsid w:val="00491266"/>
    <w:rsid w:val="00491B3A"/>
    <w:rsid w:val="00492B5F"/>
    <w:rsid w:val="00492CFD"/>
    <w:rsid w:val="004932F9"/>
    <w:rsid w:val="00493EF5"/>
    <w:rsid w:val="00494207"/>
    <w:rsid w:val="00494971"/>
    <w:rsid w:val="00494DD5"/>
    <w:rsid w:val="00495325"/>
    <w:rsid w:val="0049547F"/>
    <w:rsid w:val="00495947"/>
    <w:rsid w:val="004962D2"/>
    <w:rsid w:val="004971DA"/>
    <w:rsid w:val="00497513"/>
    <w:rsid w:val="00497ED5"/>
    <w:rsid w:val="004A0DA1"/>
    <w:rsid w:val="004A0E26"/>
    <w:rsid w:val="004A13D6"/>
    <w:rsid w:val="004A1CD5"/>
    <w:rsid w:val="004A1F23"/>
    <w:rsid w:val="004A2B40"/>
    <w:rsid w:val="004A2D36"/>
    <w:rsid w:val="004A413E"/>
    <w:rsid w:val="004A459E"/>
    <w:rsid w:val="004A52E9"/>
    <w:rsid w:val="004A6040"/>
    <w:rsid w:val="004A6597"/>
    <w:rsid w:val="004A714F"/>
    <w:rsid w:val="004A7263"/>
    <w:rsid w:val="004A7848"/>
    <w:rsid w:val="004A793B"/>
    <w:rsid w:val="004B0A7E"/>
    <w:rsid w:val="004B0B2D"/>
    <w:rsid w:val="004B1CB4"/>
    <w:rsid w:val="004B205C"/>
    <w:rsid w:val="004B20F6"/>
    <w:rsid w:val="004B2DA2"/>
    <w:rsid w:val="004B2F18"/>
    <w:rsid w:val="004B31B9"/>
    <w:rsid w:val="004B3C12"/>
    <w:rsid w:val="004B3DDB"/>
    <w:rsid w:val="004B3F65"/>
    <w:rsid w:val="004B44FD"/>
    <w:rsid w:val="004B48B4"/>
    <w:rsid w:val="004B55B3"/>
    <w:rsid w:val="004B5CFC"/>
    <w:rsid w:val="004B6511"/>
    <w:rsid w:val="004B6C3A"/>
    <w:rsid w:val="004B6F79"/>
    <w:rsid w:val="004B774D"/>
    <w:rsid w:val="004B77EB"/>
    <w:rsid w:val="004C076A"/>
    <w:rsid w:val="004C1F02"/>
    <w:rsid w:val="004C2AC2"/>
    <w:rsid w:val="004C2E3D"/>
    <w:rsid w:val="004C39D6"/>
    <w:rsid w:val="004C4AED"/>
    <w:rsid w:val="004C4F3C"/>
    <w:rsid w:val="004C50E2"/>
    <w:rsid w:val="004C5218"/>
    <w:rsid w:val="004C62DC"/>
    <w:rsid w:val="004C7783"/>
    <w:rsid w:val="004D02A3"/>
    <w:rsid w:val="004D0455"/>
    <w:rsid w:val="004D0C79"/>
    <w:rsid w:val="004D1CF7"/>
    <w:rsid w:val="004D2C2D"/>
    <w:rsid w:val="004D2C66"/>
    <w:rsid w:val="004D3E02"/>
    <w:rsid w:val="004D43AB"/>
    <w:rsid w:val="004D4A57"/>
    <w:rsid w:val="004D4D2E"/>
    <w:rsid w:val="004D64E5"/>
    <w:rsid w:val="004D6564"/>
    <w:rsid w:val="004D69B5"/>
    <w:rsid w:val="004D7227"/>
    <w:rsid w:val="004D7B5E"/>
    <w:rsid w:val="004D7D02"/>
    <w:rsid w:val="004E0585"/>
    <w:rsid w:val="004E0B22"/>
    <w:rsid w:val="004E0E7F"/>
    <w:rsid w:val="004E0EB8"/>
    <w:rsid w:val="004E1563"/>
    <w:rsid w:val="004E18E9"/>
    <w:rsid w:val="004E26CC"/>
    <w:rsid w:val="004E2ADC"/>
    <w:rsid w:val="004E3CF3"/>
    <w:rsid w:val="004E3EC5"/>
    <w:rsid w:val="004E3FC9"/>
    <w:rsid w:val="004E43B2"/>
    <w:rsid w:val="004E47D7"/>
    <w:rsid w:val="004E600C"/>
    <w:rsid w:val="004E68CB"/>
    <w:rsid w:val="004E6C29"/>
    <w:rsid w:val="004E6F44"/>
    <w:rsid w:val="004E6F67"/>
    <w:rsid w:val="004F06E0"/>
    <w:rsid w:val="004F1D02"/>
    <w:rsid w:val="004F2679"/>
    <w:rsid w:val="004F2F21"/>
    <w:rsid w:val="004F3594"/>
    <w:rsid w:val="004F3CA7"/>
    <w:rsid w:val="004F3DE5"/>
    <w:rsid w:val="004F41B8"/>
    <w:rsid w:val="004F428A"/>
    <w:rsid w:val="004F57C7"/>
    <w:rsid w:val="004F61A8"/>
    <w:rsid w:val="004F6516"/>
    <w:rsid w:val="004F688B"/>
    <w:rsid w:val="004F6913"/>
    <w:rsid w:val="004F7865"/>
    <w:rsid w:val="00500D0D"/>
    <w:rsid w:val="00501729"/>
    <w:rsid w:val="0050174E"/>
    <w:rsid w:val="00501854"/>
    <w:rsid w:val="0050219B"/>
    <w:rsid w:val="005031B1"/>
    <w:rsid w:val="005033A4"/>
    <w:rsid w:val="0050366E"/>
    <w:rsid w:val="00503709"/>
    <w:rsid w:val="00503F17"/>
    <w:rsid w:val="00503F3A"/>
    <w:rsid w:val="0050480E"/>
    <w:rsid w:val="0050539C"/>
    <w:rsid w:val="00505C74"/>
    <w:rsid w:val="005066E7"/>
    <w:rsid w:val="00506928"/>
    <w:rsid w:val="00506F6B"/>
    <w:rsid w:val="005077EF"/>
    <w:rsid w:val="00510699"/>
    <w:rsid w:val="00511AD5"/>
    <w:rsid w:val="00511D95"/>
    <w:rsid w:val="00511DC7"/>
    <w:rsid w:val="00513E1A"/>
    <w:rsid w:val="00513F89"/>
    <w:rsid w:val="005142C5"/>
    <w:rsid w:val="00514519"/>
    <w:rsid w:val="00514AEE"/>
    <w:rsid w:val="0051501B"/>
    <w:rsid w:val="005152B5"/>
    <w:rsid w:val="00515886"/>
    <w:rsid w:val="00515A95"/>
    <w:rsid w:val="005174A3"/>
    <w:rsid w:val="0052123C"/>
    <w:rsid w:val="00521319"/>
    <w:rsid w:val="00522BC8"/>
    <w:rsid w:val="005235BB"/>
    <w:rsid w:val="00523C28"/>
    <w:rsid w:val="00524447"/>
    <w:rsid w:val="00524C54"/>
    <w:rsid w:val="00524E67"/>
    <w:rsid w:val="0052530D"/>
    <w:rsid w:val="0053176B"/>
    <w:rsid w:val="00531E08"/>
    <w:rsid w:val="005322EA"/>
    <w:rsid w:val="00532699"/>
    <w:rsid w:val="0053292D"/>
    <w:rsid w:val="00532C20"/>
    <w:rsid w:val="0053373B"/>
    <w:rsid w:val="005341B3"/>
    <w:rsid w:val="00536276"/>
    <w:rsid w:val="0053643E"/>
    <w:rsid w:val="00536A6B"/>
    <w:rsid w:val="00536F42"/>
    <w:rsid w:val="00536F73"/>
    <w:rsid w:val="00536F9F"/>
    <w:rsid w:val="00537182"/>
    <w:rsid w:val="005408D4"/>
    <w:rsid w:val="00540946"/>
    <w:rsid w:val="00540948"/>
    <w:rsid w:val="005410E3"/>
    <w:rsid w:val="00541EDD"/>
    <w:rsid w:val="005422BB"/>
    <w:rsid w:val="00542743"/>
    <w:rsid w:val="0054293B"/>
    <w:rsid w:val="00542C2D"/>
    <w:rsid w:val="00544309"/>
    <w:rsid w:val="005446C3"/>
    <w:rsid w:val="005453AD"/>
    <w:rsid w:val="00545445"/>
    <w:rsid w:val="0054546D"/>
    <w:rsid w:val="005468C1"/>
    <w:rsid w:val="00546C23"/>
    <w:rsid w:val="00546E1B"/>
    <w:rsid w:val="00546E95"/>
    <w:rsid w:val="00547364"/>
    <w:rsid w:val="005478BD"/>
    <w:rsid w:val="005479E3"/>
    <w:rsid w:val="005507C5"/>
    <w:rsid w:val="00551497"/>
    <w:rsid w:val="00551985"/>
    <w:rsid w:val="00551C35"/>
    <w:rsid w:val="00551FB9"/>
    <w:rsid w:val="00552BD3"/>
    <w:rsid w:val="005532A0"/>
    <w:rsid w:val="005533A5"/>
    <w:rsid w:val="00553542"/>
    <w:rsid w:val="00555109"/>
    <w:rsid w:val="00555F3C"/>
    <w:rsid w:val="0055662E"/>
    <w:rsid w:val="005569FB"/>
    <w:rsid w:val="00556B35"/>
    <w:rsid w:val="0055741A"/>
    <w:rsid w:val="00560860"/>
    <w:rsid w:val="005611B7"/>
    <w:rsid w:val="0056120C"/>
    <w:rsid w:val="0056138F"/>
    <w:rsid w:val="00561776"/>
    <w:rsid w:val="00561832"/>
    <w:rsid w:val="005618D4"/>
    <w:rsid w:val="00562017"/>
    <w:rsid w:val="0056336B"/>
    <w:rsid w:val="00563395"/>
    <w:rsid w:val="005636E8"/>
    <w:rsid w:val="0056387E"/>
    <w:rsid w:val="00563A1C"/>
    <w:rsid w:val="00564867"/>
    <w:rsid w:val="0056493B"/>
    <w:rsid w:val="00564981"/>
    <w:rsid w:val="00564C53"/>
    <w:rsid w:val="00565C79"/>
    <w:rsid w:val="00565DF0"/>
    <w:rsid w:val="0056696F"/>
    <w:rsid w:val="00566B6C"/>
    <w:rsid w:val="00566BEA"/>
    <w:rsid w:val="0056746A"/>
    <w:rsid w:val="00567A83"/>
    <w:rsid w:val="00567F9D"/>
    <w:rsid w:val="005709B8"/>
    <w:rsid w:val="00570B87"/>
    <w:rsid w:val="00571A13"/>
    <w:rsid w:val="00572269"/>
    <w:rsid w:val="0057244A"/>
    <w:rsid w:val="00572843"/>
    <w:rsid w:val="00572F26"/>
    <w:rsid w:val="005731AB"/>
    <w:rsid w:val="005746BF"/>
    <w:rsid w:val="00574DC5"/>
    <w:rsid w:val="005750C5"/>
    <w:rsid w:val="00575217"/>
    <w:rsid w:val="005752DE"/>
    <w:rsid w:val="005757AC"/>
    <w:rsid w:val="00575D60"/>
    <w:rsid w:val="00575D8D"/>
    <w:rsid w:val="00575E7C"/>
    <w:rsid w:val="00576517"/>
    <w:rsid w:val="00576532"/>
    <w:rsid w:val="00576972"/>
    <w:rsid w:val="005770CD"/>
    <w:rsid w:val="00577248"/>
    <w:rsid w:val="0058054B"/>
    <w:rsid w:val="0058069F"/>
    <w:rsid w:val="00580880"/>
    <w:rsid w:val="00581B85"/>
    <w:rsid w:val="00583699"/>
    <w:rsid w:val="00583961"/>
    <w:rsid w:val="00583A94"/>
    <w:rsid w:val="00585CDD"/>
    <w:rsid w:val="00585F89"/>
    <w:rsid w:val="00587058"/>
    <w:rsid w:val="0058772D"/>
    <w:rsid w:val="00591205"/>
    <w:rsid w:val="00591957"/>
    <w:rsid w:val="00594158"/>
    <w:rsid w:val="005944F4"/>
    <w:rsid w:val="00595B02"/>
    <w:rsid w:val="00596A6B"/>
    <w:rsid w:val="0059799A"/>
    <w:rsid w:val="00597BF9"/>
    <w:rsid w:val="00597ECA"/>
    <w:rsid w:val="005A005A"/>
    <w:rsid w:val="005A0C11"/>
    <w:rsid w:val="005A1359"/>
    <w:rsid w:val="005A193A"/>
    <w:rsid w:val="005A252D"/>
    <w:rsid w:val="005A29C5"/>
    <w:rsid w:val="005A309A"/>
    <w:rsid w:val="005A33E6"/>
    <w:rsid w:val="005A373D"/>
    <w:rsid w:val="005A440C"/>
    <w:rsid w:val="005A459D"/>
    <w:rsid w:val="005A5664"/>
    <w:rsid w:val="005A5E0A"/>
    <w:rsid w:val="005A5E86"/>
    <w:rsid w:val="005A7B20"/>
    <w:rsid w:val="005A7F63"/>
    <w:rsid w:val="005B04B2"/>
    <w:rsid w:val="005B0ACC"/>
    <w:rsid w:val="005B0B58"/>
    <w:rsid w:val="005B1CBF"/>
    <w:rsid w:val="005B1ED6"/>
    <w:rsid w:val="005B27C1"/>
    <w:rsid w:val="005B440B"/>
    <w:rsid w:val="005B453E"/>
    <w:rsid w:val="005B4BC4"/>
    <w:rsid w:val="005B4C17"/>
    <w:rsid w:val="005B4E53"/>
    <w:rsid w:val="005B5857"/>
    <w:rsid w:val="005B5BE2"/>
    <w:rsid w:val="005B5D11"/>
    <w:rsid w:val="005B5E63"/>
    <w:rsid w:val="005B612F"/>
    <w:rsid w:val="005B6376"/>
    <w:rsid w:val="005B6626"/>
    <w:rsid w:val="005B7933"/>
    <w:rsid w:val="005C011E"/>
    <w:rsid w:val="005C19C4"/>
    <w:rsid w:val="005C1B83"/>
    <w:rsid w:val="005C25FF"/>
    <w:rsid w:val="005C2D55"/>
    <w:rsid w:val="005C346B"/>
    <w:rsid w:val="005C3700"/>
    <w:rsid w:val="005C3FD0"/>
    <w:rsid w:val="005C4FDB"/>
    <w:rsid w:val="005C5100"/>
    <w:rsid w:val="005C5649"/>
    <w:rsid w:val="005C5ABC"/>
    <w:rsid w:val="005C672C"/>
    <w:rsid w:val="005C70EC"/>
    <w:rsid w:val="005C71A2"/>
    <w:rsid w:val="005C7868"/>
    <w:rsid w:val="005D044D"/>
    <w:rsid w:val="005D0ABD"/>
    <w:rsid w:val="005D12B9"/>
    <w:rsid w:val="005D18AD"/>
    <w:rsid w:val="005D2402"/>
    <w:rsid w:val="005D26B4"/>
    <w:rsid w:val="005D364D"/>
    <w:rsid w:val="005D3EE3"/>
    <w:rsid w:val="005D4A35"/>
    <w:rsid w:val="005D55D7"/>
    <w:rsid w:val="005D5748"/>
    <w:rsid w:val="005D57F7"/>
    <w:rsid w:val="005D642F"/>
    <w:rsid w:val="005D67FA"/>
    <w:rsid w:val="005E0C9C"/>
    <w:rsid w:val="005E1995"/>
    <w:rsid w:val="005E1C7C"/>
    <w:rsid w:val="005E2349"/>
    <w:rsid w:val="005E4D4F"/>
    <w:rsid w:val="005E5872"/>
    <w:rsid w:val="005E6CBC"/>
    <w:rsid w:val="005E72FF"/>
    <w:rsid w:val="005E73C0"/>
    <w:rsid w:val="005E7EFB"/>
    <w:rsid w:val="005F026E"/>
    <w:rsid w:val="005F07ED"/>
    <w:rsid w:val="005F0FA7"/>
    <w:rsid w:val="005F12BD"/>
    <w:rsid w:val="005F1FF5"/>
    <w:rsid w:val="005F2706"/>
    <w:rsid w:val="005F3143"/>
    <w:rsid w:val="005F3423"/>
    <w:rsid w:val="005F3679"/>
    <w:rsid w:val="005F4412"/>
    <w:rsid w:val="005F4E71"/>
    <w:rsid w:val="005F5A4D"/>
    <w:rsid w:val="005F5A85"/>
    <w:rsid w:val="005F6A8F"/>
    <w:rsid w:val="005F6BB7"/>
    <w:rsid w:val="005F7588"/>
    <w:rsid w:val="00600B40"/>
    <w:rsid w:val="00603248"/>
    <w:rsid w:val="00603DB9"/>
    <w:rsid w:val="00605264"/>
    <w:rsid w:val="00606FBA"/>
    <w:rsid w:val="0060716B"/>
    <w:rsid w:val="006072AD"/>
    <w:rsid w:val="0060765A"/>
    <w:rsid w:val="00607669"/>
    <w:rsid w:val="006076F4"/>
    <w:rsid w:val="00607AFD"/>
    <w:rsid w:val="0061083B"/>
    <w:rsid w:val="00610CD4"/>
    <w:rsid w:val="00611B12"/>
    <w:rsid w:val="00612665"/>
    <w:rsid w:val="00612F97"/>
    <w:rsid w:val="0061345D"/>
    <w:rsid w:val="0061503F"/>
    <w:rsid w:val="0061537C"/>
    <w:rsid w:val="0061549B"/>
    <w:rsid w:val="00615B30"/>
    <w:rsid w:val="006160D4"/>
    <w:rsid w:val="00616674"/>
    <w:rsid w:val="00616802"/>
    <w:rsid w:val="0061704A"/>
    <w:rsid w:val="00617672"/>
    <w:rsid w:val="00617E12"/>
    <w:rsid w:val="00617EB1"/>
    <w:rsid w:val="00617EFB"/>
    <w:rsid w:val="00620592"/>
    <w:rsid w:val="006208E5"/>
    <w:rsid w:val="00620B34"/>
    <w:rsid w:val="00620C25"/>
    <w:rsid w:val="00620D3E"/>
    <w:rsid w:val="00620FE7"/>
    <w:rsid w:val="00621477"/>
    <w:rsid w:val="00621755"/>
    <w:rsid w:val="00621ADA"/>
    <w:rsid w:val="00621FCE"/>
    <w:rsid w:val="006222D3"/>
    <w:rsid w:val="00622DB7"/>
    <w:rsid w:val="00623D20"/>
    <w:rsid w:val="00623F7B"/>
    <w:rsid w:val="00624925"/>
    <w:rsid w:val="00624BD4"/>
    <w:rsid w:val="00624D3B"/>
    <w:rsid w:val="00625169"/>
    <w:rsid w:val="00625FF6"/>
    <w:rsid w:val="006266EF"/>
    <w:rsid w:val="00627B27"/>
    <w:rsid w:val="0063011B"/>
    <w:rsid w:val="00630711"/>
    <w:rsid w:val="00630F0A"/>
    <w:rsid w:val="00631014"/>
    <w:rsid w:val="006313DE"/>
    <w:rsid w:val="0063158F"/>
    <w:rsid w:val="00631D6B"/>
    <w:rsid w:val="00632183"/>
    <w:rsid w:val="00632CA2"/>
    <w:rsid w:val="00632EA5"/>
    <w:rsid w:val="006330A1"/>
    <w:rsid w:val="00633441"/>
    <w:rsid w:val="00633F2B"/>
    <w:rsid w:val="0063479F"/>
    <w:rsid w:val="00634DB3"/>
    <w:rsid w:val="006353F0"/>
    <w:rsid w:val="006357B5"/>
    <w:rsid w:val="00635D8C"/>
    <w:rsid w:val="00635DEA"/>
    <w:rsid w:val="00636292"/>
    <w:rsid w:val="006364A1"/>
    <w:rsid w:val="006365C7"/>
    <w:rsid w:val="00636758"/>
    <w:rsid w:val="0063678E"/>
    <w:rsid w:val="006369B1"/>
    <w:rsid w:val="00636A1E"/>
    <w:rsid w:val="00636D72"/>
    <w:rsid w:val="00636E5D"/>
    <w:rsid w:val="0063707D"/>
    <w:rsid w:val="00637187"/>
    <w:rsid w:val="006378BF"/>
    <w:rsid w:val="00637BFD"/>
    <w:rsid w:val="00637C5C"/>
    <w:rsid w:val="00637FD5"/>
    <w:rsid w:val="00640148"/>
    <w:rsid w:val="0064028D"/>
    <w:rsid w:val="00640639"/>
    <w:rsid w:val="00640984"/>
    <w:rsid w:val="00641828"/>
    <w:rsid w:val="00641990"/>
    <w:rsid w:val="00641C4E"/>
    <w:rsid w:val="00641FB3"/>
    <w:rsid w:val="006422D2"/>
    <w:rsid w:val="00643750"/>
    <w:rsid w:val="0064434C"/>
    <w:rsid w:val="00644B55"/>
    <w:rsid w:val="00645E5D"/>
    <w:rsid w:val="006471CC"/>
    <w:rsid w:val="006472FE"/>
    <w:rsid w:val="00647879"/>
    <w:rsid w:val="006479B7"/>
    <w:rsid w:val="00647A29"/>
    <w:rsid w:val="00647B30"/>
    <w:rsid w:val="00647C62"/>
    <w:rsid w:val="006501FA"/>
    <w:rsid w:val="00650281"/>
    <w:rsid w:val="0065079F"/>
    <w:rsid w:val="0065084A"/>
    <w:rsid w:val="00650B6A"/>
    <w:rsid w:val="00652A28"/>
    <w:rsid w:val="0065379F"/>
    <w:rsid w:val="00653AB8"/>
    <w:rsid w:val="00653AEB"/>
    <w:rsid w:val="006548FC"/>
    <w:rsid w:val="00655D45"/>
    <w:rsid w:val="00656188"/>
    <w:rsid w:val="00656254"/>
    <w:rsid w:val="00656460"/>
    <w:rsid w:val="0065715A"/>
    <w:rsid w:val="00660B33"/>
    <w:rsid w:val="006610F1"/>
    <w:rsid w:val="00661A68"/>
    <w:rsid w:val="00661C6B"/>
    <w:rsid w:val="00662D3E"/>
    <w:rsid w:val="00662E67"/>
    <w:rsid w:val="00663045"/>
    <w:rsid w:val="006647FE"/>
    <w:rsid w:val="006660BA"/>
    <w:rsid w:val="006662E2"/>
    <w:rsid w:val="00666A2B"/>
    <w:rsid w:val="00667BE3"/>
    <w:rsid w:val="00670200"/>
    <w:rsid w:val="006703F6"/>
    <w:rsid w:val="0067041E"/>
    <w:rsid w:val="00670713"/>
    <w:rsid w:val="00671004"/>
    <w:rsid w:val="0067173B"/>
    <w:rsid w:val="00671871"/>
    <w:rsid w:val="00671FF4"/>
    <w:rsid w:val="00672646"/>
    <w:rsid w:val="006727B3"/>
    <w:rsid w:val="006730A4"/>
    <w:rsid w:val="0067311F"/>
    <w:rsid w:val="006731DC"/>
    <w:rsid w:val="006738E6"/>
    <w:rsid w:val="00673DD7"/>
    <w:rsid w:val="00674119"/>
    <w:rsid w:val="00674611"/>
    <w:rsid w:val="00674AAA"/>
    <w:rsid w:val="00674E42"/>
    <w:rsid w:val="00675699"/>
    <w:rsid w:val="006757F0"/>
    <w:rsid w:val="00675B85"/>
    <w:rsid w:val="006760B6"/>
    <w:rsid w:val="00676563"/>
    <w:rsid w:val="006766B9"/>
    <w:rsid w:val="0067685D"/>
    <w:rsid w:val="00676B40"/>
    <w:rsid w:val="006770B9"/>
    <w:rsid w:val="00677474"/>
    <w:rsid w:val="0067760D"/>
    <w:rsid w:val="00677A6F"/>
    <w:rsid w:val="006813F8"/>
    <w:rsid w:val="00681D5F"/>
    <w:rsid w:val="00682112"/>
    <w:rsid w:val="0068221D"/>
    <w:rsid w:val="00682BA6"/>
    <w:rsid w:val="00682BDB"/>
    <w:rsid w:val="00683140"/>
    <w:rsid w:val="00683798"/>
    <w:rsid w:val="00685A2C"/>
    <w:rsid w:val="00685DBA"/>
    <w:rsid w:val="00686957"/>
    <w:rsid w:val="00686C28"/>
    <w:rsid w:val="00686DDB"/>
    <w:rsid w:val="006872BA"/>
    <w:rsid w:val="00690795"/>
    <w:rsid w:val="00690EC4"/>
    <w:rsid w:val="006912A6"/>
    <w:rsid w:val="00691305"/>
    <w:rsid w:val="00691648"/>
    <w:rsid w:val="006917D7"/>
    <w:rsid w:val="00691B58"/>
    <w:rsid w:val="00691BA3"/>
    <w:rsid w:val="0069363E"/>
    <w:rsid w:val="006941F6"/>
    <w:rsid w:val="0069434C"/>
    <w:rsid w:val="00694F44"/>
    <w:rsid w:val="00695578"/>
    <w:rsid w:val="00695636"/>
    <w:rsid w:val="00695840"/>
    <w:rsid w:val="006960C2"/>
    <w:rsid w:val="00696EF9"/>
    <w:rsid w:val="00696F51"/>
    <w:rsid w:val="006979A5"/>
    <w:rsid w:val="006A016F"/>
    <w:rsid w:val="006A0DF7"/>
    <w:rsid w:val="006A20C9"/>
    <w:rsid w:val="006A3350"/>
    <w:rsid w:val="006A3799"/>
    <w:rsid w:val="006A37FC"/>
    <w:rsid w:val="006A3E20"/>
    <w:rsid w:val="006A426B"/>
    <w:rsid w:val="006A4321"/>
    <w:rsid w:val="006A43D9"/>
    <w:rsid w:val="006A45AF"/>
    <w:rsid w:val="006A4780"/>
    <w:rsid w:val="006A4856"/>
    <w:rsid w:val="006A5B4C"/>
    <w:rsid w:val="006A6911"/>
    <w:rsid w:val="006A6B99"/>
    <w:rsid w:val="006A785E"/>
    <w:rsid w:val="006A7E5F"/>
    <w:rsid w:val="006A7EF9"/>
    <w:rsid w:val="006B0149"/>
    <w:rsid w:val="006B08E0"/>
    <w:rsid w:val="006B0E90"/>
    <w:rsid w:val="006B1632"/>
    <w:rsid w:val="006B261B"/>
    <w:rsid w:val="006B2C90"/>
    <w:rsid w:val="006B2F8D"/>
    <w:rsid w:val="006B3273"/>
    <w:rsid w:val="006B35E6"/>
    <w:rsid w:val="006B3B72"/>
    <w:rsid w:val="006B42BB"/>
    <w:rsid w:val="006B44C0"/>
    <w:rsid w:val="006B465A"/>
    <w:rsid w:val="006B4FCE"/>
    <w:rsid w:val="006B54DF"/>
    <w:rsid w:val="006B607D"/>
    <w:rsid w:val="006B6799"/>
    <w:rsid w:val="006B6DD0"/>
    <w:rsid w:val="006B71E4"/>
    <w:rsid w:val="006B7B07"/>
    <w:rsid w:val="006C0399"/>
    <w:rsid w:val="006C0793"/>
    <w:rsid w:val="006C088B"/>
    <w:rsid w:val="006C16F3"/>
    <w:rsid w:val="006C231E"/>
    <w:rsid w:val="006C2915"/>
    <w:rsid w:val="006C2A8E"/>
    <w:rsid w:val="006C3255"/>
    <w:rsid w:val="006C360E"/>
    <w:rsid w:val="006C36DE"/>
    <w:rsid w:val="006C3F26"/>
    <w:rsid w:val="006C406B"/>
    <w:rsid w:val="006C487C"/>
    <w:rsid w:val="006D04C8"/>
    <w:rsid w:val="006D0C51"/>
    <w:rsid w:val="006D0D17"/>
    <w:rsid w:val="006D0DFA"/>
    <w:rsid w:val="006D15AF"/>
    <w:rsid w:val="006D3786"/>
    <w:rsid w:val="006D384E"/>
    <w:rsid w:val="006D3C7D"/>
    <w:rsid w:val="006D41C5"/>
    <w:rsid w:val="006D446A"/>
    <w:rsid w:val="006D4526"/>
    <w:rsid w:val="006D4659"/>
    <w:rsid w:val="006D4EE4"/>
    <w:rsid w:val="006D5ADB"/>
    <w:rsid w:val="006D5D5F"/>
    <w:rsid w:val="006D5FAA"/>
    <w:rsid w:val="006D6195"/>
    <w:rsid w:val="006D6570"/>
    <w:rsid w:val="006D68FB"/>
    <w:rsid w:val="006D6C26"/>
    <w:rsid w:val="006D6C48"/>
    <w:rsid w:val="006D6E67"/>
    <w:rsid w:val="006D750C"/>
    <w:rsid w:val="006D7861"/>
    <w:rsid w:val="006D7EDB"/>
    <w:rsid w:val="006E0083"/>
    <w:rsid w:val="006E0CF6"/>
    <w:rsid w:val="006E1E04"/>
    <w:rsid w:val="006E246D"/>
    <w:rsid w:val="006E2868"/>
    <w:rsid w:val="006E2965"/>
    <w:rsid w:val="006E2E2F"/>
    <w:rsid w:val="006E337A"/>
    <w:rsid w:val="006E33A8"/>
    <w:rsid w:val="006E3AC2"/>
    <w:rsid w:val="006E3AC5"/>
    <w:rsid w:val="006E3C0E"/>
    <w:rsid w:val="006E4608"/>
    <w:rsid w:val="006E491C"/>
    <w:rsid w:val="006E4B42"/>
    <w:rsid w:val="006E4CEA"/>
    <w:rsid w:val="006E516E"/>
    <w:rsid w:val="006E5426"/>
    <w:rsid w:val="006E721C"/>
    <w:rsid w:val="006E76B7"/>
    <w:rsid w:val="006F0267"/>
    <w:rsid w:val="006F0EB6"/>
    <w:rsid w:val="006F0FE4"/>
    <w:rsid w:val="006F1759"/>
    <w:rsid w:val="006F2EFA"/>
    <w:rsid w:val="006F2F38"/>
    <w:rsid w:val="006F306C"/>
    <w:rsid w:val="006F34C8"/>
    <w:rsid w:val="006F3F74"/>
    <w:rsid w:val="006F4161"/>
    <w:rsid w:val="006F53C2"/>
    <w:rsid w:val="006F62E3"/>
    <w:rsid w:val="006F63A5"/>
    <w:rsid w:val="006F6B2F"/>
    <w:rsid w:val="006F6EB6"/>
    <w:rsid w:val="006F7B0A"/>
    <w:rsid w:val="0070142B"/>
    <w:rsid w:val="0070144F"/>
    <w:rsid w:val="0070276E"/>
    <w:rsid w:val="00702D1C"/>
    <w:rsid w:val="00702F8F"/>
    <w:rsid w:val="00703E23"/>
    <w:rsid w:val="00703F08"/>
    <w:rsid w:val="0070493C"/>
    <w:rsid w:val="00706049"/>
    <w:rsid w:val="00706E85"/>
    <w:rsid w:val="007079FC"/>
    <w:rsid w:val="0071059D"/>
    <w:rsid w:val="00710925"/>
    <w:rsid w:val="00710C7B"/>
    <w:rsid w:val="00711A36"/>
    <w:rsid w:val="00712194"/>
    <w:rsid w:val="00712402"/>
    <w:rsid w:val="007125D3"/>
    <w:rsid w:val="007125E0"/>
    <w:rsid w:val="00713188"/>
    <w:rsid w:val="00714C26"/>
    <w:rsid w:val="00715043"/>
    <w:rsid w:val="0071529C"/>
    <w:rsid w:val="007161B3"/>
    <w:rsid w:val="0071625D"/>
    <w:rsid w:val="007162CB"/>
    <w:rsid w:val="00716DA6"/>
    <w:rsid w:val="007170DA"/>
    <w:rsid w:val="00717286"/>
    <w:rsid w:val="007172AD"/>
    <w:rsid w:val="00717546"/>
    <w:rsid w:val="00720801"/>
    <w:rsid w:val="00720833"/>
    <w:rsid w:val="00720FBC"/>
    <w:rsid w:val="007210C6"/>
    <w:rsid w:val="007214C3"/>
    <w:rsid w:val="007215AC"/>
    <w:rsid w:val="00721CE1"/>
    <w:rsid w:val="00721EA3"/>
    <w:rsid w:val="00722016"/>
    <w:rsid w:val="007221F8"/>
    <w:rsid w:val="007225EC"/>
    <w:rsid w:val="00722B1B"/>
    <w:rsid w:val="00722C32"/>
    <w:rsid w:val="00723D71"/>
    <w:rsid w:val="00723EBE"/>
    <w:rsid w:val="0072416F"/>
    <w:rsid w:val="00724BC0"/>
    <w:rsid w:val="00725320"/>
    <w:rsid w:val="0072574C"/>
    <w:rsid w:val="00725B01"/>
    <w:rsid w:val="007266AD"/>
    <w:rsid w:val="00726FCC"/>
    <w:rsid w:val="007277AA"/>
    <w:rsid w:val="007278AD"/>
    <w:rsid w:val="00727C94"/>
    <w:rsid w:val="00727E47"/>
    <w:rsid w:val="007306AF"/>
    <w:rsid w:val="007307AD"/>
    <w:rsid w:val="00731B0A"/>
    <w:rsid w:val="00731BCB"/>
    <w:rsid w:val="00731CE6"/>
    <w:rsid w:val="00731EAE"/>
    <w:rsid w:val="00733073"/>
    <w:rsid w:val="00735033"/>
    <w:rsid w:val="007350DD"/>
    <w:rsid w:val="0073520E"/>
    <w:rsid w:val="00735328"/>
    <w:rsid w:val="0073685B"/>
    <w:rsid w:val="007369F9"/>
    <w:rsid w:val="007376B8"/>
    <w:rsid w:val="00737A91"/>
    <w:rsid w:val="00737D02"/>
    <w:rsid w:val="00737DB5"/>
    <w:rsid w:val="007411B4"/>
    <w:rsid w:val="007411BB"/>
    <w:rsid w:val="0074148D"/>
    <w:rsid w:val="007421E2"/>
    <w:rsid w:val="00742443"/>
    <w:rsid w:val="007449BF"/>
    <w:rsid w:val="0074509F"/>
    <w:rsid w:val="007455F3"/>
    <w:rsid w:val="007463FE"/>
    <w:rsid w:val="00746655"/>
    <w:rsid w:val="00746BC0"/>
    <w:rsid w:val="0074718C"/>
    <w:rsid w:val="007500B6"/>
    <w:rsid w:val="007507FB"/>
    <w:rsid w:val="00750E4C"/>
    <w:rsid w:val="00750F37"/>
    <w:rsid w:val="007510B4"/>
    <w:rsid w:val="0075179E"/>
    <w:rsid w:val="00751A90"/>
    <w:rsid w:val="00752142"/>
    <w:rsid w:val="007523F9"/>
    <w:rsid w:val="00752507"/>
    <w:rsid w:val="00752910"/>
    <w:rsid w:val="00752B95"/>
    <w:rsid w:val="0075357E"/>
    <w:rsid w:val="00753644"/>
    <w:rsid w:val="00753B29"/>
    <w:rsid w:val="007543F7"/>
    <w:rsid w:val="00754609"/>
    <w:rsid w:val="007566A5"/>
    <w:rsid w:val="007568BC"/>
    <w:rsid w:val="00756C90"/>
    <w:rsid w:val="007573E8"/>
    <w:rsid w:val="00757F92"/>
    <w:rsid w:val="00760C4E"/>
    <w:rsid w:val="00760F9E"/>
    <w:rsid w:val="00761495"/>
    <w:rsid w:val="007616E6"/>
    <w:rsid w:val="00761788"/>
    <w:rsid w:val="007627BE"/>
    <w:rsid w:val="007629D2"/>
    <w:rsid w:val="00762CBC"/>
    <w:rsid w:val="0076345B"/>
    <w:rsid w:val="0076492A"/>
    <w:rsid w:val="00764F03"/>
    <w:rsid w:val="00765406"/>
    <w:rsid w:val="007655AC"/>
    <w:rsid w:val="00765B1A"/>
    <w:rsid w:val="00765DC1"/>
    <w:rsid w:val="0076604A"/>
    <w:rsid w:val="0076696C"/>
    <w:rsid w:val="00770CA5"/>
    <w:rsid w:val="00771B0B"/>
    <w:rsid w:val="0077268E"/>
    <w:rsid w:val="00772D7B"/>
    <w:rsid w:val="007748D6"/>
    <w:rsid w:val="007768B1"/>
    <w:rsid w:val="00776C6D"/>
    <w:rsid w:val="0077705A"/>
    <w:rsid w:val="00777335"/>
    <w:rsid w:val="00777F18"/>
    <w:rsid w:val="0078301A"/>
    <w:rsid w:val="00783CA4"/>
    <w:rsid w:val="007843F2"/>
    <w:rsid w:val="00784449"/>
    <w:rsid w:val="00784568"/>
    <w:rsid w:val="007845BD"/>
    <w:rsid w:val="007846FA"/>
    <w:rsid w:val="007849F0"/>
    <w:rsid w:val="00784DDC"/>
    <w:rsid w:val="007854B4"/>
    <w:rsid w:val="00785A9F"/>
    <w:rsid w:val="00786738"/>
    <w:rsid w:val="00786BC9"/>
    <w:rsid w:val="007873B0"/>
    <w:rsid w:val="0078757E"/>
    <w:rsid w:val="00790675"/>
    <w:rsid w:val="007906A9"/>
    <w:rsid w:val="007916F7"/>
    <w:rsid w:val="007924B0"/>
    <w:rsid w:val="007925DF"/>
    <w:rsid w:val="00792699"/>
    <w:rsid w:val="00792773"/>
    <w:rsid w:val="00792A28"/>
    <w:rsid w:val="00793535"/>
    <w:rsid w:val="0079426A"/>
    <w:rsid w:val="00794378"/>
    <w:rsid w:val="00794A19"/>
    <w:rsid w:val="00795A7E"/>
    <w:rsid w:val="0079607F"/>
    <w:rsid w:val="00797B6D"/>
    <w:rsid w:val="00797C9C"/>
    <w:rsid w:val="00797E08"/>
    <w:rsid w:val="007A03BD"/>
    <w:rsid w:val="007A08AA"/>
    <w:rsid w:val="007A0A12"/>
    <w:rsid w:val="007A0A2D"/>
    <w:rsid w:val="007A10F0"/>
    <w:rsid w:val="007A132D"/>
    <w:rsid w:val="007A1345"/>
    <w:rsid w:val="007A1926"/>
    <w:rsid w:val="007A2109"/>
    <w:rsid w:val="007A2DDB"/>
    <w:rsid w:val="007A327E"/>
    <w:rsid w:val="007A3F59"/>
    <w:rsid w:val="007A5868"/>
    <w:rsid w:val="007A5A0B"/>
    <w:rsid w:val="007A65B6"/>
    <w:rsid w:val="007A6F63"/>
    <w:rsid w:val="007A70BA"/>
    <w:rsid w:val="007A7A76"/>
    <w:rsid w:val="007A7DCA"/>
    <w:rsid w:val="007B04A5"/>
    <w:rsid w:val="007B0D68"/>
    <w:rsid w:val="007B1999"/>
    <w:rsid w:val="007B1B3B"/>
    <w:rsid w:val="007B204F"/>
    <w:rsid w:val="007B251D"/>
    <w:rsid w:val="007B2F41"/>
    <w:rsid w:val="007B320E"/>
    <w:rsid w:val="007B332C"/>
    <w:rsid w:val="007B3533"/>
    <w:rsid w:val="007B36EA"/>
    <w:rsid w:val="007B393D"/>
    <w:rsid w:val="007B39D8"/>
    <w:rsid w:val="007B3B7B"/>
    <w:rsid w:val="007B3BBD"/>
    <w:rsid w:val="007B3C15"/>
    <w:rsid w:val="007B43E0"/>
    <w:rsid w:val="007B4DD3"/>
    <w:rsid w:val="007B4F58"/>
    <w:rsid w:val="007B528D"/>
    <w:rsid w:val="007B5726"/>
    <w:rsid w:val="007B601B"/>
    <w:rsid w:val="007B63CA"/>
    <w:rsid w:val="007B6DAB"/>
    <w:rsid w:val="007B7765"/>
    <w:rsid w:val="007B77D1"/>
    <w:rsid w:val="007B7BF4"/>
    <w:rsid w:val="007C0705"/>
    <w:rsid w:val="007C07C7"/>
    <w:rsid w:val="007C10D4"/>
    <w:rsid w:val="007C1CD9"/>
    <w:rsid w:val="007C32EF"/>
    <w:rsid w:val="007C361D"/>
    <w:rsid w:val="007C38F7"/>
    <w:rsid w:val="007C3C36"/>
    <w:rsid w:val="007C3D06"/>
    <w:rsid w:val="007C41EE"/>
    <w:rsid w:val="007C4425"/>
    <w:rsid w:val="007C4B84"/>
    <w:rsid w:val="007C4F4A"/>
    <w:rsid w:val="007C5758"/>
    <w:rsid w:val="007C57E9"/>
    <w:rsid w:val="007C65F1"/>
    <w:rsid w:val="007C6DAD"/>
    <w:rsid w:val="007C70FF"/>
    <w:rsid w:val="007C715E"/>
    <w:rsid w:val="007C785D"/>
    <w:rsid w:val="007C7C25"/>
    <w:rsid w:val="007D004F"/>
    <w:rsid w:val="007D035F"/>
    <w:rsid w:val="007D06B2"/>
    <w:rsid w:val="007D0B38"/>
    <w:rsid w:val="007D1133"/>
    <w:rsid w:val="007D22F7"/>
    <w:rsid w:val="007D250A"/>
    <w:rsid w:val="007D3B31"/>
    <w:rsid w:val="007D4C16"/>
    <w:rsid w:val="007D4E03"/>
    <w:rsid w:val="007D4E75"/>
    <w:rsid w:val="007D5440"/>
    <w:rsid w:val="007D69EB"/>
    <w:rsid w:val="007D73AF"/>
    <w:rsid w:val="007D7CBB"/>
    <w:rsid w:val="007E098E"/>
    <w:rsid w:val="007E0EFE"/>
    <w:rsid w:val="007E128F"/>
    <w:rsid w:val="007E1B99"/>
    <w:rsid w:val="007E29A0"/>
    <w:rsid w:val="007E3BF3"/>
    <w:rsid w:val="007E3FCF"/>
    <w:rsid w:val="007E40F5"/>
    <w:rsid w:val="007E4D78"/>
    <w:rsid w:val="007E5A1C"/>
    <w:rsid w:val="007E5CCE"/>
    <w:rsid w:val="007E6175"/>
    <w:rsid w:val="007E62D6"/>
    <w:rsid w:val="007E6E5B"/>
    <w:rsid w:val="007F00BE"/>
    <w:rsid w:val="007F0D19"/>
    <w:rsid w:val="007F1017"/>
    <w:rsid w:val="007F1167"/>
    <w:rsid w:val="007F19C1"/>
    <w:rsid w:val="007F19D0"/>
    <w:rsid w:val="007F1EBA"/>
    <w:rsid w:val="007F1FD1"/>
    <w:rsid w:val="007F444E"/>
    <w:rsid w:val="007F45C2"/>
    <w:rsid w:val="007F4A3F"/>
    <w:rsid w:val="007F4A61"/>
    <w:rsid w:val="007F4D2B"/>
    <w:rsid w:val="007F5255"/>
    <w:rsid w:val="007F56CC"/>
    <w:rsid w:val="007F60C8"/>
    <w:rsid w:val="007F61C2"/>
    <w:rsid w:val="007F64A7"/>
    <w:rsid w:val="007F6E2C"/>
    <w:rsid w:val="007F6FBD"/>
    <w:rsid w:val="008003DF"/>
    <w:rsid w:val="00800613"/>
    <w:rsid w:val="00801D55"/>
    <w:rsid w:val="00802AB7"/>
    <w:rsid w:val="00803349"/>
    <w:rsid w:val="008037F3"/>
    <w:rsid w:val="00803C96"/>
    <w:rsid w:val="0080492F"/>
    <w:rsid w:val="00804A75"/>
    <w:rsid w:val="00805142"/>
    <w:rsid w:val="00805FCE"/>
    <w:rsid w:val="00807020"/>
    <w:rsid w:val="0080713A"/>
    <w:rsid w:val="00807A8B"/>
    <w:rsid w:val="00807BB5"/>
    <w:rsid w:val="00810724"/>
    <w:rsid w:val="00811383"/>
    <w:rsid w:val="00811CC7"/>
    <w:rsid w:val="00812149"/>
    <w:rsid w:val="008124E8"/>
    <w:rsid w:val="0081257C"/>
    <w:rsid w:val="00812CAC"/>
    <w:rsid w:val="00812CB3"/>
    <w:rsid w:val="008140E1"/>
    <w:rsid w:val="00815276"/>
    <w:rsid w:val="00815351"/>
    <w:rsid w:val="008155A1"/>
    <w:rsid w:val="0081564B"/>
    <w:rsid w:val="008158FE"/>
    <w:rsid w:val="00816291"/>
    <w:rsid w:val="00816361"/>
    <w:rsid w:val="00816445"/>
    <w:rsid w:val="008166EF"/>
    <w:rsid w:val="00816FEF"/>
    <w:rsid w:val="00817722"/>
    <w:rsid w:val="00817E48"/>
    <w:rsid w:val="00820A8C"/>
    <w:rsid w:val="0082121A"/>
    <w:rsid w:val="00821279"/>
    <w:rsid w:val="00821516"/>
    <w:rsid w:val="0082152D"/>
    <w:rsid w:val="008215FB"/>
    <w:rsid w:val="00821847"/>
    <w:rsid w:val="008220CC"/>
    <w:rsid w:val="00823174"/>
    <w:rsid w:val="0082324E"/>
    <w:rsid w:val="00823F05"/>
    <w:rsid w:val="0082470E"/>
    <w:rsid w:val="00824B8A"/>
    <w:rsid w:val="00825622"/>
    <w:rsid w:val="00825751"/>
    <w:rsid w:val="008261E3"/>
    <w:rsid w:val="008264EB"/>
    <w:rsid w:val="008268CE"/>
    <w:rsid w:val="00827800"/>
    <w:rsid w:val="00827925"/>
    <w:rsid w:val="00827A2C"/>
    <w:rsid w:val="00827C23"/>
    <w:rsid w:val="00830131"/>
    <w:rsid w:val="00830571"/>
    <w:rsid w:val="00831BD3"/>
    <w:rsid w:val="00832017"/>
    <w:rsid w:val="008332B0"/>
    <w:rsid w:val="0083377E"/>
    <w:rsid w:val="00833B05"/>
    <w:rsid w:val="00833B5B"/>
    <w:rsid w:val="00833C13"/>
    <w:rsid w:val="0083467C"/>
    <w:rsid w:val="00834E7C"/>
    <w:rsid w:val="008358A1"/>
    <w:rsid w:val="008362B4"/>
    <w:rsid w:val="008363AF"/>
    <w:rsid w:val="00837930"/>
    <w:rsid w:val="00837AA1"/>
    <w:rsid w:val="00840CA2"/>
    <w:rsid w:val="008411FA"/>
    <w:rsid w:val="0084374F"/>
    <w:rsid w:val="00844A22"/>
    <w:rsid w:val="0084679A"/>
    <w:rsid w:val="008468CF"/>
    <w:rsid w:val="00846C29"/>
    <w:rsid w:val="0084755E"/>
    <w:rsid w:val="00847703"/>
    <w:rsid w:val="0084784A"/>
    <w:rsid w:val="00847B79"/>
    <w:rsid w:val="00847BBA"/>
    <w:rsid w:val="00847DF5"/>
    <w:rsid w:val="00850C37"/>
    <w:rsid w:val="0085153F"/>
    <w:rsid w:val="0085309D"/>
    <w:rsid w:val="0085314B"/>
    <w:rsid w:val="00854AD2"/>
    <w:rsid w:val="008555BF"/>
    <w:rsid w:val="00855D07"/>
    <w:rsid w:val="008565B8"/>
    <w:rsid w:val="00856897"/>
    <w:rsid w:val="0085699B"/>
    <w:rsid w:val="00856E9A"/>
    <w:rsid w:val="00856EC4"/>
    <w:rsid w:val="0086075D"/>
    <w:rsid w:val="0086091E"/>
    <w:rsid w:val="00862502"/>
    <w:rsid w:val="0086286E"/>
    <w:rsid w:val="00862CC1"/>
    <w:rsid w:val="00863C92"/>
    <w:rsid w:val="008642A7"/>
    <w:rsid w:val="008645C9"/>
    <w:rsid w:val="008650A0"/>
    <w:rsid w:val="00865559"/>
    <w:rsid w:val="0086572D"/>
    <w:rsid w:val="00865965"/>
    <w:rsid w:val="008660D4"/>
    <w:rsid w:val="00867277"/>
    <w:rsid w:val="00871244"/>
    <w:rsid w:val="00871645"/>
    <w:rsid w:val="00871FA9"/>
    <w:rsid w:val="008728E9"/>
    <w:rsid w:val="008748ED"/>
    <w:rsid w:val="00876EDE"/>
    <w:rsid w:val="00877681"/>
    <w:rsid w:val="008804A6"/>
    <w:rsid w:val="00880596"/>
    <w:rsid w:val="008817EF"/>
    <w:rsid w:val="00881CB2"/>
    <w:rsid w:val="00882048"/>
    <w:rsid w:val="00882874"/>
    <w:rsid w:val="00882D4A"/>
    <w:rsid w:val="00882E3C"/>
    <w:rsid w:val="0088308A"/>
    <w:rsid w:val="00883787"/>
    <w:rsid w:val="00883844"/>
    <w:rsid w:val="00884522"/>
    <w:rsid w:val="00884FC1"/>
    <w:rsid w:val="008855E4"/>
    <w:rsid w:val="0088561E"/>
    <w:rsid w:val="008858C2"/>
    <w:rsid w:val="00885AD2"/>
    <w:rsid w:val="00885DFD"/>
    <w:rsid w:val="0088699C"/>
    <w:rsid w:val="00886CD2"/>
    <w:rsid w:val="00886DCC"/>
    <w:rsid w:val="0088707F"/>
    <w:rsid w:val="00887733"/>
    <w:rsid w:val="00890D5A"/>
    <w:rsid w:val="00891380"/>
    <w:rsid w:val="00891E6F"/>
    <w:rsid w:val="00891ECE"/>
    <w:rsid w:val="00892604"/>
    <w:rsid w:val="0089267C"/>
    <w:rsid w:val="0089275D"/>
    <w:rsid w:val="00892A36"/>
    <w:rsid w:val="00892A9D"/>
    <w:rsid w:val="00893239"/>
    <w:rsid w:val="00893F49"/>
    <w:rsid w:val="00894489"/>
    <w:rsid w:val="008948C0"/>
    <w:rsid w:val="00894CD6"/>
    <w:rsid w:val="00894E87"/>
    <w:rsid w:val="008957FD"/>
    <w:rsid w:val="008958CD"/>
    <w:rsid w:val="008963A5"/>
    <w:rsid w:val="00896B7A"/>
    <w:rsid w:val="00896BEB"/>
    <w:rsid w:val="00896D5D"/>
    <w:rsid w:val="008A3158"/>
    <w:rsid w:val="008A3363"/>
    <w:rsid w:val="008A3371"/>
    <w:rsid w:val="008A3C3E"/>
    <w:rsid w:val="008A3F7B"/>
    <w:rsid w:val="008A42E6"/>
    <w:rsid w:val="008A51B8"/>
    <w:rsid w:val="008A6208"/>
    <w:rsid w:val="008A7252"/>
    <w:rsid w:val="008A743A"/>
    <w:rsid w:val="008A79DE"/>
    <w:rsid w:val="008A7AFD"/>
    <w:rsid w:val="008B07C1"/>
    <w:rsid w:val="008B0E21"/>
    <w:rsid w:val="008B1400"/>
    <w:rsid w:val="008B1757"/>
    <w:rsid w:val="008B1C33"/>
    <w:rsid w:val="008B23E6"/>
    <w:rsid w:val="008B2AA4"/>
    <w:rsid w:val="008B30C9"/>
    <w:rsid w:val="008B3F16"/>
    <w:rsid w:val="008B4827"/>
    <w:rsid w:val="008B4859"/>
    <w:rsid w:val="008B4B6F"/>
    <w:rsid w:val="008B5661"/>
    <w:rsid w:val="008B5BF6"/>
    <w:rsid w:val="008B6BBC"/>
    <w:rsid w:val="008B7076"/>
    <w:rsid w:val="008B7992"/>
    <w:rsid w:val="008B7D7E"/>
    <w:rsid w:val="008B7F75"/>
    <w:rsid w:val="008C0761"/>
    <w:rsid w:val="008C0C3B"/>
    <w:rsid w:val="008C232C"/>
    <w:rsid w:val="008C3139"/>
    <w:rsid w:val="008C4280"/>
    <w:rsid w:val="008C449B"/>
    <w:rsid w:val="008C4B8A"/>
    <w:rsid w:val="008C5610"/>
    <w:rsid w:val="008C5739"/>
    <w:rsid w:val="008C5AE6"/>
    <w:rsid w:val="008C6999"/>
    <w:rsid w:val="008C6BED"/>
    <w:rsid w:val="008C7282"/>
    <w:rsid w:val="008C74D9"/>
    <w:rsid w:val="008C7B7B"/>
    <w:rsid w:val="008C7EBD"/>
    <w:rsid w:val="008C7ECB"/>
    <w:rsid w:val="008D0173"/>
    <w:rsid w:val="008D2BD0"/>
    <w:rsid w:val="008D30B1"/>
    <w:rsid w:val="008D3560"/>
    <w:rsid w:val="008D3B86"/>
    <w:rsid w:val="008D3E67"/>
    <w:rsid w:val="008D43FD"/>
    <w:rsid w:val="008D44BB"/>
    <w:rsid w:val="008D4755"/>
    <w:rsid w:val="008D4C3D"/>
    <w:rsid w:val="008D5633"/>
    <w:rsid w:val="008D6E56"/>
    <w:rsid w:val="008D743C"/>
    <w:rsid w:val="008D7823"/>
    <w:rsid w:val="008D79BD"/>
    <w:rsid w:val="008E0D3C"/>
    <w:rsid w:val="008E138B"/>
    <w:rsid w:val="008E153A"/>
    <w:rsid w:val="008E1944"/>
    <w:rsid w:val="008E1B9E"/>
    <w:rsid w:val="008E4713"/>
    <w:rsid w:val="008E4E17"/>
    <w:rsid w:val="008E52E7"/>
    <w:rsid w:val="008E55AB"/>
    <w:rsid w:val="008E579A"/>
    <w:rsid w:val="008E5903"/>
    <w:rsid w:val="008E5920"/>
    <w:rsid w:val="008E703C"/>
    <w:rsid w:val="008E7A69"/>
    <w:rsid w:val="008E7FF4"/>
    <w:rsid w:val="008F03DD"/>
    <w:rsid w:val="008F0497"/>
    <w:rsid w:val="008F0512"/>
    <w:rsid w:val="008F05E8"/>
    <w:rsid w:val="008F0BAE"/>
    <w:rsid w:val="008F10A6"/>
    <w:rsid w:val="008F120A"/>
    <w:rsid w:val="008F22F6"/>
    <w:rsid w:val="008F238A"/>
    <w:rsid w:val="008F27E0"/>
    <w:rsid w:val="008F2B45"/>
    <w:rsid w:val="008F48EB"/>
    <w:rsid w:val="008F4F0B"/>
    <w:rsid w:val="008F576B"/>
    <w:rsid w:val="008F589B"/>
    <w:rsid w:val="008F6F10"/>
    <w:rsid w:val="008F7FBD"/>
    <w:rsid w:val="00900323"/>
    <w:rsid w:val="00900BE9"/>
    <w:rsid w:val="00902733"/>
    <w:rsid w:val="00902937"/>
    <w:rsid w:val="00902D95"/>
    <w:rsid w:val="00903241"/>
    <w:rsid w:val="009037D2"/>
    <w:rsid w:val="009046C4"/>
    <w:rsid w:val="00904E01"/>
    <w:rsid w:val="00905D32"/>
    <w:rsid w:val="00905D9B"/>
    <w:rsid w:val="009062A5"/>
    <w:rsid w:val="00906429"/>
    <w:rsid w:val="00906706"/>
    <w:rsid w:val="00907699"/>
    <w:rsid w:val="00907779"/>
    <w:rsid w:val="00907A9E"/>
    <w:rsid w:val="00910CFD"/>
    <w:rsid w:val="00910FA7"/>
    <w:rsid w:val="00911272"/>
    <w:rsid w:val="00911339"/>
    <w:rsid w:val="00911899"/>
    <w:rsid w:val="00911E37"/>
    <w:rsid w:val="009124B9"/>
    <w:rsid w:val="00912877"/>
    <w:rsid w:val="00912879"/>
    <w:rsid w:val="009135D6"/>
    <w:rsid w:val="0091416A"/>
    <w:rsid w:val="00914776"/>
    <w:rsid w:val="00914C77"/>
    <w:rsid w:val="00915C83"/>
    <w:rsid w:val="009171B7"/>
    <w:rsid w:val="00921771"/>
    <w:rsid w:val="009218E2"/>
    <w:rsid w:val="00921ACB"/>
    <w:rsid w:val="00922C03"/>
    <w:rsid w:val="00922CFB"/>
    <w:rsid w:val="0092319E"/>
    <w:rsid w:val="00923482"/>
    <w:rsid w:val="0092369B"/>
    <w:rsid w:val="00923EAD"/>
    <w:rsid w:val="009246F5"/>
    <w:rsid w:val="00926250"/>
    <w:rsid w:val="009277FD"/>
    <w:rsid w:val="00930AE7"/>
    <w:rsid w:val="00931319"/>
    <w:rsid w:val="0093148D"/>
    <w:rsid w:val="00932576"/>
    <w:rsid w:val="00933C44"/>
    <w:rsid w:val="00934988"/>
    <w:rsid w:val="0093522E"/>
    <w:rsid w:val="00935AD4"/>
    <w:rsid w:val="00937089"/>
    <w:rsid w:val="00942E19"/>
    <w:rsid w:val="00944F8A"/>
    <w:rsid w:val="00945DF9"/>
    <w:rsid w:val="00945EA0"/>
    <w:rsid w:val="00945F27"/>
    <w:rsid w:val="009464B2"/>
    <w:rsid w:val="009509F4"/>
    <w:rsid w:val="00950C62"/>
    <w:rsid w:val="00950C8F"/>
    <w:rsid w:val="009510A2"/>
    <w:rsid w:val="00951967"/>
    <w:rsid w:val="009520B4"/>
    <w:rsid w:val="009521F9"/>
    <w:rsid w:val="009527C4"/>
    <w:rsid w:val="00952951"/>
    <w:rsid w:val="00952A90"/>
    <w:rsid w:val="00953257"/>
    <w:rsid w:val="00953A33"/>
    <w:rsid w:val="00953DF1"/>
    <w:rsid w:val="00953E6F"/>
    <w:rsid w:val="0095474C"/>
    <w:rsid w:val="009549FE"/>
    <w:rsid w:val="00954E1D"/>
    <w:rsid w:val="00955287"/>
    <w:rsid w:val="009556D8"/>
    <w:rsid w:val="00955DE1"/>
    <w:rsid w:val="009564D1"/>
    <w:rsid w:val="00957184"/>
    <w:rsid w:val="00957D92"/>
    <w:rsid w:val="00961F11"/>
    <w:rsid w:val="00962691"/>
    <w:rsid w:val="00962CB9"/>
    <w:rsid w:val="00962F97"/>
    <w:rsid w:val="00964265"/>
    <w:rsid w:val="00964312"/>
    <w:rsid w:val="00964644"/>
    <w:rsid w:val="009646F7"/>
    <w:rsid w:val="00964AA4"/>
    <w:rsid w:val="00964F9E"/>
    <w:rsid w:val="0096571B"/>
    <w:rsid w:val="00965B8A"/>
    <w:rsid w:val="00966C61"/>
    <w:rsid w:val="009673D3"/>
    <w:rsid w:val="009701AB"/>
    <w:rsid w:val="0097071F"/>
    <w:rsid w:val="0097076A"/>
    <w:rsid w:val="00970CF1"/>
    <w:rsid w:val="009713D7"/>
    <w:rsid w:val="009717AC"/>
    <w:rsid w:val="00972E54"/>
    <w:rsid w:val="00974286"/>
    <w:rsid w:val="00974672"/>
    <w:rsid w:val="009751C1"/>
    <w:rsid w:val="00975A00"/>
    <w:rsid w:val="00975E24"/>
    <w:rsid w:val="00975F8D"/>
    <w:rsid w:val="009768AB"/>
    <w:rsid w:val="00976935"/>
    <w:rsid w:val="00976D0F"/>
    <w:rsid w:val="00977892"/>
    <w:rsid w:val="00977C55"/>
    <w:rsid w:val="00980200"/>
    <w:rsid w:val="009810EF"/>
    <w:rsid w:val="009811F1"/>
    <w:rsid w:val="00981659"/>
    <w:rsid w:val="00981D9A"/>
    <w:rsid w:val="00981EA5"/>
    <w:rsid w:val="009824BA"/>
    <w:rsid w:val="00982758"/>
    <w:rsid w:val="00982A90"/>
    <w:rsid w:val="009832FF"/>
    <w:rsid w:val="00983ACF"/>
    <w:rsid w:val="00983E57"/>
    <w:rsid w:val="00984F25"/>
    <w:rsid w:val="00984FA7"/>
    <w:rsid w:val="00985863"/>
    <w:rsid w:val="009859BB"/>
    <w:rsid w:val="00985DE2"/>
    <w:rsid w:val="00986721"/>
    <w:rsid w:val="0098675D"/>
    <w:rsid w:val="00987B76"/>
    <w:rsid w:val="00987B7C"/>
    <w:rsid w:val="00987BA4"/>
    <w:rsid w:val="00987F72"/>
    <w:rsid w:val="00990031"/>
    <w:rsid w:val="00990576"/>
    <w:rsid w:val="00990E22"/>
    <w:rsid w:val="0099150E"/>
    <w:rsid w:val="00991CC9"/>
    <w:rsid w:val="009926E0"/>
    <w:rsid w:val="00992A45"/>
    <w:rsid w:val="00992D84"/>
    <w:rsid w:val="0099343F"/>
    <w:rsid w:val="00993C97"/>
    <w:rsid w:val="0099451E"/>
    <w:rsid w:val="00994DF7"/>
    <w:rsid w:val="009965CB"/>
    <w:rsid w:val="00996694"/>
    <w:rsid w:val="00996B1A"/>
    <w:rsid w:val="009977A2"/>
    <w:rsid w:val="0099799F"/>
    <w:rsid w:val="009A0BA5"/>
    <w:rsid w:val="009A18F6"/>
    <w:rsid w:val="009A1B82"/>
    <w:rsid w:val="009A1EC8"/>
    <w:rsid w:val="009A2471"/>
    <w:rsid w:val="009A2DCC"/>
    <w:rsid w:val="009A33F2"/>
    <w:rsid w:val="009A5709"/>
    <w:rsid w:val="009A5ABC"/>
    <w:rsid w:val="009A63CC"/>
    <w:rsid w:val="009A68A9"/>
    <w:rsid w:val="009A6B75"/>
    <w:rsid w:val="009A6EFF"/>
    <w:rsid w:val="009A7F10"/>
    <w:rsid w:val="009B02CE"/>
    <w:rsid w:val="009B18AD"/>
    <w:rsid w:val="009B1D70"/>
    <w:rsid w:val="009B2A29"/>
    <w:rsid w:val="009B2F6A"/>
    <w:rsid w:val="009B3E26"/>
    <w:rsid w:val="009B3E57"/>
    <w:rsid w:val="009B48C9"/>
    <w:rsid w:val="009B4D2A"/>
    <w:rsid w:val="009B5074"/>
    <w:rsid w:val="009B647A"/>
    <w:rsid w:val="009B7A47"/>
    <w:rsid w:val="009B7F5B"/>
    <w:rsid w:val="009C0040"/>
    <w:rsid w:val="009C09D6"/>
    <w:rsid w:val="009C1271"/>
    <w:rsid w:val="009C1854"/>
    <w:rsid w:val="009C19C7"/>
    <w:rsid w:val="009C2AC6"/>
    <w:rsid w:val="009C2B44"/>
    <w:rsid w:val="009C366B"/>
    <w:rsid w:val="009C3706"/>
    <w:rsid w:val="009C3A3A"/>
    <w:rsid w:val="009C3C3D"/>
    <w:rsid w:val="009C471A"/>
    <w:rsid w:val="009C47BB"/>
    <w:rsid w:val="009C4A43"/>
    <w:rsid w:val="009C6241"/>
    <w:rsid w:val="009C6CEA"/>
    <w:rsid w:val="009C6D79"/>
    <w:rsid w:val="009C6E99"/>
    <w:rsid w:val="009C7073"/>
    <w:rsid w:val="009C75C4"/>
    <w:rsid w:val="009C7B85"/>
    <w:rsid w:val="009D0254"/>
    <w:rsid w:val="009D1A64"/>
    <w:rsid w:val="009D218C"/>
    <w:rsid w:val="009D24BA"/>
    <w:rsid w:val="009D3D47"/>
    <w:rsid w:val="009D42EF"/>
    <w:rsid w:val="009D4CFD"/>
    <w:rsid w:val="009D55F6"/>
    <w:rsid w:val="009D56E4"/>
    <w:rsid w:val="009D5B91"/>
    <w:rsid w:val="009D5D2F"/>
    <w:rsid w:val="009D792E"/>
    <w:rsid w:val="009D7D0A"/>
    <w:rsid w:val="009D7F6D"/>
    <w:rsid w:val="009E04AF"/>
    <w:rsid w:val="009E0B12"/>
    <w:rsid w:val="009E0DFE"/>
    <w:rsid w:val="009E1060"/>
    <w:rsid w:val="009E1A6E"/>
    <w:rsid w:val="009E1F2C"/>
    <w:rsid w:val="009E2B38"/>
    <w:rsid w:val="009E31A2"/>
    <w:rsid w:val="009E31F6"/>
    <w:rsid w:val="009E35BF"/>
    <w:rsid w:val="009E3A25"/>
    <w:rsid w:val="009E400E"/>
    <w:rsid w:val="009E4C07"/>
    <w:rsid w:val="009E50DC"/>
    <w:rsid w:val="009E52BE"/>
    <w:rsid w:val="009E5398"/>
    <w:rsid w:val="009E5E50"/>
    <w:rsid w:val="009E69E7"/>
    <w:rsid w:val="009E6E2C"/>
    <w:rsid w:val="009E6E5F"/>
    <w:rsid w:val="009E777F"/>
    <w:rsid w:val="009E7982"/>
    <w:rsid w:val="009E7E33"/>
    <w:rsid w:val="009F0170"/>
    <w:rsid w:val="009F0699"/>
    <w:rsid w:val="009F17BF"/>
    <w:rsid w:val="009F2F9C"/>
    <w:rsid w:val="009F338C"/>
    <w:rsid w:val="009F395D"/>
    <w:rsid w:val="009F6120"/>
    <w:rsid w:val="009F6368"/>
    <w:rsid w:val="009F63CD"/>
    <w:rsid w:val="009F6896"/>
    <w:rsid w:val="009F6CE5"/>
    <w:rsid w:val="009F733D"/>
    <w:rsid w:val="009F79A1"/>
    <w:rsid w:val="00A00209"/>
    <w:rsid w:val="00A0074E"/>
    <w:rsid w:val="00A00982"/>
    <w:rsid w:val="00A00D76"/>
    <w:rsid w:val="00A01184"/>
    <w:rsid w:val="00A01449"/>
    <w:rsid w:val="00A02607"/>
    <w:rsid w:val="00A026AD"/>
    <w:rsid w:val="00A037C2"/>
    <w:rsid w:val="00A03D43"/>
    <w:rsid w:val="00A04380"/>
    <w:rsid w:val="00A04786"/>
    <w:rsid w:val="00A05428"/>
    <w:rsid w:val="00A05472"/>
    <w:rsid w:val="00A05670"/>
    <w:rsid w:val="00A0581A"/>
    <w:rsid w:val="00A05C32"/>
    <w:rsid w:val="00A060D6"/>
    <w:rsid w:val="00A0653F"/>
    <w:rsid w:val="00A075C9"/>
    <w:rsid w:val="00A1024A"/>
    <w:rsid w:val="00A11CD0"/>
    <w:rsid w:val="00A11E1D"/>
    <w:rsid w:val="00A12630"/>
    <w:rsid w:val="00A1266A"/>
    <w:rsid w:val="00A13948"/>
    <w:rsid w:val="00A13AFA"/>
    <w:rsid w:val="00A14A38"/>
    <w:rsid w:val="00A14EA0"/>
    <w:rsid w:val="00A15416"/>
    <w:rsid w:val="00A1555B"/>
    <w:rsid w:val="00A155C5"/>
    <w:rsid w:val="00A15657"/>
    <w:rsid w:val="00A15782"/>
    <w:rsid w:val="00A15928"/>
    <w:rsid w:val="00A1697A"/>
    <w:rsid w:val="00A169F5"/>
    <w:rsid w:val="00A16AD8"/>
    <w:rsid w:val="00A1754B"/>
    <w:rsid w:val="00A176CD"/>
    <w:rsid w:val="00A2021E"/>
    <w:rsid w:val="00A20541"/>
    <w:rsid w:val="00A20DA1"/>
    <w:rsid w:val="00A214AB"/>
    <w:rsid w:val="00A21C95"/>
    <w:rsid w:val="00A21CF3"/>
    <w:rsid w:val="00A226D9"/>
    <w:rsid w:val="00A22DAD"/>
    <w:rsid w:val="00A233E4"/>
    <w:rsid w:val="00A23772"/>
    <w:rsid w:val="00A23A9D"/>
    <w:rsid w:val="00A243A3"/>
    <w:rsid w:val="00A24580"/>
    <w:rsid w:val="00A24813"/>
    <w:rsid w:val="00A2491C"/>
    <w:rsid w:val="00A2541B"/>
    <w:rsid w:val="00A25F72"/>
    <w:rsid w:val="00A26092"/>
    <w:rsid w:val="00A26C35"/>
    <w:rsid w:val="00A27263"/>
    <w:rsid w:val="00A27482"/>
    <w:rsid w:val="00A276FA"/>
    <w:rsid w:val="00A2784E"/>
    <w:rsid w:val="00A27AEC"/>
    <w:rsid w:val="00A30306"/>
    <w:rsid w:val="00A30D48"/>
    <w:rsid w:val="00A3150B"/>
    <w:rsid w:val="00A320DB"/>
    <w:rsid w:val="00A32751"/>
    <w:rsid w:val="00A327D0"/>
    <w:rsid w:val="00A32A0E"/>
    <w:rsid w:val="00A33540"/>
    <w:rsid w:val="00A33990"/>
    <w:rsid w:val="00A3473A"/>
    <w:rsid w:val="00A35D16"/>
    <w:rsid w:val="00A3631E"/>
    <w:rsid w:val="00A364C2"/>
    <w:rsid w:val="00A37142"/>
    <w:rsid w:val="00A374D4"/>
    <w:rsid w:val="00A37A69"/>
    <w:rsid w:val="00A37BCD"/>
    <w:rsid w:val="00A41689"/>
    <w:rsid w:val="00A42592"/>
    <w:rsid w:val="00A42F9D"/>
    <w:rsid w:val="00A431BE"/>
    <w:rsid w:val="00A43C59"/>
    <w:rsid w:val="00A4404A"/>
    <w:rsid w:val="00A443D7"/>
    <w:rsid w:val="00A44EAA"/>
    <w:rsid w:val="00A45197"/>
    <w:rsid w:val="00A46FD6"/>
    <w:rsid w:val="00A47285"/>
    <w:rsid w:val="00A47C6F"/>
    <w:rsid w:val="00A50ECD"/>
    <w:rsid w:val="00A51724"/>
    <w:rsid w:val="00A517FC"/>
    <w:rsid w:val="00A518F3"/>
    <w:rsid w:val="00A51D79"/>
    <w:rsid w:val="00A52729"/>
    <w:rsid w:val="00A53675"/>
    <w:rsid w:val="00A5367A"/>
    <w:rsid w:val="00A53D05"/>
    <w:rsid w:val="00A53DBB"/>
    <w:rsid w:val="00A54969"/>
    <w:rsid w:val="00A5620F"/>
    <w:rsid w:val="00A5632B"/>
    <w:rsid w:val="00A563C9"/>
    <w:rsid w:val="00A564D7"/>
    <w:rsid w:val="00A56B6A"/>
    <w:rsid w:val="00A578DC"/>
    <w:rsid w:val="00A57D37"/>
    <w:rsid w:val="00A60785"/>
    <w:rsid w:val="00A61338"/>
    <w:rsid w:val="00A62A14"/>
    <w:rsid w:val="00A62B13"/>
    <w:rsid w:val="00A63470"/>
    <w:rsid w:val="00A63A74"/>
    <w:rsid w:val="00A640E2"/>
    <w:rsid w:val="00A640E7"/>
    <w:rsid w:val="00A64707"/>
    <w:rsid w:val="00A64D65"/>
    <w:rsid w:val="00A659FF"/>
    <w:rsid w:val="00A6725B"/>
    <w:rsid w:val="00A6736E"/>
    <w:rsid w:val="00A70605"/>
    <w:rsid w:val="00A70D5F"/>
    <w:rsid w:val="00A70E73"/>
    <w:rsid w:val="00A71169"/>
    <w:rsid w:val="00A71337"/>
    <w:rsid w:val="00A71C64"/>
    <w:rsid w:val="00A73134"/>
    <w:rsid w:val="00A7365A"/>
    <w:rsid w:val="00A746A2"/>
    <w:rsid w:val="00A752FC"/>
    <w:rsid w:val="00A76001"/>
    <w:rsid w:val="00A777B2"/>
    <w:rsid w:val="00A80E12"/>
    <w:rsid w:val="00A811BE"/>
    <w:rsid w:val="00A812A2"/>
    <w:rsid w:val="00A81881"/>
    <w:rsid w:val="00A81BA1"/>
    <w:rsid w:val="00A825D4"/>
    <w:rsid w:val="00A828F6"/>
    <w:rsid w:val="00A82B73"/>
    <w:rsid w:val="00A83267"/>
    <w:rsid w:val="00A83C7C"/>
    <w:rsid w:val="00A84955"/>
    <w:rsid w:val="00A849C2"/>
    <w:rsid w:val="00A8579E"/>
    <w:rsid w:val="00A858AE"/>
    <w:rsid w:val="00A85CAB"/>
    <w:rsid w:val="00A85F15"/>
    <w:rsid w:val="00A86928"/>
    <w:rsid w:val="00A86E8B"/>
    <w:rsid w:val="00A86FEC"/>
    <w:rsid w:val="00A87107"/>
    <w:rsid w:val="00A87164"/>
    <w:rsid w:val="00A871A9"/>
    <w:rsid w:val="00A87657"/>
    <w:rsid w:val="00A900DE"/>
    <w:rsid w:val="00A9037A"/>
    <w:rsid w:val="00A907D9"/>
    <w:rsid w:val="00A90987"/>
    <w:rsid w:val="00A9170A"/>
    <w:rsid w:val="00A93072"/>
    <w:rsid w:val="00A9314A"/>
    <w:rsid w:val="00A931E2"/>
    <w:rsid w:val="00A938BD"/>
    <w:rsid w:val="00A93953"/>
    <w:rsid w:val="00A93E5B"/>
    <w:rsid w:val="00A9403F"/>
    <w:rsid w:val="00A94811"/>
    <w:rsid w:val="00A959D8"/>
    <w:rsid w:val="00AA0BD7"/>
    <w:rsid w:val="00AA0E6C"/>
    <w:rsid w:val="00AA10EC"/>
    <w:rsid w:val="00AA113D"/>
    <w:rsid w:val="00AA1273"/>
    <w:rsid w:val="00AA22B5"/>
    <w:rsid w:val="00AA60D0"/>
    <w:rsid w:val="00AA6B6A"/>
    <w:rsid w:val="00AA6BD5"/>
    <w:rsid w:val="00AA6BD8"/>
    <w:rsid w:val="00AA6C7D"/>
    <w:rsid w:val="00AA787B"/>
    <w:rsid w:val="00AA7FD6"/>
    <w:rsid w:val="00AB042A"/>
    <w:rsid w:val="00AB056D"/>
    <w:rsid w:val="00AB1053"/>
    <w:rsid w:val="00AB11AD"/>
    <w:rsid w:val="00AB19EF"/>
    <w:rsid w:val="00AB1CF9"/>
    <w:rsid w:val="00AB2495"/>
    <w:rsid w:val="00AB27E1"/>
    <w:rsid w:val="00AB2D34"/>
    <w:rsid w:val="00AB3430"/>
    <w:rsid w:val="00AB34C7"/>
    <w:rsid w:val="00AB37B9"/>
    <w:rsid w:val="00AB4AD1"/>
    <w:rsid w:val="00AB4F43"/>
    <w:rsid w:val="00AB5281"/>
    <w:rsid w:val="00AB5E07"/>
    <w:rsid w:val="00AB65B0"/>
    <w:rsid w:val="00AB6AAD"/>
    <w:rsid w:val="00AB6B1C"/>
    <w:rsid w:val="00AB7C03"/>
    <w:rsid w:val="00AB7CFA"/>
    <w:rsid w:val="00AC049C"/>
    <w:rsid w:val="00AC1253"/>
    <w:rsid w:val="00AC1766"/>
    <w:rsid w:val="00AC2D26"/>
    <w:rsid w:val="00AC4234"/>
    <w:rsid w:val="00AC4477"/>
    <w:rsid w:val="00AC46A4"/>
    <w:rsid w:val="00AC4936"/>
    <w:rsid w:val="00AC5846"/>
    <w:rsid w:val="00AC58A0"/>
    <w:rsid w:val="00AC5B42"/>
    <w:rsid w:val="00AC5B48"/>
    <w:rsid w:val="00AC6062"/>
    <w:rsid w:val="00AC7128"/>
    <w:rsid w:val="00AC78F7"/>
    <w:rsid w:val="00AC7F42"/>
    <w:rsid w:val="00AD0025"/>
    <w:rsid w:val="00AD0A58"/>
    <w:rsid w:val="00AD11A5"/>
    <w:rsid w:val="00AD1450"/>
    <w:rsid w:val="00AD15E8"/>
    <w:rsid w:val="00AD1A5F"/>
    <w:rsid w:val="00AD2780"/>
    <w:rsid w:val="00AD356D"/>
    <w:rsid w:val="00AD378C"/>
    <w:rsid w:val="00AD4BCC"/>
    <w:rsid w:val="00AD615F"/>
    <w:rsid w:val="00AD6502"/>
    <w:rsid w:val="00AD6FD9"/>
    <w:rsid w:val="00AD7576"/>
    <w:rsid w:val="00AE0695"/>
    <w:rsid w:val="00AE19BD"/>
    <w:rsid w:val="00AE2612"/>
    <w:rsid w:val="00AE26AB"/>
    <w:rsid w:val="00AE31BF"/>
    <w:rsid w:val="00AE39CA"/>
    <w:rsid w:val="00AE3E7E"/>
    <w:rsid w:val="00AE3F6A"/>
    <w:rsid w:val="00AE4A9B"/>
    <w:rsid w:val="00AE5507"/>
    <w:rsid w:val="00AE6526"/>
    <w:rsid w:val="00AE778E"/>
    <w:rsid w:val="00AE7DCE"/>
    <w:rsid w:val="00AE7E53"/>
    <w:rsid w:val="00AF0204"/>
    <w:rsid w:val="00AF0624"/>
    <w:rsid w:val="00AF0AE1"/>
    <w:rsid w:val="00AF0F36"/>
    <w:rsid w:val="00AF1315"/>
    <w:rsid w:val="00AF1945"/>
    <w:rsid w:val="00AF19BF"/>
    <w:rsid w:val="00AF2AB9"/>
    <w:rsid w:val="00AF2DC3"/>
    <w:rsid w:val="00AF3DE2"/>
    <w:rsid w:val="00AF441C"/>
    <w:rsid w:val="00AF49C4"/>
    <w:rsid w:val="00AF4BE2"/>
    <w:rsid w:val="00AF56B9"/>
    <w:rsid w:val="00AF62EF"/>
    <w:rsid w:val="00AF7390"/>
    <w:rsid w:val="00AF7956"/>
    <w:rsid w:val="00AF7D22"/>
    <w:rsid w:val="00B00277"/>
    <w:rsid w:val="00B0036D"/>
    <w:rsid w:val="00B0116C"/>
    <w:rsid w:val="00B01331"/>
    <w:rsid w:val="00B01438"/>
    <w:rsid w:val="00B02565"/>
    <w:rsid w:val="00B0291C"/>
    <w:rsid w:val="00B033E5"/>
    <w:rsid w:val="00B034B2"/>
    <w:rsid w:val="00B03A63"/>
    <w:rsid w:val="00B0436A"/>
    <w:rsid w:val="00B04736"/>
    <w:rsid w:val="00B04A40"/>
    <w:rsid w:val="00B05EDE"/>
    <w:rsid w:val="00B06966"/>
    <w:rsid w:val="00B06C7B"/>
    <w:rsid w:val="00B072BB"/>
    <w:rsid w:val="00B10186"/>
    <w:rsid w:val="00B10415"/>
    <w:rsid w:val="00B115E5"/>
    <w:rsid w:val="00B11776"/>
    <w:rsid w:val="00B12006"/>
    <w:rsid w:val="00B12240"/>
    <w:rsid w:val="00B129A4"/>
    <w:rsid w:val="00B14185"/>
    <w:rsid w:val="00B1443C"/>
    <w:rsid w:val="00B14454"/>
    <w:rsid w:val="00B16F04"/>
    <w:rsid w:val="00B201A4"/>
    <w:rsid w:val="00B201D1"/>
    <w:rsid w:val="00B20B42"/>
    <w:rsid w:val="00B20BFD"/>
    <w:rsid w:val="00B210AA"/>
    <w:rsid w:val="00B21241"/>
    <w:rsid w:val="00B213A6"/>
    <w:rsid w:val="00B21D71"/>
    <w:rsid w:val="00B22350"/>
    <w:rsid w:val="00B235B0"/>
    <w:rsid w:val="00B24D95"/>
    <w:rsid w:val="00B24DF6"/>
    <w:rsid w:val="00B252AC"/>
    <w:rsid w:val="00B27389"/>
    <w:rsid w:val="00B27945"/>
    <w:rsid w:val="00B27A61"/>
    <w:rsid w:val="00B31270"/>
    <w:rsid w:val="00B322E5"/>
    <w:rsid w:val="00B3258B"/>
    <w:rsid w:val="00B33F13"/>
    <w:rsid w:val="00B3432D"/>
    <w:rsid w:val="00B34897"/>
    <w:rsid w:val="00B34A86"/>
    <w:rsid w:val="00B34FE2"/>
    <w:rsid w:val="00B35166"/>
    <w:rsid w:val="00B357D8"/>
    <w:rsid w:val="00B360F4"/>
    <w:rsid w:val="00B36A00"/>
    <w:rsid w:val="00B376D0"/>
    <w:rsid w:val="00B3792B"/>
    <w:rsid w:val="00B37ADF"/>
    <w:rsid w:val="00B37BFC"/>
    <w:rsid w:val="00B37D3A"/>
    <w:rsid w:val="00B40358"/>
    <w:rsid w:val="00B403F3"/>
    <w:rsid w:val="00B40613"/>
    <w:rsid w:val="00B41614"/>
    <w:rsid w:val="00B41638"/>
    <w:rsid w:val="00B41B03"/>
    <w:rsid w:val="00B41DDE"/>
    <w:rsid w:val="00B42851"/>
    <w:rsid w:val="00B42F80"/>
    <w:rsid w:val="00B435CB"/>
    <w:rsid w:val="00B4373B"/>
    <w:rsid w:val="00B441F6"/>
    <w:rsid w:val="00B44A33"/>
    <w:rsid w:val="00B44D0F"/>
    <w:rsid w:val="00B455A9"/>
    <w:rsid w:val="00B45745"/>
    <w:rsid w:val="00B465EC"/>
    <w:rsid w:val="00B46DF8"/>
    <w:rsid w:val="00B50099"/>
    <w:rsid w:val="00B505C8"/>
    <w:rsid w:val="00B50A0E"/>
    <w:rsid w:val="00B50DB8"/>
    <w:rsid w:val="00B5180B"/>
    <w:rsid w:val="00B52233"/>
    <w:rsid w:val="00B52484"/>
    <w:rsid w:val="00B53409"/>
    <w:rsid w:val="00B53654"/>
    <w:rsid w:val="00B5370E"/>
    <w:rsid w:val="00B5377F"/>
    <w:rsid w:val="00B53905"/>
    <w:rsid w:val="00B53B26"/>
    <w:rsid w:val="00B53B58"/>
    <w:rsid w:val="00B54021"/>
    <w:rsid w:val="00B5465E"/>
    <w:rsid w:val="00B54693"/>
    <w:rsid w:val="00B546DB"/>
    <w:rsid w:val="00B54B5B"/>
    <w:rsid w:val="00B55421"/>
    <w:rsid w:val="00B5562E"/>
    <w:rsid w:val="00B55862"/>
    <w:rsid w:val="00B55D65"/>
    <w:rsid w:val="00B55DE7"/>
    <w:rsid w:val="00B55E27"/>
    <w:rsid w:val="00B56305"/>
    <w:rsid w:val="00B56475"/>
    <w:rsid w:val="00B56632"/>
    <w:rsid w:val="00B57000"/>
    <w:rsid w:val="00B57567"/>
    <w:rsid w:val="00B5758E"/>
    <w:rsid w:val="00B5787A"/>
    <w:rsid w:val="00B60939"/>
    <w:rsid w:val="00B60AFD"/>
    <w:rsid w:val="00B6204B"/>
    <w:rsid w:val="00B62715"/>
    <w:rsid w:val="00B62865"/>
    <w:rsid w:val="00B63263"/>
    <w:rsid w:val="00B63E5A"/>
    <w:rsid w:val="00B647C0"/>
    <w:rsid w:val="00B64CA0"/>
    <w:rsid w:val="00B65611"/>
    <w:rsid w:val="00B66555"/>
    <w:rsid w:val="00B67554"/>
    <w:rsid w:val="00B7044F"/>
    <w:rsid w:val="00B70A49"/>
    <w:rsid w:val="00B70E8E"/>
    <w:rsid w:val="00B712E4"/>
    <w:rsid w:val="00B714C4"/>
    <w:rsid w:val="00B7173D"/>
    <w:rsid w:val="00B730B1"/>
    <w:rsid w:val="00B73520"/>
    <w:rsid w:val="00B75919"/>
    <w:rsid w:val="00B75D42"/>
    <w:rsid w:val="00B765EF"/>
    <w:rsid w:val="00B7666F"/>
    <w:rsid w:val="00B76C92"/>
    <w:rsid w:val="00B774B0"/>
    <w:rsid w:val="00B77C13"/>
    <w:rsid w:val="00B80276"/>
    <w:rsid w:val="00B80EFD"/>
    <w:rsid w:val="00B81063"/>
    <w:rsid w:val="00B814F6"/>
    <w:rsid w:val="00B818A4"/>
    <w:rsid w:val="00B82077"/>
    <w:rsid w:val="00B820CB"/>
    <w:rsid w:val="00B82253"/>
    <w:rsid w:val="00B8266D"/>
    <w:rsid w:val="00B82965"/>
    <w:rsid w:val="00B830A0"/>
    <w:rsid w:val="00B83739"/>
    <w:rsid w:val="00B83F87"/>
    <w:rsid w:val="00B84117"/>
    <w:rsid w:val="00B8417A"/>
    <w:rsid w:val="00B84547"/>
    <w:rsid w:val="00B845F4"/>
    <w:rsid w:val="00B84A2B"/>
    <w:rsid w:val="00B858F0"/>
    <w:rsid w:val="00B85AA2"/>
    <w:rsid w:val="00B8649C"/>
    <w:rsid w:val="00B8695D"/>
    <w:rsid w:val="00B87F0A"/>
    <w:rsid w:val="00B90EC8"/>
    <w:rsid w:val="00B91031"/>
    <w:rsid w:val="00B91670"/>
    <w:rsid w:val="00B919C0"/>
    <w:rsid w:val="00B91B8E"/>
    <w:rsid w:val="00B91DF2"/>
    <w:rsid w:val="00B91EE7"/>
    <w:rsid w:val="00B92D0B"/>
    <w:rsid w:val="00B93077"/>
    <w:rsid w:val="00B9399B"/>
    <w:rsid w:val="00B93B48"/>
    <w:rsid w:val="00B9404D"/>
    <w:rsid w:val="00B940AD"/>
    <w:rsid w:val="00B9413C"/>
    <w:rsid w:val="00B947B0"/>
    <w:rsid w:val="00B94945"/>
    <w:rsid w:val="00B94DD6"/>
    <w:rsid w:val="00B94E7F"/>
    <w:rsid w:val="00B9518F"/>
    <w:rsid w:val="00B954D1"/>
    <w:rsid w:val="00B95810"/>
    <w:rsid w:val="00B95880"/>
    <w:rsid w:val="00B959CA"/>
    <w:rsid w:val="00B95C74"/>
    <w:rsid w:val="00B9682D"/>
    <w:rsid w:val="00B97462"/>
    <w:rsid w:val="00B97BF4"/>
    <w:rsid w:val="00B97D62"/>
    <w:rsid w:val="00BA1A78"/>
    <w:rsid w:val="00BA2E8D"/>
    <w:rsid w:val="00BA322D"/>
    <w:rsid w:val="00BA42ED"/>
    <w:rsid w:val="00BA5345"/>
    <w:rsid w:val="00BA5687"/>
    <w:rsid w:val="00BA6327"/>
    <w:rsid w:val="00BA63FA"/>
    <w:rsid w:val="00BA6B87"/>
    <w:rsid w:val="00BB00B3"/>
    <w:rsid w:val="00BB0615"/>
    <w:rsid w:val="00BB0BDD"/>
    <w:rsid w:val="00BB176C"/>
    <w:rsid w:val="00BB183D"/>
    <w:rsid w:val="00BB2041"/>
    <w:rsid w:val="00BB2A73"/>
    <w:rsid w:val="00BB3644"/>
    <w:rsid w:val="00BB38DC"/>
    <w:rsid w:val="00BB3A45"/>
    <w:rsid w:val="00BB4ACC"/>
    <w:rsid w:val="00BB4F3C"/>
    <w:rsid w:val="00BB5665"/>
    <w:rsid w:val="00BB62A3"/>
    <w:rsid w:val="00BB703E"/>
    <w:rsid w:val="00BB7208"/>
    <w:rsid w:val="00BB732D"/>
    <w:rsid w:val="00BB7405"/>
    <w:rsid w:val="00BC092D"/>
    <w:rsid w:val="00BC24DB"/>
    <w:rsid w:val="00BC3631"/>
    <w:rsid w:val="00BC3FF4"/>
    <w:rsid w:val="00BC4812"/>
    <w:rsid w:val="00BC4F29"/>
    <w:rsid w:val="00BC591F"/>
    <w:rsid w:val="00BC5DE0"/>
    <w:rsid w:val="00BC63CF"/>
    <w:rsid w:val="00BC6C0E"/>
    <w:rsid w:val="00BC77C1"/>
    <w:rsid w:val="00BC7D6D"/>
    <w:rsid w:val="00BC7F2B"/>
    <w:rsid w:val="00BD073F"/>
    <w:rsid w:val="00BD0A17"/>
    <w:rsid w:val="00BD0ADA"/>
    <w:rsid w:val="00BD1F02"/>
    <w:rsid w:val="00BD2108"/>
    <w:rsid w:val="00BD2EF0"/>
    <w:rsid w:val="00BD5EE6"/>
    <w:rsid w:val="00BD6269"/>
    <w:rsid w:val="00BD68A3"/>
    <w:rsid w:val="00BD6938"/>
    <w:rsid w:val="00BD6994"/>
    <w:rsid w:val="00BD6CF3"/>
    <w:rsid w:val="00BD7AB0"/>
    <w:rsid w:val="00BD7F72"/>
    <w:rsid w:val="00BE0ECA"/>
    <w:rsid w:val="00BE0F59"/>
    <w:rsid w:val="00BE1BDF"/>
    <w:rsid w:val="00BE2180"/>
    <w:rsid w:val="00BE21F2"/>
    <w:rsid w:val="00BE2550"/>
    <w:rsid w:val="00BE2DAF"/>
    <w:rsid w:val="00BE2F2B"/>
    <w:rsid w:val="00BE2F4F"/>
    <w:rsid w:val="00BE3A45"/>
    <w:rsid w:val="00BE4275"/>
    <w:rsid w:val="00BE466A"/>
    <w:rsid w:val="00BE581E"/>
    <w:rsid w:val="00BE5F1D"/>
    <w:rsid w:val="00BE6374"/>
    <w:rsid w:val="00BE7632"/>
    <w:rsid w:val="00BF06AE"/>
    <w:rsid w:val="00BF0DB0"/>
    <w:rsid w:val="00BF0F95"/>
    <w:rsid w:val="00BF1665"/>
    <w:rsid w:val="00BF2433"/>
    <w:rsid w:val="00BF271C"/>
    <w:rsid w:val="00BF2E6E"/>
    <w:rsid w:val="00BF3403"/>
    <w:rsid w:val="00BF3596"/>
    <w:rsid w:val="00BF410E"/>
    <w:rsid w:val="00BF436A"/>
    <w:rsid w:val="00BF527F"/>
    <w:rsid w:val="00BF55BB"/>
    <w:rsid w:val="00BF5AA7"/>
    <w:rsid w:val="00BF61C9"/>
    <w:rsid w:val="00BF6560"/>
    <w:rsid w:val="00BF6C94"/>
    <w:rsid w:val="00BF6E95"/>
    <w:rsid w:val="00BF7496"/>
    <w:rsid w:val="00C00424"/>
    <w:rsid w:val="00C00BB0"/>
    <w:rsid w:val="00C011F3"/>
    <w:rsid w:val="00C01479"/>
    <w:rsid w:val="00C02DBA"/>
    <w:rsid w:val="00C03E4D"/>
    <w:rsid w:val="00C040E8"/>
    <w:rsid w:val="00C042D3"/>
    <w:rsid w:val="00C048B9"/>
    <w:rsid w:val="00C05660"/>
    <w:rsid w:val="00C105E5"/>
    <w:rsid w:val="00C11468"/>
    <w:rsid w:val="00C1179F"/>
    <w:rsid w:val="00C127B9"/>
    <w:rsid w:val="00C128C3"/>
    <w:rsid w:val="00C128C7"/>
    <w:rsid w:val="00C128FA"/>
    <w:rsid w:val="00C12C14"/>
    <w:rsid w:val="00C1336F"/>
    <w:rsid w:val="00C14F29"/>
    <w:rsid w:val="00C15972"/>
    <w:rsid w:val="00C15AB1"/>
    <w:rsid w:val="00C15F04"/>
    <w:rsid w:val="00C1630B"/>
    <w:rsid w:val="00C16C4A"/>
    <w:rsid w:val="00C179B3"/>
    <w:rsid w:val="00C17A5C"/>
    <w:rsid w:val="00C17E3F"/>
    <w:rsid w:val="00C200AA"/>
    <w:rsid w:val="00C20269"/>
    <w:rsid w:val="00C20D73"/>
    <w:rsid w:val="00C21542"/>
    <w:rsid w:val="00C21CDC"/>
    <w:rsid w:val="00C21EF3"/>
    <w:rsid w:val="00C22FB0"/>
    <w:rsid w:val="00C237ED"/>
    <w:rsid w:val="00C24549"/>
    <w:rsid w:val="00C24632"/>
    <w:rsid w:val="00C250CC"/>
    <w:rsid w:val="00C25418"/>
    <w:rsid w:val="00C2595B"/>
    <w:rsid w:val="00C25D9C"/>
    <w:rsid w:val="00C26AEA"/>
    <w:rsid w:val="00C26DC4"/>
    <w:rsid w:val="00C2778B"/>
    <w:rsid w:val="00C305CE"/>
    <w:rsid w:val="00C31649"/>
    <w:rsid w:val="00C31A85"/>
    <w:rsid w:val="00C32710"/>
    <w:rsid w:val="00C3348D"/>
    <w:rsid w:val="00C34131"/>
    <w:rsid w:val="00C3434C"/>
    <w:rsid w:val="00C344B2"/>
    <w:rsid w:val="00C40385"/>
    <w:rsid w:val="00C4062E"/>
    <w:rsid w:val="00C4067F"/>
    <w:rsid w:val="00C40CC7"/>
    <w:rsid w:val="00C41768"/>
    <w:rsid w:val="00C42623"/>
    <w:rsid w:val="00C42CF9"/>
    <w:rsid w:val="00C43F55"/>
    <w:rsid w:val="00C44016"/>
    <w:rsid w:val="00C459B4"/>
    <w:rsid w:val="00C467EE"/>
    <w:rsid w:val="00C46C32"/>
    <w:rsid w:val="00C46F9A"/>
    <w:rsid w:val="00C4721C"/>
    <w:rsid w:val="00C474F3"/>
    <w:rsid w:val="00C475AA"/>
    <w:rsid w:val="00C47E76"/>
    <w:rsid w:val="00C51E99"/>
    <w:rsid w:val="00C527C7"/>
    <w:rsid w:val="00C530BC"/>
    <w:rsid w:val="00C53C98"/>
    <w:rsid w:val="00C53D3E"/>
    <w:rsid w:val="00C54384"/>
    <w:rsid w:val="00C55FDC"/>
    <w:rsid w:val="00C56FCF"/>
    <w:rsid w:val="00C57497"/>
    <w:rsid w:val="00C57B6C"/>
    <w:rsid w:val="00C6112A"/>
    <w:rsid w:val="00C6193C"/>
    <w:rsid w:val="00C61A59"/>
    <w:rsid w:val="00C628A6"/>
    <w:rsid w:val="00C63F52"/>
    <w:rsid w:val="00C64344"/>
    <w:rsid w:val="00C64F2E"/>
    <w:rsid w:val="00C65108"/>
    <w:rsid w:val="00C65576"/>
    <w:rsid w:val="00C657D7"/>
    <w:rsid w:val="00C66165"/>
    <w:rsid w:val="00C6633B"/>
    <w:rsid w:val="00C66549"/>
    <w:rsid w:val="00C66A5E"/>
    <w:rsid w:val="00C676E0"/>
    <w:rsid w:val="00C70556"/>
    <w:rsid w:val="00C7060A"/>
    <w:rsid w:val="00C70AFF"/>
    <w:rsid w:val="00C7151A"/>
    <w:rsid w:val="00C717E3"/>
    <w:rsid w:val="00C71F60"/>
    <w:rsid w:val="00C72241"/>
    <w:rsid w:val="00C72B5D"/>
    <w:rsid w:val="00C72C4A"/>
    <w:rsid w:val="00C72E6E"/>
    <w:rsid w:val="00C72F36"/>
    <w:rsid w:val="00C750C8"/>
    <w:rsid w:val="00C7560F"/>
    <w:rsid w:val="00C76352"/>
    <w:rsid w:val="00C76926"/>
    <w:rsid w:val="00C77001"/>
    <w:rsid w:val="00C77559"/>
    <w:rsid w:val="00C807DA"/>
    <w:rsid w:val="00C80A0E"/>
    <w:rsid w:val="00C80FED"/>
    <w:rsid w:val="00C8213F"/>
    <w:rsid w:val="00C8303F"/>
    <w:rsid w:val="00C8315A"/>
    <w:rsid w:val="00C839DA"/>
    <w:rsid w:val="00C84423"/>
    <w:rsid w:val="00C84E87"/>
    <w:rsid w:val="00C85154"/>
    <w:rsid w:val="00C856A9"/>
    <w:rsid w:val="00C85A70"/>
    <w:rsid w:val="00C85B14"/>
    <w:rsid w:val="00C867EC"/>
    <w:rsid w:val="00C86836"/>
    <w:rsid w:val="00C87236"/>
    <w:rsid w:val="00C877CF"/>
    <w:rsid w:val="00C8797A"/>
    <w:rsid w:val="00C87E3C"/>
    <w:rsid w:val="00C87F44"/>
    <w:rsid w:val="00C900B8"/>
    <w:rsid w:val="00C90197"/>
    <w:rsid w:val="00C903B1"/>
    <w:rsid w:val="00C9047A"/>
    <w:rsid w:val="00C90C71"/>
    <w:rsid w:val="00C912A3"/>
    <w:rsid w:val="00C91741"/>
    <w:rsid w:val="00C91783"/>
    <w:rsid w:val="00C91B50"/>
    <w:rsid w:val="00C91C06"/>
    <w:rsid w:val="00C91FD1"/>
    <w:rsid w:val="00C9277C"/>
    <w:rsid w:val="00C931CF"/>
    <w:rsid w:val="00C9320F"/>
    <w:rsid w:val="00C9362A"/>
    <w:rsid w:val="00C938CF"/>
    <w:rsid w:val="00C93B0F"/>
    <w:rsid w:val="00C94053"/>
    <w:rsid w:val="00C945B7"/>
    <w:rsid w:val="00C9558C"/>
    <w:rsid w:val="00C955E9"/>
    <w:rsid w:val="00C95A10"/>
    <w:rsid w:val="00C9624D"/>
    <w:rsid w:val="00C969DA"/>
    <w:rsid w:val="00C9731A"/>
    <w:rsid w:val="00CA06ED"/>
    <w:rsid w:val="00CA1826"/>
    <w:rsid w:val="00CA1A32"/>
    <w:rsid w:val="00CA1A4E"/>
    <w:rsid w:val="00CA200D"/>
    <w:rsid w:val="00CA2C77"/>
    <w:rsid w:val="00CA323E"/>
    <w:rsid w:val="00CA3906"/>
    <w:rsid w:val="00CA3A7D"/>
    <w:rsid w:val="00CA444F"/>
    <w:rsid w:val="00CA5245"/>
    <w:rsid w:val="00CA57E8"/>
    <w:rsid w:val="00CA6921"/>
    <w:rsid w:val="00CA70FA"/>
    <w:rsid w:val="00CA71F4"/>
    <w:rsid w:val="00CA767D"/>
    <w:rsid w:val="00CA7B09"/>
    <w:rsid w:val="00CA7BD1"/>
    <w:rsid w:val="00CA7CAB"/>
    <w:rsid w:val="00CB00A7"/>
    <w:rsid w:val="00CB12A5"/>
    <w:rsid w:val="00CB1A9B"/>
    <w:rsid w:val="00CB1CAC"/>
    <w:rsid w:val="00CB2F2A"/>
    <w:rsid w:val="00CB2F8A"/>
    <w:rsid w:val="00CB3216"/>
    <w:rsid w:val="00CB3776"/>
    <w:rsid w:val="00CB50BC"/>
    <w:rsid w:val="00CB5957"/>
    <w:rsid w:val="00CB5B1A"/>
    <w:rsid w:val="00CB644B"/>
    <w:rsid w:val="00CB67B1"/>
    <w:rsid w:val="00CB6B22"/>
    <w:rsid w:val="00CB6BCA"/>
    <w:rsid w:val="00CB7062"/>
    <w:rsid w:val="00CB7A3A"/>
    <w:rsid w:val="00CB7F5F"/>
    <w:rsid w:val="00CC0310"/>
    <w:rsid w:val="00CC05F9"/>
    <w:rsid w:val="00CC1431"/>
    <w:rsid w:val="00CC15A3"/>
    <w:rsid w:val="00CC16CC"/>
    <w:rsid w:val="00CC1B39"/>
    <w:rsid w:val="00CC1BFA"/>
    <w:rsid w:val="00CC28A4"/>
    <w:rsid w:val="00CC2E9F"/>
    <w:rsid w:val="00CC35EA"/>
    <w:rsid w:val="00CC3848"/>
    <w:rsid w:val="00CC481D"/>
    <w:rsid w:val="00CC495A"/>
    <w:rsid w:val="00CC5202"/>
    <w:rsid w:val="00CC56C9"/>
    <w:rsid w:val="00CC60EF"/>
    <w:rsid w:val="00CC6D1B"/>
    <w:rsid w:val="00CC6D5E"/>
    <w:rsid w:val="00CC71CA"/>
    <w:rsid w:val="00CC764E"/>
    <w:rsid w:val="00CD0200"/>
    <w:rsid w:val="00CD1369"/>
    <w:rsid w:val="00CD1BDE"/>
    <w:rsid w:val="00CD23F5"/>
    <w:rsid w:val="00CD288F"/>
    <w:rsid w:val="00CD3D38"/>
    <w:rsid w:val="00CD3F77"/>
    <w:rsid w:val="00CD57A0"/>
    <w:rsid w:val="00CD66DC"/>
    <w:rsid w:val="00CD68D7"/>
    <w:rsid w:val="00CD6ADC"/>
    <w:rsid w:val="00CD711F"/>
    <w:rsid w:val="00CD7193"/>
    <w:rsid w:val="00CD7454"/>
    <w:rsid w:val="00CD7B03"/>
    <w:rsid w:val="00CD7D90"/>
    <w:rsid w:val="00CD7FB7"/>
    <w:rsid w:val="00CE011C"/>
    <w:rsid w:val="00CE0939"/>
    <w:rsid w:val="00CE15CA"/>
    <w:rsid w:val="00CE28B4"/>
    <w:rsid w:val="00CE296F"/>
    <w:rsid w:val="00CE34D3"/>
    <w:rsid w:val="00CE38C8"/>
    <w:rsid w:val="00CE39B4"/>
    <w:rsid w:val="00CE5108"/>
    <w:rsid w:val="00CE524F"/>
    <w:rsid w:val="00CE58CC"/>
    <w:rsid w:val="00CE6274"/>
    <w:rsid w:val="00CE62F2"/>
    <w:rsid w:val="00CE64F6"/>
    <w:rsid w:val="00CE6D58"/>
    <w:rsid w:val="00CE704B"/>
    <w:rsid w:val="00CE77B6"/>
    <w:rsid w:val="00CE79AA"/>
    <w:rsid w:val="00CF077D"/>
    <w:rsid w:val="00CF08D2"/>
    <w:rsid w:val="00CF0AD3"/>
    <w:rsid w:val="00CF1032"/>
    <w:rsid w:val="00CF1CB4"/>
    <w:rsid w:val="00CF22A8"/>
    <w:rsid w:val="00CF23AA"/>
    <w:rsid w:val="00CF27AC"/>
    <w:rsid w:val="00CF2B8D"/>
    <w:rsid w:val="00CF2C6C"/>
    <w:rsid w:val="00CF3A1B"/>
    <w:rsid w:val="00CF3AA5"/>
    <w:rsid w:val="00CF43EF"/>
    <w:rsid w:val="00CF456B"/>
    <w:rsid w:val="00CF5A22"/>
    <w:rsid w:val="00CF5A88"/>
    <w:rsid w:val="00CF6163"/>
    <w:rsid w:val="00CF668C"/>
    <w:rsid w:val="00CF7D2C"/>
    <w:rsid w:val="00D00C11"/>
    <w:rsid w:val="00D0192A"/>
    <w:rsid w:val="00D01995"/>
    <w:rsid w:val="00D0262E"/>
    <w:rsid w:val="00D03180"/>
    <w:rsid w:val="00D03679"/>
    <w:rsid w:val="00D03897"/>
    <w:rsid w:val="00D05E3D"/>
    <w:rsid w:val="00D06136"/>
    <w:rsid w:val="00D06139"/>
    <w:rsid w:val="00D06A24"/>
    <w:rsid w:val="00D076B4"/>
    <w:rsid w:val="00D07B89"/>
    <w:rsid w:val="00D105A0"/>
    <w:rsid w:val="00D110BD"/>
    <w:rsid w:val="00D129D7"/>
    <w:rsid w:val="00D130D6"/>
    <w:rsid w:val="00D134E9"/>
    <w:rsid w:val="00D13675"/>
    <w:rsid w:val="00D1381E"/>
    <w:rsid w:val="00D141E1"/>
    <w:rsid w:val="00D15080"/>
    <w:rsid w:val="00D15314"/>
    <w:rsid w:val="00D15B48"/>
    <w:rsid w:val="00D17010"/>
    <w:rsid w:val="00D17D6C"/>
    <w:rsid w:val="00D21123"/>
    <w:rsid w:val="00D2155B"/>
    <w:rsid w:val="00D2291D"/>
    <w:rsid w:val="00D22D19"/>
    <w:rsid w:val="00D23D11"/>
    <w:rsid w:val="00D244B6"/>
    <w:rsid w:val="00D2482D"/>
    <w:rsid w:val="00D268E2"/>
    <w:rsid w:val="00D273CE"/>
    <w:rsid w:val="00D2754D"/>
    <w:rsid w:val="00D27B27"/>
    <w:rsid w:val="00D300BB"/>
    <w:rsid w:val="00D30D5B"/>
    <w:rsid w:val="00D30E18"/>
    <w:rsid w:val="00D31270"/>
    <w:rsid w:val="00D31FCE"/>
    <w:rsid w:val="00D33ACC"/>
    <w:rsid w:val="00D33BE9"/>
    <w:rsid w:val="00D33F93"/>
    <w:rsid w:val="00D34705"/>
    <w:rsid w:val="00D34A49"/>
    <w:rsid w:val="00D34C7D"/>
    <w:rsid w:val="00D354E3"/>
    <w:rsid w:val="00D357FF"/>
    <w:rsid w:val="00D35F33"/>
    <w:rsid w:val="00D377FC"/>
    <w:rsid w:val="00D37CC1"/>
    <w:rsid w:val="00D410E4"/>
    <w:rsid w:val="00D424C7"/>
    <w:rsid w:val="00D42979"/>
    <w:rsid w:val="00D430FB"/>
    <w:rsid w:val="00D43B2A"/>
    <w:rsid w:val="00D43B3C"/>
    <w:rsid w:val="00D43C68"/>
    <w:rsid w:val="00D43CF1"/>
    <w:rsid w:val="00D43D83"/>
    <w:rsid w:val="00D4468A"/>
    <w:rsid w:val="00D446D7"/>
    <w:rsid w:val="00D44B27"/>
    <w:rsid w:val="00D44F50"/>
    <w:rsid w:val="00D45758"/>
    <w:rsid w:val="00D47319"/>
    <w:rsid w:val="00D47575"/>
    <w:rsid w:val="00D4774F"/>
    <w:rsid w:val="00D500CC"/>
    <w:rsid w:val="00D50139"/>
    <w:rsid w:val="00D5105F"/>
    <w:rsid w:val="00D5240A"/>
    <w:rsid w:val="00D5243B"/>
    <w:rsid w:val="00D52D7D"/>
    <w:rsid w:val="00D52DD5"/>
    <w:rsid w:val="00D533EC"/>
    <w:rsid w:val="00D53968"/>
    <w:rsid w:val="00D540C3"/>
    <w:rsid w:val="00D565C9"/>
    <w:rsid w:val="00D569A2"/>
    <w:rsid w:val="00D56A95"/>
    <w:rsid w:val="00D57B1D"/>
    <w:rsid w:val="00D57DDB"/>
    <w:rsid w:val="00D6076E"/>
    <w:rsid w:val="00D60A67"/>
    <w:rsid w:val="00D6118D"/>
    <w:rsid w:val="00D61505"/>
    <w:rsid w:val="00D64462"/>
    <w:rsid w:val="00D677D2"/>
    <w:rsid w:val="00D703A6"/>
    <w:rsid w:val="00D70418"/>
    <w:rsid w:val="00D70C27"/>
    <w:rsid w:val="00D70F16"/>
    <w:rsid w:val="00D710E8"/>
    <w:rsid w:val="00D72147"/>
    <w:rsid w:val="00D722C1"/>
    <w:rsid w:val="00D72617"/>
    <w:rsid w:val="00D72F57"/>
    <w:rsid w:val="00D7304D"/>
    <w:rsid w:val="00D7338C"/>
    <w:rsid w:val="00D73715"/>
    <w:rsid w:val="00D73DDB"/>
    <w:rsid w:val="00D74716"/>
    <w:rsid w:val="00D75071"/>
    <w:rsid w:val="00D76419"/>
    <w:rsid w:val="00D76A44"/>
    <w:rsid w:val="00D8046E"/>
    <w:rsid w:val="00D81023"/>
    <w:rsid w:val="00D815EF"/>
    <w:rsid w:val="00D81949"/>
    <w:rsid w:val="00D81F26"/>
    <w:rsid w:val="00D822E2"/>
    <w:rsid w:val="00D843F2"/>
    <w:rsid w:val="00D84678"/>
    <w:rsid w:val="00D84E0A"/>
    <w:rsid w:val="00D85AD1"/>
    <w:rsid w:val="00D85D01"/>
    <w:rsid w:val="00D85D39"/>
    <w:rsid w:val="00D86231"/>
    <w:rsid w:val="00D86716"/>
    <w:rsid w:val="00D87E0A"/>
    <w:rsid w:val="00D912AB"/>
    <w:rsid w:val="00D91923"/>
    <w:rsid w:val="00D91A9F"/>
    <w:rsid w:val="00D91DBA"/>
    <w:rsid w:val="00D924B2"/>
    <w:rsid w:val="00D92693"/>
    <w:rsid w:val="00D936D0"/>
    <w:rsid w:val="00D93753"/>
    <w:rsid w:val="00D93F42"/>
    <w:rsid w:val="00D95098"/>
    <w:rsid w:val="00D95EAE"/>
    <w:rsid w:val="00D96010"/>
    <w:rsid w:val="00D96970"/>
    <w:rsid w:val="00D96AD2"/>
    <w:rsid w:val="00D96F54"/>
    <w:rsid w:val="00DA19AD"/>
    <w:rsid w:val="00DA2EA0"/>
    <w:rsid w:val="00DA3167"/>
    <w:rsid w:val="00DA32DD"/>
    <w:rsid w:val="00DA3665"/>
    <w:rsid w:val="00DA3ACD"/>
    <w:rsid w:val="00DA46E3"/>
    <w:rsid w:val="00DA4DC3"/>
    <w:rsid w:val="00DA595A"/>
    <w:rsid w:val="00DA6F4F"/>
    <w:rsid w:val="00DA77A5"/>
    <w:rsid w:val="00DA7B88"/>
    <w:rsid w:val="00DB0020"/>
    <w:rsid w:val="00DB011E"/>
    <w:rsid w:val="00DB07DB"/>
    <w:rsid w:val="00DB0E36"/>
    <w:rsid w:val="00DB3DBF"/>
    <w:rsid w:val="00DB484F"/>
    <w:rsid w:val="00DB5FE7"/>
    <w:rsid w:val="00DB68BC"/>
    <w:rsid w:val="00DB6952"/>
    <w:rsid w:val="00DB6A02"/>
    <w:rsid w:val="00DB6AD9"/>
    <w:rsid w:val="00DB7ADD"/>
    <w:rsid w:val="00DB7C65"/>
    <w:rsid w:val="00DC04F6"/>
    <w:rsid w:val="00DC0690"/>
    <w:rsid w:val="00DC18BD"/>
    <w:rsid w:val="00DC1D65"/>
    <w:rsid w:val="00DC2554"/>
    <w:rsid w:val="00DC2C16"/>
    <w:rsid w:val="00DC3362"/>
    <w:rsid w:val="00DC336E"/>
    <w:rsid w:val="00DC3C57"/>
    <w:rsid w:val="00DC4058"/>
    <w:rsid w:val="00DC480C"/>
    <w:rsid w:val="00DC495F"/>
    <w:rsid w:val="00DC5501"/>
    <w:rsid w:val="00DC5DE4"/>
    <w:rsid w:val="00DC68D7"/>
    <w:rsid w:val="00DC6EBB"/>
    <w:rsid w:val="00DC7154"/>
    <w:rsid w:val="00DC7E8A"/>
    <w:rsid w:val="00DD00C5"/>
    <w:rsid w:val="00DD0F78"/>
    <w:rsid w:val="00DD1242"/>
    <w:rsid w:val="00DD15B1"/>
    <w:rsid w:val="00DD1B99"/>
    <w:rsid w:val="00DD203A"/>
    <w:rsid w:val="00DD273C"/>
    <w:rsid w:val="00DD332A"/>
    <w:rsid w:val="00DD3345"/>
    <w:rsid w:val="00DD3390"/>
    <w:rsid w:val="00DD34DF"/>
    <w:rsid w:val="00DD35B0"/>
    <w:rsid w:val="00DD39B8"/>
    <w:rsid w:val="00DD3BD5"/>
    <w:rsid w:val="00DD3F28"/>
    <w:rsid w:val="00DD4273"/>
    <w:rsid w:val="00DD4446"/>
    <w:rsid w:val="00DD4537"/>
    <w:rsid w:val="00DD4871"/>
    <w:rsid w:val="00DD4E15"/>
    <w:rsid w:val="00DD4F56"/>
    <w:rsid w:val="00DD528C"/>
    <w:rsid w:val="00DD5E3A"/>
    <w:rsid w:val="00DD5FD4"/>
    <w:rsid w:val="00DD66F4"/>
    <w:rsid w:val="00DD7124"/>
    <w:rsid w:val="00DD7639"/>
    <w:rsid w:val="00DE1EDB"/>
    <w:rsid w:val="00DE2304"/>
    <w:rsid w:val="00DE27DA"/>
    <w:rsid w:val="00DE30B9"/>
    <w:rsid w:val="00DE3138"/>
    <w:rsid w:val="00DE322D"/>
    <w:rsid w:val="00DE37F8"/>
    <w:rsid w:val="00DE3D4D"/>
    <w:rsid w:val="00DE3D8B"/>
    <w:rsid w:val="00DE3E15"/>
    <w:rsid w:val="00DE4273"/>
    <w:rsid w:val="00DE4E6C"/>
    <w:rsid w:val="00DE4FCB"/>
    <w:rsid w:val="00DE5D07"/>
    <w:rsid w:val="00DE650E"/>
    <w:rsid w:val="00DE6670"/>
    <w:rsid w:val="00DE694F"/>
    <w:rsid w:val="00DE7279"/>
    <w:rsid w:val="00DE72A7"/>
    <w:rsid w:val="00DE7832"/>
    <w:rsid w:val="00DE7855"/>
    <w:rsid w:val="00DF02EB"/>
    <w:rsid w:val="00DF1789"/>
    <w:rsid w:val="00DF18FC"/>
    <w:rsid w:val="00DF19B0"/>
    <w:rsid w:val="00DF1A3A"/>
    <w:rsid w:val="00DF1C46"/>
    <w:rsid w:val="00DF3089"/>
    <w:rsid w:val="00DF5D2B"/>
    <w:rsid w:val="00DF6276"/>
    <w:rsid w:val="00DF6341"/>
    <w:rsid w:val="00DF6C88"/>
    <w:rsid w:val="00DF755F"/>
    <w:rsid w:val="00DF79B8"/>
    <w:rsid w:val="00E00E8E"/>
    <w:rsid w:val="00E02454"/>
    <w:rsid w:val="00E02596"/>
    <w:rsid w:val="00E03E45"/>
    <w:rsid w:val="00E0436E"/>
    <w:rsid w:val="00E05103"/>
    <w:rsid w:val="00E05630"/>
    <w:rsid w:val="00E05CF2"/>
    <w:rsid w:val="00E0672D"/>
    <w:rsid w:val="00E06955"/>
    <w:rsid w:val="00E06DBB"/>
    <w:rsid w:val="00E06EF7"/>
    <w:rsid w:val="00E070BD"/>
    <w:rsid w:val="00E070E2"/>
    <w:rsid w:val="00E10149"/>
    <w:rsid w:val="00E10EFC"/>
    <w:rsid w:val="00E112BC"/>
    <w:rsid w:val="00E11340"/>
    <w:rsid w:val="00E11A42"/>
    <w:rsid w:val="00E12012"/>
    <w:rsid w:val="00E122A1"/>
    <w:rsid w:val="00E13C00"/>
    <w:rsid w:val="00E16372"/>
    <w:rsid w:val="00E1672C"/>
    <w:rsid w:val="00E16AD8"/>
    <w:rsid w:val="00E17766"/>
    <w:rsid w:val="00E17C6D"/>
    <w:rsid w:val="00E17FFA"/>
    <w:rsid w:val="00E20B3E"/>
    <w:rsid w:val="00E20E4D"/>
    <w:rsid w:val="00E20ED6"/>
    <w:rsid w:val="00E21358"/>
    <w:rsid w:val="00E213AC"/>
    <w:rsid w:val="00E22496"/>
    <w:rsid w:val="00E2249B"/>
    <w:rsid w:val="00E22A0D"/>
    <w:rsid w:val="00E23821"/>
    <w:rsid w:val="00E2423D"/>
    <w:rsid w:val="00E244F6"/>
    <w:rsid w:val="00E2496D"/>
    <w:rsid w:val="00E24AC8"/>
    <w:rsid w:val="00E24F6A"/>
    <w:rsid w:val="00E258DB"/>
    <w:rsid w:val="00E26DA4"/>
    <w:rsid w:val="00E26EEE"/>
    <w:rsid w:val="00E2771E"/>
    <w:rsid w:val="00E3099D"/>
    <w:rsid w:val="00E30A23"/>
    <w:rsid w:val="00E30F1D"/>
    <w:rsid w:val="00E311EF"/>
    <w:rsid w:val="00E31D8F"/>
    <w:rsid w:val="00E32180"/>
    <w:rsid w:val="00E3271D"/>
    <w:rsid w:val="00E32D83"/>
    <w:rsid w:val="00E34948"/>
    <w:rsid w:val="00E35248"/>
    <w:rsid w:val="00E3552C"/>
    <w:rsid w:val="00E35A89"/>
    <w:rsid w:val="00E35FC2"/>
    <w:rsid w:val="00E37569"/>
    <w:rsid w:val="00E3775F"/>
    <w:rsid w:val="00E401B2"/>
    <w:rsid w:val="00E404AC"/>
    <w:rsid w:val="00E40529"/>
    <w:rsid w:val="00E40A72"/>
    <w:rsid w:val="00E40B74"/>
    <w:rsid w:val="00E41E30"/>
    <w:rsid w:val="00E42F73"/>
    <w:rsid w:val="00E43D70"/>
    <w:rsid w:val="00E43F3B"/>
    <w:rsid w:val="00E466F3"/>
    <w:rsid w:val="00E46B5E"/>
    <w:rsid w:val="00E47B2C"/>
    <w:rsid w:val="00E50A66"/>
    <w:rsid w:val="00E51560"/>
    <w:rsid w:val="00E51821"/>
    <w:rsid w:val="00E52438"/>
    <w:rsid w:val="00E52CCA"/>
    <w:rsid w:val="00E52E7F"/>
    <w:rsid w:val="00E53AF4"/>
    <w:rsid w:val="00E53FC8"/>
    <w:rsid w:val="00E540E5"/>
    <w:rsid w:val="00E54347"/>
    <w:rsid w:val="00E55424"/>
    <w:rsid w:val="00E55915"/>
    <w:rsid w:val="00E55961"/>
    <w:rsid w:val="00E55BB5"/>
    <w:rsid w:val="00E55C43"/>
    <w:rsid w:val="00E565DA"/>
    <w:rsid w:val="00E56784"/>
    <w:rsid w:val="00E57B46"/>
    <w:rsid w:val="00E611DF"/>
    <w:rsid w:val="00E61925"/>
    <w:rsid w:val="00E61F94"/>
    <w:rsid w:val="00E625AB"/>
    <w:rsid w:val="00E64024"/>
    <w:rsid w:val="00E64BF5"/>
    <w:rsid w:val="00E64D91"/>
    <w:rsid w:val="00E65802"/>
    <w:rsid w:val="00E65E79"/>
    <w:rsid w:val="00E66201"/>
    <w:rsid w:val="00E66BA2"/>
    <w:rsid w:val="00E67416"/>
    <w:rsid w:val="00E67D7A"/>
    <w:rsid w:val="00E7062D"/>
    <w:rsid w:val="00E7119D"/>
    <w:rsid w:val="00E715DE"/>
    <w:rsid w:val="00E718B6"/>
    <w:rsid w:val="00E71C0D"/>
    <w:rsid w:val="00E72007"/>
    <w:rsid w:val="00E723BA"/>
    <w:rsid w:val="00E72D96"/>
    <w:rsid w:val="00E72FB0"/>
    <w:rsid w:val="00E73581"/>
    <w:rsid w:val="00E74348"/>
    <w:rsid w:val="00E75D03"/>
    <w:rsid w:val="00E7656A"/>
    <w:rsid w:val="00E77514"/>
    <w:rsid w:val="00E80029"/>
    <w:rsid w:val="00E801A0"/>
    <w:rsid w:val="00E80223"/>
    <w:rsid w:val="00E8260F"/>
    <w:rsid w:val="00E82ACC"/>
    <w:rsid w:val="00E82ED7"/>
    <w:rsid w:val="00E832AF"/>
    <w:rsid w:val="00E833F7"/>
    <w:rsid w:val="00E83A37"/>
    <w:rsid w:val="00E83BDF"/>
    <w:rsid w:val="00E83D9A"/>
    <w:rsid w:val="00E8407D"/>
    <w:rsid w:val="00E84232"/>
    <w:rsid w:val="00E843FA"/>
    <w:rsid w:val="00E85ADF"/>
    <w:rsid w:val="00E86662"/>
    <w:rsid w:val="00E86FCC"/>
    <w:rsid w:val="00E87A1D"/>
    <w:rsid w:val="00E9094A"/>
    <w:rsid w:val="00E909C1"/>
    <w:rsid w:val="00E91D35"/>
    <w:rsid w:val="00E92578"/>
    <w:rsid w:val="00E926A5"/>
    <w:rsid w:val="00E939E8"/>
    <w:rsid w:val="00E93DEF"/>
    <w:rsid w:val="00E94CE2"/>
    <w:rsid w:val="00E94D5F"/>
    <w:rsid w:val="00E960E2"/>
    <w:rsid w:val="00E961A9"/>
    <w:rsid w:val="00E962CC"/>
    <w:rsid w:val="00EA0B1C"/>
    <w:rsid w:val="00EA17C3"/>
    <w:rsid w:val="00EA2AD8"/>
    <w:rsid w:val="00EA2CAA"/>
    <w:rsid w:val="00EA34B0"/>
    <w:rsid w:val="00EA3835"/>
    <w:rsid w:val="00EA3864"/>
    <w:rsid w:val="00EA5173"/>
    <w:rsid w:val="00EA54D5"/>
    <w:rsid w:val="00EA5609"/>
    <w:rsid w:val="00EA6484"/>
    <w:rsid w:val="00EA672A"/>
    <w:rsid w:val="00EA76AE"/>
    <w:rsid w:val="00EA7735"/>
    <w:rsid w:val="00EA783B"/>
    <w:rsid w:val="00EA7C16"/>
    <w:rsid w:val="00EA7F1C"/>
    <w:rsid w:val="00EB07A2"/>
    <w:rsid w:val="00EB0BFF"/>
    <w:rsid w:val="00EB15B6"/>
    <w:rsid w:val="00EB3997"/>
    <w:rsid w:val="00EB3D06"/>
    <w:rsid w:val="00EB4075"/>
    <w:rsid w:val="00EB4816"/>
    <w:rsid w:val="00EB4916"/>
    <w:rsid w:val="00EB497D"/>
    <w:rsid w:val="00EB5A87"/>
    <w:rsid w:val="00EB5A8A"/>
    <w:rsid w:val="00EB67EC"/>
    <w:rsid w:val="00EB6922"/>
    <w:rsid w:val="00EB7A25"/>
    <w:rsid w:val="00EB7E0C"/>
    <w:rsid w:val="00EC00C9"/>
    <w:rsid w:val="00EC0CBA"/>
    <w:rsid w:val="00EC0DD9"/>
    <w:rsid w:val="00EC0EB2"/>
    <w:rsid w:val="00EC12C4"/>
    <w:rsid w:val="00EC15D0"/>
    <w:rsid w:val="00EC1600"/>
    <w:rsid w:val="00EC1CE5"/>
    <w:rsid w:val="00EC2649"/>
    <w:rsid w:val="00EC2C2E"/>
    <w:rsid w:val="00EC3035"/>
    <w:rsid w:val="00EC31ED"/>
    <w:rsid w:val="00EC372C"/>
    <w:rsid w:val="00EC37B6"/>
    <w:rsid w:val="00EC4E07"/>
    <w:rsid w:val="00EC4F11"/>
    <w:rsid w:val="00EC5836"/>
    <w:rsid w:val="00EC5D07"/>
    <w:rsid w:val="00EC688C"/>
    <w:rsid w:val="00EC6D6C"/>
    <w:rsid w:val="00EC6DE3"/>
    <w:rsid w:val="00EC7E52"/>
    <w:rsid w:val="00EC7FEF"/>
    <w:rsid w:val="00ED12E3"/>
    <w:rsid w:val="00ED1A09"/>
    <w:rsid w:val="00ED1E50"/>
    <w:rsid w:val="00ED4156"/>
    <w:rsid w:val="00ED448E"/>
    <w:rsid w:val="00ED4B04"/>
    <w:rsid w:val="00ED4C87"/>
    <w:rsid w:val="00ED55B8"/>
    <w:rsid w:val="00ED57EA"/>
    <w:rsid w:val="00ED5BD4"/>
    <w:rsid w:val="00ED6CA4"/>
    <w:rsid w:val="00ED76CA"/>
    <w:rsid w:val="00EE0157"/>
    <w:rsid w:val="00EE0266"/>
    <w:rsid w:val="00EE07D3"/>
    <w:rsid w:val="00EE0B7E"/>
    <w:rsid w:val="00EE0FD3"/>
    <w:rsid w:val="00EE14E2"/>
    <w:rsid w:val="00EE1996"/>
    <w:rsid w:val="00EE1A06"/>
    <w:rsid w:val="00EE1C01"/>
    <w:rsid w:val="00EE1DFF"/>
    <w:rsid w:val="00EE22AF"/>
    <w:rsid w:val="00EE26AC"/>
    <w:rsid w:val="00EE2D3F"/>
    <w:rsid w:val="00EE362C"/>
    <w:rsid w:val="00EE3721"/>
    <w:rsid w:val="00EE49E1"/>
    <w:rsid w:val="00EE4B10"/>
    <w:rsid w:val="00EE5250"/>
    <w:rsid w:val="00EE5EAB"/>
    <w:rsid w:val="00EE6D69"/>
    <w:rsid w:val="00EE76A2"/>
    <w:rsid w:val="00EE78EE"/>
    <w:rsid w:val="00EE7F1E"/>
    <w:rsid w:val="00EF0171"/>
    <w:rsid w:val="00EF037C"/>
    <w:rsid w:val="00EF13CF"/>
    <w:rsid w:val="00EF19D4"/>
    <w:rsid w:val="00EF1B25"/>
    <w:rsid w:val="00EF1DA0"/>
    <w:rsid w:val="00EF303A"/>
    <w:rsid w:val="00EF34D5"/>
    <w:rsid w:val="00EF3ACB"/>
    <w:rsid w:val="00EF4747"/>
    <w:rsid w:val="00EF4BF8"/>
    <w:rsid w:val="00EF529B"/>
    <w:rsid w:val="00EF5417"/>
    <w:rsid w:val="00EF555E"/>
    <w:rsid w:val="00EF70CE"/>
    <w:rsid w:val="00F01D1E"/>
    <w:rsid w:val="00F020F1"/>
    <w:rsid w:val="00F0219F"/>
    <w:rsid w:val="00F02253"/>
    <w:rsid w:val="00F02F95"/>
    <w:rsid w:val="00F0309A"/>
    <w:rsid w:val="00F03C2E"/>
    <w:rsid w:val="00F03DC9"/>
    <w:rsid w:val="00F045C0"/>
    <w:rsid w:val="00F04A66"/>
    <w:rsid w:val="00F04B4B"/>
    <w:rsid w:val="00F0516C"/>
    <w:rsid w:val="00F0572F"/>
    <w:rsid w:val="00F063C7"/>
    <w:rsid w:val="00F067A2"/>
    <w:rsid w:val="00F06EAD"/>
    <w:rsid w:val="00F06F59"/>
    <w:rsid w:val="00F07A4E"/>
    <w:rsid w:val="00F07B9E"/>
    <w:rsid w:val="00F101DB"/>
    <w:rsid w:val="00F10579"/>
    <w:rsid w:val="00F10B8C"/>
    <w:rsid w:val="00F1116F"/>
    <w:rsid w:val="00F114A6"/>
    <w:rsid w:val="00F1151B"/>
    <w:rsid w:val="00F117D4"/>
    <w:rsid w:val="00F1263A"/>
    <w:rsid w:val="00F12835"/>
    <w:rsid w:val="00F139C5"/>
    <w:rsid w:val="00F1443A"/>
    <w:rsid w:val="00F15B77"/>
    <w:rsid w:val="00F161E7"/>
    <w:rsid w:val="00F16256"/>
    <w:rsid w:val="00F16653"/>
    <w:rsid w:val="00F16832"/>
    <w:rsid w:val="00F17163"/>
    <w:rsid w:val="00F17978"/>
    <w:rsid w:val="00F17D8A"/>
    <w:rsid w:val="00F21236"/>
    <w:rsid w:val="00F2192A"/>
    <w:rsid w:val="00F21C84"/>
    <w:rsid w:val="00F222DF"/>
    <w:rsid w:val="00F2295A"/>
    <w:rsid w:val="00F22AFC"/>
    <w:rsid w:val="00F23830"/>
    <w:rsid w:val="00F239BD"/>
    <w:rsid w:val="00F239DF"/>
    <w:rsid w:val="00F24489"/>
    <w:rsid w:val="00F24837"/>
    <w:rsid w:val="00F24BD3"/>
    <w:rsid w:val="00F24BF9"/>
    <w:rsid w:val="00F24DFA"/>
    <w:rsid w:val="00F2575F"/>
    <w:rsid w:val="00F26571"/>
    <w:rsid w:val="00F26DE3"/>
    <w:rsid w:val="00F26FCC"/>
    <w:rsid w:val="00F27565"/>
    <w:rsid w:val="00F27B03"/>
    <w:rsid w:val="00F304C1"/>
    <w:rsid w:val="00F30843"/>
    <w:rsid w:val="00F310D4"/>
    <w:rsid w:val="00F3117C"/>
    <w:rsid w:val="00F316B1"/>
    <w:rsid w:val="00F31D5A"/>
    <w:rsid w:val="00F331B4"/>
    <w:rsid w:val="00F33975"/>
    <w:rsid w:val="00F33DE9"/>
    <w:rsid w:val="00F33F45"/>
    <w:rsid w:val="00F33FF7"/>
    <w:rsid w:val="00F34CB1"/>
    <w:rsid w:val="00F35215"/>
    <w:rsid w:val="00F3521F"/>
    <w:rsid w:val="00F35E6D"/>
    <w:rsid w:val="00F3619A"/>
    <w:rsid w:val="00F378AE"/>
    <w:rsid w:val="00F40146"/>
    <w:rsid w:val="00F40228"/>
    <w:rsid w:val="00F40AAA"/>
    <w:rsid w:val="00F40BA7"/>
    <w:rsid w:val="00F40F9D"/>
    <w:rsid w:val="00F4197B"/>
    <w:rsid w:val="00F41ACD"/>
    <w:rsid w:val="00F4374D"/>
    <w:rsid w:val="00F43B17"/>
    <w:rsid w:val="00F44755"/>
    <w:rsid w:val="00F44BE1"/>
    <w:rsid w:val="00F44D62"/>
    <w:rsid w:val="00F45EC0"/>
    <w:rsid w:val="00F465E5"/>
    <w:rsid w:val="00F46614"/>
    <w:rsid w:val="00F46A2F"/>
    <w:rsid w:val="00F46CB6"/>
    <w:rsid w:val="00F46E0E"/>
    <w:rsid w:val="00F4756D"/>
    <w:rsid w:val="00F4764F"/>
    <w:rsid w:val="00F47DE8"/>
    <w:rsid w:val="00F500E1"/>
    <w:rsid w:val="00F50228"/>
    <w:rsid w:val="00F51373"/>
    <w:rsid w:val="00F5167D"/>
    <w:rsid w:val="00F51B29"/>
    <w:rsid w:val="00F528E4"/>
    <w:rsid w:val="00F53A7F"/>
    <w:rsid w:val="00F542B2"/>
    <w:rsid w:val="00F542C1"/>
    <w:rsid w:val="00F544F3"/>
    <w:rsid w:val="00F550E3"/>
    <w:rsid w:val="00F55E73"/>
    <w:rsid w:val="00F55EDA"/>
    <w:rsid w:val="00F56352"/>
    <w:rsid w:val="00F56ADA"/>
    <w:rsid w:val="00F56C80"/>
    <w:rsid w:val="00F56D30"/>
    <w:rsid w:val="00F57B1D"/>
    <w:rsid w:val="00F60092"/>
    <w:rsid w:val="00F60D8B"/>
    <w:rsid w:val="00F61C18"/>
    <w:rsid w:val="00F63C85"/>
    <w:rsid w:val="00F6439B"/>
    <w:rsid w:val="00F648FE"/>
    <w:rsid w:val="00F65456"/>
    <w:rsid w:val="00F65F4B"/>
    <w:rsid w:val="00F66C46"/>
    <w:rsid w:val="00F67A69"/>
    <w:rsid w:val="00F67D02"/>
    <w:rsid w:val="00F67D8B"/>
    <w:rsid w:val="00F70095"/>
    <w:rsid w:val="00F702C0"/>
    <w:rsid w:val="00F70316"/>
    <w:rsid w:val="00F70783"/>
    <w:rsid w:val="00F70838"/>
    <w:rsid w:val="00F70A06"/>
    <w:rsid w:val="00F70BFF"/>
    <w:rsid w:val="00F70C9D"/>
    <w:rsid w:val="00F71084"/>
    <w:rsid w:val="00F72F2C"/>
    <w:rsid w:val="00F73E08"/>
    <w:rsid w:val="00F749A9"/>
    <w:rsid w:val="00F74BE4"/>
    <w:rsid w:val="00F74CD9"/>
    <w:rsid w:val="00F74D3E"/>
    <w:rsid w:val="00F75DB7"/>
    <w:rsid w:val="00F75E61"/>
    <w:rsid w:val="00F76EF4"/>
    <w:rsid w:val="00F77FC2"/>
    <w:rsid w:val="00F80A7B"/>
    <w:rsid w:val="00F80E5D"/>
    <w:rsid w:val="00F818DF"/>
    <w:rsid w:val="00F81E45"/>
    <w:rsid w:val="00F81E78"/>
    <w:rsid w:val="00F83090"/>
    <w:rsid w:val="00F83916"/>
    <w:rsid w:val="00F84942"/>
    <w:rsid w:val="00F84D37"/>
    <w:rsid w:val="00F851CE"/>
    <w:rsid w:val="00F85FF2"/>
    <w:rsid w:val="00F86551"/>
    <w:rsid w:val="00F87C90"/>
    <w:rsid w:val="00F9039B"/>
    <w:rsid w:val="00F90CE9"/>
    <w:rsid w:val="00F90E0C"/>
    <w:rsid w:val="00F91219"/>
    <w:rsid w:val="00F92444"/>
    <w:rsid w:val="00F92A6B"/>
    <w:rsid w:val="00F9393E"/>
    <w:rsid w:val="00F941CB"/>
    <w:rsid w:val="00F94A93"/>
    <w:rsid w:val="00F958A8"/>
    <w:rsid w:val="00F95AC8"/>
    <w:rsid w:val="00F95FBE"/>
    <w:rsid w:val="00F9618A"/>
    <w:rsid w:val="00F962C9"/>
    <w:rsid w:val="00F963F0"/>
    <w:rsid w:val="00F9653B"/>
    <w:rsid w:val="00F968C2"/>
    <w:rsid w:val="00F9693B"/>
    <w:rsid w:val="00F96D38"/>
    <w:rsid w:val="00F96F59"/>
    <w:rsid w:val="00F96FD0"/>
    <w:rsid w:val="00F9796C"/>
    <w:rsid w:val="00F97A78"/>
    <w:rsid w:val="00FA0B20"/>
    <w:rsid w:val="00FA248E"/>
    <w:rsid w:val="00FA24E7"/>
    <w:rsid w:val="00FA32B9"/>
    <w:rsid w:val="00FA40D4"/>
    <w:rsid w:val="00FA449A"/>
    <w:rsid w:val="00FA52BA"/>
    <w:rsid w:val="00FA5EE6"/>
    <w:rsid w:val="00FA6F9E"/>
    <w:rsid w:val="00FA7194"/>
    <w:rsid w:val="00FA7956"/>
    <w:rsid w:val="00FB01EE"/>
    <w:rsid w:val="00FB0824"/>
    <w:rsid w:val="00FB149B"/>
    <w:rsid w:val="00FB1729"/>
    <w:rsid w:val="00FB1B5F"/>
    <w:rsid w:val="00FB200B"/>
    <w:rsid w:val="00FB2436"/>
    <w:rsid w:val="00FB2FCB"/>
    <w:rsid w:val="00FB41AE"/>
    <w:rsid w:val="00FB4B15"/>
    <w:rsid w:val="00FB4C9C"/>
    <w:rsid w:val="00FB4EA9"/>
    <w:rsid w:val="00FB4F50"/>
    <w:rsid w:val="00FB524E"/>
    <w:rsid w:val="00FB6B1B"/>
    <w:rsid w:val="00FB7C55"/>
    <w:rsid w:val="00FC1074"/>
    <w:rsid w:val="00FC1487"/>
    <w:rsid w:val="00FC1884"/>
    <w:rsid w:val="00FC1E86"/>
    <w:rsid w:val="00FC3322"/>
    <w:rsid w:val="00FC371D"/>
    <w:rsid w:val="00FC3BFE"/>
    <w:rsid w:val="00FC3EBE"/>
    <w:rsid w:val="00FC455E"/>
    <w:rsid w:val="00FC5043"/>
    <w:rsid w:val="00FC5F0B"/>
    <w:rsid w:val="00FC648D"/>
    <w:rsid w:val="00FC7A95"/>
    <w:rsid w:val="00FD04E2"/>
    <w:rsid w:val="00FD124F"/>
    <w:rsid w:val="00FD1645"/>
    <w:rsid w:val="00FD1CB7"/>
    <w:rsid w:val="00FD2100"/>
    <w:rsid w:val="00FD274D"/>
    <w:rsid w:val="00FD2B17"/>
    <w:rsid w:val="00FD2CCA"/>
    <w:rsid w:val="00FD32E1"/>
    <w:rsid w:val="00FD3397"/>
    <w:rsid w:val="00FD3CAD"/>
    <w:rsid w:val="00FD436C"/>
    <w:rsid w:val="00FD446D"/>
    <w:rsid w:val="00FD4548"/>
    <w:rsid w:val="00FD4649"/>
    <w:rsid w:val="00FD4DFB"/>
    <w:rsid w:val="00FD4ED6"/>
    <w:rsid w:val="00FD4F2C"/>
    <w:rsid w:val="00FD5A58"/>
    <w:rsid w:val="00FD5B0B"/>
    <w:rsid w:val="00FD60B4"/>
    <w:rsid w:val="00FD6394"/>
    <w:rsid w:val="00FD7BB9"/>
    <w:rsid w:val="00FE0E6C"/>
    <w:rsid w:val="00FE135E"/>
    <w:rsid w:val="00FE1CDC"/>
    <w:rsid w:val="00FE2315"/>
    <w:rsid w:val="00FE3A06"/>
    <w:rsid w:val="00FE3B89"/>
    <w:rsid w:val="00FE3EFA"/>
    <w:rsid w:val="00FE49B3"/>
    <w:rsid w:val="00FE5BF1"/>
    <w:rsid w:val="00FE5CCE"/>
    <w:rsid w:val="00FE6C6D"/>
    <w:rsid w:val="00FE6FE0"/>
    <w:rsid w:val="00FE70C3"/>
    <w:rsid w:val="00FF06B1"/>
    <w:rsid w:val="00FF08EF"/>
    <w:rsid w:val="00FF1A8B"/>
    <w:rsid w:val="00FF2AD9"/>
    <w:rsid w:val="00FF2D51"/>
    <w:rsid w:val="00FF3389"/>
    <w:rsid w:val="00FF359F"/>
    <w:rsid w:val="00FF3DCF"/>
    <w:rsid w:val="00FF4064"/>
    <w:rsid w:val="00FF492C"/>
    <w:rsid w:val="00FF4A21"/>
    <w:rsid w:val="00FF4F3C"/>
    <w:rsid w:val="00FF5086"/>
    <w:rsid w:val="00FF5186"/>
    <w:rsid w:val="00FF5AA3"/>
    <w:rsid w:val="00FF5AD8"/>
    <w:rsid w:val="00FF5F84"/>
    <w:rsid w:val="00FF69F3"/>
    <w:rsid w:val="00FF7824"/>
    <w:rsid w:val="00FF78B0"/>
    <w:rsid w:val="00FF7F0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39C"/>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next w:val="Normal"/>
    <w:link w:val="Heading2Char"/>
    <w:rsid w:val="00D410E4"/>
    <w:pPr>
      <w:outlineLvl w:val="1"/>
    </w:pPr>
    <w:rPr>
      <w:rFonts w:ascii="Calibri" w:hAnsi="Calibri" w:cs="Arial"/>
      <w:b/>
      <w:i/>
      <w:sz w:val="28"/>
      <w:szCs w:val="24"/>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410E4"/>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execsummbulletlist">
    <w:name w:val="COM exec summ bullet list"/>
    <w:basedOn w:val="ListParagraph"/>
    <w:link w:val="COMexecsummbulletlistChar"/>
    <w:qFormat/>
    <w:rsid w:val="00DB0020"/>
    <w:pPr>
      <w:ind w:left="1134"/>
    </w:pPr>
  </w:style>
  <w:style w:type="paragraph" w:customStyle="1" w:styleId="COMexecsummmainissuesbullets">
    <w:name w:val="COM exec summ main issues bullets"/>
    <w:basedOn w:val="ListParagraph"/>
    <w:link w:val="COMexecsummmainissuesbulletsChar"/>
    <w:qFormat/>
    <w:rsid w:val="00023AB6"/>
    <w:pPr>
      <w:numPr>
        <w:numId w:val="5"/>
      </w:numPr>
    </w:pPr>
    <w:rPr>
      <w:color w:val="0066FF"/>
    </w:rPr>
  </w:style>
  <w:style w:type="character" w:customStyle="1" w:styleId="COMexecsummbulletlistChar">
    <w:name w:val="COM exec summ bullet list Char"/>
    <w:basedOn w:val="ListParagraphChar"/>
    <w:link w:val="COMexecsummbulletlist"/>
    <w:rsid w:val="00DB0020"/>
    <w:rPr>
      <w:rFonts w:asciiTheme="minorHAnsi" w:hAnsiTheme="minorHAnsi" w:cs="Arial"/>
      <w:snapToGrid w:val="0"/>
      <w:sz w:val="24"/>
      <w:szCs w:val="24"/>
    </w:rPr>
  </w:style>
  <w:style w:type="paragraph" w:customStyle="1" w:styleId="COMH3">
    <w:name w:val="COM H3"/>
    <w:basedOn w:val="Normal"/>
    <w:next w:val="Normal"/>
    <w:link w:val="COMH3Char"/>
    <w:qFormat/>
    <w:rsid w:val="00910CFD"/>
    <w:pPr>
      <w:keepNext/>
      <w:spacing w:after="240"/>
    </w:pPr>
    <w:rPr>
      <w:b/>
      <w:iCs/>
      <w:sz w:val="28"/>
    </w:rPr>
  </w:style>
  <w:style w:type="paragraph" w:styleId="ListParagraph">
    <w:name w:val="List Paragraph"/>
    <w:aliases w:val="BulletPoints,Bullet point,List Paragraph1,List Paragraph11,Recommendation,Section heading,Numbered para,ES Paragraph,PBAC ES Paragraph,PBAC normal points,Bullet List,L,Bullet Point,Bulletr List Paragraph,Content descriptions,FooterText"/>
    <w:next w:val="ListBullet"/>
    <w:link w:val="ListParagraphChar"/>
    <w:uiPriority w:val="34"/>
    <w:qFormat/>
    <w:rsid w:val="00BB00B3"/>
    <w:pPr>
      <w:spacing w:after="120"/>
      <w:ind w:left="720" w:hanging="360"/>
      <w:jc w:val="both"/>
    </w:pPr>
    <w:rPr>
      <w:rFonts w:asciiTheme="minorHAnsi" w:hAnsiTheme="minorHAnsi" w:cs="Arial"/>
      <w:snapToGrid w:val="0"/>
      <w:sz w:val="24"/>
      <w:szCs w:val="24"/>
    </w:rPr>
  </w:style>
  <w:style w:type="paragraph" w:styleId="ListBullet">
    <w:name w:val="List Bullet"/>
    <w:aliases w:val="zz List Bullet"/>
    <w:basedOn w:val="Normal"/>
    <w:link w:val="ListBulletChar"/>
    <w:unhideWhenUsed/>
    <w:rsid w:val="00EE1996"/>
    <w:pPr>
      <w:numPr>
        <w:numId w:val="3"/>
      </w:numPr>
      <w:contextualSpacing/>
    </w:pPr>
  </w:style>
  <w:style w:type="character" w:customStyle="1" w:styleId="ListParagraphChar">
    <w:name w:val="List Paragraph Char"/>
    <w:aliases w:val="BulletPoints Char,Bullet point Char,List Paragraph1 Char,List Paragraph11 Char,Recommendation Char,Section heading Char,Numbered para Char,ES Paragraph Char,PBAC ES Paragraph Char,PBAC normal points Char,Bullet List Char,L Char"/>
    <w:basedOn w:val="DefaultParagraphFont"/>
    <w:link w:val="ListParagraph"/>
    <w:uiPriority w:val="34"/>
    <w:qFormat/>
    <w:locked/>
    <w:rsid w:val="00BB00B3"/>
    <w:rPr>
      <w:rFonts w:asciiTheme="minorHAnsi" w:hAnsiTheme="minorHAnsi" w:cs="Arial"/>
      <w:snapToGrid w:val="0"/>
      <w:sz w:val="24"/>
      <w:szCs w:val="24"/>
    </w:rPr>
  </w:style>
  <w:style w:type="table" w:styleId="TableGrid">
    <w:name w:val="Table Grid"/>
    <w:aliases w:val="Summary box,Table Gridbeth,CMA Table Template,ASD Table,Tabellengitternetz 9pt,Source table_,NICE instructions,PBAC table,new style,MSD Table Grid,HTAtableplain,Lash Style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H2-numbered">
    <w:name w:val="COM H2 - numbered"/>
    <w:basedOn w:val="Heading2"/>
    <w:link w:val="COMH2-numberedChar"/>
    <w:qFormat/>
    <w:rsid w:val="00721EA3"/>
    <w:pPr>
      <w:keepNext/>
      <w:spacing w:after="240"/>
    </w:p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B02565"/>
    <w:pPr>
      <w:tabs>
        <w:tab w:val="left" w:pos="440"/>
        <w:tab w:val="right" w:leader="dot" w:pos="9016"/>
      </w:tabs>
      <w:spacing w:after="120"/>
      <w:jc w:val="left"/>
    </w:pPr>
    <w:rPr>
      <w:bCs/>
      <w:sz w:val="20"/>
    </w:rPr>
  </w:style>
  <w:style w:type="character" w:customStyle="1" w:styleId="COMexecsummmainissuesbulletsChar">
    <w:name w:val="COM exec summ main issues bullets Char"/>
    <w:basedOn w:val="ListParagraphChar"/>
    <w:link w:val="COMexecsummmainissuesbullets"/>
    <w:rsid w:val="00023AB6"/>
    <w:rPr>
      <w:rFonts w:asciiTheme="minorHAnsi" w:hAnsiTheme="minorHAnsi" w:cs="Arial"/>
      <w:snapToGrid w:val="0"/>
      <w:color w:val="0066FF"/>
      <w:sz w:val="24"/>
      <w:szCs w:val="24"/>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character" w:customStyle="1" w:styleId="COMH2-numberedChar">
    <w:name w:val="COM H2 - numbered Char"/>
    <w:basedOn w:val="Heading2Char"/>
    <w:link w:val="COMH2-numbered"/>
    <w:rsid w:val="00721EA3"/>
    <w:rPr>
      <w:rFonts w:ascii="Calibri" w:hAnsi="Calibri" w:cs="Arial"/>
      <w:b/>
      <w:i/>
      <w:sz w:val="28"/>
      <w:szCs w:val="24"/>
    </w:rPr>
  </w:style>
  <w:style w:type="paragraph" w:customStyle="1" w:styleId="COMH4">
    <w:name w:val="COM H4"/>
    <w:basedOn w:val="Normal"/>
    <w:link w:val="COMH4Char"/>
    <w:qFormat/>
    <w:rsid w:val="00C042D3"/>
    <w:pPr>
      <w:spacing w:after="120"/>
    </w:pPr>
    <w:rPr>
      <w:b/>
      <w:i/>
    </w:rPr>
  </w:style>
  <w:style w:type="character" w:customStyle="1" w:styleId="COMH3Char">
    <w:name w:val="COM H3 Char"/>
    <w:basedOn w:val="DefaultParagraphFont"/>
    <w:link w:val="COMH3"/>
    <w:rsid w:val="00910CFD"/>
    <w:rPr>
      <w:rFonts w:ascii="Calibri" w:hAnsi="Calibri" w:cs="Arial"/>
      <w:b/>
      <w:iCs/>
      <w:sz w:val="28"/>
      <w:szCs w:val="24"/>
    </w:rPr>
  </w:style>
  <w:style w:type="paragraph" w:customStyle="1" w:styleId="COMbodybulletlist">
    <w:name w:val="COM body bullet list"/>
    <w:basedOn w:val="COMexecsummbulletlist"/>
    <w:link w:val="COMbodybulletlistChar"/>
    <w:qFormat/>
    <w:rsid w:val="00491266"/>
    <w:pPr>
      <w:numPr>
        <w:numId w:val="9"/>
      </w:numPr>
      <w:ind w:left="1134" w:hanging="414"/>
    </w:pPr>
  </w:style>
  <w:style w:type="character" w:customStyle="1" w:styleId="COMH4Char">
    <w:name w:val="COM H4 Char"/>
    <w:basedOn w:val="DefaultParagraphFont"/>
    <w:link w:val="COMH4"/>
    <w:rsid w:val="00C042D3"/>
    <w:rPr>
      <w:rFonts w:ascii="Calibri" w:hAnsi="Calibri" w:cs="Arial"/>
      <w:b/>
      <w:i/>
      <w:sz w:val="24"/>
      <w:szCs w:val="24"/>
    </w:rPr>
  </w:style>
  <w:style w:type="paragraph" w:customStyle="1" w:styleId="zzBulletpoints">
    <w:name w:val="zz Bullet points"/>
    <w:basedOn w:val="ListParagraph"/>
    <w:rsid w:val="00B70E8E"/>
    <w:pPr>
      <w:numPr>
        <w:numId w:val="2"/>
      </w:numPr>
      <w:contextualSpacing/>
    </w:pPr>
  </w:style>
  <w:style w:type="paragraph" w:customStyle="1" w:styleId="COMBody">
    <w:name w:val="COM Body"/>
    <w:basedOn w:val="Normal"/>
    <w:link w:val="COMBodyChar"/>
    <w:qFormat/>
    <w:rsid w:val="00894E87"/>
  </w:style>
  <w:style w:type="character" w:customStyle="1" w:styleId="ListBulletChar">
    <w:name w:val="List Bullet Char"/>
    <w:aliases w:val="zz List Bullet Char"/>
    <w:basedOn w:val="DefaultParagraphFont"/>
    <w:link w:val="ListBullet"/>
    <w:rsid w:val="00894E87"/>
    <w:rPr>
      <w:rFonts w:ascii="Calibri" w:hAnsi="Calibri" w:cs="Arial"/>
      <w:sz w:val="24"/>
      <w:szCs w:val="24"/>
    </w:rPr>
  </w:style>
  <w:style w:type="paragraph" w:styleId="Revision">
    <w:name w:val="Revision"/>
    <w:hidden/>
    <w:uiPriority w:val="99"/>
    <w:semiHidden/>
    <w:rsid w:val="00043C37"/>
    <w:rPr>
      <w:rFonts w:ascii="Arial" w:hAnsi="Arial" w:cs="Arial"/>
      <w:snapToGrid w:val="0"/>
      <w:sz w:val="22"/>
      <w:lang w:eastAsia="en-US"/>
    </w:rPr>
  </w:style>
  <w:style w:type="character" w:customStyle="1" w:styleId="COMbodybulletlistChar">
    <w:name w:val="COM body bullet list Char"/>
    <w:basedOn w:val="ListBulletChar"/>
    <w:link w:val="COMbodybulletlist"/>
    <w:rsid w:val="00491266"/>
    <w:rPr>
      <w:rFonts w:asciiTheme="minorHAnsi" w:hAnsiTheme="minorHAnsi" w:cs="Arial"/>
      <w:snapToGrid w:val="0"/>
      <w:sz w:val="24"/>
      <w:szCs w:val="24"/>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character" w:customStyle="1" w:styleId="COMBodyChar">
    <w:name w:val="COM Body Char"/>
    <w:basedOn w:val="DefaultParagraphFont"/>
    <w:link w:val="COMBody"/>
    <w:rsid w:val="00894E87"/>
    <w:rPr>
      <w:rFonts w:ascii="Calibri" w:hAnsi="Calibri" w:cs="Arial"/>
      <w:sz w:val="24"/>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COMTabletext">
    <w:name w:val="COM Table text"/>
    <w:link w:val="COMTabletextChar"/>
    <w:qFormat/>
    <w:rsid w:val="00EE1996"/>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EE1996"/>
    <w:rPr>
      <w:rFonts w:ascii="Arial Narrow" w:eastAsiaTheme="majorEastAsia" w:hAnsi="Arial Narrow" w:cstheme="majorBidi"/>
      <w:bCs/>
      <w:szCs w:val="24"/>
    </w:rPr>
  </w:style>
  <w:style w:type="paragraph" w:customStyle="1" w:styleId="COMTableheadingrow">
    <w:name w:val="COM Table heading row"/>
    <w:qFormat/>
    <w:rsid w:val="00EE1996"/>
    <w:pPr>
      <w:keepNext/>
    </w:pPr>
    <w:rPr>
      <w:rFonts w:ascii="Arial Narrow" w:eastAsiaTheme="majorEastAsia" w:hAnsi="Arial Narrow"/>
      <w:b/>
      <w:szCs w:val="24"/>
      <w:lang w:val="en-US"/>
    </w:rPr>
  </w:style>
  <w:style w:type="paragraph" w:customStyle="1" w:styleId="COMH1numbered">
    <w:name w:val="COM H1 numbered"/>
    <w:next w:val="Normal"/>
    <w:link w:val="COMH1numberedChar"/>
    <w:qFormat/>
    <w:rsid w:val="00163E81"/>
    <w:pPr>
      <w:keepNext/>
      <w:numPr>
        <w:numId w:val="1"/>
      </w:numPr>
      <w:spacing w:before="240" w:after="120"/>
      <w:outlineLvl w:val="0"/>
    </w:pPr>
    <w:rPr>
      <w:rFonts w:asciiTheme="minorHAnsi" w:hAnsiTheme="minorHAnsi" w:cs="Arial"/>
      <w:b/>
      <w:snapToGrid w:val="0"/>
      <w:sz w:val="32"/>
      <w:szCs w:val="32"/>
    </w:rPr>
  </w:style>
  <w:style w:type="paragraph" w:customStyle="1" w:styleId="COMH1-non-numbered">
    <w:name w:val="COM H1 - non-numbered"/>
    <w:next w:val="Normal"/>
    <w:link w:val="COMH1-non-numberedChar"/>
    <w:qFormat/>
    <w:rsid w:val="00603248"/>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603248"/>
    <w:rPr>
      <w:rFonts w:asciiTheme="minorHAnsi" w:eastAsiaTheme="majorEastAsia" w:hAnsiTheme="minorHAnsi" w:cstheme="majorBidi"/>
      <w:b/>
      <w:spacing w:val="5"/>
      <w:kern w:val="28"/>
      <w:sz w:val="32"/>
      <w:szCs w:val="36"/>
    </w:rPr>
  </w:style>
  <w:style w:type="paragraph" w:customStyle="1" w:styleId="COMtablefigcaption">
    <w:name w:val="COM table/fig caption"/>
    <w:next w:val="COMTableheadingrow"/>
    <w:link w:val="COMtablefigcaptionChar"/>
    <w:qFormat/>
    <w:rsid w:val="006F0267"/>
    <w:pPr>
      <w:keepNext/>
      <w:jc w:val="both"/>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6F0267"/>
    <w:rPr>
      <w:rFonts w:ascii="Arial Narrow" w:eastAsiaTheme="majorEastAsia" w:hAnsi="Arial Narrow" w:cstheme="majorBidi"/>
      <w:b/>
      <w:bCs/>
      <w:szCs w:val="24"/>
    </w:rPr>
  </w:style>
  <w:style w:type="paragraph" w:customStyle="1" w:styleId="COMexecsumnumberedpara">
    <w:name w:val="COM exec sum numbered para"/>
    <w:basedOn w:val="ListParagraph"/>
    <w:link w:val="COMexecsumnumberedparaChar"/>
    <w:qFormat/>
    <w:rsid w:val="00B5370E"/>
    <w:pPr>
      <w:numPr>
        <w:ilvl w:val="1"/>
        <w:numId w:val="1"/>
      </w:numPr>
    </w:pPr>
  </w:style>
  <w:style w:type="character" w:customStyle="1" w:styleId="COMexecsumnumberedparaChar">
    <w:name w:val="COM exec sum numbered para Char"/>
    <w:basedOn w:val="ListParagraphChar"/>
    <w:link w:val="COMexecsumnumberedpara"/>
    <w:rsid w:val="00B5370E"/>
    <w:rPr>
      <w:rFonts w:asciiTheme="minorHAnsi" w:hAnsiTheme="minorHAnsi" w:cs="Arial"/>
      <w:snapToGrid w:val="0"/>
      <w:sz w:val="24"/>
      <w:szCs w:val="24"/>
    </w:rPr>
  </w:style>
  <w:style w:type="paragraph" w:customStyle="1" w:styleId="COMTablefooter">
    <w:name w:val="COM Table footer"/>
    <w:basedOn w:val="Normal"/>
    <w:next w:val="Normal"/>
    <w:link w:val="COMTablefooterChar"/>
    <w:qFormat/>
    <w:rsid w:val="00EC5836"/>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EC5836"/>
    <w:rPr>
      <w:rFonts w:ascii="Arial Narrow" w:hAnsi="Arial Narrow" w:cs="Arial"/>
      <w:snapToGrid w:val="0"/>
      <w:sz w:val="18"/>
      <w:szCs w:val="22"/>
    </w:rPr>
  </w:style>
  <w:style w:type="paragraph" w:customStyle="1" w:styleId="COMH2-non-numbered">
    <w:name w:val="COM H2 - non-numbered"/>
    <w:basedOn w:val="Heading2"/>
    <w:next w:val="Normal"/>
    <w:link w:val="COMH2-non-numbered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COMH2-non-numberedChar">
    <w:name w:val="COM H2 - non-numbered Char"/>
    <w:basedOn w:val="Heading2Char"/>
    <w:link w:val="COMH2-non-numbered"/>
    <w:rsid w:val="00EE1996"/>
    <w:rPr>
      <w:rFonts w:asciiTheme="minorHAnsi" w:eastAsiaTheme="majorEastAsia" w:hAnsiTheme="minorHAnsi" w:cstheme="majorBidi"/>
      <w:b/>
      <w:i/>
      <w:snapToGrid w:val="0"/>
      <w:spacing w:val="5"/>
      <w:kern w:val="28"/>
      <w:sz w:val="28"/>
      <w:szCs w:val="36"/>
      <w:lang w:eastAsia="en-US"/>
    </w:rPr>
  </w:style>
  <w:style w:type="character" w:customStyle="1" w:styleId="COMH1numberedChar">
    <w:name w:val="COM H1 numbered Char"/>
    <w:basedOn w:val="DefaultParagraphFont"/>
    <w:link w:val="COMH1numbered"/>
    <w:rsid w:val="00163E81"/>
    <w:rPr>
      <w:rFonts w:asciiTheme="minorHAnsi" w:hAnsiTheme="minorHAnsi" w:cs="Arial"/>
      <w:b/>
      <w:snapToGrid w:val="0"/>
      <w:sz w:val="32"/>
      <w:szCs w:val="32"/>
    </w:rPr>
  </w:style>
  <w:style w:type="paragraph" w:styleId="Header">
    <w:name w:val="header"/>
    <w:basedOn w:val="Normal"/>
    <w:link w:val="HeaderChar"/>
    <w:unhideWhenUsed/>
    <w:qFormat/>
    <w:rsid w:val="00961F11"/>
    <w:pPr>
      <w:tabs>
        <w:tab w:val="center" w:pos="4513"/>
        <w:tab w:val="right" w:pos="9026"/>
      </w:tabs>
    </w:pPr>
  </w:style>
  <w:style w:type="character" w:customStyle="1" w:styleId="HeaderChar">
    <w:name w:val="Header Char"/>
    <w:basedOn w:val="DefaultParagraphFont"/>
    <w:link w:val="Header"/>
    <w:rsid w:val="00961F11"/>
    <w:rPr>
      <w:rFonts w:ascii="Calibri" w:hAnsi="Calibri" w:cs="Arial"/>
      <w:sz w:val="24"/>
      <w:szCs w:val="24"/>
    </w:rPr>
  </w:style>
  <w:style w:type="paragraph" w:styleId="Footer">
    <w:name w:val="footer"/>
    <w:basedOn w:val="Normal"/>
    <w:link w:val="FooterChar"/>
    <w:uiPriority w:val="99"/>
    <w:unhideWhenUsed/>
    <w:rsid w:val="00961F11"/>
    <w:pPr>
      <w:tabs>
        <w:tab w:val="center" w:pos="4513"/>
        <w:tab w:val="right" w:pos="9026"/>
      </w:tabs>
    </w:pPr>
  </w:style>
  <w:style w:type="character" w:customStyle="1" w:styleId="FooterChar">
    <w:name w:val="Footer Char"/>
    <w:basedOn w:val="DefaultParagraphFont"/>
    <w:link w:val="Footer"/>
    <w:uiPriority w:val="99"/>
    <w:rsid w:val="00961F11"/>
    <w:rPr>
      <w:rFonts w:ascii="Calibri" w:hAnsi="Calibri" w:cs="Arial"/>
      <w:sz w:val="24"/>
      <w:szCs w:val="24"/>
    </w:rPr>
  </w:style>
  <w:style w:type="character" w:styleId="CommentReference">
    <w:name w:val="annotation reference"/>
    <w:aliases w:val="Table Title,-H18,Annotationmark"/>
    <w:basedOn w:val="DefaultParagraphFont"/>
    <w:uiPriority w:val="99"/>
    <w:unhideWhenUsed/>
    <w:qFormat/>
    <w:rsid w:val="00670200"/>
    <w:rPr>
      <w:sz w:val="16"/>
      <w:szCs w:val="16"/>
    </w:rPr>
  </w:style>
  <w:style w:type="paragraph" w:styleId="CommentText">
    <w:name w:val="annotation text"/>
    <w:basedOn w:val="Normal"/>
    <w:link w:val="CommentTextChar"/>
    <w:uiPriority w:val="99"/>
    <w:unhideWhenUsed/>
    <w:rsid w:val="00670200"/>
    <w:rPr>
      <w:sz w:val="20"/>
      <w:szCs w:val="20"/>
    </w:rPr>
  </w:style>
  <w:style w:type="character" w:customStyle="1" w:styleId="CommentTextChar">
    <w:name w:val="Comment Text Char"/>
    <w:basedOn w:val="DefaultParagraphFont"/>
    <w:link w:val="CommentText"/>
    <w:uiPriority w:val="99"/>
    <w:rsid w:val="00670200"/>
    <w:rPr>
      <w:rFonts w:ascii="Calibri" w:hAnsi="Calibri" w:cs="Arial"/>
    </w:rPr>
  </w:style>
  <w:style w:type="paragraph" w:styleId="CommentSubject">
    <w:name w:val="annotation subject"/>
    <w:basedOn w:val="CommentText"/>
    <w:next w:val="CommentText"/>
    <w:link w:val="CommentSubjectChar"/>
    <w:semiHidden/>
    <w:unhideWhenUsed/>
    <w:rsid w:val="00670200"/>
    <w:rPr>
      <w:b/>
      <w:bCs/>
    </w:rPr>
  </w:style>
  <w:style w:type="character" w:customStyle="1" w:styleId="CommentSubjectChar">
    <w:name w:val="Comment Subject Char"/>
    <w:basedOn w:val="CommentTextChar"/>
    <w:link w:val="CommentSubject"/>
    <w:semiHidden/>
    <w:rsid w:val="00670200"/>
    <w:rPr>
      <w:rFonts w:ascii="Calibri" w:hAnsi="Calibri" w:cs="Arial"/>
      <w:b/>
      <w:bCs/>
    </w:rPr>
  </w:style>
  <w:style w:type="character" w:customStyle="1" w:styleId="TableTextChar">
    <w:name w:val="Table Text Char"/>
    <w:basedOn w:val="DefaultParagraphFont"/>
    <w:link w:val="TableText"/>
    <w:locked/>
    <w:rsid w:val="0067760D"/>
    <w:rPr>
      <w:rFonts w:ascii="Arial Narrow" w:eastAsiaTheme="majorEastAsia" w:hAnsi="Arial Narrow" w:cstheme="majorBidi"/>
      <w:bCs/>
      <w:szCs w:val="24"/>
    </w:rPr>
  </w:style>
  <w:style w:type="paragraph" w:customStyle="1" w:styleId="TableText">
    <w:name w:val="Table Text"/>
    <w:link w:val="TableTextChar"/>
    <w:qFormat/>
    <w:rsid w:val="0067760D"/>
    <w:pPr>
      <w:keepNext/>
    </w:pPr>
    <w:rPr>
      <w:rFonts w:ascii="Arial Narrow" w:eastAsiaTheme="majorEastAsia" w:hAnsi="Arial Narrow" w:cstheme="majorBidi"/>
      <w:bCs/>
      <w:szCs w:val="24"/>
    </w:rPr>
  </w:style>
  <w:style w:type="character" w:customStyle="1" w:styleId="TabletextcentredChar">
    <w:name w:val="Table text centred Char"/>
    <w:link w:val="Tabletextcentred"/>
    <w:locked/>
    <w:rsid w:val="0034158B"/>
    <w:rPr>
      <w:rFonts w:ascii="Arial Narrow" w:hAnsi="Arial Narrow" w:cs="Arial Narrow"/>
      <w:lang w:eastAsia="en-US"/>
    </w:rPr>
  </w:style>
  <w:style w:type="paragraph" w:customStyle="1" w:styleId="Tabletextcentred">
    <w:name w:val="Table text centred"/>
    <w:basedOn w:val="Normal"/>
    <w:link w:val="TabletextcentredChar"/>
    <w:qFormat/>
    <w:rsid w:val="0034158B"/>
    <w:pPr>
      <w:keepNext/>
      <w:jc w:val="center"/>
    </w:pPr>
    <w:rPr>
      <w:rFonts w:ascii="Arial Narrow" w:hAnsi="Arial Narrow" w:cs="Arial Narrow"/>
      <w:sz w:val="20"/>
      <w:szCs w:val="20"/>
      <w:lang w:eastAsia="en-US"/>
    </w:rPr>
  </w:style>
  <w:style w:type="paragraph" w:customStyle="1" w:styleId="TableFooter">
    <w:name w:val="Table Footer"/>
    <w:basedOn w:val="Normal"/>
    <w:link w:val="TableFooterChar"/>
    <w:qFormat/>
    <w:rsid w:val="00AC1766"/>
    <w:pPr>
      <w:widowControl w:val="0"/>
      <w:spacing w:after="120"/>
      <w:contextualSpacing/>
    </w:pPr>
    <w:rPr>
      <w:rFonts w:ascii="Arial Narrow" w:hAnsi="Arial Narrow"/>
      <w:snapToGrid w:val="0"/>
      <w:sz w:val="18"/>
      <w:szCs w:val="20"/>
      <w:lang w:eastAsia="en-US"/>
    </w:rPr>
  </w:style>
  <w:style w:type="character" w:customStyle="1" w:styleId="TableFooterChar">
    <w:name w:val="Table Footer Char"/>
    <w:link w:val="TableFooter"/>
    <w:rsid w:val="00AC1766"/>
    <w:rPr>
      <w:rFonts w:ascii="Arial Narrow" w:hAnsi="Arial Narrow" w:cs="Arial"/>
      <w:snapToGrid w:val="0"/>
      <w:sz w:val="18"/>
      <w:lang w:eastAsia="en-US"/>
    </w:rPr>
  </w:style>
  <w:style w:type="paragraph" w:customStyle="1" w:styleId="V50Instructions">
    <w:name w:val="V5.0 Instructions"/>
    <w:basedOn w:val="Normal"/>
    <w:link w:val="V50InstructionsChar"/>
    <w:qFormat/>
    <w:rsid w:val="00752B95"/>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752B95"/>
    <w:rPr>
      <w:rFonts w:asciiTheme="minorHAnsi" w:eastAsiaTheme="minorHAnsi" w:hAnsiTheme="minorHAnsi" w:cstheme="minorBidi"/>
      <w:color w:val="4BACC6" w:themeColor="accent5"/>
      <w:sz w:val="24"/>
      <w:szCs w:val="22"/>
      <w:lang w:eastAsia="en-US"/>
    </w:rPr>
  </w:style>
  <w:style w:type="paragraph" w:customStyle="1" w:styleId="TableHeading">
    <w:name w:val="Table Heading"/>
    <w:basedOn w:val="Normal"/>
    <w:link w:val="TableHeadingChar"/>
    <w:qFormat/>
    <w:rsid w:val="009E5398"/>
    <w:pPr>
      <w:keepNext/>
      <w:keepLines/>
      <w:spacing w:before="20" w:after="20" w:line="276" w:lineRule="auto"/>
      <w:jc w:val="left"/>
    </w:pPr>
    <w:rPr>
      <w:rFonts w:ascii="Arial Narrow" w:eastAsiaTheme="majorEastAsia" w:hAnsi="Arial Narrow"/>
      <w:b/>
      <w:sz w:val="20"/>
      <w:szCs w:val="20"/>
      <w:lang w:bidi="en-US"/>
    </w:rPr>
  </w:style>
  <w:style w:type="character" w:customStyle="1" w:styleId="TableHeadingChar">
    <w:name w:val="Table Heading Char"/>
    <w:link w:val="TableHeading"/>
    <w:rsid w:val="009E5398"/>
    <w:rPr>
      <w:rFonts w:ascii="Arial Narrow" w:eastAsiaTheme="majorEastAsia" w:hAnsi="Arial Narrow" w:cs="Arial"/>
      <w:b/>
      <w:lang w:bidi="en-US"/>
    </w:rPr>
  </w:style>
  <w:style w:type="paragraph" w:customStyle="1" w:styleId="TableFigureFooter">
    <w:name w:val="Table/Figure Footer"/>
    <w:basedOn w:val="Normal"/>
    <w:link w:val="TableFigureFooterChar"/>
    <w:qFormat/>
    <w:rsid w:val="009E5398"/>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9E5398"/>
    <w:rPr>
      <w:rFonts w:ascii="Arial Narrow" w:hAnsi="Arial Narrow" w:cs="Arial"/>
      <w:snapToGrid w:val="0"/>
      <w:sz w:val="18"/>
      <w:szCs w:val="22"/>
    </w:rPr>
  </w:style>
  <w:style w:type="paragraph" w:customStyle="1" w:styleId="Tableheadingrow">
    <w:name w:val="Table heading row"/>
    <w:qFormat/>
    <w:rsid w:val="009E5398"/>
    <w:pPr>
      <w:keepNext/>
    </w:pPr>
    <w:rPr>
      <w:rFonts w:ascii="Arial Narrow" w:eastAsiaTheme="majorEastAsia" w:hAnsi="Arial Narrow"/>
      <w:b/>
      <w:szCs w:val="24"/>
      <w:lang w:val="en-US"/>
    </w:rPr>
  </w:style>
  <w:style w:type="paragraph" w:customStyle="1" w:styleId="TableFigureCaption">
    <w:name w:val="Table/Figure Caption"/>
    <w:next w:val="Tableheadingrow"/>
    <w:link w:val="TableFigureCaptionChar"/>
    <w:qFormat/>
    <w:rsid w:val="009E5398"/>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9E5398"/>
    <w:rPr>
      <w:rFonts w:ascii="Arial Narrow" w:eastAsiaTheme="majorEastAsia" w:hAnsi="Arial Narrow" w:cstheme="majorBidi"/>
      <w:b/>
      <w:bCs/>
      <w:szCs w:val="24"/>
    </w:rPr>
  </w:style>
  <w:style w:type="character" w:styleId="Hyperlink">
    <w:name w:val="Hyperlink"/>
    <w:basedOn w:val="DefaultParagraphFont"/>
    <w:uiPriority w:val="99"/>
    <w:unhideWhenUsed/>
    <w:rsid w:val="009E5398"/>
    <w:rPr>
      <w:color w:val="0000FF" w:themeColor="hyperlink"/>
      <w:u w:val="single"/>
    </w:rPr>
  </w:style>
  <w:style w:type="character" w:styleId="UnresolvedMention">
    <w:name w:val="Unresolved Mention"/>
    <w:basedOn w:val="DefaultParagraphFont"/>
    <w:uiPriority w:val="99"/>
    <w:semiHidden/>
    <w:unhideWhenUsed/>
    <w:rsid w:val="009E5398"/>
    <w:rPr>
      <w:color w:val="605E5C"/>
      <w:shd w:val="clear" w:color="auto" w:fill="E1DFDD"/>
    </w:rPr>
  </w:style>
  <w:style w:type="character" w:customStyle="1" w:styleId="PBACTableTextChar">
    <w:name w:val="PBAC Table Text Char"/>
    <w:basedOn w:val="DefaultParagraphFont"/>
    <w:link w:val="PBACTableText"/>
    <w:locked/>
    <w:rsid w:val="009E5398"/>
    <w:rPr>
      <w:rFonts w:ascii="Arial Narrow" w:hAnsi="Arial Narrow"/>
    </w:rPr>
  </w:style>
  <w:style w:type="paragraph" w:customStyle="1" w:styleId="PBACTableText">
    <w:name w:val="PBAC Table Text"/>
    <w:basedOn w:val="Normal"/>
    <w:link w:val="PBACTableTextChar"/>
    <w:qFormat/>
    <w:rsid w:val="009E5398"/>
    <w:pPr>
      <w:spacing w:before="40" w:after="40"/>
    </w:pPr>
    <w:rPr>
      <w:rFonts w:ascii="Arial Narrow" w:hAnsi="Arial Narrow" w:cs="Times New Roman"/>
      <w:sz w:val="20"/>
      <w:szCs w:val="20"/>
    </w:rPr>
  </w:style>
  <w:style w:type="paragraph" w:customStyle="1" w:styleId="Tabletext0">
    <w:name w:val="Table text"/>
    <w:basedOn w:val="Normal"/>
    <w:link w:val="TabletextChar0"/>
    <w:uiPriority w:val="99"/>
    <w:qFormat/>
    <w:rsid w:val="009E5398"/>
    <w:pPr>
      <w:jc w:val="left"/>
    </w:pPr>
    <w:rPr>
      <w:rFonts w:ascii="Arial Narrow" w:hAnsi="Arial Narrow" w:cs="Times New Roman"/>
      <w:snapToGrid w:val="0"/>
      <w:sz w:val="20"/>
    </w:rPr>
  </w:style>
  <w:style w:type="character" w:customStyle="1" w:styleId="TabletextChar0">
    <w:name w:val="Table text Char"/>
    <w:link w:val="Tabletext0"/>
    <w:uiPriority w:val="99"/>
    <w:rsid w:val="009E5398"/>
    <w:rPr>
      <w:rFonts w:ascii="Arial Narrow" w:hAnsi="Arial Narrow"/>
      <w:snapToGrid w:val="0"/>
      <w:szCs w:val="24"/>
    </w:rPr>
  </w:style>
  <w:style w:type="character" w:customStyle="1" w:styleId="normaltextrun">
    <w:name w:val="normaltextrun"/>
    <w:basedOn w:val="DefaultParagraphFont"/>
    <w:rsid w:val="009E5398"/>
  </w:style>
  <w:style w:type="character" w:customStyle="1" w:styleId="eop">
    <w:name w:val="eop"/>
    <w:basedOn w:val="DefaultParagraphFont"/>
    <w:rsid w:val="009E5398"/>
  </w:style>
  <w:style w:type="paragraph" w:customStyle="1" w:styleId="paragraph">
    <w:name w:val="paragraph"/>
    <w:basedOn w:val="Normal"/>
    <w:rsid w:val="009E5398"/>
    <w:pPr>
      <w:spacing w:before="100" w:beforeAutospacing="1" w:after="100" w:afterAutospacing="1"/>
      <w:jc w:val="left"/>
    </w:pPr>
    <w:rPr>
      <w:rFonts w:ascii="Times New Roman" w:hAnsi="Times New Roman" w:cs="Times New Roman"/>
    </w:rPr>
  </w:style>
  <w:style w:type="paragraph" w:customStyle="1" w:styleId="Default">
    <w:name w:val="Default"/>
    <w:rsid w:val="009E5398"/>
    <w:pPr>
      <w:autoSpaceDE w:val="0"/>
      <w:autoSpaceDN w:val="0"/>
      <w:adjustRightInd w:val="0"/>
    </w:pPr>
    <w:rPr>
      <w:color w:val="000000"/>
      <w:sz w:val="24"/>
      <w:szCs w:val="24"/>
    </w:rPr>
  </w:style>
  <w:style w:type="paragraph" w:styleId="Caption">
    <w:name w:val="caption"/>
    <w:basedOn w:val="Normal"/>
    <w:next w:val="Normal"/>
    <w:unhideWhenUsed/>
    <w:rsid w:val="009E5398"/>
    <w:pPr>
      <w:spacing w:after="200"/>
    </w:pPr>
    <w:rPr>
      <w:i/>
      <w:iCs/>
      <w:color w:val="1F497D" w:themeColor="text2"/>
      <w:sz w:val="18"/>
      <w:szCs w:val="18"/>
    </w:rPr>
  </w:style>
  <w:style w:type="paragraph" w:customStyle="1" w:styleId="5-SubSubSubHead">
    <w:name w:val="5-Sub Sub Sub Head"/>
    <w:basedOn w:val="Heading4"/>
    <w:qFormat/>
    <w:rsid w:val="009E5398"/>
  </w:style>
  <w:style w:type="paragraph" w:customStyle="1" w:styleId="4-SubsectSubhead">
    <w:name w:val="4-Subsect Subhead"/>
    <w:basedOn w:val="Heading3"/>
    <w:next w:val="Normal"/>
    <w:link w:val="4-SubsectSubheadChar"/>
    <w:qFormat/>
    <w:rsid w:val="009E5398"/>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9E5398"/>
    <w:rPr>
      <w:rFonts w:asciiTheme="minorHAnsi" w:eastAsiaTheme="majorEastAsia" w:hAnsiTheme="minorHAnsi" w:cstheme="majorBidi"/>
      <w:b/>
      <w:color w:val="000000" w:themeColor="text1"/>
      <w:sz w:val="28"/>
      <w:szCs w:val="28"/>
    </w:rPr>
  </w:style>
  <w:style w:type="paragraph" w:styleId="TOC4">
    <w:name w:val="toc 4"/>
    <w:basedOn w:val="Normal"/>
    <w:next w:val="Normal"/>
    <w:autoRedefine/>
    <w:uiPriority w:val="39"/>
    <w:unhideWhenUsed/>
    <w:rsid w:val="00F95FBE"/>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F95FBE"/>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95FBE"/>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95FBE"/>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95FBE"/>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95FBE"/>
    <w:pPr>
      <w:spacing w:after="100" w:line="259" w:lineRule="auto"/>
      <w:ind w:left="1760"/>
      <w:jc w:val="left"/>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F95FBE"/>
    <w:rPr>
      <w:color w:val="605E5C"/>
      <w:shd w:val="clear" w:color="auto" w:fill="E1DFDD"/>
    </w:rPr>
  </w:style>
  <w:style w:type="paragraph" w:customStyle="1" w:styleId="5-SubsectionSubheading">
    <w:name w:val="5-Subsection Subheading"/>
    <w:basedOn w:val="Heading3"/>
    <w:next w:val="Normal"/>
    <w:link w:val="5-SubsectionSubheadingChar"/>
    <w:qFormat/>
    <w:rsid w:val="00A233E4"/>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A233E4"/>
    <w:rPr>
      <w:rFonts w:asciiTheme="minorHAnsi" w:eastAsiaTheme="majorEastAsia" w:hAnsiTheme="minorHAnsi" w:cstheme="majorBidi"/>
      <w:b/>
      <w:color w:val="000000" w:themeColor="text1"/>
      <w:sz w:val="24"/>
      <w:szCs w:val="24"/>
    </w:rPr>
  </w:style>
  <w:style w:type="paragraph" w:styleId="FootnoteText">
    <w:name w:val="footnote text"/>
    <w:basedOn w:val="Normal"/>
    <w:link w:val="FootnoteTextChar"/>
    <w:semiHidden/>
    <w:unhideWhenUsed/>
    <w:rsid w:val="00F3521F"/>
    <w:rPr>
      <w:sz w:val="20"/>
      <w:szCs w:val="20"/>
    </w:rPr>
  </w:style>
  <w:style w:type="character" w:customStyle="1" w:styleId="FootnoteTextChar">
    <w:name w:val="Footnote Text Char"/>
    <w:basedOn w:val="DefaultParagraphFont"/>
    <w:link w:val="FootnoteText"/>
    <w:semiHidden/>
    <w:rsid w:val="00F3521F"/>
    <w:rPr>
      <w:rFonts w:ascii="Calibri" w:hAnsi="Calibri" w:cs="Arial"/>
    </w:rPr>
  </w:style>
  <w:style w:type="character" w:styleId="FootnoteReference">
    <w:name w:val="footnote reference"/>
    <w:basedOn w:val="DefaultParagraphFont"/>
    <w:semiHidden/>
    <w:unhideWhenUsed/>
    <w:rsid w:val="00F3521F"/>
    <w:rPr>
      <w:vertAlign w:val="superscript"/>
    </w:rPr>
  </w:style>
  <w:style w:type="paragraph" w:customStyle="1" w:styleId="PBACHeading1">
    <w:name w:val="PBAC Heading 1"/>
    <w:qFormat/>
    <w:rsid w:val="00CC71CA"/>
    <w:pPr>
      <w:ind w:left="720" w:hanging="720"/>
      <w:outlineLvl w:val="0"/>
    </w:pPr>
    <w:rPr>
      <w:rFonts w:ascii="Calibri" w:hAnsi="Calibri" w:cs="Calibri"/>
      <w:b/>
      <w:snapToGrid w:val="0"/>
      <w:sz w:val="32"/>
      <w:szCs w:val="32"/>
      <w:lang w:eastAsia="en-US"/>
    </w:rPr>
  </w:style>
  <w:style w:type="paragraph" w:customStyle="1" w:styleId="Bulletpoints">
    <w:name w:val="Bullet points"/>
    <w:basedOn w:val="Normal"/>
    <w:rsid w:val="008D3560"/>
    <w:pPr>
      <w:spacing w:after="120"/>
      <w:ind w:left="720"/>
      <w:contextualSpacing/>
    </w:pPr>
    <w:rPr>
      <w:snapToGrid w:val="0"/>
    </w:rPr>
  </w:style>
  <w:style w:type="paragraph" w:customStyle="1" w:styleId="3-SubsectionHeading">
    <w:name w:val="3-Subsection Heading"/>
    <w:basedOn w:val="Heading2"/>
    <w:next w:val="Normal"/>
    <w:link w:val="3-SubsectionHeadingChar"/>
    <w:qFormat/>
    <w:rsid w:val="004A1F23"/>
    <w:pPr>
      <w:keepNext/>
      <w:spacing w:before="120" w:after="120"/>
      <w:jc w:val="both"/>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4A1F23"/>
    <w:rPr>
      <w:rFonts w:asciiTheme="minorHAnsi" w:eastAsiaTheme="majorEastAsia" w:hAnsiTheme="minorHAnsi" w:cstheme="majorBidi"/>
      <w:b/>
      <w:i/>
      <w:spacing w:val="5"/>
      <w:kern w:val="28"/>
      <w:sz w:val="28"/>
      <w:szCs w:val="36"/>
      <w:lang w:eastAsia="en-US"/>
    </w:rPr>
  </w:style>
  <w:style w:type="paragraph" w:customStyle="1" w:styleId="2-SectionHeading">
    <w:name w:val="2-Section Heading"/>
    <w:qFormat/>
    <w:rsid w:val="004A1F23"/>
    <w:pPr>
      <w:keepNext/>
      <w:spacing w:before="240" w:after="120"/>
      <w:outlineLvl w:val="1"/>
    </w:pPr>
    <w:rPr>
      <w:rFonts w:asciiTheme="minorHAnsi" w:hAnsiTheme="minorHAnsi" w:cs="Arial"/>
      <w:b/>
      <w:snapToGrid w:val="0"/>
      <w:sz w:val="32"/>
      <w:szCs w:val="32"/>
    </w:rPr>
  </w:style>
  <w:style w:type="paragraph" w:customStyle="1" w:styleId="3-BodyText">
    <w:name w:val="3-Body Text"/>
    <w:qFormat/>
    <w:rsid w:val="00D540C3"/>
    <w:pPr>
      <w:spacing w:after="120"/>
      <w:ind w:left="720" w:hanging="720"/>
      <w:jc w:val="both"/>
    </w:pPr>
    <w:rPr>
      <w:rFonts w:asciiTheme="minorHAnsi" w:eastAsiaTheme="minorHAnsi" w:hAnsi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98759816">
      <w:bodyDiv w:val="1"/>
      <w:marLeft w:val="0"/>
      <w:marRight w:val="0"/>
      <w:marTop w:val="0"/>
      <w:marBottom w:val="0"/>
      <w:divBdr>
        <w:top w:val="none" w:sz="0" w:space="0" w:color="auto"/>
        <w:left w:val="none" w:sz="0" w:space="0" w:color="auto"/>
        <w:bottom w:val="none" w:sz="0" w:space="0" w:color="auto"/>
        <w:right w:val="none" w:sz="0" w:space="0" w:color="auto"/>
      </w:divBdr>
    </w:div>
    <w:div w:id="71947443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57948956">
      <w:bodyDiv w:val="1"/>
      <w:marLeft w:val="0"/>
      <w:marRight w:val="0"/>
      <w:marTop w:val="0"/>
      <w:marBottom w:val="0"/>
      <w:divBdr>
        <w:top w:val="none" w:sz="0" w:space="0" w:color="auto"/>
        <w:left w:val="none" w:sz="0" w:space="0" w:color="auto"/>
        <w:bottom w:val="none" w:sz="0" w:space="0" w:color="auto"/>
        <w:right w:val="none" w:sz="0" w:space="0" w:color="auto"/>
      </w:divBdr>
    </w:div>
    <w:div w:id="1091047318">
      <w:bodyDiv w:val="1"/>
      <w:marLeft w:val="0"/>
      <w:marRight w:val="0"/>
      <w:marTop w:val="0"/>
      <w:marBottom w:val="0"/>
      <w:divBdr>
        <w:top w:val="none" w:sz="0" w:space="0" w:color="auto"/>
        <w:left w:val="none" w:sz="0" w:space="0" w:color="auto"/>
        <w:bottom w:val="none" w:sz="0" w:space="0" w:color="auto"/>
        <w:right w:val="none" w:sz="0" w:space="0" w:color="auto"/>
      </w:divBdr>
    </w:div>
    <w:div w:id="1091048082">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ervicesaustrali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ervicesaustrali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servicesaustrali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C5ACB-35B4-47FF-9828-368997A9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21378</Words>
  <Characters>116297</Characters>
  <Application>Microsoft Office Word</Application>
  <DocSecurity>0</DocSecurity>
  <Lines>4307</Lines>
  <Paragraphs>2929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2024-05-10T03:26:00Z</dcterms:created>
  <dcterms:modified xsi:type="dcterms:W3CDTF">2024-07-01T05:09:00Z</dcterms:modified>
</cp:coreProperties>
</file>