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F6308FE" w:rsidR="00B60939" w:rsidRPr="0085018D" w:rsidRDefault="006B6E8B" w:rsidP="004A6040">
      <w:pPr>
        <w:pStyle w:val="COMH1-non-numbered"/>
      </w:pPr>
      <w:bookmarkStart w:id="0" w:name="_Toc156922237"/>
      <w:r w:rsidRPr="0085018D">
        <w:t>6.03</w:t>
      </w:r>
      <w:r w:rsidR="00163F66" w:rsidRPr="0085018D">
        <w:tab/>
      </w:r>
      <w:r w:rsidR="009C2DD4" w:rsidRPr="0085018D">
        <w:t>BRENTUXIMAB VEDOTIN</w:t>
      </w:r>
      <w:r w:rsidR="00163F66" w:rsidRPr="0085018D">
        <w:t>,</w:t>
      </w:r>
      <w:r w:rsidR="00163F66" w:rsidRPr="0085018D">
        <w:br/>
      </w:r>
      <w:r w:rsidR="000E3D8E" w:rsidRPr="0085018D">
        <w:t>Powder for I.V. infusion</w:t>
      </w:r>
      <w:r w:rsidR="004D2E14" w:rsidRPr="0085018D">
        <w:t xml:space="preserve"> </w:t>
      </w:r>
      <w:r w:rsidR="00587596" w:rsidRPr="0085018D">
        <w:t>50 mg</w:t>
      </w:r>
      <w:r w:rsidR="00163F66" w:rsidRPr="0085018D">
        <w:t>,</w:t>
      </w:r>
      <w:r w:rsidR="00163F66" w:rsidRPr="0085018D">
        <w:br/>
      </w:r>
      <w:proofErr w:type="spellStart"/>
      <w:r w:rsidR="00502E06" w:rsidRPr="0085018D">
        <w:t>Adcetris</w:t>
      </w:r>
      <w:proofErr w:type="spellEnd"/>
      <w:r w:rsidR="00B60939" w:rsidRPr="0085018D">
        <w:t>®</w:t>
      </w:r>
      <w:r w:rsidR="004A6040" w:rsidRPr="0085018D">
        <w:t>,</w:t>
      </w:r>
      <w:r w:rsidR="004A6040" w:rsidRPr="0085018D">
        <w:br/>
      </w:r>
      <w:r w:rsidR="00555464" w:rsidRPr="0085018D">
        <w:t>T</w:t>
      </w:r>
      <w:r w:rsidR="00365FEC" w:rsidRPr="0085018D">
        <w:t>akeda</w:t>
      </w:r>
      <w:r w:rsidR="00555464" w:rsidRPr="0085018D">
        <w:t xml:space="preserve"> P</w:t>
      </w:r>
      <w:r w:rsidR="00365FEC" w:rsidRPr="0085018D">
        <w:t>harmaceuticals</w:t>
      </w:r>
      <w:r w:rsidR="00555464" w:rsidRPr="0085018D">
        <w:t xml:space="preserve"> A</w:t>
      </w:r>
      <w:r w:rsidR="00365FEC" w:rsidRPr="0085018D">
        <w:t>ustralia</w:t>
      </w:r>
      <w:r w:rsidR="00555464" w:rsidRPr="0085018D">
        <w:t xml:space="preserve"> P</w:t>
      </w:r>
      <w:r w:rsidR="00365FEC" w:rsidRPr="0085018D">
        <w:t>ty</w:t>
      </w:r>
      <w:r w:rsidR="00555464" w:rsidRPr="0085018D">
        <w:t>. L</w:t>
      </w:r>
      <w:r w:rsidR="00365FEC" w:rsidRPr="0085018D">
        <w:t>td</w:t>
      </w:r>
      <w:r w:rsidR="00B60939" w:rsidRPr="0085018D">
        <w:t>.</w:t>
      </w:r>
      <w:bookmarkEnd w:id="0"/>
      <w:r w:rsidR="00F73E08" w:rsidRPr="0085018D">
        <w:t xml:space="preserve"> </w:t>
      </w:r>
    </w:p>
    <w:p w14:paraId="11C00795" w14:textId="0FD2F334" w:rsidR="00B50DB8" w:rsidRPr="0085018D" w:rsidRDefault="00B50DB8" w:rsidP="004A6040">
      <w:pPr>
        <w:pStyle w:val="COMH1numbered"/>
      </w:pPr>
      <w:bookmarkStart w:id="1" w:name="_Toc156922239"/>
      <w:r w:rsidRPr="0085018D">
        <w:t xml:space="preserve">Purpose of </w:t>
      </w:r>
      <w:r w:rsidR="00CD7193" w:rsidRPr="0085018D">
        <w:t>s</w:t>
      </w:r>
      <w:r w:rsidR="00BB3A45" w:rsidRPr="0085018D">
        <w:t>ubmission</w:t>
      </w:r>
      <w:bookmarkEnd w:id="1"/>
    </w:p>
    <w:p w14:paraId="19414AA1" w14:textId="7042281B" w:rsidR="002C2775" w:rsidRPr="0085018D" w:rsidRDefault="007170DA" w:rsidP="004E18E9">
      <w:pPr>
        <w:pStyle w:val="COMexecsumnumberedpara"/>
      </w:pPr>
      <w:r w:rsidRPr="0085018D">
        <w:t>The</w:t>
      </w:r>
      <w:r w:rsidR="006D06DA" w:rsidRPr="0085018D">
        <w:t xml:space="preserve"> Category 2 submission requested a Section 100 (Efficient Funding of Chemotherapy), Authority Required (Telephone/Online) listing for the first line treatment of advanced classical Hodgkin lymphoma.</w:t>
      </w:r>
    </w:p>
    <w:p w14:paraId="4E9FBCB5" w14:textId="06BA2366" w:rsidR="00C2778B" w:rsidRPr="0085018D" w:rsidRDefault="005750C5" w:rsidP="004E18E9">
      <w:pPr>
        <w:pStyle w:val="COMexecsumnumberedpara"/>
      </w:pPr>
      <w:r w:rsidRPr="0085018D">
        <w:t xml:space="preserve">Listing was requested </w:t>
      </w:r>
      <w:proofErr w:type="gramStart"/>
      <w:r w:rsidRPr="0085018D">
        <w:t>on the basis of</w:t>
      </w:r>
      <w:proofErr w:type="gramEnd"/>
      <w:r w:rsidRPr="0085018D">
        <w:t xml:space="preserve"> a cost-effectiveness analysis versus </w:t>
      </w:r>
      <w:r w:rsidR="004B3332" w:rsidRPr="0085018D">
        <w:t>ABVD</w:t>
      </w:r>
      <w:r w:rsidR="001F7B90" w:rsidRPr="0085018D">
        <w:t xml:space="preserve"> (doxorubicin, bleomycin, vincristine and dacarbazine)</w:t>
      </w:r>
      <w:r w:rsidR="00985AA6" w:rsidRPr="0085018D">
        <w:t xml:space="preserve"> as a proxy for </w:t>
      </w:r>
      <w:r w:rsidR="003D135E" w:rsidRPr="0085018D">
        <w:t>positron emission tomography (</w:t>
      </w:r>
      <w:r w:rsidR="00985AA6" w:rsidRPr="0085018D">
        <w:t>PET</w:t>
      </w:r>
      <w:r w:rsidR="003D135E" w:rsidRPr="0085018D">
        <w:t>)</w:t>
      </w:r>
      <w:r w:rsidR="00985AA6" w:rsidRPr="0085018D">
        <w:t>-adapted ABVD</w:t>
      </w:r>
      <w:r w:rsidR="0085018D">
        <w:t>.</w:t>
      </w:r>
    </w:p>
    <w:p w14:paraId="3718DE61" w14:textId="5E2097EF" w:rsidR="008B1757" w:rsidRPr="0085018D" w:rsidRDefault="00696EF9" w:rsidP="005040F1">
      <w:pPr>
        <w:pStyle w:val="COMtablefigcaption"/>
      </w:pPr>
      <w:r w:rsidRPr="0085018D">
        <w:t xml:space="preserve">Table </w:t>
      </w:r>
      <w:fldSimple w:instr=" SEQ Table \* ARABIC ">
        <w:r w:rsidR="001F14E4" w:rsidRPr="00B23B25">
          <w:t>1</w:t>
        </w:r>
      </w:fldSimple>
      <w:r w:rsidRPr="0085018D">
        <w:t>:</w:t>
      </w:r>
      <w:r w:rsidR="00BC591F" w:rsidRPr="0085018D">
        <w:t xml:space="preserve"> </w:t>
      </w:r>
      <w:r w:rsidR="008B1757" w:rsidRPr="0085018D">
        <w:t xml:space="preserve">Key components of the clinical issue addressed </w:t>
      </w:r>
      <w:r w:rsidR="00B92560" w:rsidRPr="0085018D">
        <w:t xml:space="preserve">in the </w:t>
      </w:r>
      <w:proofErr w:type="gramStart"/>
      <w:r w:rsidR="00B92560" w:rsidRPr="0085018D">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Pr>
      <w:tblGrid>
        <w:gridCol w:w="1428"/>
        <w:gridCol w:w="7589"/>
      </w:tblGrid>
      <w:tr w:rsidR="00B92560" w:rsidRPr="0085018D" w14:paraId="75C8CD57" w14:textId="77777777" w:rsidTr="0047164D">
        <w:tc>
          <w:tcPr>
            <w:tcW w:w="792" w:type="pct"/>
            <w:vAlign w:val="center"/>
          </w:tcPr>
          <w:p w14:paraId="7666175E" w14:textId="77777777" w:rsidR="00B92560" w:rsidRPr="0085018D" w:rsidRDefault="00B92560" w:rsidP="005040F1">
            <w:pPr>
              <w:pStyle w:val="COMTableheadingrow"/>
              <w:rPr>
                <w:lang w:val="en-AU"/>
              </w:rPr>
            </w:pPr>
            <w:r w:rsidRPr="0085018D">
              <w:rPr>
                <w:lang w:val="en-AU"/>
              </w:rPr>
              <w:t>Component</w:t>
            </w:r>
          </w:p>
        </w:tc>
        <w:tc>
          <w:tcPr>
            <w:tcW w:w="4208" w:type="pct"/>
            <w:vAlign w:val="center"/>
          </w:tcPr>
          <w:p w14:paraId="459B66F0" w14:textId="77777777" w:rsidR="00B92560" w:rsidRPr="0085018D" w:rsidRDefault="00B92560" w:rsidP="005040F1">
            <w:pPr>
              <w:pStyle w:val="COMTableheadingrow"/>
              <w:rPr>
                <w:lang w:val="en-AU"/>
              </w:rPr>
            </w:pPr>
            <w:r w:rsidRPr="0085018D">
              <w:rPr>
                <w:lang w:val="en-AU"/>
              </w:rPr>
              <w:t>Description</w:t>
            </w:r>
          </w:p>
        </w:tc>
      </w:tr>
      <w:tr w:rsidR="00B92560" w:rsidRPr="0085018D" w14:paraId="2DC7DEA0" w14:textId="77777777" w:rsidTr="0047164D">
        <w:tc>
          <w:tcPr>
            <w:tcW w:w="792" w:type="pct"/>
            <w:vAlign w:val="center"/>
          </w:tcPr>
          <w:p w14:paraId="337A7FBD" w14:textId="77777777" w:rsidR="00B92560" w:rsidRPr="0085018D" w:rsidRDefault="00B92560" w:rsidP="005040F1">
            <w:pPr>
              <w:pStyle w:val="COMTabletext"/>
            </w:pPr>
            <w:r w:rsidRPr="0085018D">
              <w:t>Population</w:t>
            </w:r>
          </w:p>
        </w:tc>
        <w:tc>
          <w:tcPr>
            <w:tcW w:w="4208" w:type="pct"/>
            <w:vAlign w:val="center"/>
          </w:tcPr>
          <w:p w14:paraId="7D833652" w14:textId="77777777" w:rsidR="00B92560" w:rsidRPr="0085018D" w:rsidRDefault="00B92560" w:rsidP="005040F1">
            <w:pPr>
              <w:pStyle w:val="COMTabletext"/>
            </w:pPr>
            <w:r w:rsidRPr="0085018D">
              <w:t>Adult patients with previously untreated CD30+ advanced (Ann Arbor Stage III or IV) Hodgkin lymphoma</w:t>
            </w:r>
          </w:p>
        </w:tc>
      </w:tr>
      <w:tr w:rsidR="00B92560" w:rsidRPr="0085018D" w14:paraId="46F6DDFF" w14:textId="77777777" w:rsidTr="0047164D">
        <w:tc>
          <w:tcPr>
            <w:tcW w:w="792" w:type="pct"/>
            <w:vAlign w:val="center"/>
          </w:tcPr>
          <w:p w14:paraId="67B47D42" w14:textId="77777777" w:rsidR="00B92560" w:rsidRPr="0085018D" w:rsidRDefault="00B92560" w:rsidP="005040F1">
            <w:pPr>
              <w:pStyle w:val="COMTabletext"/>
            </w:pPr>
            <w:r w:rsidRPr="0085018D">
              <w:t>Intervention</w:t>
            </w:r>
          </w:p>
        </w:tc>
        <w:tc>
          <w:tcPr>
            <w:tcW w:w="4208" w:type="pct"/>
            <w:vAlign w:val="center"/>
          </w:tcPr>
          <w:p w14:paraId="123644B7" w14:textId="77777777" w:rsidR="00B92560" w:rsidRPr="0085018D" w:rsidRDefault="00B92560" w:rsidP="005040F1">
            <w:pPr>
              <w:pStyle w:val="COMTabletext"/>
            </w:pPr>
            <w:r w:rsidRPr="0085018D">
              <w:t xml:space="preserve">Brentuximab </w:t>
            </w:r>
            <w:proofErr w:type="spellStart"/>
            <w:r w:rsidRPr="0085018D">
              <w:t>vedotin</w:t>
            </w:r>
            <w:proofErr w:type="spellEnd"/>
            <w:r w:rsidRPr="0085018D">
              <w:t xml:space="preserve"> in combination with doxorubicin, vinblastine and dacarbazine (A+AVD), for 6 x 28-day cycles</w:t>
            </w:r>
          </w:p>
        </w:tc>
      </w:tr>
      <w:tr w:rsidR="00B92560" w:rsidRPr="0085018D" w14:paraId="5E700DE2" w14:textId="77777777" w:rsidTr="0047164D">
        <w:tc>
          <w:tcPr>
            <w:tcW w:w="792" w:type="pct"/>
            <w:vAlign w:val="center"/>
          </w:tcPr>
          <w:p w14:paraId="07AF5E5A" w14:textId="77777777" w:rsidR="00B92560" w:rsidRPr="0085018D" w:rsidRDefault="00B92560" w:rsidP="005040F1">
            <w:pPr>
              <w:pStyle w:val="COMTabletext"/>
            </w:pPr>
            <w:r w:rsidRPr="0085018D">
              <w:t>Comparator</w:t>
            </w:r>
          </w:p>
        </w:tc>
        <w:tc>
          <w:tcPr>
            <w:tcW w:w="4208" w:type="pct"/>
            <w:vAlign w:val="center"/>
          </w:tcPr>
          <w:p w14:paraId="6DC34695" w14:textId="77777777" w:rsidR="00B92560" w:rsidRPr="0085018D" w:rsidRDefault="00B92560" w:rsidP="005040F1">
            <w:pPr>
              <w:pStyle w:val="COMTabletext"/>
              <w:rPr>
                <w:u w:val="single"/>
              </w:rPr>
            </w:pPr>
            <w:r w:rsidRPr="0085018D">
              <w:rPr>
                <w:u w:val="single"/>
              </w:rPr>
              <w:t>Main comparator:</w:t>
            </w:r>
          </w:p>
          <w:p w14:paraId="7777C28E" w14:textId="77777777" w:rsidR="00B92560" w:rsidRPr="0085018D" w:rsidRDefault="00B92560" w:rsidP="005040F1">
            <w:pPr>
              <w:pStyle w:val="COMTabletext"/>
            </w:pPr>
            <w:r w:rsidRPr="0085018D">
              <w:t>PET-adapted ABVD regimen consisting of ABVD for the first 2 x 28-day cycles followed by:</w:t>
            </w:r>
          </w:p>
          <w:p w14:paraId="486FA850" w14:textId="77777777" w:rsidR="00B92560" w:rsidRPr="0085018D" w:rsidRDefault="00B92560" w:rsidP="005040F1">
            <w:pPr>
              <w:pStyle w:val="COMTabletext"/>
              <w:numPr>
                <w:ilvl w:val="0"/>
                <w:numId w:val="7"/>
              </w:numPr>
            </w:pPr>
            <w:r w:rsidRPr="0085018D">
              <w:t>AVD for a further 4 x 28-day cycles in iPET2-negative patients, or</w:t>
            </w:r>
          </w:p>
          <w:p w14:paraId="7E98E019" w14:textId="77777777" w:rsidR="00B92560" w:rsidRPr="0085018D" w:rsidRDefault="00B92560" w:rsidP="005040F1">
            <w:pPr>
              <w:pStyle w:val="COMTabletext"/>
              <w:numPr>
                <w:ilvl w:val="0"/>
                <w:numId w:val="7"/>
              </w:numPr>
            </w:pPr>
            <w:proofErr w:type="spellStart"/>
            <w:r w:rsidRPr="0085018D">
              <w:t>eBEACOPP</w:t>
            </w:r>
            <w:proofErr w:type="spellEnd"/>
            <w:r w:rsidRPr="0085018D">
              <w:t xml:space="preserve"> for a further 4 x 21-day cycles in iPET2-positive patients</w:t>
            </w:r>
          </w:p>
          <w:p w14:paraId="49DA1385" w14:textId="77777777" w:rsidR="00B92560" w:rsidRPr="0085018D" w:rsidRDefault="00B92560" w:rsidP="005040F1">
            <w:pPr>
              <w:pStyle w:val="COMTabletext"/>
            </w:pPr>
          </w:p>
          <w:p w14:paraId="4E2BB9A5" w14:textId="77777777" w:rsidR="00B92560" w:rsidRPr="0085018D" w:rsidRDefault="00B92560" w:rsidP="005040F1">
            <w:pPr>
              <w:pStyle w:val="COMTabletext"/>
              <w:rPr>
                <w:u w:val="single"/>
              </w:rPr>
            </w:pPr>
            <w:r w:rsidRPr="0085018D">
              <w:rPr>
                <w:u w:val="single"/>
              </w:rPr>
              <w:t>Supplementary comparator:</w:t>
            </w:r>
          </w:p>
          <w:p w14:paraId="7E7DD118" w14:textId="77777777" w:rsidR="00B92560" w:rsidRPr="0085018D" w:rsidRDefault="00B92560" w:rsidP="005040F1">
            <w:pPr>
              <w:pStyle w:val="COMTabletext"/>
            </w:pPr>
            <w:r w:rsidRPr="0085018D">
              <w:t xml:space="preserve">PET-adapted </w:t>
            </w:r>
            <w:proofErr w:type="spellStart"/>
            <w:r w:rsidRPr="0085018D">
              <w:t>eBEACOPP</w:t>
            </w:r>
            <w:proofErr w:type="spellEnd"/>
            <w:r w:rsidRPr="0085018D">
              <w:t xml:space="preserve"> regimen consisting of </w:t>
            </w:r>
            <w:proofErr w:type="spellStart"/>
            <w:r w:rsidRPr="0085018D">
              <w:t>eBEACOPP</w:t>
            </w:r>
            <w:proofErr w:type="spellEnd"/>
            <w:r w:rsidRPr="0085018D">
              <w:t xml:space="preserve"> for the first 2 x 21-day cycles followed by:</w:t>
            </w:r>
          </w:p>
          <w:p w14:paraId="3BCB83F9" w14:textId="77777777" w:rsidR="00B92560" w:rsidRPr="0085018D" w:rsidRDefault="00B92560" w:rsidP="005040F1">
            <w:pPr>
              <w:pStyle w:val="COMTabletext"/>
              <w:numPr>
                <w:ilvl w:val="0"/>
                <w:numId w:val="8"/>
              </w:numPr>
            </w:pPr>
            <w:proofErr w:type="spellStart"/>
            <w:r w:rsidRPr="0085018D">
              <w:t>eBEACOPP</w:t>
            </w:r>
            <w:proofErr w:type="spellEnd"/>
            <w:r w:rsidRPr="0085018D">
              <w:t xml:space="preserve"> for a further 2 x 21-day cycles or ABVD for 4 x 28-day cycles in iPET2-negative patients, or</w:t>
            </w:r>
          </w:p>
          <w:p w14:paraId="0992C3D9" w14:textId="77777777" w:rsidR="00B92560" w:rsidRPr="0085018D" w:rsidRDefault="00B92560" w:rsidP="005040F1">
            <w:pPr>
              <w:pStyle w:val="COMTabletext"/>
              <w:numPr>
                <w:ilvl w:val="0"/>
                <w:numId w:val="8"/>
              </w:numPr>
            </w:pPr>
            <w:proofErr w:type="spellStart"/>
            <w:r w:rsidRPr="0085018D">
              <w:t>eBEACOPP</w:t>
            </w:r>
            <w:proofErr w:type="spellEnd"/>
            <w:r w:rsidRPr="0085018D">
              <w:t xml:space="preserve"> for a further 4 x 21-days cycles in iPET2-positive patients</w:t>
            </w:r>
          </w:p>
        </w:tc>
      </w:tr>
      <w:tr w:rsidR="00B92560" w:rsidRPr="0085018D" w14:paraId="4DC64C4A" w14:textId="77777777" w:rsidTr="0047164D">
        <w:tc>
          <w:tcPr>
            <w:tcW w:w="792" w:type="pct"/>
            <w:vAlign w:val="center"/>
          </w:tcPr>
          <w:p w14:paraId="0BD17DD5" w14:textId="77777777" w:rsidR="00B92560" w:rsidRPr="0085018D" w:rsidRDefault="00B92560" w:rsidP="005040F1">
            <w:pPr>
              <w:pStyle w:val="COMTabletext"/>
            </w:pPr>
            <w:r w:rsidRPr="0085018D">
              <w:t>Outcomes</w:t>
            </w:r>
          </w:p>
        </w:tc>
        <w:tc>
          <w:tcPr>
            <w:tcW w:w="4208" w:type="pct"/>
            <w:vAlign w:val="center"/>
          </w:tcPr>
          <w:p w14:paraId="7ED508FA" w14:textId="77777777" w:rsidR="00B92560" w:rsidRPr="0085018D" w:rsidRDefault="00B92560" w:rsidP="005040F1">
            <w:pPr>
              <w:pStyle w:val="COMTabletext"/>
            </w:pPr>
            <w:r w:rsidRPr="0085018D">
              <w:t>Improved modified progression-free survival, overall survival, and health-related quality of life</w:t>
            </w:r>
          </w:p>
        </w:tc>
      </w:tr>
      <w:tr w:rsidR="00B92560" w:rsidRPr="0085018D" w14:paraId="7AA1D651" w14:textId="77777777" w:rsidTr="0047164D">
        <w:tc>
          <w:tcPr>
            <w:tcW w:w="792" w:type="pct"/>
            <w:vAlign w:val="center"/>
          </w:tcPr>
          <w:p w14:paraId="4B699B42" w14:textId="77777777" w:rsidR="00B92560" w:rsidRPr="0085018D" w:rsidRDefault="00B92560" w:rsidP="005040F1">
            <w:pPr>
              <w:pStyle w:val="COMTabletext"/>
            </w:pPr>
            <w:r w:rsidRPr="0085018D">
              <w:t>Clinical claim</w:t>
            </w:r>
          </w:p>
        </w:tc>
        <w:tc>
          <w:tcPr>
            <w:tcW w:w="4208" w:type="pct"/>
            <w:vAlign w:val="center"/>
          </w:tcPr>
          <w:p w14:paraId="2D760DCB" w14:textId="77777777" w:rsidR="00B92560" w:rsidRPr="0085018D" w:rsidRDefault="00B92560" w:rsidP="005040F1">
            <w:pPr>
              <w:pStyle w:val="COMTabletext"/>
            </w:pPr>
            <w:r w:rsidRPr="0085018D">
              <w:t xml:space="preserve">A+AVD is superior in terms of efficacy but inferior in terms of safety compared to PET-adapted </w:t>
            </w:r>
            <w:proofErr w:type="gramStart"/>
            <w:r w:rsidRPr="0085018D">
              <w:t>ABVD</w:t>
            </w:r>
            <w:proofErr w:type="gramEnd"/>
          </w:p>
          <w:p w14:paraId="24FBDDEB" w14:textId="77777777" w:rsidR="00B92560" w:rsidRPr="0085018D" w:rsidRDefault="00B92560" w:rsidP="005040F1">
            <w:pPr>
              <w:pStyle w:val="COMTabletext"/>
            </w:pPr>
            <w:r w:rsidRPr="0085018D">
              <w:t xml:space="preserve">No clinical claim was made in terms of efficacy for A+AVD versus PET-adapted </w:t>
            </w:r>
            <w:proofErr w:type="spellStart"/>
            <w:proofErr w:type="gramStart"/>
            <w:r w:rsidRPr="0085018D">
              <w:t>eBEACOPP</w:t>
            </w:r>
            <w:proofErr w:type="spellEnd"/>
            <w:proofErr w:type="gramEnd"/>
          </w:p>
          <w:p w14:paraId="6D7D4A8C" w14:textId="77777777" w:rsidR="00B92560" w:rsidRPr="0085018D" w:rsidRDefault="00B92560" w:rsidP="005040F1">
            <w:pPr>
              <w:pStyle w:val="COMTabletext"/>
            </w:pPr>
            <w:r w:rsidRPr="0085018D">
              <w:t xml:space="preserve">A+AVD is superior in terms of safety compared to PET-adapted </w:t>
            </w:r>
            <w:proofErr w:type="spellStart"/>
            <w:r w:rsidRPr="0085018D">
              <w:t>eBEACOPP</w:t>
            </w:r>
            <w:proofErr w:type="spellEnd"/>
          </w:p>
        </w:tc>
      </w:tr>
    </w:tbl>
    <w:p w14:paraId="05A3B1C5" w14:textId="77777777" w:rsidR="00B92560" w:rsidRPr="0085018D" w:rsidRDefault="00B92560" w:rsidP="005040F1">
      <w:pPr>
        <w:pStyle w:val="COMTablefooter"/>
        <w:keepNext/>
      </w:pPr>
      <w:r w:rsidRPr="0085018D">
        <w:t>Source: Table 1.1.1, p17 of the submission</w:t>
      </w:r>
    </w:p>
    <w:p w14:paraId="73E77A33" w14:textId="77777777" w:rsidR="00B92560" w:rsidRPr="0085018D" w:rsidRDefault="00B92560" w:rsidP="005040F1">
      <w:pPr>
        <w:pStyle w:val="COMTablefooter"/>
        <w:keepNext/>
      </w:pPr>
      <w:r w:rsidRPr="0085018D">
        <w:t xml:space="preserve">Abbreviations: ABVD, doxorubicin, bleomycin, vinblastine and dacarbazine; AVD, doxorubicin, vinblastine and dacarbazine; </w:t>
      </w:r>
      <w:proofErr w:type="spellStart"/>
      <w:r w:rsidRPr="0085018D">
        <w:t>eBEACOPP</w:t>
      </w:r>
      <w:proofErr w:type="spellEnd"/>
      <w:r w:rsidRPr="0085018D">
        <w:t>, escalated bleomycin, etoposide, doxorubicin, cyclophosphamide, vincristine, procarbazine, and prednisolone; iPET2, interim positron emission tomography after 2 cycles of chemotherapy; PET, positron emission tomography</w:t>
      </w:r>
    </w:p>
    <w:p w14:paraId="66D51F35" w14:textId="67D02A91" w:rsidR="00B92560" w:rsidRPr="0085018D" w:rsidRDefault="00B92560" w:rsidP="003A272F">
      <w:pPr>
        <w:pStyle w:val="COMTablefooter"/>
      </w:pPr>
      <w:r w:rsidRPr="0085018D">
        <w:t xml:space="preserve">Note: Australian guidelines (Cochrane 2021) note that trial definitions of response based on the iPET2 may differ. The cut-off for negative iPET2 is based on a Deauville Score (5-point scale) of either ≤2 or ≤3. </w:t>
      </w:r>
    </w:p>
    <w:p w14:paraId="6B4AB6C2" w14:textId="483817F5" w:rsidR="005C25FF" w:rsidRPr="0085018D" w:rsidRDefault="005C25FF" w:rsidP="003359B1">
      <w:pPr>
        <w:pStyle w:val="COMH1numbered"/>
      </w:pPr>
      <w:bookmarkStart w:id="2" w:name="_Toc156922240"/>
      <w:r w:rsidRPr="0085018D">
        <w:lastRenderedPageBreak/>
        <w:t>Background</w:t>
      </w:r>
      <w:bookmarkEnd w:id="2"/>
    </w:p>
    <w:p w14:paraId="2C521D6D" w14:textId="53DB3792" w:rsidR="005C25FF" w:rsidRPr="0085018D" w:rsidRDefault="005C25FF" w:rsidP="003359B1">
      <w:pPr>
        <w:pStyle w:val="COMH2-non-numbered"/>
      </w:pPr>
      <w:bookmarkStart w:id="3" w:name="_Toc22897638"/>
      <w:bookmarkStart w:id="4" w:name="_Toc156922241"/>
      <w:r w:rsidRPr="0085018D">
        <w:t>Registration status</w:t>
      </w:r>
      <w:bookmarkEnd w:id="3"/>
      <w:bookmarkEnd w:id="4"/>
    </w:p>
    <w:p w14:paraId="0E29052A" w14:textId="77777777" w:rsidR="00F11840" w:rsidRPr="0085018D" w:rsidRDefault="00F11840" w:rsidP="005040F1">
      <w:pPr>
        <w:pStyle w:val="COMexecsumnumberedpara"/>
        <w:keepNext/>
      </w:pPr>
      <w:r w:rsidRPr="0085018D">
        <w:t xml:space="preserve">Brentuximab </w:t>
      </w:r>
      <w:proofErr w:type="spellStart"/>
      <w:r w:rsidRPr="0085018D">
        <w:t>vedotin</w:t>
      </w:r>
      <w:proofErr w:type="spellEnd"/>
      <w:r w:rsidRPr="0085018D">
        <w:t xml:space="preserve"> is TGA-approved for the following indications:</w:t>
      </w:r>
    </w:p>
    <w:p w14:paraId="56B7CE89" w14:textId="77777777" w:rsidR="00F11840" w:rsidRPr="0085018D" w:rsidRDefault="00F11840" w:rsidP="005040F1">
      <w:pPr>
        <w:pStyle w:val="COMexecsummbulletlist"/>
        <w:keepNext/>
        <w:ind w:left="993" w:hanging="357"/>
      </w:pPr>
      <w:r w:rsidRPr="0085018D">
        <w:t>Hodgkin lymphoma</w:t>
      </w:r>
    </w:p>
    <w:p w14:paraId="647B3309" w14:textId="23E3F028" w:rsidR="00F11840" w:rsidRPr="0085018D" w:rsidRDefault="00F11840" w:rsidP="005040F1">
      <w:pPr>
        <w:pStyle w:val="ListParagraph"/>
        <w:numPr>
          <w:ilvl w:val="1"/>
          <w:numId w:val="3"/>
        </w:numPr>
        <w:ind w:hanging="357"/>
      </w:pPr>
      <w:r w:rsidRPr="0085018D">
        <w:t xml:space="preserve">Treatment of adult patients with CD30+ Hodgkin lymphoma at higher risk of relapse or progression following </w:t>
      </w:r>
      <w:r w:rsidR="0022486E" w:rsidRPr="0022486E">
        <w:t>autologous stem cell transplant</w:t>
      </w:r>
      <w:r w:rsidR="0022486E">
        <w:t xml:space="preserve"> (</w:t>
      </w:r>
      <w:r w:rsidRPr="0085018D">
        <w:t>ASCT</w:t>
      </w:r>
      <w:r w:rsidR="0022486E">
        <w:t>)</w:t>
      </w:r>
      <w:r w:rsidRPr="0085018D">
        <w:t>.</w:t>
      </w:r>
    </w:p>
    <w:p w14:paraId="6561D53B" w14:textId="77777777" w:rsidR="00F11840" w:rsidRPr="0085018D" w:rsidRDefault="00F11840" w:rsidP="005040F1">
      <w:pPr>
        <w:pStyle w:val="ListParagraph"/>
        <w:numPr>
          <w:ilvl w:val="1"/>
          <w:numId w:val="3"/>
        </w:numPr>
        <w:ind w:hanging="357"/>
      </w:pPr>
      <w:r w:rsidRPr="0085018D">
        <w:t>Treatment of adult patients with relapsed or refractory CD30+ Hodgkin lymphoma following ASCT; or following at least 2 prior therapies when ASCT or multi-agent chemotherapy is not a treatment option.</w:t>
      </w:r>
    </w:p>
    <w:p w14:paraId="753E2706" w14:textId="77777777" w:rsidR="00F11840" w:rsidRPr="0085018D" w:rsidRDefault="00F11840" w:rsidP="005040F1">
      <w:pPr>
        <w:pStyle w:val="COMexecsummbulletlist"/>
        <w:keepNext/>
        <w:ind w:left="993" w:hanging="357"/>
      </w:pPr>
      <w:r w:rsidRPr="0085018D">
        <w:t>Peripheral T-cell lymphoma</w:t>
      </w:r>
    </w:p>
    <w:p w14:paraId="6C6C1547" w14:textId="77777777" w:rsidR="00F11840" w:rsidRPr="0085018D" w:rsidRDefault="00F11840" w:rsidP="005040F1">
      <w:pPr>
        <w:pStyle w:val="ListParagraph"/>
        <w:numPr>
          <w:ilvl w:val="1"/>
          <w:numId w:val="3"/>
        </w:numPr>
      </w:pPr>
      <w:r w:rsidRPr="0085018D">
        <w:t xml:space="preserve">Treatment of adult patients with previously untreated CD30+ peripheral T-cell lymphoma in combination with cyclophosphamide, </w:t>
      </w:r>
      <w:proofErr w:type="gramStart"/>
      <w:r w:rsidRPr="0085018D">
        <w:t>doxorubicin</w:t>
      </w:r>
      <w:proofErr w:type="gramEnd"/>
      <w:r w:rsidRPr="0085018D">
        <w:t xml:space="preserve"> and prednisone.</w:t>
      </w:r>
    </w:p>
    <w:p w14:paraId="097927A1" w14:textId="77777777" w:rsidR="00F11840" w:rsidRPr="0085018D" w:rsidRDefault="00F11840" w:rsidP="005040F1">
      <w:pPr>
        <w:pStyle w:val="ListParagraph"/>
        <w:numPr>
          <w:ilvl w:val="1"/>
          <w:numId w:val="3"/>
        </w:numPr>
      </w:pPr>
      <w:r w:rsidRPr="0085018D">
        <w:t>Treatment of adult patients with relapsed or refractory systemic anaplastic large cell lymphoma.</w:t>
      </w:r>
    </w:p>
    <w:p w14:paraId="07F1EF15" w14:textId="77777777" w:rsidR="00F11840" w:rsidRPr="0085018D" w:rsidRDefault="00F11840" w:rsidP="005040F1">
      <w:pPr>
        <w:pStyle w:val="COMexecsummbulletlist"/>
        <w:ind w:left="1134"/>
      </w:pPr>
      <w:r w:rsidRPr="0085018D">
        <w:t>Cutaneous T-cell lymphoma</w:t>
      </w:r>
    </w:p>
    <w:p w14:paraId="7674087E" w14:textId="6EC7E411" w:rsidR="00F11840" w:rsidRPr="0085018D" w:rsidRDefault="00F11840" w:rsidP="005040F1">
      <w:pPr>
        <w:pStyle w:val="ListParagraph"/>
        <w:numPr>
          <w:ilvl w:val="1"/>
          <w:numId w:val="3"/>
        </w:numPr>
      </w:pPr>
      <w:r w:rsidRPr="0085018D">
        <w:t>Treatment of adult patients with CD30+ cutaneous T-cell lymphoma after at least 1 prior systemic therapy.</w:t>
      </w:r>
    </w:p>
    <w:p w14:paraId="6FD2952A" w14:textId="0D8471F5" w:rsidR="00370B00" w:rsidRPr="0085018D" w:rsidRDefault="00F11840" w:rsidP="001A7009">
      <w:pPr>
        <w:pStyle w:val="COMexecsumnumberedpara"/>
      </w:pPr>
      <w:r w:rsidRPr="0085018D">
        <w:t>The current submission was lodged under the TGA/PBAC parallel process for</w:t>
      </w:r>
      <w:r w:rsidR="002248A3" w:rsidRPr="0085018D">
        <w:t xml:space="preserve"> a new indication</w:t>
      </w:r>
      <w:r w:rsidR="003A3A6F" w:rsidRPr="0085018D">
        <w:t xml:space="preserve"> that was TGA-approved in January 2024</w:t>
      </w:r>
      <w:r w:rsidR="00370B00" w:rsidRPr="0085018D">
        <w:t>:</w:t>
      </w:r>
      <w:r w:rsidRPr="0085018D">
        <w:t xml:space="preserve"> </w:t>
      </w:r>
      <w:r w:rsidR="00370B00" w:rsidRPr="0085018D">
        <w:t>T</w:t>
      </w:r>
      <w:r w:rsidRPr="0085018D">
        <w:t xml:space="preserve">reatment of patients with previously untreated CD30+ </w:t>
      </w:r>
      <w:r w:rsidR="003A3A6F" w:rsidRPr="0085018D">
        <w:t xml:space="preserve">Stage III or Stage IV </w:t>
      </w:r>
      <w:r w:rsidRPr="0085018D">
        <w:t>Hodgkin lymphoma</w:t>
      </w:r>
      <w:r w:rsidR="003A3A6F" w:rsidRPr="0085018D">
        <w:t xml:space="preserve"> (HL)</w:t>
      </w:r>
      <w:r w:rsidRPr="0085018D">
        <w:t xml:space="preserve"> in combination with doxorubicin, vinblastine and dacarbazine (AVD).</w:t>
      </w:r>
      <w:r w:rsidR="002248A3" w:rsidRPr="0085018D">
        <w:t xml:space="preserve"> </w:t>
      </w:r>
    </w:p>
    <w:p w14:paraId="4928E007" w14:textId="06FB4447" w:rsidR="00896124" w:rsidRPr="0085018D" w:rsidRDefault="00896124" w:rsidP="00896124">
      <w:pPr>
        <w:pStyle w:val="COMexecsumnumberedpara"/>
        <w:numPr>
          <w:ilvl w:val="0"/>
          <w:numId w:val="0"/>
        </w:numPr>
        <w:ind w:left="720"/>
        <w:rPr>
          <w:i/>
          <w:iCs/>
        </w:rPr>
      </w:pPr>
      <w:r w:rsidRPr="0085018D">
        <w:rPr>
          <w:i/>
          <w:iCs/>
        </w:rPr>
        <w:t>For more detail on PBAC’s view, see section 7 PBAC outcome.</w:t>
      </w:r>
    </w:p>
    <w:p w14:paraId="76E4EF3C" w14:textId="66B1CEE0" w:rsidR="00B60939" w:rsidRPr="0085018D" w:rsidRDefault="00B50DB8" w:rsidP="004E18E9">
      <w:pPr>
        <w:pStyle w:val="COMH1numbered"/>
      </w:pPr>
      <w:bookmarkStart w:id="5" w:name="_Toc107902078"/>
      <w:bookmarkStart w:id="6" w:name="_Toc156922242"/>
      <w:bookmarkEnd w:id="5"/>
      <w:r w:rsidRPr="0085018D">
        <w:t xml:space="preserve">Requested </w:t>
      </w:r>
      <w:proofErr w:type="gramStart"/>
      <w:r w:rsidRPr="0085018D">
        <w:t>listing</w:t>
      </w:r>
      <w:bookmarkEnd w:id="6"/>
      <w:proofErr w:type="gramEnd"/>
    </w:p>
    <w:p w14:paraId="2934FD6B" w14:textId="529BD5AF" w:rsidR="00F86F56" w:rsidRPr="0085018D" w:rsidRDefault="00F86F56" w:rsidP="00DF0993">
      <w:pPr>
        <w:pStyle w:val="COMexecsumnumberedpara"/>
      </w:pPr>
      <w:r w:rsidRPr="0085018D">
        <w:rPr>
          <w:rFonts w:cstheme="minorHAnsi"/>
          <w:iCs/>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9"/>
        <w:gridCol w:w="290"/>
        <w:gridCol w:w="992"/>
        <w:gridCol w:w="1560"/>
        <w:gridCol w:w="1984"/>
        <w:gridCol w:w="1701"/>
        <w:gridCol w:w="1559"/>
      </w:tblGrid>
      <w:tr w:rsidR="00F86F56" w:rsidRPr="0085018D" w14:paraId="25A64F80" w14:textId="77777777" w:rsidTr="00F86F56">
        <w:trPr>
          <w:cantSplit/>
          <w:trHeight w:val="345"/>
        </w:trPr>
        <w:tc>
          <w:tcPr>
            <w:tcW w:w="2263" w:type="dxa"/>
            <w:gridSpan w:val="4"/>
          </w:tcPr>
          <w:p w14:paraId="7C567728" w14:textId="131627BA" w:rsidR="00F86F56" w:rsidRPr="0085018D" w:rsidRDefault="00F86F56" w:rsidP="00F86F56">
            <w:pPr>
              <w:keepNext/>
              <w:ind w:left="-57"/>
              <w:rPr>
                <w:rFonts w:ascii="Arial Narrow" w:hAnsi="Arial Narrow"/>
                <w:b/>
                <w:sz w:val="18"/>
                <w:szCs w:val="18"/>
              </w:rPr>
            </w:pPr>
            <w:r w:rsidRPr="0085018D">
              <w:rPr>
                <w:rFonts w:ascii="Arial Narrow" w:hAnsi="Arial Narrow"/>
                <w:b/>
                <w:sz w:val="18"/>
                <w:szCs w:val="18"/>
              </w:rPr>
              <w:t>MEDICINAL PRODUCT</w:t>
            </w:r>
          </w:p>
        </w:tc>
        <w:tc>
          <w:tcPr>
            <w:tcW w:w="1560" w:type="dxa"/>
          </w:tcPr>
          <w:p w14:paraId="7BC9593E" w14:textId="77777777" w:rsidR="00F86F56" w:rsidRPr="0085018D" w:rsidRDefault="00F86F56" w:rsidP="00486DD9">
            <w:pPr>
              <w:keepNext/>
              <w:ind w:left="-57"/>
              <w:jc w:val="center"/>
              <w:rPr>
                <w:rFonts w:ascii="Arial Narrow" w:hAnsi="Arial Narrow"/>
                <w:b/>
                <w:sz w:val="18"/>
                <w:szCs w:val="18"/>
              </w:rPr>
            </w:pPr>
            <w:r w:rsidRPr="0085018D">
              <w:rPr>
                <w:rFonts w:ascii="Arial Narrow" w:hAnsi="Arial Narrow"/>
                <w:b/>
                <w:sz w:val="18"/>
                <w:szCs w:val="18"/>
              </w:rPr>
              <w:t>PBS item code</w:t>
            </w:r>
          </w:p>
        </w:tc>
        <w:tc>
          <w:tcPr>
            <w:tcW w:w="1984" w:type="dxa"/>
          </w:tcPr>
          <w:p w14:paraId="1C2629C7" w14:textId="39CDB2B7" w:rsidR="00F86F56" w:rsidRPr="0085018D" w:rsidRDefault="00F86F56" w:rsidP="00486DD9">
            <w:pPr>
              <w:keepNext/>
              <w:ind w:left="-57"/>
              <w:jc w:val="center"/>
              <w:rPr>
                <w:rFonts w:ascii="Arial Narrow" w:hAnsi="Arial Narrow"/>
                <w:b/>
                <w:sz w:val="18"/>
                <w:szCs w:val="18"/>
              </w:rPr>
            </w:pPr>
            <w:r w:rsidRPr="0085018D">
              <w:rPr>
                <w:rFonts w:ascii="Arial Narrow" w:hAnsi="Arial Narrow"/>
                <w:b/>
                <w:sz w:val="18"/>
                <w:szCs w:val="18"/>
              </w:rPr>
              <w:t>Dispensed Price Max Amt</w:t>
            </w:r>
          </w:p>
        </w:tc>
        <w:tc>
          <w:tcPr>
            <w:tcW w:w="1701" w:type="dxa"/>
          </w:tcPr>
          <w:p w14:paraId="272B5284" w14:textId="68C218C3" w:rsidR="00F86F56" w:rsidRPr="0085018D" w:rsidRDefault="00F86F56" w:rsidP="00F86F56">
            <w:pPr>
              <w:keepNext/>
              <w:ind w:left="-57"/>
              <w:jc w:val="center"/>
              <w:rPr>
                <w:rFonts w:ascii="Arial Narrow" w:hAnsi="Arial Narrow"/>
                <w:b/>
                <w:sz w:val="18"/>
                <w:szCs w:val="18"/>
              </w:rPr>
            </w:pPr>
            <w:r w:rsidRPr="0085018D">
              <w:rPr>
                <w:rFonts w:ascii="Arial Narrow" w:hAnsi="Arial Narrow"/>
                <w:b/>
                <w:sz w:val="18"/>
                <w:szCs w:val="18"/>
              </w:rPr>
              <w:t>Max. Amount</w:t>
            </w:r>
          </w:p>
        </w:tc>
        <w:tc>
          <w:tcPr>
            <w:tcW w:w="1559" w:type="dxa"/>
          </w:tcPr>
          <w:p w14:paraId="350F43BC" w14:textId="3082557B" w:rsidR="00F86F56" w:rsidRPr="0085018D" w:rsidRDefault="00F86F56" w:rsidP="00F86F56">
            <w:pPr>
              <w:keepNext/>
              <w:ind w:left="-57"/>
              <w:jc w:val="center"/>
              <w:rPr>
                <w:rFonts w:ascii="Arial Narrow" w:hAnsi="Arial Narrow"/>
                <w:b/>
                <w:sz w:val="18"/>
                <w:szCs w:val="18"/>
              </w:rPr>
            </w:pPr>
            <w:proofErr w:type="gramStart"/>
            <w:r w:rsidRPr="0085018D">
              <w:rPr>
                <w:rFonts w:ascii="Arial Narrow" w:hAnsi="Arial Narrow"/>
                <w:b/>
                <w:sz w:val="18"/>
                <w:szCs w:val="18"/>
              </w:rPr>
              <w:t>№.of</w:t>
            </w:r>
            <w:proofErr w:type="gramEnd"/>
            <w:r w:rsidRPr="0085018D">
              <w:rPr>
                <w:rFonts w:ascii="Arial Narrow" w:hAnsi="Arial Narrow"/>
                <w:b/>
                <w:sz w:val="18"/>
                <w:szCs w:val="18"/>
              </w:rPr>
              <w:t xml:space="preserve"> </w:t>
            </w:r>
            <w:proofErr w:type="spellStart"/>
            <w:r w:rsidRPr="0085018D">
              <w:rPr>
                <w:rFonts w:ascii="Arial Narrow" w:hAnsi="Arial Narrow"/>
                <w:b/>
                <w:sz w:val="18"/>
                <w:szCs w:val="18"/>
              </w:rPr>
              <w:t>Rpts</w:t>
            </w:r>
            <w:proofErr w:type="spellEnd"/>
          </w:p>
        </w:tc>
      </w:tr>
      <w:tr w:rsidR="00F86F56" w:rsidRPr="0085018D" w14:paraId="15679A82" w14:textId="77777777" w:rsidTr="00F86F56">
        <w:trPr>
          <w:cantSplit/>
          <w:trHeight w:val="577"/>
        </w:trPr>
        <w:tc>
          <w:tcPr>
            <w:tcW w:w="2263" w:type="dxa"/>
            <w:gridSpan w:val="4"/>
          </w:tcPr>
          <w:p w14:paraId="7844B0EC" w14:textId="77777777" w:rsidR="00F86F56" w:rsidRPr="0085018D" w:rsidRDefault="00F86F56" w:rsidP="00486DD9">
            <w:pPr>
              <w:keepNext/>
              <w:ind w:left="-57"/>
              <w:rPr>
                <w:rFonts w:ascii="Arial Narrow" w:hAnsi="Arial Narrow"/>
                <w:sz w:val="18"/>
                <w:szCs w:val="18"/>
              </w:rPr>
            </w:pPr>
            <w:r w:rsidRPr="0085018D">
              <w:rPr>
                <w:rFonts w:ascii="Arial Narrow" w:hAnsi="Arial Narrow"/>
                <w:sz w:val="18"/>
                <w:szCs w:val="18"/>
              </w:rPr>
              <w:t xml:space="preserve">BRENTUXIMAB VEDOTIN </w:t>
            </w:r>
          </w:p>
          <w:p w14:paraId="7E443C40" w14:textId="77777777" w:rsidR="00F86F56" w:rsidRPr="0085018D" w:rsidRDefault="00F86F56" w:rsidP="00486DD9">
            <w:pPr>
              <w:keepNext/>
              <w:ind w:left="-57"/>
              <w:rPr>
                <w:rFonts w:ascii="Arial Narrow" w:hAnsi="Arial Narrow"/>
                <w:sz w:val="18"/>
                <w:szCs w:val="18"/>
              </w:rPr>
            </w:pPr>
            <w:r w:rsidRPr="0085018D">
              <w:rPr>
                <w:rFonts w:ascii="Arial Narrow" w:hAnsi="Arial Narrow"/>
                <w:sz w:val="18"/>
                <w:szCs w:val="18"/>
              </w:rPr>
              <w:t>(50 mg injection, 1 vial)</w:t>
            </w:r>
          </w:p>
        </w:tc>
        <w:tc>
          <w:tcPr>
            <w:tcW w:w="1560" w:type="dxa"/>
          </w:tcPr>
          <w:p w14:paraId="1AC86075" w14:textId="77777777" w:rsidR="00F86F56" w:rsidRPr="0085018D" w:rsidRDefault="00F86F56" w:rsidP="00486DD9">
            <w:pPr>
              <w:keepNext/>
              <w:ind w:left="-57"/>
              <w:jc w:val="center"/>
              <w:rPr>
                <w:rFonts w:ascii="Arial Narrow" w:hAnsi="Arial Narrow"/>
                <w:sz w:val="18"/>
                <w:szCs w:val="18"/>
              </w:rPr>
            </w:pPr>
            <w:r w:rsidRPr="0085018D">
              <w:rPr>
                <w:rFonts w:ascii="Arial Narrow" w:hAnsi="Arial Narrow"/>
                <w:sz w:val="18"/>
                <w:szCs w:val="18"/>
              </w:rPr>
              <w:t>NEW (Public)</w:t>
            </w:r>
          </w:p>
          <w:p w14:paraId="5B1432A9" w14:textId="374D860B" w:rsidR="00F86F56" w:rsidRPr="0085018D" w:rsidRDefault="00F86F56" w:rsidP="00486DD9">
            <w:pPr>
              <w:keepNext/>
              <w:ind w:left="-57"/>
              <w:jc w:val="center"/>
              <w:rPr>
                <w:rFonts w:ascii="Arial Narrow" w:hAnsi="Arial Narrow"/>
                <w:sz w:val="18"/>
                <w:szCs w:val="18"/>
              </w:rPr>
            </w:pPr>
            <w:r w:rsidRPr="0085018D">
              <w:rPr>
                <w:rFonts w:ascii="Arial Narrow" w:hAnsi="Arial Narrow"/>
                <w:sz w:val="18"/>
                <w:szCs w:val="18"/>
              </w:rPr>
              <w:t>NEW (Private)</w:t>
            </w:r>
            <w:r w:rsidRPr="0085018D">
              <w:rPr>
                <w:rFonts w:ascii="Arial Narrow" w:hAnsi="Arial Narrow"/>
                <w:sz w:val="18"/>
                <w:szCs w:val="18"/>
                <w:vertAlign w:val="subscript"/>
              </w:rPr>
              <w:t xml:space="preserve"> </w:t>
            </w:r>
            <w:r w:rsidRPr="0085018D">
              <w:rPr>
                <w:rFonts w:ascii="Arial Narrow" w:hAnsi="Arial Narrow"/>
                <w:sz w:val="18"/>
                <w:szCs w:val="18"/>
                <w:vertAlign w:val="subscript"/>
              </w:rPr>
              <w:br/>
              <w:t>MP</w:t>
            </w:r>
          </w:p>
        </w:tc>
        <w:tc>
          <w:tcPr>
            <w:tcW w:w="1984" w:type="dxa"/>
          </w:tcPr>
          <w:p w14:paraId="66289FC9" w14:textId="77777777" w:rsidR="00F86F56" w:rsidRPr="0085018D" w:rsidRDefault="00F86F56" w:rsidP="00F86F56">
            <w:pPr>
              <w:keepNext/>
              <w:ind w:left="-57"/>
              <w:jc w:val="center"/>
              <w:rPr>
                <w:rFonts w:ascii="Arial Narrow" w:hAnsi="Arial Narrow"/>
                <w:sz w:val="18"/>
                <w:szCs w:val="18"/>
              </w:rPr>
            </w:pPr>
            <w:r w:rsidRPr="0085018D">
              <w:rPr>
                <w:rFonts w:ascii="Arial Narrow" w:hAnsi="Arial Narrow"/>
                <w:sz w:val="18"/>
                <w:szCs w:val="18"/>
              </w:rPr>
              <w:t xml:space="preserve">Published </w:t>
            </w:r>
            <w:proofErr w:type="gramStart"/>
            <w:r w:rsidRPr="0085018D">
              <w:rPr>
                <w:rFonts w:ascii="Arial Narrow" w:hAnsi="Arial Narrow"/>
                <w:sz w:val="18"/>
                <w:szCs w:val="18"/>
              </w:rPr>
              <w:t>price</w:t>
            </w:r>
            <w:proofErr w:type="gramEnd"/>
          </w:p>
          <w:p w14:paraId="3046288F" w14:textId="21AE1E6C" w:rsidR="00F86F56" w:rsidRPr="0085018D" w:rsidRDefault="00F86F56" w:rsidP="00F86F56">
            <w:pPr>
              <w:keepNext/>
              <w:ind w:left="-57"/>
              <w:jc w:val="center"/>
              <w:rPr>
                <w:rFonts w:ascii="Arial Narrow" w:hAnsi="Arial Narrow"/>
                <w:sz w:val="18"/>
                <w:szCs w:val="18"/>
              </w:rPr>
            </w:pPr>
            <w:r w:rsidRPr="0085018D">
              <w:rPr>
                <w:rFonts w:ascii="Arial Narrow" w:hAnsi="Arial Narrow"/>
                <w:sz w:val="18"/>
                <w:szCs w:val="18"/>
              </w:rPr>
              <w:t>Public: $</w:t>
            </w:r>
            <w:r w:rsidR="00AC76C1" w:rsidRPr="00AC76C1">
              <w:rPr>
                <w:rFonts w:ascii="Arial Narrow" w:hAnsi="Arial Narrow"/>
                <w:color w:val="000000"/>
                <w:sz w:val="18"/>
                <w:szCs w:val="18"/>
                <w:shd w:val="solid" w:color="000000" w:fill="000000"/>
                <w14:textFill>
                  <w14:solidFill>
                    <w14:srgbClr w14:val="000000">
                      <w14:alpha w14:val="100000"/>
                    </w14:srgbClr>
                  </w14:solidFill>
                </w14:textFill>
              </w:rPr>
              <w:t>|</w:t>
            </w:r>
          </w:p>
          <w:p w14:paraId="0E8EC30E" w14:textId="39A79339" w:rsidR="00F86F56" w:rsidRPr="0085018D" w:rsidRDefault="00F86F56" w:rsidP="00F86F56">
            <w:pPr>
              <w:keepNext/>
              <w:ind w:left="-57"/>
              <w:jc w:val="center"/>
              <w:rPr>
                <w:rFonts w:ascii="Arial Narrow" w:hAnsi="Arial Narrow"/>
                <w:sz w:val="18"/>
                <w:szCs w:val="18"/>
              </w:rPr>
            </w:pPr>
            <w:r w:rsidRPr="0085018D">
              <w:rPr>
                <w:rFonts w:ascii="Arial Narrow" w:hAnsi="Arial Narrow"/>
                <w:sz w:val="18"/>
                <w:szCs w:val="18"/>
              </w:rPr>
              <w:t>Private: $</w:t>
            </w:r>
            <w:r w:rsidR="00AC76C1" w:rsidRPr="00AC76C1">
              <w:rPr>
                <w:rFonts w:ascii="Arial Narrow" w:hAnsi="Arial Narrow"/>
                <w:color w:val="000000"/>
                <w:sz w:val="18"/>
                <w:szCs w:val="18"/>
                <w:shd w:val="solid" w:color="000000" w:fill="000000"/>
                <w14:textFill>
                  <w14:solidFill>
                    <w14:srgbClr w14:val="000000">
                      <w14:alpha w14:val="100000"/>
                    </w14:srgbClr>
                  </w14:solidFill>
                </w14:textFill>
              </w:rPr>
              <w:t>|</w:t>
            </w:r>
          </w:p>
          <w:p w14:paraId="15DDA00B" w14:textId="77777777" w:rsidR="00F86F56" w:rsidRPr="0085018D" w:rsidRDefault="00F86F56" w:rsidP="00F86F56">
            <w:pPr>
              <w:keepNext/>
              <w:ind w:left="-57"/>
              <w:jc w:val="center"/>
              <w:rPr>
                <w:rFonts w:ascii="Arial Narrow" w:hAnsi="Arial Narrow"/>
                <w:sz w:val="18"/>
                <w:szCs w:val="18"/>
              </w:rPr>
            </w:pPr>
          </w:p>
          <w:p w14:paraId="7251830F" w14:textId="77777777" w:rsidR="00F86F56" w:rsidRPr="0085018D" w:rsidRDefault="00F86F56" w:rsidP="00F86F56">
            <w:pPr>
              <w:keepNext/>
              <w:ind w:left="-57"/>
              <w:jc w:val="center"/>
              <w:rPr>
                <w:rFonts w:ascii="Arial Narrow" w:hAnsi="Arial Narrow"/>
                <w:sz w:val="18"/>
                <w:szCs w:val="18"/>
              </w:rPr>
            </w:pPr>
            <w:r w:rsidRPr="0085018D">
              <w:rPr>
                <w:rFonts w:ascii="Arial Narrow" w:hAnsi="Arial Narrow"/>
                <w:sz w:val="18"/>
                <w:szCs w:val="18"/>
              </w:rPr>
              <w:t>Effective price</w:t>
            </w:r>
          </w:p>
          <w:p w14:paraId="5FF73408" w14:textId="7F864E55" w:rsidR="00F86F56" w:rsidRPr="0085018D" w:rsidRDefault="00F86F56" w:rsidP="00F86F56">
            <w:pPr>
              <w:keepNext/>
              <w:ind w:left="-57"/>
              <w:jc w:val="center"/>
              <w:rPr>
                <w:rFonts w:ascii="Arial Narrow" w:hAnsi="Arial Narrow"/>
                <w:sz w:val="18"/>
                <w:szCs w:val="18"/>
              </w:rPr>
            </w:pPr>
            <w:r w:rsidRPr="0085018D">
              <w:rPr>
                <w:rFonts w:ascii="Arial Narrow" w:hAnsi="Arial Narrow"/>
                <w:sz w:val="18"/>
                <w:szCs w:val="18"/>
              </w:rPr>
              <w:t>Public: $</w:t>
            </w:r>
            <w:r w:rsidR="00AC76C1" w:rsidRPr="00AC76C1">
              <w:rPr>
                <w:rFonts w:ascii="Arial Narrow" w:hAnsi="Arial Narrow"/>
                <w:color w:val="000000"/>
                <w:sz w:val="18"/>
                <w:szCs w:val="18"/>
                <w:shd w:val="solid" w:color="000000" w:fill="000000"/>
                <w14:textFill>
                  <w14:solidFill>
                    <w14:srgbClr w14:val="000000">
                      <w14:alpha w14:val="100000"/>
                    </w14:srgbClr>
                  </w14:solidFill>
                </w14:textFill>
              </w:rPr>
              <w:t>|</w:t>
            </w:r>
          </w:p>
          <w:p w14:paraId="0B259B33" w14:textId="4E009ADB" w:rsidR="00F86F56" w:rsidRPr="0085018D" w:rsidRDefault="00F86F56" w:rsidP="00F86F56">
            <w:pPr>
              <w:keepNext/>
              <w:ind w:left="-57"/>
              <w:jc w:val="center"/>
              <w:rPr>
                <w:rFonts w:ascii="Arial Narrow" w:hAnsi="Arial Narrow"/>
                <w:sz w:val="18"/>
                <w:szCs w:val="18"/>
                <w:vertAlign w:val="subscript"/>
              </w:rPr>
            </w:pPr>
            <w:r w:rsidRPr="0085018D">
              <w:rPr>
                <w:rFonts w:ascii="Arial Narrow" w:hAnsi="Arial Narrow"/>
                <w:sz w:val="18"/>
                <w:szCs w:val="18"/>
              </w:rPr>
              <w:t>Private: $</w:t>
            </w:r>
            <w:r w:rsidR="00AC76C1" w:rsidRPr="00AC76C1">
              <w:rPr>
                <w:rFonts w:ascii="Arial Narrow" w:hAnsi="Arial Narrow"/>
                <w:color w:val="000000"/>
                <w:sz w:val="18"/>
                <w:szCs w:val="18"/>
                <w:shd w:val="solid" w:color="000000" w:fill="000000"/>
                <w14:textFill>
                  <w14:solidFill>
                    <w14:srgbClr w14:val="000000">
                      <w14:alpha w14:val="100000"/>
                    </w14:srgbClr>
                  </w14:solidFill>
                </w14:textFill>
              </w:rPr>
              <w:t>|</w:t>
            </w:r>
          </w:p>
        </w:tc>
        <w:tc>
          <w:tcPr>
            <w:tcW w:w="1701" w:type="dxa"/>
          </w:tcPr>
          <w:p w14:paraId="3CBFAEA5" w14:textId="77777777" w:rsidR="00F86F56" w:rsidRPr="0085018D" w:rsidRDefault="00F86F56" w:rsidP="00486DD9">
            <w:pPr>
              <w:keepNext/>
              <w:ind w:left="-57"/>
              <w:jc w:val="center"/>
              <w:rPr>
                <w:rFonts w:ascii="Arial Narrow" w:hAnsi="Arial Narrow"/>
                <w:iCs/>
                <w:sz w:val="18"/>
                <w:szCs w:val="18"/>
              </w:rPr>
            </w:pPr>
            <w:r w:rsidRPr="0085018D">
              <w:rPr>
                <w:rFonts w:ascii="Arial Narrow" w:hAnsi="Arial Narrow"/>
                <w:iCs/>
                <w:strike/>
                <w:sz w:val="18"/>
                <w:szCs w:val="18"/>
              </w:rPr>
              <w:t>150</w:t>
            </w:r>
            <w:r w:rsidRPr="0085018D">
              <w:rPr>
                <w:rFonts w:ascii="Arial Narrow" w:hAnsi="Arial Narrow"/>
                <w:iCs/>
                <w:sz w:val="18"/>
                <w:szCs w:val="18"/>
              </w:rPr>
              <w:t xml:space="preserve"> </w:t>
            </w:r>
            <w:r w:rsidRPr="0085018D">
              <w:rPr>
                <w:rFonts w:ascii="Arial Narrow" w:hAnsi="Arial Narrow"/>
                <w:i/>
                <w:sz w:val="18"/>
                <w:szCs w:val="18"/>
              </w:rPr>
              <w:t xml:space="preserve">120 </w:t>
            </w:r>
            <w:r w:rsidRPr="0085018D">
              <w:rPr>
                <w:rFonts w:ascii="Arial Narrow" w:hAnsi="Arial Narrow"/>
                <w:iCs/>
                <w:sz w:val="18"/>
                <w:szCs w:val="18"/>
              </w:rPr>
              <w:t>mg</w:t>
            </w:r>
          </w:p>
        </w:tc>
        <w:tc>
          <w:tcPr>
            <w:tcW w:w="1559" w:type="dxa"/>
          </w:tcPr>
          <w:p w14:paraId="209BD5D9" w14:textId="77777777" w:rsidR="00F86F56" w:rsidRPr="0085018D" w:rsidRDefault="00F86F56" w:rsidP="00486DD9">
            <w:pPr>
              <w:keepNext/>
              <w:ind w:left="-57"/>
              <w:jc w:val="center"/>
              <w:rPr>
                <w:rFonts w:ascii="Arial Narrow" w:hAnsi="Arial Narrow"/>
                <w:sz w:val="18"/>
                <w:szCs w:val="18"/>
              </w:rPr>
            </w:pPr>
            <w:r w:rsidRPr="0085018D">
              <w:rPr>
                <w:rFonts w:ascii="Arial Narrow" w:hAnsi="Arial Narrow"/>
                <w:sz w:val="18"/>
                <w:szCs w:val="18"/>
              </w:rPr>
              <w:t>11</w:t>
            </w:r>
          </w:p>
        </w:tc>
      </w:tr>
      <w:tr w:rsidR="00F86F56" w:rsidRPr="0085018D" w14:paraId="71B2DD26" w14:textId="77777777" w:rsidTr="00486DD9">
        <w:trPr>
          <w:cantSplit/>
          <w:trHeight w:val="225"/>
        </w:trPr>
        <w:tc>
          <w:tcPr>
            <w:tcW w:w="9067" w:type="dxa"/>
            <w:gridSpan w:val="8"/>
          </w:tcPr>
          <w:p w14:paraId="429F3B4D" w14:textId="77777777" w:rsidR="00F86F56" w:rsidRPr="0085018D" w:rsidRDefault="00F86F56" w:rsidP="00486DD9">
            <w:pPr>
              <w:keepNext/>
              <w:ind w:left="-57"/>
              <w:rPr>
                <w:rFonts w:ascii="Arial Narrow" w:hAnsi="Arial Narrow"/>
                <w:b/>
                <w:bCs/>
                <w:sz w:val="18"/>
                <w:szCs w:val="18"/>
              </w:rPr>
            </w:pPr>
            <w:r w:rsidRPr="0085018D">
              <w:rPr>
                <w:rFonts w:ascii="Arial Narrow" w:hAnsi="Arial Narrow"/>
                <w:b/>
                <w:bCs/>
                <w:sz w:val="18"/>
                <w:szCs w:val="18"/>
              </w:rPr>
              <w:t>Available brands</w:t>
            </w:r>
          </w:p>
        </w:tc>
      </w:tr>
      <w:tr w:rsidR="00F86F56" w:rsidRPr="0085018D" w14:paraId="0BF115B9" w14:textId="77777777" w:rsidTr="00486DD9">
        <w:trPr>
          <w:cantSplit/>
          <w:trHeight w:val="99"/>
        </w:trPr>
        <w:tc>
          <w:tcPr>
            <w:tcW w:w="9067" w:type="dxa"/>
            <w:gridSpan w:val="8"/>
          </w:tcPr>
          <w:p w14:paraId="75DAF562" w14:textId="77777777" w:rsidR="00F86F56" w:rsidRPr="0085018D" w:rsidRDefault="00F86F56" w:rsidP="00486DD9">
            <w:pPr>
              <w:ind w:left="-57"/>
              <w:rPr>
                <w:rFonts w:ascii="Arial Narrow" w:hAnsi="Arial Narrow"/>
                <w:sz w:val="18"/>
                <w:szCs w:val="18"/>
              </w:rPr>
            </w:pPr>
            <w:r w:rsidRPr="0085018D">
              <w:rPr>
                <w:rFonts w:ascii="Arial Narrow" w:hAnsi="Arial Narrow"/>
                <w:sz w:val="18"/>
                <w:szCs w:val="18"/>
              </w:rPr>
              <w:t>ADECTRIS</w:t>
            </w:r>
          </w:p>
          <w:p w14:paraId="6C04B718" w14:textId="77777777" w:rsidR="00F86F56" w:rsidRPr="0085018D" w:rsidRDefault="00F86F56" w:rsidP="00486DD9">
            <w:pPr>
              <w:ind w:left="-57"/>
              <w:rPr>
                <w:rFonts w:ascii="Arial Narrow" w:hAnsi="Arial Narrow"/>
                <w:sz w:val="18"/>
                <w:szCs w:val="18"/>
              </w:rPr>
            </w:pPr>
            <w:r w:rsidRPr="0085018D">
              <w:rPr>
                <w:rFonts w:ascii="Arial Narrow" w:hAnsi="Arial Narrow"/>
                <w:sz w:val="18"/>
                <w:szCs w:val="18"/>
              </w:rPr>
              <w:t>(</w:t>
            </w:r>
            <w:proofErr w:type="gramStart"/>
            <w:r w:rsidRPr="0085018D">
              <w:rPr>
                <w:rFonts w:ascii="Arial Narrow" w:hAnsi="Arial Narrow"/>
                <w:sz w:val="18"/>
                <w:szCs w:val="18"/>
              </w:rPr>
              <w:t>brentuximab</w:t>
            </w:r>
            <w:proofErr w:type="gramEnd"/>
            <w:r w:rsidRPr="0085018D">
              <w:rPr>
                <w:rFonts w:ascii="Arial Narrow" w:hAnsi="Arial Narrow"/>
                <w:sz w:val="18"/>
                <w:szCs w:val="18"/>
              </w:rPr>
              <w:t xml:space="preserve"> </w:t>
            </w:r>
            <w:proofErr w:type="spellStart"/>
            <w:r w:rsidRPr="0085018D">
              <w:rPr>
                <w:rFonts w:ascii="Arial Narrow" w:hAnsi="Arial Narrow"/>
                <w:sz w:val="18"/>
                <w:szCs w:val="18"/>
              </w:rPr>
              <w:t>vedotin</w:t>
            </w:r>
            <w:proofErr w:type="spellEnd"/>
            <w:r w:rsidRPr="0085018D">
              <w:rPr>
                <w:rFonts w:ascii="Arial Narrow" w:hAnsi="Arial Narrow"/>
                <w:sz w:val="18"/>
                <w:szCs w:val="18"/>
              </w:rPr>
              <w:t xml:space="preserve"> 50 mg injection, 1 vial)</w:t>
            </w:r>
          </w:p>
        </w:tc>
      </w:tr>
      <w:tr w:rsidR="00F86F56" w:rsidRPr="0085018D" w14:paraId="01833A6C" w14:textId="77777777" w:rsidTr="00486DD9">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3ADB1361" w14:textId="77777777" w:rsidR="00F86F56" w:rsidRPr="0085018D" w:rsidRDefault="00F86F56" w:rsidP="00486DD9">
            <w:pPr>
              <w:rPr>
                <w:rFonts w:ascii="Arial Narrow" w:hAnsi="Arial Narrow"/>
                <w:b/>
                <w:bCs/>
                <w:color w:val="333333"/>
                <w:sz w:val="18"/>
                <w:szCs w:val="18"/>
              </w:rPr>
            </w:pPr>
            <w:r w:rsidRPr="00B23B25">
              <w:rPr>
                <w:rFonts w:ascii="Arial Narrow" w:hAnsi="Arial Narrow"/>
                <w:b/>
                <w:sz w:val="18"/>
                <w:szCs w:val="18"/>
              </w:rPr>
              <w:t>Restriction Summary [new]</w:t>
            </w:r>
            <w:r w:rsidRPr="00B23B25">
              <w:rPr>
                <w:rFonts w:ascii="Arial Narrow" w:hAnsi="Arial Narrow"/>
                <w:i/>
                <w:sz w:val="18"/>
                <w:szCs w:val="18"/>
              </w:rPr>
              <w:t xml:space="preserve"> </w:t>
            </w:r>
            <w:r w:rsidRPr="00B23B25">
              <w:rPr>
                <w:rFonts w:ascii="Arial Narrow" w:hAnsi="Arial Narrow"/>
                <w:b/>
                <w:sz w:val="18"/>
                <w:szCs w:val="18"/>
              </w:rPr>
              <w:t>/ Treatment of Concept: [new]</w:t>
            </w:r>
            <w:r w:rsidRPr="00B23B25">
              <w:rPr>
                <w:rFonts w:ascii="Arial Narrow" w:hAnsi="Arial Narrow"/>
                <w:iCs/>
                <w:sz w:val="18"/>
                <w:szCs w:val="18"/>
              </w:rPr>
              <w:t xml:space="preserve"> [number – For. Dept. use]: </w:t>
            </w:r>
            <w:r w:rsidRPr="00B23B25">
              <w:rPr>
                <w:rFonts w:ascii="Arial Narrow" w:hAnsi="Arial Narrow"/>
                <w:b/>
                <w:bCs/>
                <w:iCs/>
                <w:sz w:val="18"/>
                <w:szCs w:val="18"/>
              </w:rPr>
              <w:t xml:space="preserve">Authority Required </w:t>
            </w:r>
          </w:p>
        </w:tc>
      </w:tr>
      <w:tr w:rsidR="00F86F56" w:rsidRPr="0085018D" w14:paraId="3CCBDF1D" w14:textId="77777777" w:rsidTr="00486DD9">
        <w:tblPrEx>
          <w:tblCellMar>
            <w:top w:w="15" w:type="dxa"/>
            <w:bottom w:w="15" w:type="dxa"/>
          </w:tblCellMar>
          <w:tblLook w:val="04A0" w:firstRow="1" w:lastRow="0" w:firstColumn="1" w:lastColumn="0" w:noHBand="0" w:noVBand="1"/>
        </w:tblPrEx>
        <w:trPr>
          <w:cantSplit/>
          <w:trHeight w:val="20"/>
        </w:trPr>
        <w:tc>
          <w:tcPr>
            <w:tcW w:w="1271" w:type="dxa"/>
            <w:gridSpan w:val="3"/>
            <w:vMerge w:val="restart"/>
          </w:tcPr>
          <w:p w14:paraId="2264EDF8" w14:textId="36684A79" w:rsidR="00F86F56" w:rsidRPr="0085018D" w:rsidRDefault="00F86F56" w:rsidP="00486DD9">
            <w:pPr>
              <w:keepNext/>
              <w:jc w:val="center"/>
              <w:rPr>
                <w:rFonts w:ascii="Arial Narrow" w:hAnsi="Arial Narrow"/>
                <w:b/>
                <w:sz w:val="20"/>
                <w:szCs w:val="20"/>
              </w:rPr>
            </w:pPr>
          </w:p>
        </w:tc>
        <w:tc>
          <w:tcPr>
            <w:tcW w:w="7796" w:type="dxa"/>
            <w:gridSpan w:val="5"/>
          </w:tcPr>
          <w:p w14:paraId="150A076F" w14:textId="77777777" w:rsidR="00F86F56" w:rsidRPr="0085018D" w:rsidRDefault="00F86F56" w:rsidP="00486DD9">
            <w:pPr>
              <w:keepNext/>
              <w:rPr>
                <w:rFonts w:ascii="Arial Narrow" w:hAnsi="Arial Narrow"/>
                <w:sz w:val="20"/>
                <w:szCs w:val="20"/>
              </w:rPr>
            </w:pPr>
            <w:r w:rsidRPr="0085018D">
              <w:rPr>
                <w:rFonts w:ascii="Arial Narrow" w:hAnsi="Arial Narrow"/>
                <w:b/>
                <w:sz w:val="20"/>
                <w:szCs w:val="20"/>
              </w:rPr>
              <w:t xml:space="preserve">Category / Program: </w:t>
            </w:r>
            <w:r w:rsidRPr="0085018D">
              <w:rPr>
                <w:rFonts w:ascii="Arial Narrow" w:hAnsi="Arial Narrow"/>
                <w:sz w:val="20"/>
                <w:szCs w:val="20"/>
              </w:rPr>
              <w:t>Section 100 – Efficient Funding of Chemotherapy Public/Private hospitals</w:t>
            </w:r>
          </w:p>
        </w:tc>
      </w:tr>
      <w:tr w:rsidR="00F86F56" w:rsidRPr="0085018D" w14:paraId="28894B42" w14:textId="77777777" w:rsidTr="00486DD9">
        <w:tblPrEx>
          <w:tblCellMar>
            <w:top w:w="15" w:type="dxa"/>
            <w:bottom w:w="15" w:type="dxa"/>
          </w:tblCellMar>
          <w:tblLook w:val="04A0" w:firstRow="1" w:lastRow="0" w:firstColumn="1" w:lastColumn="0" w:noHBand="0" w:noVBand="1"/>
        </w:tblPrEx>
        <w:trPr>
          <w:cantSplit/>
          <w:trHeight w:val="20"/>
        </w:trPr>
        <w:tc>
          <w:tcPr>
            <w:tcW w:w="1271" w:type="dxa"/>
            <w:gridSpan w:val="3"/>
            <w:vMerge/>
          </w:tcPr>
          <w:p w14:paraId="743B3D0D" w14:textId="77777777" w:rsidR="00F86F56" w:rsidRPr="0085018D" w:rsidRDefault="00F86F56" w:rsidP="00486DD9">
            <w:pPr>
              <w:keepNext/>
              <w:rPr>
                <w:rFonts w:ascii="Arial Narrow" w:hAnsi="Arial Narrow"/>
                <w:sz w:val="20"/>
                <w:szCs w:val="20"/>
              </w:rPr>
            </w:pPr>
          </w:p>
        </w:tc>
        <w:tc>
          <w:tcPr>
            <w:tcW w:w="7796" w:type="dxa"/>
            <w:gridSpan w:val="5"/>
          </w:tcPr>
          <w:p w14:paraId="1FA21841" w14:textId="77777777" w:rsidR="00F86F56" w:rsidRPr="0085018D" w:rsidRDefault="00F86F56" w:rsidP="00486DD9">
            <w:pPr>
              <w:keepNext/>
              <w:rPr>
                <w:rFonts w:ascii="Arial Narrow" w:hAnsi="Arial Narrow"/>
                <w:b/>
                <w:sz w:val="20"/>
                <w:szCs w:val="20"/>
              </w:rPr>
            </w:pPr>
            <w:r w:rsidRPr="0085018D">
              <w:rPr>
                <w:rFonts w:ascii="Arial Narrow" w:hAnsi="Arial Narrow"/>
                <w:b/>
                <w:sz w:val="20"/>
                <w:szCs w:val="20"/>
              </w:rPr>
              <w:t xml:space="preserve">Prescriber type: </w:t>
            </w:r>
            <w:r w:rsidRPr="0085018D">
              <w:rPr>
                <w:rFonts w:ascii="Arial Narrow" w:hAnsi="Arial Narrow"/>
                <w:sz w:val="20"/>
                <w:szCs w:val="20"/>
              </w:rPr>
              <w:fldChar w:fldCharType="begin">
                <w:ffData>
                  <w:name w:val=""/>
                  <w:enabled/>
                  <w:calcOnExit w:val="0"/>
                  <w:checkBox>
                    <w:sizeAuto/>
                    <w:default w:val="1"/>
                  </w:checkBox>
                </w:ffData>
              </w:fldChar>
            </w:r>
            <w:r w:rsidRPr="0085018D">
              <w:rPr>
                <w:rFonts w:ascii="Arial Narrow" w:hAnsi="Arial Narrow"/>
                <w:sz w:val="20"/>
                <w:szCs w:val="20"/>
              </w:rPr>
              <w:instrText xml:space="preserve"> FORMCHECKBOX </w:instrText>
            </w:r>
            <w:r w:rsidR="00A45ED5">
              <w:rPr>
                <w:rFonts w:ascii="Arial Narrow" w:hAnsi="Arial Narrow"/>
                <w:sz w:val="20"/>
                <w:szCs w:val="20"/>
              </w:rPr>
            </w:r>
            <w:r w:rsidR="00A45ED5">
              <w:rPr>
                <w:rFonts w:ascii="Arial Narrow" w:hAnsi="Arial Narrow"/>
                <w:sz w:val="20"/>
                <w:szCs w:val="20"/>
              </w:rPr>
              <w:fldChar w:fldCharType="separate"/>
            </w:r>
            <w:r w:rsidRPr="0085018D">
              <w:rPr>
                <w:rFonts w:ascii="Arial Narrow" w:hAnsi="Arial Narrow"/>
                <w:sz w:val="20"/>
                <w:szCs w:val="20"/>
              </w:rPr>
              <w:fldChar w:fldCharType="end"/>
            </w:r>
            <w:r w:rsidRPr="0085018D">
              <w:rPr>
                <w:rFonts w:ascii="Arial Narrow" w:hAnsi="Arial Narrow"/>
                <w:sz w:val="20"/>
                <w:szCs w:val="20"/>
              </w:rPr>
              <w:t xml:space="preserve">Medical Practitioners </w:t>
            </w:r>
          </w:p>
        </w:tc>
      </w:tr>
      <w:tr w:rsidR="00F86F56" w:rsidRPr="0085018D" w14:paraId="1AD8DD83" w14:textId="77777777" w:rsidTr="00486DD9">
        <w:tblPrEx>
          <w:tblCellMar>
            <w:top w:w="15" w:type="dxa"/>
            <w:bottom w:w="15" w:type="dxa"/>
          </w:tblCellMar>
          <w:tblLook w:val="04A0" w:firstRow="1" w:lastRow="0" w:firstColumn="1" w:lastColumn="0" w:noHBand="0" w:noVBand="1"/>
        </w:tblPrEx>
        <w:trPr>
          <w:cantSplit/>
          <w:trHeight w:val="20"/>
        </w:trPr>
        <w:tc>
          <w:tcPr>
            <w:tcW w:w="1271" w:type="dxa"/>
            <w:gridSpan w:val="3"/>
            <w:vMerge/>
          </w:tcPr>
          <w:p w14:paraId="3618EE0E" w14:textId="77777777" w:rsidR="00F86F56" w:rsidRPr="0085018D" w:rsidRDefault="00F86F56" w:rsidP="00486DD9">
            <w:pPr>
              <w:rPr>
                <w:rFonts w:ascii="Arial Narrow" w:hAnsi="Arial Narrow"/>
                <w:sz w:val="20"/>
                <w:szCs w:val="20"/>
              </w:rPr>
            </w:pPr>
          </w:p>
        </w:tc>
        <w:tc>
          <w:tcPr>
            <w:tcW w:w="7796" w:type="dxa"/>
            <w:gridSpan w:val="5"/>
          </w:tcPr>
          <w:p w14:paraId="75716912" w14:textId="77777777" w:rsidR="00F86F56" w:rsidRPr="0085018D" w:rsidRDefault="00F86F56" w:rsidP="00486DD9">
            <w:pPr>
              <w:jc w:val="left"/>
              <w:rPr>
                <w:rFonts w:ascii="Arial Narrow" w:eastAsia="Calibri" w:hAnsi="Arial Narrow"/>
                <w:sz w:val="20"/>
                <w:szCs w:val="20"/>
              </w:rPr>
            </w:pPr>
            <w:r w:rsidRPr="0085018D">
              <w:rPr>
                <w:rFonts w:ascii="Arial Narrow" w:hAnsi="Arial Narrow"/>
                <w:b/>
                <w:sz w:val="20"/>
                <w:szCs w:val="20"/>
              </w:rPr>
              <w:t xml:space="preserve">Restriction type: </w:t>
            </w:r>
            <w:r w:rsidRPr="0085018D">
              <w:rPr>
                <w:rFonts w:ascii="Arial Narrow" w:eastAsia="Calibri" w:hAnsi="Arial Narrow"/>
                <w:sz w:val="20"/>
                <w:szCs w:val="20"/>
              </w:rPr>
              <w:fldChar w:fldCharType="begin">
                <w:ffData>
                  <w:name w:val=""/>
                  <w:enabled/>
                  <w:calcOnExit w:val="0"/>
                  <w:checkBox>
                    <w:sizeAuto/>
                    <w:default w:val="1"/>
                  </w:checkBox>
                </w:ffData>
              </w:fldChar>
            </w:r>
            <w:r w:rsidRPr="0085018D">
              <w:rPr>
                <w:rFonts w:ascii="Arial Narrow" w:eastAsia="Calibri" w:hAnsi="Arial Narrow"/>
                <w:sz w:val="20"/>
                <w:szCs w:val="20"/>
              </w:rPr>
              <w:instrText xml:space="preserve"> FORMCHECKBOX </w:instrText>
            </w:r>
            <w:r w:rsidR="00A45ED5">
              <w:rPr>
                <w:rFonts w:ascii="Arial Narrow" w:eastAsia="Calibri" w:hAnsi="Arial Narrow"/>
                <w:sz w:val="20"/>
                <w:szCs w:val="20"/>
              </w:rPr>
            </w:r>
            <w:r w:rsidR="00A45ED5">
              <w:rPr>
                <w:rFonts w:ascii="Arial Narrow" w:eastAsia="Calibri" w:hAnsi="Arial Narrow"/>
                <w:sz w:val="20"/>
                <w:szCs w:val="20"/>
              </w:rPr>
              <w:fldChar w:fldCharType="separate"/>
            </w:r>
            <w:r w:rsidRPr="0085018D">
              <w:rPr>
                <w:rFonts w:ascii="Arial Narrow" w:eastAsia="Calibri" w:hAnsi="Arial Narrow"/>
                <w:sz w:val="20"/>
                <w:szCs w:val="20"/>
              </w:rPr>
              <w:fldChar w:fldCharType="end"/>
            </w:r>
            <w:r w:rsidRPr="0085018D">
              <w:rPr>
                <w:rFonts w:ascii="Arial Narrow" w:eastAsia="Calibri" w:hAnsi="Arial Narrow"/>
                <w:sz w:val="20"/>
                <w:szCs w:val="20"/>
              </w:rPr>
              <w:t xml:space="preserve">Authority Required (in writing only via post/HPOS upload)  </w:t>
            </w:r>
          </w:p>
        </w:tc>
      </w:tr>
      <w:tr w:rsidR="00F86F56" w:rsidRPr="0085018D" w14:paraId="1E7157B4" w14:textId="77777777" w:rsidTr="00486DD9">
        <w:tblPrEx>
          <w:tblCellMar>
            <w:top w:w="15" w:type="dxa"/>
            <w:bottom w:w="15" w:type="dxa"/>
          </w:tblCellMar>
          <w:tblLook w:val="04A0" w:firstRow="1" w:lastRow="0" w:firstColumn="1" w:lastColumn="0" w:noHBand="0" w:noVBand="1"/>
        </w:tblPrEx>
        <w:trPr>
          <w:trHeight w:val="20"/>
        </w:trPr>
        <w:tc>
          <w:tcPr>
            <w:tcW w:w="562" w:type="dxa"/>
            <w:vMerge w:val="restart"/>
            <w:textDirection w:val="btLr"/>
            <w:vAlign w:val="center"/>
          </w:tcPr>
          <w:p w14:paraId="0CB6BBBE" w14:textId="59FDD182" w:rsidR="00F86F56" w:rsidRPr="0085018D" w:rsidRDefault="00F86F56" w:rsidP="00486DD9">
            <w:pPr>
              <w:keepLines/>
              <w:ind w:right="113"/>
              <w:jc w:val="center"/>
              <w:rPr>
                <w:rFonts w:ascii="Arial Narrow" w:hAnsi="Arial Narrow"/>
                <w:color w:val="333333"/>
                <w:sz w:val="20"/>
                <w:szCs w:val="20"/>
              </w:rPr>
            </w:pPr>
          </w:p>
        </w:tc>
        <w:tc>
          <w:tcPr>
            <w:tcW w:w="709" w:type="dxa"/>
            <w:gridSpan w:val="2"/>
            <w:vAlign w:val="center"/>
          </w:tcPr>
          <w:p w14:paraId="594D10A2" w14:textId="22ADC34E" w:rsidR="00F86F56" w:rsidRPr="0085018D" w:rsidRDefault="00F86F56" w:rsidP="00486DD9">
            <w:pPr>
              <w:keepLines/>
              <w:ind w:hanging="35"/>
              <w:jc w:val="center"/>
              <w:rPr>
                <w:rFonts w:ascii="Arial Narrow" w:hAnsi="Arial Narrow"/>
                <w:color w:val="333333"/>
                <w:sz w:val="20"/>
                <w:szCs w:val="20"/>
              </w:rPr>
            </w:pPr>
          </w:p>
        </w:tc>
        <w:tc>
          <w:tcPr>
            <w:tcW w:w="7796" w:type="dxa"/>
            <w:gridSpan w:val="5"/>
            <w:vAlign w:val="center"/>
          </w:tcPr>
          <w:p w14:paraId="7C8401EC" w14:textId="77777777" w:rsidR="00F86F56" w:rsidRPr="0085018D" w:rsidRDefault="00F86F56" w:rsidP="00486DD9">
            <w:pPr>
              <w:keepLines/>
              <w:rPr>
                <w:rFonts w:ascii="Arial Narrow" w:hAnsi="Arial Narrow"/>
                <w:color w:val="333333"/>
                <w:sz w:val="20"/>
                <w:szCs w:val="20"/>
              </w:rPr>
            </w:pPr>
            <w:r w:rsidRPr="0085018D">
              <w:rPr>
                <w:rFonts w:ascii="Arial Narrow" w:hAnsi="Arial Narrow"/>
                <w:b/>
                <w:bCs/>
                <w:color w:val="333333"/>
                <w:sz w:val="20"/>
                <w:szCs w:val="20"/>
              </w:rPr>
              <w:t>Administrative Advice:</w:t>
            </w:r>
          </w:p>
          <w:p w14:paraId="6F4AAA3A" w14:textId="77777777" w:rsidR="00F86F56" w:rsidRPr="0085018D" w:rsidRDefault="00F86F56" w:rsidP="00486DD9">
            <w:pPr>
              <w:keepLines/>
              <w:rPr>
                <w:rFonts w:ascii="Arial Narrow" w:hAnsi="Arial Narrow"/>
                <w:color w:val="333333"/>
                <w:sz w:val="20"/>
                <w:szCs w:val="20"/>
              </w:rPr>
            </w:pPr>
            <w:r w:rsidRPr="0085018D">
              <w:rPr>
                <w:rFonts w:ascii="Arial Narrow" w:hAnsi="Arial Narrow"/>
                <w:sz w:val="20"/>
                <w:szCs w:val="20"/>
              </w:rPr>
              <w:t>No increase in the maximum quantity or number of units may be authorised.</w:t>
            </w:r>
          </w:p>
        </w:tc>
      </w:tr>
      <w:tr w:rsidR="00F86F56" w:rsidRPr="0085018D" w14:paraId="4CCC9264" w14:textId="77777777" w:rsidTr="00486DD9">
        <w:tblPrEx>
          <w:tblCellMar>
            <w:top w:w="15" w:type="dxa"/>
            <w:bottom w:w="15" w:type="dxa"/>
          </w:tblCellMar>
          <w:tblLook w:val="04A0" w:firstRow="1" w:lastRow="0" w:firstColumn="1" w:lastColumn="0" w:noHBand="0" w:noVBand="1"/>
        </w:tblPrEx>
        <w:trPr>
          <w:trHeight w:val="20"/>
        </w:trPr>
        <w:tc>
          <w:tcPr>
            <w:tcW w:w="562" w:type="dxa"/>
            <w:vMerge/>
            <w:vAlign w:val="center"/>
          </w:tcPr>
          <w:p w14:paraId="7D3E45C4" w14:textId="77777777" w:rsidR="00F86F56" w:rsidRPr="0085018D" w:rsidRDefault="00F86F56" w:rsidP="00486DD9">
            <w:pPr>
              <w:keepLines/>
              <w:jc w:val="center"/>
              <w:rPr>
                <w:rFonts w:ascii="Arial Narrow" w:hAnsi="Arial Narrow"/>
                <w:color w:val="333333"/>
                <w:sz w:val="20"/>
                <w:szCs w:val="20"/>
              </w:rPr>
            </w:pPr>
          </w:p>
        </w:tc>
        <w:tc>
          <w:tcPr>
            <w:tcW w:w="709" w:type="dxa"/>
            <w:gridSpan w:val="2"/>
            <w:vAlign w:val="center"/>
          </w:tcPr>
          <w:p w14:paraId="590764F1" w14:textId="7F2A56C2" w:rsidR="00F86F56" w:rsidRPr="0085018D" w:rsidRDefault="00F86F56" w:rsidP="00486DD9">
            <w:pPr>
              <w:keepLines/>
              <w:ind w:hanging="35"/>
              <w:jc w:val="center"/>
              <w:rPr>
                <w:rFonts w:ascii="Arial Narrow" w:hAnsi="Arial Narrow"/>
                <w:color w:val="333333"/>
                <w:sz w:val="20"/>
                <w:szCs w:val="20"/>
              </w:rPr>
            </w:pPr>
          </w:p>
        </w:tc>
        <w:tc>
          <w:tcPr>
            <w:tcW w:w="7796" w:type="dxa"/>
            <w:gridSpan w:val="5"/>
            <w:vAlign w:val="center"/>
          </w:tcPr>
          <w:p w14:paraId="0BB84B65" w14:textId="77777777" w:rsidR="00F86F56" w:rsidRPr="0085018D" w:rsidRDefault="00F86F56" w:rsidP="00486DD9">
            <w:pPr>
              <w:keepLines/>
              <w:rPr>
                <w:rFonts w:ascii="Arial Narrow" w:hAnsi="Arial Narrow"/>
                <w:b/>
                <w:bCs/>
                <w:color w:val="333333"/>
                <w:sz w:val="20"/>
                <w:szCs w:val="20"/>
              </w:rPr>
            </w:pPr>
            <w:r w:rsidRPr="0085018D">
              <w:rPr>
                <w:rFonts w:ascii="Arial Narrow" w:hAnsi="Arial Narrow"/>
                <w:b/>
                <w:bCs/>
                <w:color w:val="333333"/>
                <w:sz w:val="20"/>
                <w:szCs w:val="20"/>
              </w:rPr>
              <w:t>Administrative Advice:</w:t>
            </w:r>
          </w:p>
          <w:p w14:paraId="38310D00" w14:textId="77777777" w:rsidR="00F86F56" w:rsidRPr="0085018D" w:rsidRDefault="00F86F56" w:rsidP="00486DD9">
            <w:pPr>
              <w:keepLines/>
              <w:rPr>
                <w:rFonts w:ascii="Arial Narrow" w:hAnsi="Arial Narrow"/>
                <w:b/>
                <w:bCs/>
                <w:color w:val="333333"/>
                <w:sz w:val="20"/>
                <w:szCs w:val="20"/>
              </w:rPr>
            </w:pPr>
            <w:r w:rsidRPr="0085018D">
              <w:rPr>
                <w:rFonts w:ascii="Arial Narrow" w:hAnsi="Arial Narrow"/>
                <w:color w:val="333333"/>
                <w:sz w:val="18"/>
                <w:szCs w:val="18"/>
              </w:rPr>
              <w:t>No increase in the maximum number of repeats may be authorised</w:t>
            </w:r>
          </w:p>
        </w:tc>
      </w:tr>
      <w:tr w:rsidR="00F86F56" w:rsidRPr="0085018D" w14:paraId="6552389B" w14:textId="77777777" w:rsidTr="00486DD9">
        <w:tblPrEx>
          <w:tblCellMar>
            <w:top w:w="15" w:type="dxa"/>
            <w:bottom w:w="15" w:type="dxa"/>
          </w:tblCellMar>
          <w:tblLook w:val="04A0" w:firstRow="1" w:lastRow="0" w:firstColumn="1" w:lastColumn="0" w:noHBand="0" w:noVBand="1"/>
        </w:tblPrEx>
        <w:trPr>
          <w:trHeight w:val="20"/>
        </w:trPr>
        <w:tc>
          <w:tcPr>
            <w:tcW w:w="562" w:type="dxa"/>
            <w:vMerge/>
            <w:vAlign w:val="center"/>
          </w:tcPr>
          <w:p w14:paraId="5F18D48D" w14:textId="77777777" w:rsidR="00F86F56" w:rsidRPr="0085018D" w:rsidRDefault="00F86F56" w:rsidP="00486DD9">
            <w:pPr>
              <w:keepLines/>
              <w:jc w:val="center"/>
              <w:rPr>
                <w:rFonts w:ascii="Arial Narrow" w:hAnsi="Arial Narrow"/>
                <w:color w:val="333333"/>
                <w:sz w:val="20"/>
                <w:szCs w:val="20"/>
              </w:rPr>
            </w:pPr>
          </w:p>
        </w:tc>
        <w:tc>
          <w:tcPr>
            <w:tcW w:w="709" w:type="dxa"/>
            <w:gridSpan w:val="2"/>
            <w:vAlign w:val="center"/>
          </w:tcPr>
          <w:p w14:paraId="569F1756" w14:textId="164F3F00" w:rsidR="00F86F56" w:rsidRPr="0085018D" w:rsidRDefault="00F86F56" w:rsidP="00486DD9">
            <w:pPr>
              <w:keepLines/>
              <w:ind w:hanging="35"/>
              <w:jc w:val="center"/>
              <w:rPr>
                <w:rFonts w:ascii="Arial Narrow" w:hAnsi="Arial Narrow"/>
                <w:color w:val="333333"/>
                <w:sz w:val="20"/>
                <w:szCs w:val="20"/>
              </w:rPr>
            </w:pPr>
          </w:p>
        </w:tc>
        <w:tc>
          <w:tcPr>
            <w:tcW w:w="7796" w:type="dxa"/>
            <w:gridSpan w:val="5"/>
            <w:vAlign w:val="center"/>
          </w:tcPr>
          <w:p w14:paraId="304F3096" w14:textId="77777777" w:rsidR="00F86F56" w:rsidRPr="0085018D" w:rsidRDefault="00F86F56" w:rsidP="00486DD9">
            <w:pPr>
              <w:keepLines/>
              <w:rPr>
                <w:rFonts w:ascii="Arial Narrow" w:hAnsi="Arial Narrow"/>
                <w:b/>
                <w:bCs/>
                <w:color w:val="333333"/>
                <w:sz w:val="20"/>
                <w:szCs w:val="20"/>
              </w:rPr>
            </w:pPr>
            <w:r w:rsidRPr="0085018D">
              <w:rPr>
                <w:rFonts w:ascii="Arial Narrow" w:hAnsi="Arial Narrow"/>
                <w:b/>
                <w:bCs/>
                <w:color w:val="333333"/>
                <w:sz w:val="20"/>
                <w:szCs w:val="20"/>
              </w:rPr>
              <w:t>Administrative Advice:</w:t>
            </w:r>
          </w:p>
          <w:p w14:paraId="6907A502" w14:textId="77777777" w:rsidR="00F86F56" w:rsidRPr="0085018D" w:rsidRDefault="00F86F56" w:rsidP="00486DD9">
            <w:pPr>
              <w:keepLines/>
              <w:rPr>
                <w:rFonts w:ascii="Arial Narrow" w:hAnsi="Arial Narrow"/>
                <w:b/>
                <w:bCs/>
                <w:color w:val="333333"/>
                <w:sz w:val="20"/>
                <w:szCs w:val="20"/>
              </w:rPr>
            </w:pPr>
            <w:r w:rsidRPr="0085018D">
              <w:rPr>
                <w:rFonts w:ascii="Arial Narrow" w:hAnsi="Arial Narrow"/>
                <w:color w:val="333333"/>
                <w:sz w:val="18"/>
                <w:szCs w:val="18"/>
              </w:rPr>
              <w:t>Special Pricing Arrangements apply</w:t>
            </w:r>
          </w:p>
        </w:tc>
      </w:tr>
      <w:tr w:rsidR="00F86F56" w:rsidRPr="0085018D" w14:paraId="5223C721" w14:textId="77777777" w:rsidTr="00486DD9">
        <w:tblPrEx>
          <w:tblCellMar>
            <w:top w:w="15" w:type="dxa"/>
            <w:bottom w:w="15" w:type="dxa"/>
          </w:tblCellMar>
          <w:tblLook w:val="04A0" w:firstRow="1" w:lastRow="0" w:firstColumn="1" w:lastColumn="0" w:noHBand="0" w:noVBand="1"/>
        </w:tblPrEx>
        <w:trPr>
          <w:trHeight w:val="20"/>
        </w:trPr>
        <w:tc>
          <w:tcPr>
            <w:tcW w:w="562" w:type="dxa"/>
            <w:vAlign w:val="center"/>
          </w:tcPr>
          <w:p w14:paraId="1E528E51" w14:textId="77777777" w:rsidR="00F86F56" w:rsidRPr="0085018D" w:rsidRDefault="00F86F56" w:rsidP="00486DD9">
            <w:pPr>
              <w:keepLines/>
              <w:jc w:val="center"/>
              <w:rPr>
                <w:rFonts w:ascii="Arial Narrow" w:hAnsi="Arial Narrow"/>
                <w:color w:val="333333"/>
                <w:sz w:val="20"/>
                <w:szCs w:val="20"/>
              </w:rPr>
            </w:pPr>
          </w:p>
        </w:tc>
        <w:tc>
          <w:tcPr>
            <w:tcW w:w="709" w:type="dxa"/>
            <w:gridSpan w:val="2"/>
            <w:vAlign w:val="center"/>
          </w:tcPr>
          <w:p w14:paraId="5A2A22DA" w14:textId="57969D2A" w:rsidR="00F86F56" w:rsidRPr="0085018D" w:rsidRDefault="00F86F56" w:rsidP="00486DD9">
            <w:pPr>
              <w:keepLines/>
              <w:ind w:hanging="35"/>
              <w:jc w:val="center"/>
              <w:rPr>
                <w:rFonts w:ascii="Arial Narrow" w:hAnsi="Arial Narrow"/>
                <w:color w:val="333333"/>
                <w:sz w:val="20"/>
                <w:szCs w:val="20"/>
              </w:rPr>
            </w:pPr>
          </w:p>
        </w:tc>
        <w:tc>
          <w:tcPr>
            <w:tcW w:w="7796" w:type="dxa"/>
            <w:gridSpan w:val="5"/>
            <w:vAlign w:val="center"/>
          </w:tcPr>
          <w:p w14:paraId="1D87E4CE"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Any queries concerning the arrangements to prescribe may be directed to Services Australia on 1800 700 270 (hours of operation 8 a.m. to 5 p.m. Monday to Friday).</w:t>
            </w:r>
          </w:p>
          <w:p w14:paraId="016183FD"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7" w:history="1">
              <w:r w:rsidRPr="0085018D">
                <w:rPr>
                  <w:rStyle w:val="Hyperlink"/>
                  <w:rFonts w:ascii="Arial Narrow" w:hAnsi="Arial Narrow"/>
                  <w:sz w:val="20"/>
                  <w:szCs w:val="20"/>
                </w:rPr>
                <w:t>www.servicesaustralia</w:t>
              </w:r>
            </w:hyperlink>
            <w:r w:rsidRPr="0085018D">
              <w:rPr>
                <w:rFonts w:ascii="Arial Narrow" w:hAnsi="Arial Narrow"/>
                <w:color w:val="333333"/>
                <w:sz w:val="20"/>
                <w:szCs w:val="20"/>
              </w:rPr>
              <w:t>.gov.au</w:t>
            </w:r>
          </w:p>
          <w:p w14:paraId="15112986"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Applications for authorisation under this restriction should be made in real time using the Online PBS Authorities system (see www.servicesaustralia.gov.au/hpos)</w:t>
            </w:r>
          </w:p>
          <w:p w14:paraId="4E72BE64"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 xml:space="preserve">Alternatively, applications for authority to prescribe can be submitted online using the form upload facility in Health Professional Online Services (HPOS) at </w:t>
            </w:r>
            <w:proofErr w:type="gramStart"/>
            <w:r w:rsidRPr="0085018D">
              <w:rPr>
                <w:rFonts w:ascii="Arial Narrow" w:hAnsi="Arial Narrow"/>
                <w:color w:val="333333"/>
                <w:sz w:val="20"/>
                <w:szCs w:val="20"/>
              </w:rPr>
              <w:t>www.servicesaustralia.gov.au/hpos</w:t>
            </w:r>
            <w:proofErr w:type="gramEnd"/>
          </w:p>
          <w:p w14:paraId="22FED6F6"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Or mailed to:</w:t>
            </w:r>
          </w:p>
          <w:p w14:paraId="2589683F"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Services Australia</w:t>
            </w:r>
          </w:p>
          <w:p w14:paraId="2370FA4D"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Complex Drugs</w:t>
            </w:r>
          </w:p>
          <w:p w14:paraId="403F2567" w14:textId="77777777" w:rsidR="00F86F56" w:rsidRPr="0085018D" w:rsidRDefault="00F86F56" w:rsidP="00486DD9">
            <w:pPr>
              <w:keepLines/>
              <w:rPr>
                <w:rFonts w:ascii="Arial Narrow" w:hAnsi="Arial Narrow"/>
                <w:color w:val="333333"/>
                <w:sz w:val="20"/>
                <w:szCs w:val="20"/>
              </w:rPr>
            </w:pPr>
            <w:r w:rsidRPr="0085018D">
              <w:rPr>
                <w:rFonts w:ascii="Arial Narrow" w:hAnsi="Arial Narrow"/>
                <w:color w:val="333333"/>
                <w:sz w:val="20"/>
                <w:szCs w:val="20"/>
              </w:rPr>
              <w:t>Reply Paid 9826</w:t>
            </w:r>
          </w:p>
          <w:p w14:paraId="518ABA8E" w14:textId="77777777" w:rsidR="00F86F56" w:rsidRPr="0085018D" w:rsidRDefault="00F86F56" w:rsidP="00486DD9">
            <w:pPr>
              <w:keepLines/>
              <w:rPr>
                <w:rFonts w:ascii="Arial Narrow" w:hAnsi="Arial Narrow"/>
                <w:b/>
                <w:bCs/>
                <w:color w:val="333333"/>
                <w:sz w:val="20"/>
                <w:szCs w:val="20"/>
              </w:rPr>
            </w:pPr>
            <w:r w:rsidRPr="0085018D">
              <w:rPr>
                <w:rFonts w:ascii="Arial Narrow" w:hAnsi="Arial Narrow"/>
                <w:color w:val="333333"/>
                <w:sz w:val="20"/>
                <w:szCs w:val="20"/>
              </w:rPr>
              <w:t>HOBART TAS 7001</w:t>
            </w:r>
          </w:p>
        </w:tc>
      </w:tr>
      <w:tr w:rsidR="00F86F56" w:rsidRPr="0085018D" w14:paraId="374A4A0F" w14:textId="77777777" w:rsidTr="00486DD9">
        <w:tblPrEx>
          <w:tblCellMar>
            <w:top w:w="15" w:type="dxa"/>
            <w:bottom w:w="15" w:type="dxa"/>
          </w:tblCellMar>
          <w:tblLook w:val="04A0" w:firstRow="1" w:lastRow="0" w:firstColumn="1" w:lastColumn="0" w:noHBand="0" w:noVBand="1"/>
        </w:tblPrEx>
        <w:trPr>
          <w:cantSplit/>
          <w:trHeight w:val="20"/>
        </w:trPr>
        <w:tc>
          <w:tcPr>
            <w:tcW w:w="1271" w:type="dxa"/>
            <w:gridSpan w:val="3"/>
            <w:vMerge w:val="restart"/>
            <w:vAlign w:val="center"/>
          </w:tcPr>
          <w:p w14:paraId="419B2C42" w14:textId="77777777" w:rsidR="00F86F56" w:rsidRPr="0085018D" w:rsidRDefault="00F86F56" w:rsidP="00486DD9">
            <w:pPr>
              <w:keepLines/>
              <w:jc w:val="center"/>
              <w:rPr>
                <w:rFonts w:ascii="Arial Narrow" w:hAnsi="Arial Narrow"/>
                <w:color w:val="333333"/>
                <w:sz w:val="20"/>
                <w:szCs w:val="20"/>
              </w:rPr>
            </w:pPr>
          </w:p>
        </w:tc>
        <w:tc>
          <w:tcPr>
            <w:tcW w:w="7796" w:type="dxa"/>
            <w:gridSpan w:val="5"/>
            <w:vAlign w:val="center"/>
          </w:tcPr>
          <w:p w14:paraId="78FDAFB2" w14:textId="77777777" w:rsidR="00F86F56" w:rsidRPr="0085018D" w:rsidRDefault="00F86F56" w:rsidP="00486DD9">
            <w:pPr>
              <w:keepLines/>
              <w:rPr>
                <w:rFonts w:ascii="Arial Narrow" w:hAnsi="Arial Narrow"/>
                <w:color w:val="BFBFBF" w:themeColor="background1" w:themeShade="BF"/>
                <w:sz w:val="20"/>
                <w:szCs w:val="20"/>
              </w:rPr>
            </w:pPr>
            <w:proofErr w:type="spellStart"/>
            <w:r w:rsidRPr="0085018D">
              <w:rPr>
                <w:rFonts w:ascii="Arial Narrow" w:hAnsi="Arial Narrow"/>
                <w:b/>
                <w:bCs/>
                <w:color w:val="BFBFBF" w:themeColor="background1" w:themeShade="BF"/>
                <w:sz w:val="20"/>
                <w:szCs w:val="20"/>
              </w:rPr>
              <w:t>Episodicity</w:t>
            </w:r>
            <w:proofErr w:type="spellEnd"/>
            <w:r w:rsidRPr="0085018D">
              <w:rPr>
                <w:rFonts w:ascii="Arial Narrow" w:hAnsi="Arial Narrow"/>
                <w:b/>
                <w:bCs/>
                <w:color w:val="BFBFBF" w:themeColor="background1" w:themeShade="BF"/>
                <w:sz w:val="20"/>
                <w:szCs w:val="20"/>
              </w:rPr>
              <w:t>:</w:t>
            </w:r>
            <w:r w:rsidRPr="0085018D">
              <w:rPr>
                <w:rFonts w:ascii="Arial Narrow" w:hAnsi="Arial Narrow"/>
                <w:color w:val="BFBFBF" w:themeColor="background1" w:themeShade="BF"/>
                <w:sz w:val="20"/>
                <w:szCs w:val="20"/>
              </w:rPr>
              <w:t xml:space="preserve"> [Blank]</w:t>
            </w:r>
          </w:p>
        </w:tc>
      </w:tr>
      <w:tr w:rsidR="00F86F56" w:rsidRPr="0085018D" w14:paraId="2750F068" w14:textId="77777777" w:rsidTr="00486DD9">
        <w:tblPrEx>
          <w:tblCellMar>
            <w:top w:w="15" w:type="dxa"/>
            <w:bottom w:w="15" w:type="dxa"/>
          </w:tblCellMar>
          <w:tblLook w:val="04A0" w:firstRow="1" w:lastRow="0" w:firstColumn="1" w:lastColumn="0" w:noHBand="0" w:noVBand="1"/>
        </w:tblPrEx>
        <w:trPr>
          <w:cantSplit/>
          <w:trHeight w:val="20"/>
        </w:trPr>
        <w:tc>
          <w:tcPr>
            <w:tcW w:w="1271" w:type="dxa"/>
            <w:gridSpan w:val="3"/>
            <w:vMerge/>
            <w:vAlign w:val="center"/>
          </w:tcPr>
          <w:p w14:paraId="3807E7CF" w14:textId="77777777" w:rsidR="00F86F56" w:rsidRPr="0085018D" w:rsidRDefault="00F86F56" w:rsidP="00486DD9">
            <w:pPr>
              <w:keepLines/>
              <w:jc w:val="center"/>
              <w:rPr>
                <w:rFonts w:ascii="Arial Narrow" w:hAnsi="Arial Narrow"/>
                <w:color w:val="333333"/>
                <w:sz w:val="20"/>
                <w:szCs w:val="20"/>
              </w:rPr>
            </w:pPr>
          </w:p>
        </w:tc>
        <w:tc>
          <w:tcPr>
            <w:tcW w:w="7796" w:type="dxa"/>
            <w:gridSpan w:val="5"/>
            <w:vAlign w:val="center"/>
          </w:tcPr>
          <w:p w14:paraId="2254B92E" w14:textId="77777777" w:rsidR="00F86F56" w:rsidRPr="0085018D" w:rsidRDefault="00F86F56" w:rsidP="00486DD9">
            <w:pPr>
              <w:keepLines/>
              <w:rPr>
                <w:rFonts w:ascii="Arial Narrow" w:hAnsi="Arial Narrow"/>
                <w:color w:val="BFBFBF" w:themeColor="background1" w:themeShade="BF"/>
                <w:sz w:val="20"/>
                <w:szCs w:val="20"/>
              </w:rPr>
            </w:pPr>
            <w:r w:rsidRPr="0085018D">
              <w:rPr>
                <w:rFonts w:ascii="Arial Narrow" w:hAnsi="Arial Narrow"/>
                <w:b/>
                <w:bCs/>
                <w:color w:val="BFBFBF" w:themeColor="background1" w:themeShade="BF"/>
                <w:sz w:val="20"/>
                <w:szCs w:val="20"/>
              </w:rPr>
              <w:t>Severity:</w:t>
            </w:r>
            <w:r w:rsidRPr="0085018D">
              <w:rPr>
                <w:rFonts w:ascii="Arial Narrow" w:hAnsi="Arial Narrow"/>
                <w:color w:val="BFBFBF" w:themeColor="background1" w:themeShade="BF"/>
                <w:sz w:val="20"/>
                <w:szCs w:val="20"/>
              </w:rPr>
              <w:t xml:space="preserve"> [Blank]</w:t>
            </w:r>
          </w:p>
        </w:tc>
      </w:tr>
      <w:tr w:rsidR="00F86F56" w:rsidRPr="0085018D" w14:paraId="27B9FCD7" w14:textId="77777777" w:rsidTr="00486DD9">
        <w:tblPrEx>
          <w:tblCellMar>
            <w:top w:w="15" w:type="dxa"/>
            <w:bottom w:w="15" w:type="dxa"/>
          </w:tblCellMar>
          <w:tblLook w:val="04A0" w:firstRow="1" w:lastRow="0" w:firstColumn="1" w:lastColumn="0" w:noHBand="0" w:noVBand="1"/>
        </w:tblPrEx>
        <w:trPr>
          <w:cantSplit/>
          <w:trHeight w:val="20"/>
        </w:trPr>
        <w:tc>
          <w:tcPr>
            <w:tcW w:w="1271" w:type="dxa"/>
            <w:gridSpan w:val="3"/>
            <w:vMerge/>
            <w:vAlign w:val="center"/>
          </w:tcPr>
          <w:p w14:paraId="67237F53" w14:textId="77777777" w:rsidR="00F86F56" w:rsidRPr="0085018D" w:rsidRDefault="00F86F56" w:rsidP="00486DD9">
            <w:pPr>
              <w:keepLines/>
              <w:jc w:val="center"/>
              <w:rPr>
                <w:rFonts w:ascii="Arial Narrow" w:hAnsi="Arial Narrow"/>
                <w:color w:val="333333"/>
                <w:sz w:val="20"/>
                <w:szCs w:val="20"/>
              </w:rPr>
            </w:pPr>
          </w:p>
        </w:tc>
        <w:tc>
          <w:tcPr>
            <w:tcW w:w="7796" w:type="dxa"/>
            <w:gridSpan w:val="5"/>
            <w:vAlign w:val="center"/>
          </w:tcPr>
          <w:p w14:paraId="57D8802C" w14:textId="77777777" w:rsidR="00F86F56" w:rsidRPr="0085018D" w:rsidRDefault="00F86F56" w:rsidP="00486DD9">
            <w:pPr>
              <w:keepLines/>
              <w:rPr>
                <w:rFonts w:ascii="Arial Narrow" w:hAnsi="Arial Narrow"/>
                <w:color w:val="BFBFBF" w:themeColor="background1" w:themeShade="BF"/>
                <w:sz w:val="20"/>
                <w:szCs w:val="20"/>
              </w:rPr>
            </w:pPr>
            <w:r w:rsidRPr="0085018D">
              <w:rPr>
                <w:rFonts w:ascii="Arial Narrow" w:hAnsi="Arial Narrow"/>
                <w:b/>
                <w:bCs/>
                <w:color w:val="BFBFBF" w:themeColor="background1" w:themeShade="BF"/>
                <w:sz w:val="20"/>
                <w:szCs w:val="20"/>
              </w:rPr>
              <w:t>Condition:</w:t>
            </w:r>
            <w:r w:rsidRPr="0085018D">
              <w:rPr>
                <w:rFonts w:ascii="Arial Narrow" w:hAnsi="Arial Narrow"/>
                <w:color w:val="BFBFBF" w:themeColor="background1" w:themeShade="BF"/>
                <w:sz w:val="20"/>
                <w:szCs w:val="20"/>
              </w:rPr>
              <w:t xml:space="preserve"> Stage III or IV CD30 positive classical Hodgkin lymphoma.</w:t>
            </w:r>
          </w:p>
        </w:tc>
      </w:tr>
      <w:tr w:rsidR="00F86F56" w:rsidRPr="0085018D" w14:paraId="7B76DA86" w14:textId="77777777" w:rsidTr="000F317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5258A51" w14:textId="48183930"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2C380079"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Indication:</w:t>
            </w:r>
            <w:r w:rsidRPr="0085018D">
              <w:rPr>
                <w:rFonts w:ascii="Arial Narrow" w:hAnsi="Arial Narrow"/>
                <w:color w:val="333333"/>
                <w:sz w:val="18"/>
                <w:szCs w:val="18"/>
              </w:rPr>
              <w:t xml:space="preserve"> Stage III or IV CD30 positive </w:t>
            </w:r>
            <w:r w:rsidRPr="0085018D">
              <w:rPr>
                <w:rFonts w:ascii="Arial Narrow" w:hAnsi="Arial Narrow"/>
                <w:strike/>
                <w:color w:val="333333"/>
                <w:sz w:val="18"/>
                <w:szCs w:val="18"/>
              </w:rPr>
              <w:t xml:space="preserve">classical </w:t>
            </w:r>
            <w:r w:rsidRPr="0085018D">
              <w:rPr>
                <w:rFonts w:ascii="Arial Narrow" w:hAnsi="Arial Narrow"/>
                <w:color w:val="333333"/>
                <w:sz w:val="18"/>
                <w:szCs w:val="18"/>
              </w:rPr>
              <w:t>Hodgkin lymphoma.</w:t>
            </w:r>
          </w:p>
        </w:tc>
      </w:tr>
      <w:tr w:rsidR="00F86F56" w:rsidRPr="0085018D" w14:paraId="15062C4D" w14:textId="77777777" w:rsidTr="000F317A">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9AA4C34" w14:textId="77777777"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353A34BE" w14:textId="77777777" w:rsidR="00F86F56" w:rsidRPr="0085018D" w:rsidRDefault="00F86F56" w:rsidP="00486DD9">
            <w:pPr>
              <w:rPr>
                <w:rFonts w:ascii="Arial Narrow" w:hAnsi="Arial Narrow"/>
                <w:strike/>
                <w:color w:val="333333"/>
                <w:sz w:val="18"/>
                <w:szCs w:val="18"/>
              </w:rPr>
            </w:pPr>
            <w:r w:rsidRPr="0085018D">
              <w:rPr>
                <w:rFonts w:ascii="Arial Narrow" w:hAnsi="Arial Narrow"/>
                <w:b/>
                <w:bCs/>
                <w:strike/>
                <w:sz w:val="18"/>
                <w:szCs w:val="18"/>
              </w:rPr>
              <w:t>Treatment Phase:</w:t>
            </w:r>
            <w:r w:rsidRPr="0085018D">
              <w:rPr>
                <w:rFonts w:ascii="Arial Narrow" w:hAnsi="Arial Narrow"/>
                <w:strike/>
                <w:sz w:val="18"/>
                <w:szCs w:val="18"/>
              </w:rPr>
              <w:t xml:space="preserve"> </w:t>
            </w:r>
            <w:r w:rsidRPr="0085018D">
              <w:rPr>
                <w:rFonts w:ascii="Arial Narrow" w:hAnsi="Arial Narrow"/>
                <w:strike/>
                <w:color w:val="333333"/>
                <w:sz w:val="18"/>
                <w:szCs w:val="18"/>
              </w:rPr>
              <w:t>Initial PBS-subsidised treatment</w:t>
            </w:r>
          </w:p>
        </w:tc>
      </w:tr>
      <w:tr w:rsidR="00F86F56" w:rsidRPr="0085018D" w14:paraId="5D47C953"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8DE4032" w14:textId="6456B39D"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715176CF"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Clinical criteria:</w:t>
            </w:r>
          </w:p>
        </w:tc>
      </w:tr>
      <w:tr w:rsidR="00F86F56" w:rsidRPr="0085018D" w14:paraId="06AB87F2"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603652C" w14:textId="6D356B52"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6B4D11AA"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The treatment must be for first line therapy for this condition.</w:t>
            </w:r>
          </w:p>
        </w:tc>
      </w:tr>
      <w:tr w:rsidR="00F86F56" w:rsidRPr="0085018D" w14:paraId="4F966459"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D8AF2A7" w14:textId="77777777"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568BE328"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AND</w:t>
            </w:r>
          </w:p>
        </w:tc>
      </w:tr>
      <w:tr w:rsidR="00F86F56" w:rsidRPr="0085018D" w14:paraId="4CE3B93B"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7949CF9" w14:textId="35630819"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7B56D2D9"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Clinical criteria:</w:t>
            </w:r>
          </w:p>
        </w:tc>
      </w:tr>
      <w:tr w:rsidR="00F86F56" w:rsidRPr="0085018D" w14:paraId="210B23C6"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745E393" w14:textId="333A82B8"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2F3861C2"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The treatment must be for curative intent.</w:t>
            </w:r>
          </w:p>
        </w:tc>
      </w:tr>
      <w:tr w:rsidR="00F86F56" w:rsidRPr="0085018D" w14:paraId="1960232E"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36823AB" w14:textId="77777777"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0D2D2E91" w14:textId="77777777" w:rsidR="00F86F56" w:rsidRPr="0085018D" w:rsidRDefault="00F86F56" w:rsidP="00486DD9">
            <w:pPr>
              <w:rPr>
                <w:rFonts w:ascii="Arial Narrow" w:hAnsi="Arial Narrow"/>
                <w:b/>
                <w:bCs/>
                <w:color w:val="333333"/>
                <w:sz w:val="18"/>
                <w:szCs w:val="18"/>
              </w:rPr>
            </w:pPr>
            <w:r w:rsidRPr="0085018D">
              <w:rPr>
                <w:rFonts w:ascii="Arial Narrow" w:hAnsi="Arial Narrow"/>
                <w:b/>
                <w:bCs/>
                <w:color w:val="333333"/>
                <w:sz w:val="18"/>
                <w:szCs w:val="18"/>
              </w:rPr>
              <w:t>AND</w:t>
            </w:r>
          </w:p>
        </w:tc>
      </w:tr>
      <w:tr w:rsidR="00F86F56" w:rsidRPr="0085018D" w14:paraId="669155B9"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8325F86" w14:textId="66B5AC4D"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5F8759EA"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Clinical criteria:</w:t>
            </w:r>
          </w:p>
        </w:tc>
      </w:tr>
      <w:tr w:rsidR="00F86F56" w:rsidRPr="0085018D" w14:paraId="5FCB7E1F"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709293BD" w14:textId="629FEF8B" w:rsidR="00F86F56" w:rsidRPr="0085018D" w:rsidRDefault="00F86F56" w:rsidP="00486DD9">
            <w:pPr>
              <w:jc w:val="center"/>
              <w:rPr>
                <w:rFonts w:ascii="Arial Narrow" w:hAnsi="Arial Narrow"/>
                <w:color w:val="333333"/>
                <w:sz w:val="18"/>
                <w:szCs w:val="18"/>
              </w:rPr>
            </w:pPr>
          </w:p>
        </w:tc>
        <w:tc>
          <w:tcPr>
            <w:tcW w:w="8086" w:type="dxa"/>
            <w:gridSpan w:val="6"/>
            <w:vAlign w:val="center"/>
            <w:hideMark/>
          </w:tcPr>
          <w:p w14:paraId="423AAB54"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 xml:space="preserve">The treatment must be in combination with </w:t>
            </w:r>
            <w:r w:rsidRPr="0085018D">
              <w:rPr>
                <w:rFonts w:ascii="Arial Narrow" w:hAnsi="Arial Narrow"/>
                <w:i/>
                <w:iCs/>
                <w:color w:val="333333"/>
                <w:sz w:val="18"/>
                <w:szCs w:val="18"/>
              </w:rPr>
              <w:t>at least the following: (</w:t>
            </w:r>
            <w:proofErr w:type="spellStart"/>
            <w:r w:rsidRPr="0085018D">
              <w:rPr>
                <w:rFonts w:ascii="Arial Narrow" w:hAnsi="Arial Narrow"/>
                <w:i/>
                <w:iCs/>
                <w:color w:val="333333"/>
                <w:sz w:val="18"/>
                <w:szCs w:val="18"/>
              </w:rPr>
              <w:t>i</w:t>
            </w:r>
            <w:proofErr w:type="spellEnd"/>
            <w:r w:rsidRPr="0085018D">
              <w:rPr>
                <w:rFonts w:ascii="Arial Narrow" w:hAnsi="Arial Narrow"/>
                <w:i/>
                <w:iCs/>
                <w:color w:val="333333"/>
                <w:sz w:val="18"/>
                <w:szCs w:val="18"/>
              </w:rPr>
              <w:t>) doxorubicin, (ii) vinblastine</w:t>
            </w:r>
            <w:r w:rsidRPr="0085018D">
              <w:rPr>
                <w:rFonts w:ascii="Arial Narrow" w:hAnsi="Arial Narrow"/>
                <w:strike/>
                <w:color w:val="333333"/>
                <w:sz w:val="18"/>
                <w:szCs w:val="18"/>
              </w:rPr>
              <w:t xml:space="preserve"> doxorubicin, vinblastine and dacarbazine.</w:t>
            </w:r>
          </w:p>
        </w:tc>
      </w:tr>
      <w:tr w:rsidR="00F86F56" w:rsidRPr="0085018D" w14:paraId="329711BE"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CB2457A" w14:textId="77777777"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7E202778" w14:textId="77777777" w:rsidR="00F86F56" w:rsidRPr="0085018D" w:rsidRDefault="00F86F56" w:rsidP="00486DD9">
            <w:pPr>
              <w:rPr>
                <w:rFonts w:ascii="Arial Narrow" w:hAnsi="Arial Narrow"/>
                <w:b/>
                <w:bCs/>
                <w:color w:val="333333"/>
                <w:sz w:val="18"/>
                <w:szCs w:val="18"/>
              </w:rPr>
            </w:pPr>
            <w:r w:rsidRPr="0085018D">
              <w:rPr>
                <w:rFonts w:ascii="Arial Narrow" w:hAnsi="Arial Narrow"/>
                <w:b/>
                <w:bCs/>
                <w:color w:val="333333"/>
                <w:sz w:val="18"/>
                <w:szCs w:val="18"/>
              </w:rPr>
              <w:t>AND</w:t>
            </w:r>
          </w:p>
        </w:tc>
      </w:tr>
      <w:tr w:rsidR="00F86F56" w:rsidRPr="0085018D" w14:paraId="315D2864"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8907645" w14:textId="2CB5A514"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09162384" w14:textId="77777777" w:rsidR="00F86F56" w:rsidRPr="0085018D" w:rsidRDefault="00F86F56" w:rsidP="00486DD9">
            <w:pPr>
              <w:rPr>
                <w:rFonts w:ascii="Arial Narrow" w:hAnsi="Arial Narrow"/>
                <w:b/>
                <w:bCs/>
                <w:color w:val="333333"/>
                <w:sz w:val="18"/>
                <w:szCs w:val="18"/>
              </w:rPr>
            </w:pPr>
            <w:r w:rsidRPr="0085018D">
              <w:rPr>
                <w:rFonts w:ascii="Arial Narrow" w:hAnsi="Arial Narrow"/>
                <w:b/>
                <w:bCs/>
                <w:color w:val="333333"/>
                <w:sz w:val="18"/>
                <w:szCs w:val="18"/>
              </w:rPr>
              <w:t>Clinical criteria:</w:t>
            </w:r>
          </w:p>
        </w:tc>
      </w:tr>
      <w:tr w:rsidR="00F86F56" w:rsidRPr="0085018D" w14:paraId="1B1D2C95"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DE348F6" w14:textId="4F8AB43A"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7372EDE4" w14:textId="77777777" w:rsidR="00F86F56" w:rsidRPr="0085018D" w:rsidRDefault="00F86F56" w:rsidP="00486DD9">
            <w:pPr>
              <w:rPr>
                <w:rFonts w:ascii="Arial Narrow" w:hAnsi="Arial Narrow"/>
                <w:color w:val="333333"/>
                <w:sz w:val="18"/>
                <w:szCs w:val="18"/>
              </w:rPr>
            </w:pPr>
            <w:r w:rsidRPr="0085018D">
              <w:rPr>
                <w:rFonts w:ascii="Arial Narrow" w:hAnsi="Arial Narrow"/>
                <w:i/>
                <w:iCs/>
                <w:color w:val="333333"/>
                <w:sz w:val="18"/>
                <w:szCs w:val="18"/>
              </w:rPr>
              <w:t>Patient must have a WHO performance status of 2 or less.</w:t>
            </w:r>
          </w:p>
        </w:tc>
      </w:tr>
      <w:tr w:rsidR="00F86F56" w:rsidRPr="0085018D" w14:paraId="01BC9413"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9440135" w14:textId="77777777"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50EF271E"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AND</w:t>
            </w:r>
          </w:p>
        </w:tc>
      </w:tr>
      <w:tr w:rsidR="00F86F56" w:rsidRPr="0085018D" w14:paraId="658AD97F"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A895F24" w14:textId="1730E53F"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4313B16F" w14:textId="77777777" w:rsidR="00F86F56" w:rsidRPr="0085018D" w:rsidRDefault="00F86F56" w:rsidP="00486DD9">
            <w:pPr>
              <w:rPr>
                <w:rFonts w:ascii="Arial Narrow" w:hAnsi="Arial Narrow"/>
                <w:color w:val="333333"/>
                <w:sz w:val="18"/>
                <w:szCs w:val="18"/>
              </w:rPr>
            </w:pPr>
            <w:r w:rsidRPr="0085018D">
              <w:rPr>
                <w:rFonts w:ascii="Arial Narrow" w:hAnsi="Arial Narrow"/>
                <w:b/>
                <w:bCs/>
                <w:color w:val="333333"/>
                <w:sz w:val="18"/>
                <w:szCs w:val="18"/>
              </w:rPr>
              <w:t>Clinical criteria:</w:t>
            </w:r>
          </w:p>
        </w:tc>
      </w:tr>
      <w:tr w:rsidR="00F86F56" w:rsidRPr="0085018D" w14:paraId="53A6459F"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AC6C5BD" w14:textId="49D76300"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569CAD04"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The treatment must not be for more than 6 treatment cycles under this restriction in a lifetime.</w:t>
            </w:r>
          </w:p>
        </w:tc>
      </w:tr>
      <w:tr w:rsidR="00F86F56" w:rsidRPr="0085018D" w14:paraId="182C7668" w14:textId="77777777" w:rsidTr="00486DD9">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CC9D66E" w14:textId="66FDCAEB" w:rsidR="00F86F56" w:rsidRPr="0085018D" w:rsidRDefault="00F86F56" w:rsidP="00486DD9">
            <w:pPr>
              <w:jc w:val="center"/>
              <w:rPr>
                <w:rFonts w:ascii="Arial Narrow" w:hAnsi="Arial Narrow"/>
                <w:color w:val="333333"/>
                <w:sz w:val="18"/>
                <w:szCs w:val="18"/>
              </w:rPr>
            </w:pPr>
          </w:p>
        </w:tc>
        <w:tc>
          <w:tcPr>
            <w:tcW w:w="8086" w:type="dxa"/>
            <w:gridSpan w:val="6"/>
            <w:vAlign w:val="center"/>
          </w:tcPr>
          <w:p w14:paraId="5634027E" w14:textId="77777777" w:rsidR="00F86F56" w:rsidRPr="0085018D" w:rsidRDefault="00F86F56" w:rsidP="00486DD9">
            <w:pPr>
              <w:rPr>
                <w:rFonts w:ascii="Arial Narrow" w:hAnsi="Arial Narrow"/>
                <w:b/>
                <w:bCs/>
                <w:color w:val="333333"/>
                <w:sz w:val="18"/>
                <w:szCs w:val="18"/>
              </w:rPr>
            </w:pPr>
            <w:r w:rsidRPr="0085018D">
              <w:rPr>
                <w:rFonts w:ascii="Arial Narrow" w:hAnsi="Arial Narrow"/>
                <w:b/>
                <w:bCs/>
                <w:color w:val="333333"/>
                <w:sz w:val="18"/>
                <w:szCs w:val="18"/>
              </w:rPr>
              <w:t>Prescribing Instructions:</w:t>
            </w:r>
          </w:p>
          <w:p w14:paraId="24506F05"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Applications for authorisation of initial treatment must be made via the Online PBS Authorities System (real time assessment), or in writing via HPOS form upload or mail.</w:t>
            </w:r>
          </w:p>
          <w:p w14:paraId="3CBFE517"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If the application is submitted through HPOS upload or mail, it must include:</w:t>
            </w:r>
          </w:p>
          <w:p w14:paraId="28C467C4"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(a) a completed authority prescription form; and</w:t>
            </w:r>
          </w:p>
          <w:p w14:paraId="11CD9DD4" w14:textId="77777777" w:rsidR="00F86F56" w:rsidRPr="0085018D" w:rsidRDefault="00F86F56" w:rsidP="00486DD9">
            <w:pPr>
              <w:rPr>
                <w:rFonts w:ascii="Arial Narrow" w:hAnsi="Arial Narrow"/>
                <w:color w:val="333333"/>
                <w:sz w:val="18"/>
                <w:szCs w:val="18"/>
              </w:rPr>
            </w:pPr>
            <w:r w:rsidRPr="0085018D">
              <w:rPr>
                <w:rFonts w:ascii="Arial Narrow" w:hAnsi="Arial Narrow"/>
                <w:color w:val="333333"/>
                <w:sz w:val="18"/>
                <w:szCs w:val="18"/>
              </w:rPr>
              <w:t>(b) a completed authority application form relevant to the indication and treatment phase (the latest version is located on the website specified in the Administrative Advice).</w:t>
            </w:r>
          </w:p>
        </w:tc>
      </w:tr>
      <w:tr w:rsidR="00F86F56" w:rsidRPr="0085018D" w14:paraId="4EF1D520" w14:textId="77777777" w:rsidTr="00486DD9">
        <w:tblPrEx>
          <w:tblCellMar>
            <w:top w:w="15" w:type="dxa"/>
            <w:left w:w="15" w:type="dxa"/>
            <w:bottom w:w="15" w:type="dxa"/>
            <w:right w:w="15" w:type="dxa"/>
          </w:tblCellMar>
          <w:tblLook w:val="04A0" w:firstRow="1" w:lastRow="0" w:firstColumn="1" w:lastColumn="0" w:noHBand="0" w:noVBand="1"/>
        </w:tblPrEx>
        <w:trPr>
          <w:trHeight w:val="259"/>
        </w:trPr>
        <w:tc>
          <w:tcPr>
            <w:tcW w:w="981" w:type="dxa"/>
            <w:gridSpan w:val="2"/>
            <w:vAlign w:val="center"/>
          </w:tcPr>
          <w:p w14:paraId="7CC72395" w14:textId="315E83FF" w:rsidR="00F86F56" w:rsidRPr="0085018D" w:rsidRDefault="00F86F56" w:rsidP="00486DD9">
            <w:pPr>
              <w:jc w:val="center"/>
              <w:rPr>
                <w:rFonts w:ascii="Arial Narrow" w:hAnsi="Arial Narrow"/>
                <w:strike/>
                <w:color w:val="333333"/>
                <w:sz w:val="18"/>
                <w:szCs w:val="18"/>
              </w:rPr>
            </w:pPr>
          </w:p>
        </w:tc>
        <w:tc>
          <w:tcPr>
            <w:tcW w:w="8086" w:type="dxa"/>
            <w:gridSpan w:val="6"/>
            <w:vAlign w:val="center"/>
            <w:hideMark/>
          </w:tcPr>
          <w:p w14:paraId="7EAD06FB" w14:textId="77777777" w:rsidR="00F86F56" w:rsidRPr="0085018D" w:rsidRDefault="00F86F56" w:rsidP="00486DD9">
            <w:pPr>
              <w:rPr>
                <w:rFonts w:ascii="Arial Narrow" w:hAnsi="Arial Narrow"/>
                <w:strike/>
                <w:color w:val="333333"/>
                <w:sz w:val="18"/>
                <w:szCs w:val="18"/>
              </w:rPr>
            </w:pPr>
            <w:r w:rsidRPr="0085018D">
              <w:rPr>
                <w:rFonts w:ascii="Arial Narrow" w:hAnsi="Arial Narrow"/>
                <w:b/>
                <w:bCs/>
                <w:strike/>
                <w:color w:val="333333"/>
                <w:sz w:val="18"/>
                <w:szCs w:val="18"/>
              </w:rPr>
              <w:t xml:space="preserve">Administrative Advice: </w:t>
            </w:r>
            <w:r w:rsidRPr="0085018D">
              <w:rPr>
                <w:rFonts w:ascii="Arial Narrow" w:hAnsi="Arial Narrow"/>
                <w:strike/>
                <w:color w:val="333333"/>
                <w:sz w:val="18"/>
                <w:szCs w:val="18"/>
              </w:rPr>
              <w:t xml:space="preserve">A patient may only qualify for PBS-subsidised treatment under this restriction once </w:t>
            </w:r>
          </w:p>
        </w:tc>
      </w:tr>
    </w:tbl>
    <w:p w14:paraId="059997BC" w14:textId="6F1196A5" w:rsidR="00F67A69" w:rsidRPr="0085018D" w:rsidRDefault="002B2A3B" w:rsidP="003A272F">
      <w:pPr>
        <w:pStyle w:val="COMexecsumnumberedpara"/>
        <w:keepLines/>
        <w:spacing w:before="120"/>
      </w:pPr>
      <w:r w:rsidRPr="0085018D">
        <w:lastRenderedPageBreak/>
        <w:t>The submission proposed a special pricing arrangement with an effective AEMP of $</w:t>
      </w:r>
      <w:proofErr w:type="gramStart"/>
      <w:r w:rsidR="00AC76C1" w:rsidRPr="00A45ED5">
        <w:rPr>
          <w:color w:val="000000"/>
          <w:w w:val="15"/>
          <w:shd w:val="solid" w:color="000000" w:fill="000000"/>
          <w:fitText w:val="-20" w:id="-961819392"/>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392"/>
          <w14:textFill>
            <w14:solidFill>
              <w14:srgbClr w14:val="000000">
                <w14:alpha w14:val="100000"/>
              </w14:srgbClr>
            </w14:solidFill>
          </w14:textFill>
        </w:rPr>
        <w:t>|</w:t>
      </w:r>
      <w:proofErr w:type="gramEnd"/>
      <w:r w:rsidRPr="0085018D">
        <w:t xml:space="preserve"> per vial and a published AEMP of $</w:t>
      </w:r>
      <w:r w:rsidR="00AC76C1" w:rsidRPr="00A45ED5">
        <w:rPr>
          <w:color w:val="000000"/>
          <w:w w:val="15"/>
          <w:shd w:val="solid" w:color="000000" w:fill="000000"/>
          <w:fitText w:val="-20" w:id="-961819391"/>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391"/>
          <w14:textFill>
            <w14:solidFill>
              <w14:srgbClr w14:val="000000">
                <w14:alpha w14:val="100000"/>
              </w14:srgbClr>
            </w14:solidFill>
          </w14:textFill>
        </w:rPr>
        <w:t>|</w:t>
      </w:r>
      <w:r w:rsidRPr="0085018D">
        <w:t xml:space="preserve"> per vial.</w:t>
      </w:r>
      <w:r w:rsidR="006D719E" w:rsidRPr="0085018D">
        <w:t xml:space="preserve"> </w:t>
      </w:r>
      <w:r w:rsidR="00BB4EA8" w:rsidRPr="0085018D">
        <w:t xml:space="preserve">For the treatment of adult patients with relapsed or refractory Hodgkin lymphoma </w:t>
      </w:r>
      <w:r w:rsidR="00C40D3A" w:rsidRPr="0085018D">
        <w:t xml:space="preserve">who are ASCT naïve or post ASCT the effective AEMPs </w:t>
      </w:r>
      <w:r w:rsidR="00FF54C8" w:rsidRPr="0085018D">
        <w:t xml:space="preserve">for these indications </w:t>
      </w:r>
      <w:r w:rsidR="00C40D3A" w:rsidRPr="0085018D">
        <w:t>are $</w:t>
      </w:r>
      <w:proofErr w:type="gramStart"/>
      <w:r w:rsidR="00AC76C1" w:rsidRPr="00A45ED5">
        <w:rPr>
          <w:color w:val="000000"/>
          <w:w w:val="15"/>
          <w:shd w:val="solid" w:color="000000" w:fill="000000"/>
          <w:fitText w:val="-20" w:id="-961819390"/>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390"/>
          <w14:textFill>
            <w14:solidFill>
              <w14:srgbClr w14:val="000000">
                <w14:alpha w14:val="100000"/>
              </w14:srgbClr>
            </w14:solidFill>
          </w14:textFill>
        </w:rPr>
        <w:t>|</w:t>
      </w:r>
      <w:proofErr w:type="gramEnd"/>
      <w:r w:rsidR="00C40D3A" w:rsidRPr="0085018D">
        <w:t xml:space="preserve"> per vial and $</w:t>
      </w:r>
      <w:r w:rsidR="00AC76C1" w:rsidRPr="00A45ED5">
        <w:rPr>
          <w:color w:val="000000"/>
          <w:w w:val="15"/>
          <w:shd w:val="solid" w:color="000000" w:fill="000000"/>
          <w:fitText w:val="-20" w:id="-961819389"/>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389"/>
          <w14:textFill>
            <w14:solidFill>
              <w14:srgbClr w14:val="000000">
                <w14:alpha w14:val="100000"/>
              </w14:srgbClr>
            </w14:solidFill>
          </w14:textFill>
        </w:rPr>
        <w:t>|</w:t>
      </w:r>
      <w:r w:rsidR="00C40D3A" w:rsidRPr="0085018D">
        <w:t xml:space="preserve"> per vial respectively.</w:t>
      </w:r>
    </w:p>
    <w:p w14:paraId="0BA232E5" w14:textId="5172B336" w:rsidR="002B2A3B" w:rsidRPr="0085018D" w:rsidRDefault="001246DB" w:rsidP="002B2A3B">
      <w:pPr>
        <w:pStyle w:val="COMexecsumnumberedpara"/>
      </w:pPr>
      <w:r w:rsidRPr="0085018D">
        <w:t>The requested restriction is silent on age</w:t>
      </w:r>
      <w:r w:rsidR="00FE2ED6" w:rsidRPr="0085018D">
        <w:t xml:space="preserve">. </w:t>
      </w:r>
      <w:r w:rsidRPr="0085018D">
        <w:t xml:space="preserve">The submission claimed that this allows for the use of brentuximab </w:t>
      </w:r>
      <w:proofErr w:type="spellStart"/>
      <w:r w:rsidRPr="0085018D">
        <w:t>vedotin</w:t>
      </w:r>
      <w:proofErr w:type="spellEnd"/>
      <w:r w:rsidRPr="0085018D">
        <w:t xml:space="preserve"> in rare instances of advanced stage disease in adolescents. A recently published phase III trial indicated that brentuximab </w:t>
      </w:r>
      <w:proofErr w:type="spellStart"/>
      <w:r w:rsidRPr="0085018D">
        <w:t>vedotin</w:t>
      </w:r>
      <w:proofErr w:type="spellEnd"/>
      <w:r w:rsidRPr="0085018D">
        <w:t xml:space="preserve"> in combination with doxorubicin, vincristine, etoposide, </w:t>
      </w:r>
      <w:proofErr w:type="gramStart"/>
      <w:r w:rsidRPr="0085018D">
        <w:t>prednisone</w:t>
      </w:r>
      <w:proofErr w:type="gramEnd"/>
      <w:r w:rsidRPr="0085018D">
        <w:t xml:space="preserve"> and cyclophosphamide resulted in superior efficacy compared to doxorubicin, bleomycin, vincristine, etoposide, prednisone and cyclophosphamide, when used as first-line treatment for paediatric high-risk Hodgkin lymphoma (</w:t>
      </w:r>
      <w:proofErr w:type="spellStart"/>
      <w:r w:rsidRPr="0085018D">
        <w:t>Castellino</w:t>
      </w:r>
      <w:proofErr w:type="spellEnd"/>
      <w:r w:rsidRPr="0085018D">
        <w:t xml:space="preserve"> 2022).</w:t>
      </w:r>
      <w:r w:rsidR="006E5680" w:rsidRPr="0085018D">
        <w:t xml:space="preserve"> The ESC considered it was appropriate for the requested restriction to be silent on age. </w:t>
      </w:r>
    </w:p>
    <w:p w14:paraId="3CC2CD27" w14:textId="7DFFC08B" w:rsidR="00A93C82" w:rsidRPr="0085018D" w:rsidRDefault="00FF6E56" w:rsidP="002B2A3B">
      <w:pPr>
        <w:pStyle w:val="COMexecsumnumberedpara"/>
      </w:pPr>
      <w:r w:rsidRPr="0085018D">
        <w:t xml:space="preserve">The submission claimed there is an unmet clinical need for treatments in older patients with advanced disease and that A+AVD would be suitable for fit patients in this age group. However, the submission acknowledged concerns regarding the risk-benefit balance in patients aged ≥60 years and noted that the sponsor is amenable to an age restriction if needed. </w:t>
      </w:r>
      <w:r w:rsidR="00254F73" w:rsidRPr="0085018D">
        <w:t>The clinical evidence suggested uncertainty in terms of treatment benefit but increased toxicities in</w:t>
      </w:r>
      <w:r w:rsidR="00C762C0" w:rsidRPr="0085018D">
        <w:t xml:space="preserve"> patients aged ≥</w:t>
      </w:r>
      <w:r w:rsidR="003359B1">
        <w:t xml:space="preserve"> </w:t>
      </w:r>
      <w:r w:rsidR="00C762C0" w:rsidRPr="0085018D">
        <w:t>60 years.</w:t>
      </w:r>
    </w:p>
    <w:p w14:paraId="4029A98D" w14:textId="77170022" w:rsidR="00A93C82" w:rsidRPr="0085018D" w:rsidRDefault="00A93C82" w:rsidP="002B2A3B">
      <w:pPr>
        <w:pStyle w:val="COMexecsumnumberedpara"/>
      </w:pPr>
      <w:bookmarkStart w:id="7" w:name="_Ref163732745"/>
      <w:r w:rsidRPr="0085018D">
        <w:t>The requested restriction does not include criteria relating to patient fitness. The submission acknowledged that this was inconsistent with the eligibility criteria in the key trial, ECHELON 1, that required patients to have an Eastern Cooperative Oncology Group (ECOG) performance status of ≤</w:t>
      </w:r>
      <w:r w:rsidR="003359B1">
        <w:t xml:space="preserve"> </w:t>
      </w:r>
      <w:r w:rsidRPr="0085018D">
        <w:t xml:space="preserve">2. However, the submission claimed that this was consistent with the PBS listing of brentuximab </w:t>
      </w:r>
      <w:proofErr w:type="spellStart"/>
      <w:r w:rsidRPr="0085018D">
        <w:t>vedotin</w:t>
      </w:r>
      <w:proofErr w:type="spellEnd"/>
      <w:r w:rsidRPr="0085018D">
        <w:t xml:space="preserve"> for treatment of CD30 positive peripheral T-cell lymphoma despite the key trial requiring patients to have an ECOG performance status of ≤</w:t>
      </w:r>
      <w:r w:rsidR="003359B1">
        <w:t xml:space="preserve"> </w:t>
      </w:r>
      <w:r w:rsidRPr="0085018D">
        <w:t>2.</w:t>
      </w:r>
      <w:r w:rsidR="00C762C0" w:rsidRPr="0085018D">
        <w:t xml:space="preserve"> </w:t>
      </w:r>
      <w:r w:rsidR="0064480D" w:rsidRPr="0085018D">
        <w:t>The ESC considered that a criterion regarding ECOG performance status was not required in the restriction.</w:t>
      </w:r>
      <w:bookmarkEnd w:id="7"/>
      <w:r w:rsidR="0064480D" w:rsidRPr="0085018D">
        <w:rPr>
          <w:i/>
          <w:iCs/>
        </w:rPr>
        <w:t xml:space="preserve"> </w:t>
      </w:r>
    </w:p>
    <w:p w14:paraId="72CC30BC" w14:textId="26AD2575" w:rsidR="005D2B38" w:rsidRPr="0085018D" w:rsidRDefault="005D2B38" w:rsidP="00BB3309">
      <w:pPr>
        <w:pStyle w:val="COMexecsumnumberedpara"/>
      </w:pPr>
      <w:r w:rsidRPr="0085018D">
        <w:t xml:space="preserve">The submission noted that doxorubicin and vinblastine have unrestricted listings on the PBS/RPBS, while dacarbazine is neither TGA-approved (indicated for metastatic malignant melanoma and various sarcomas only) nor listed on the PBS for treatment of Hodgkin lymphoma. Based on information in the </w:t>
      </w:r>
      <w:proofErr w:type="spellStart"/>
      <w:r w:rsidRPr="0085018D">
        <w:t>eviQ</w:t>
      </w:r>
      <w:proofErr w:type="spellEnd"/>
      <w:r w:rsidRPr="0085018D">
        <w:t xml:space="preserve"> guidelines and Lymphoma Australia website, dacarbazine is available to patients at no cost in public settings. Patient information on the Lymphoma Australia website notes that dacarbazine is not funded in private settings, with varying levels of coverage through private insurers or out-of-pocket costs of approximately $800 per treatment cycle. The lack of full coverage of these costs in private settings may lead to equity of access issues for the A+AVD regimen although this would also apply to the nominated main comparator, ABVD</w:t>
      </w:r>
      <w:r w:rsidR="0085018D">
        <w:t>.</w:t>
      </w:r>
    </w:p>
    <w:p w14:paraId="22FDA8B4" w14:textId="3AC0569D" w:rsidR="009C3547" w:rsidRPr="0085018D" w:rsidRDefault="009C3547" w:rsidP="00BB3309">
      <w:pPr>
        <w:pStyle w:val="COMexecsumnumberedpara"/>
      </w:pPr>
      <w:r w:rsidRPr="0085018D">
        <w:t xml:space="preserve">The submission also proposed amendments to the current PBS listings for brentuximab </w:t>
      </w:r>
      <w:proofErr w:type="spellStart"/>
      <w:r w:rsidRPr="0085018D">
        <w:t>vedotin</w:t>
      </w:r>
      <w:proofErr w:type="spellEnd"/>
      <w:r w:rsidRPr="0085018D">
        <w:t xml:space="preserve"> in the relapsed/refractory setting, to allow for re-treatment following first line therapy</w:t>
      </w:r>
      <w:r w:rsidR="00F32F12" w:rsidRPr="0085018D">
        <w:t xml:space="preserve"> and to change the restrictions from Authority Required to Authority Required (Streamlined)</w:t>
      </w:r>
      <w:r w:rsidR="00B07AB3" w:rsidRPr="0085018D">
        <w:t>.</w:t>
      </w:r>
    </w:p>
    <w:p w14:paraId="6C73FDFD" w14:textId="6648D88E" w:rsidR="009F3385" w:rsidRPr="0085018D" w:rsidRDefault="009F3385" w:rsidP="00BB3309">
      <w:pPr>
        <w:pStyle w:val="COMexecsumnumberedpara"/>
      </w:pPr>
      <w:r w:rsidRPr="0085018D">
        <w:lastRenderedPageBreak/>
        <w:t xml:space="preserve">The requested amendments to allow for re-treatment in the relapsed/refractory setting were inadequately justified given limited representation of use in this setting based on the key trial. No other evidence was presented in support of the requested amendment. The efficacy and safety of brentuximab </w:t>
      </w:r>
      <w:proofErr w:type="spellStart"/>
      <w:r w:rsidRPr="0085018D">
        <w:t>vedotin</w:t>
      </w:r>
      <w:proofErr w:type="spellEnd"/>
      <w:r w:rsidRPr="0085018D">
        <w:t xml:space="preserve"> as well as the cost-effectiveness of use in this circumstance is uncertain.</w:t>
      </w:r>
    </w:p>
    <w:p w14:paraId="1B5893CB" w14:textId="50E12AFD" w:rsidR="00C20E91" w:rsidRPr="0085018D" w:rsidRDefault="00C20E91" w:rsidP="00BB3309">
      <w:pPr>
        <w:pStyle w:val="COMexecsumnumberedpara"/>
      </w:pPr>
      <w:bookmarkStart w:id="8" w:name="_Ref163733484"/>
      <w:r w:rsidRPr="0085018D">
        <w:t xml:space="preserve">The </w:t>
      </w:r>
      <w:r w:rsidR="005C566A" w:rsidRPr="0085018D">
        <w:t xml:space="preserve">evaluation considered the </w:t>
      </w:r>
      <w:r w:rsidRPr="0085018D">
        <w:t xml:space="preserve">requested amendments to the current lifetime limits in the relapsed/refractory restrictions may not be appropriate. In November 2016, the PBAC noted that the impact of patients potentially accessing brentuximab </w:t>
      </w:r>
      <w:proofErr w:type="spellStart"/>
      <w:r w:rsidRPr="0085018D">
        <w:t>vedotin</w:t>
      </w:r>
      <w:proofErr w:type="spellEnd"/>
      <w:r w:rsidRPr="0085018D">
        <w:t xml:space="preserve"> more than once (before ASCT and then again after) was not considered in either of the two submissions for brentuximab </w:t>
      </w:r>
      <w:proofErr w:type="spellStart"/>
      <w:r w:rsidRPr="0085018D">
        <w:t>vedotin</w:t>
      </w:r>
      <w:proofErr w:type="spellEnd"/>
      <w:r w:rsidRPr="0085018D">
        <w:t xml:space="preserve"> that were considered at the same meeting (para 7.4, brentuximab </w:t>
      </w:r>
      <w:proofErr w:type="spellStart"/>
      <w:r w:rsidRPr="0085018D">
        <w:t>vedotin</w:t>
      </w:r>
      <w:proofErr w:type="spellEnd"/>
      <w:r w:rsidRPr="0085018D">
        <w:t xml:space="preserve"> – ASCT-</w:t>
      </w:r>
      <w:r w:rsidR="009156AC" w:rsidRPr="0085018D">
        <w:t>naïve</w:t>
      </w:r>
      <w:r w:rsidR="00014BD0">
        <w:t xml:space="preserve"> </w:t>
      </w:r>
      <w:r w:rsidR="00014BD0" w:rsidRPr="00014BD0">
        <w:t>Public Summary Document</w:t>
      </w:r>
      <w:r w:rsidR="00014BD0">
        <w:t xml:space="preserve"> (PSD)</w:t>
      </w:r>
      <w:r w:rsidRPr="0085018D">
        <w:t xml:space="preserve">, November 2016 PBAC meeting; para 7.4, brentuximab </w:t>
      </w:r>
      <w:proofErr w:type="spellStart"/>
      <w:r w:rsidRPr="0085018D">
        <w:t>vedotin</w:t>
      </w:r>
      <w:proofErr w:type="spellEnd"/>
      <w:r w:rsidRPr="0085018D">
        <w:t xml:space="preserve"> – post-ASCT</w:t>
      </w:r>
      <w:r w:rsidR="00014BD0">
        <w:t xml:space="preserve"> PSD</w:t>
      </w:r>
      <w:r w:rsidRPr="0085018D">
        <w:t xml:space="preserve">, November 2016 PBAC meeting). </w:t>
      </w:r>
      <w:r w:rsidR="008E0125" w:rsidRPr="0085018D">
        <w:t>At that time, t</w:t>
      </w:r>
      <w:r w:rsidRPr="0085018D">
        <w:t xml:space="preserve">he PBAC noted that the product information allowed for a lifetime maximum of 16 treatment cycles and that both restrictions should be consistent with this. </w:t>
      </w:r>
      <w:r w:rsidR="003D2682" w:rsidRPr="0085018D">
        <w:t>The Pre-Sub-Committee Response (PSCR</w:t>
      </w:r>
      <w:r w:rsidR="00C07ACA">
        <w:t>)</w:t>
      </w:r>
      <w:r w:rsidR="003D2682" w:rsidRPr="0085018D">
        <w:t xml:space="preserve"> argued that f</w:t>
      </w:r>
      <w:r w:rsidR="0064480D" w:rsidRPr="0085018D">
        <w:t xml:space="preserve">irst-line therapy for advanced </w:t>
      </w:r>
      <w:r w:rsidR="003D2682" w:rsidRPr="0085018D">
        <w:t>Hodgkin lymphoma</w:t>
      </w:r>
      <w:r w:rsidR="0064480D" w:rsidRPr="0085018D">
        <w:t xml:space="preserve"> is administered with curative intent with only a small proportion of patients receiving later line treatment. In ECHELON-1, 20% of patients randomised to A+AVD received subsequent re</w:t>
      </w:r>
      <w:r w:rsidR="00067E43" w:rsidRPr="0085018D">
        <w:t>-</w:t>
      </w:r>
      <w:r w:rsidR="0064480D" w:rsidRPr="0085018D">
        <w:t>treatment after a median follow up of approximately 6 years with three patients (0.5%) re</w:t>
      </w:r>
      <w:r w:rsidR="00067E43" w:rsidRPr="0085018D">
        <w:t>-</w:t>
      </w:r>
      <w:r w:rsidR="0064480D" w:rsidRPr="0085018D">
        <w:t xml:space="preserve">treated with </w:t>
      </w:r>
      <w:r w:rsidR="003D2682" w:rsidRPr="0085018D">
        <w:t xml:space="preserve">brentuximab </w:t>
      </w:r>
      <w:proofErr w:type="spellStart"/>
      <w:r w:rsidR="003D2682" w:rsidRPr="0085018D">
        <w:t>vedotin</w:t>
      </w:r>
      <w:proofErr w:type="spellEnd"/>
      <w:r w:rsidR="0064480D" w:rsidRPr="0085018D">
        <w:t>. T</w:t>
      </w:r>
      <w:r w:rsidR="003D2682" w:rsidRPr="0085018D">
        <w:t>he PSCR stated t</w:t>
      </w:r>
      <w:r w:rsidR="0064480D" w:rsidRPr="0085018D">
        <w:t xml:space="preserve">here </w:t>
      </w:r>
      <w:r w:rsidR="00543555" w:rsidRPr="0085018D">
        <w:t>wa</w:t>
      </w:r>
      <w:r w:rsidR="0064480D" w:rsidRPr="0085018D">
        <w:t xml:space="preserve">s no biological </w:t>
      </w:r>
      <w:r w:rsidR="0085018D" w:rsidRPr="0085018D">
        <w:t>reason</w:t>
      </w:r>
      <w:r w:rsidR="00543555" w:rsidRPr="0085018D">
        <w:t xml:space="preserve"> </w:t>
      </w:r>
      <w:r w:rsidR="003D2682" w:rsidRPr="0085018D">
        <w:t xml:space="preserve">brentuximab </w:t>
      </w:r>
      <w:proofErr w:type="spellStart"/>
      <w:r w:rsidR="003D2682" w:rsidRPr="0085018D">
        <w:t>vedotin</w:t>
      </w:r>
      <w:proofErr w:type="spellEnd"/>
      <w:r w:rsidR="003D2682" w:rsidRPr="0085018D">
        <w:t xml:space="preserve"> </w:t>
      </w:r>
      <w:r w:rsidR="0064480D" w:rsidRPr="0085018D">
        <w:t>w</w:t>
      </w:r>
      <w:r w:rsidR="00543555" w:rsidRPr="0085018D">
        <w:t>ould</w:t>
      </w:r>
      <w:r w:rsidR="0064480D" w:rsidRPr="0085018D">
        <w:t xml:space="preserve"> not be effective in the relapsed/refractory setting in patients who responded to A+AVD in first-line therapy.</w:t>
      </w:r>
      <w:r w:rsidR="003D2682" w:rsidRPr="0085018D">
        <w:t xml:space="preserve"> The ESC noted that only a very small number of patients were re</w:t>
      </w:r>
      <w:r w:rsidR="00067E43" w:rsidRPr="0085018D">
        <w:t>-</w:t>
      </w:r>
      <w:r w:rsidR="003D2682" w:rsidRPr="0085018D">
        <w:t xml:space="preserve">treated with brentuximab </w:t>
      </w:r>
      <w:proofErr w:type="spellStart"/>
      <w:r w:rsidR="003D2682" w:rsidRPr="0085018D">
        <w:t>vedotin</w:t>
      </w:r>
      <w:proofErr w:type="spellEnd"/>
      <w:r w:rsidR="003D2682" w:rsidRPr="0085018D">
        <w:t xml:space="preserve"> in ECHELON-1. </w:t>
      </w:r>
      <w:r w:rsidR="009337A5" w:rsidRPr="0085018D">
        <w:t xml:space="preserve">The ESC noted that when recommending brentuximab </w:t>
      </w:r>
      <w:proofErr w:type="spellStart"/>
      <w:r w:rsidR="009337A5" w:rsidRPr="0085018D">
        <w:t>vedotin</w:t>
      </w:r>
      <w:proofErr w:type="spellEnd"/>
      <w:r w:rsidR="009337A5" w:rsidRPr="0085018D">
        <w:t xml:space="preserve"> combination therapy for the first-line treatment of peripheral T-cell lymphoma in March 2021 the PBAC allowed re-treatment for patients who had responded to </w:t>
      </w:r>
      <w:proofErr w:type="gramStart"/>
      <w:r w:rsidR="009337A5" w:rsidRPr="0085018D">
        <w:t>first-line</w:t>
      </w:r>
      <w:proofErr w:type="gramEnd"/>
      <w:r w:rsidR="009337A5" w:rsidRPr="0085018D">
        <w:t xml:space="preserve"> brentuximab </w:t>
      </w:r>
      <w:proofErr w:type="spellStart"/>
      <w:r w:rsidR="009337A5" w:rsidRPr="0085018D">
        <w:t>vedotin</w:t>
      </w:r>
      <w:proofErr w:type="spellEnd"/>
      <w:r w:rsidR="009337A5" w:rsidRPr="0085018D">
        <w:t xml:space="preserve"> (paragraph 7.14, brentuximab </w:t>
      </w:r>
      <w:proofErr w:type="spellStart"/>
      <w:r w:rsidR="009337A5" w:rsidRPr="0085018D">
        <w:t>vedotin</w:t>
      </w:r>
      <w:proofErr w:type="spellEnd"/>
      <w:r w:rsidR="009337A5" w:rsidRPr="0085018D">
        <w:t xml:space="preserve"> PSD, March 2021 PBAC Meeting). </w:t>
      </w:r>
      <w:r w:rsidR="00E3507E" w:rsidRPr="0085018D">
        <w:t>The ESC acknowledged the limited evidence base for re</w:t>
      </w:r>
      <w:r w:rsidR="00067E43" w:rsidRPr="0085018D">
        <w:t>-</w:t>
      </w:r>
      <w:r w:rsidR="00E3507E" w:rsidRPr="0085018D">
        <w:t>treatment but considered it would likely be appropriate in this context</w:t>
      </w:r>
      <w:r w:rsidR="001050A4" w:rsidRPr="0085018D">
        <w:t xml:space="preserve">. The ESC noted </w:t>
      </w:r>
      <w:r w:rsidR="002F2C3E" w:rsidRPr="0085018D">
        <w:t xml:space="preserve">a </w:t>
      </w:r>
      <w:r w:rsidR="001050A4" w:rsidRPr="0085018D">
        <w:t>lifetime maximum of 16</w:t>
      </w:r>
      <w:r w:rsidR="00C07ACA">
        <w:t> </w:t>
      </w:r>
      <w:r w:rsidR="001050A4" w:rsidRPr="0085018D">
        <w:t xml:space="preserve">treatment cycles </w:t>
      </w:r>
      <w:r w:rsidR="002F2C3E" w:rsidRPr="0085018D">
        <w:t xml:space="preserve">in </w:t>
      </w:r>
      <w:r w:rsidR="00543555" w:rsidRPr="0085018D">
        <w:t xml:space="preserve">the product information for relapsed or refractory Hodgkin lymphoma </w:t>
      </w:r>
      <w:r w:rsidR="001050A4" w:rsidRPr="0085018D">
        <w:t xml:space="preserve">and considered that this remained appropriate to accommodate </w:t>
      </w:r>
      <w:r w:rsidR="00543555" w:rsidRPr="0085018D">
        <w:t xml:space="preserve">use </w:t>
      </w:r>
      <w:r w:rsidR="00B60AA9" w:rsidRPr="0085018D">
        <w:t>across both settings</w:t>
      </w:r>
      <w:bookmarkEnd w:id="8"/>
      <w:r w:rsidR="0085018D">
        <w:t>.</w:t>
      </w:r>
    </w:p>
    <w:p w14:paraId="50DF3000" w14:textId="5B20F244" w:rsidR="00CC35EA" w:rsidRPr="0085018D" w:rsidRDefault="00B506E6" w:rsidP="00CF656D">
      <w:pPr>
        <w:pStyle w:val="COMexecsumnumberedpara"/>
        <w:rPr>
          <w:i/>
          <w:iCs/>
        </w:rPr>
      </w:pPr>
      <w:r w:rsidRPr="0085018D">
        <w:t xml:space="preserve">The submission claimed that the </w:t>
      </w:r>
      <w:r w:rsidR="00AC51A5" w:rsidRPr="0085018D">
        <w:t xml:space="preserve">proposed </w:t>
      </w:r>
      <w:r w:rsidRPr="0085018D">
        <w:t>change to Authority Required (Streamlined) is</w:t>
      </w:r>
      <w:r w:rsidR="00B07AB3" w:rsidRPr="0085018D">
        <w:t xml:space="preserve"> consistent with the existing PBS listing for pembrolizumab for the same indication. The initial pembrolizumab restriction was an Authority Required (telephone/online/in writing) listing (pembrolizumab PSD, August 2017 PBAC meeting). In July 2022, the PBAC considered a Category 3 submission requesting the addition of the 400 mg every 6 weeks pembrolizumab dosing regimen for multiple PBS listings including relapsed/refractory Hodgkin lymphoma (pembrolizumab PSD, July</w:t>
      </w:r>
      <w:r w:rsidR="003359B1">
        <w:t> </w:t>
      </w:r>
      <w:r w:rsidR="00B07AB3" w:rsidRPr="0085018D">
        <w:t xml:space="preserve">2022 PBAC meeting). </w:t>
      </w:r>
      <w:r w:rsidR="00B56D33" w:rsidRPr="0085018D">
        <w:t xml:space="preserve">As part of this </w:t>
      </w:r>
      <w:r w:rsidR="00B07AB3" w:rsidRPr="0085018D">
        <w:t xml:space="preserve">consideration, the relapsed/refractory Hodgkin lymphoma listing was amended to </w:t>
      </w:r>
      <w:r w:rsidR="00B56D33" w:rsidRPr="0085018D">
        <w:t xml:space="preserve">an </w:t>
      </w:r>
      <w:r w:rsidR="00B07AB3" w:rsidRPr="0085018D">
        <w:t>Authority Required (Streamlined)</w:t>
      </w:r>
      <w:r w:rsidR="00B56D33" w:rsidRPr="0085018D">
        <w:t xml:space="preserve"> listing</w:t>
      </w:r>
      <w:r w:rsidR="00595D5D" w:rsidRPr="0085018D">
        <w:t>.</w:t>
      </w:r>
    </w:p>
    <w:p w14:paraId="2CDD4CB3" w14:textId="6E9A1703" w:rsidR="00896124" w:rsidRPr="0085018D" w:rsidRDefault="00896124" w:rsidP="00896124">
      <w:pPr>
        <w:pStyle w:val="COMexecsumnumberedpara"/>
        <w:numPr>
          <w:ilvl w:val="0"/>
          <w:numId w:val="0"/>
        </w:numPr>
        <w:ind w:left="720"/>
        <w:rPr>
          <w:i/>
          <w:iCs/>
        </w:rPr>
      </w:pPr>
      <w:r w:rsidRPr="0085018D">
        <w:rPr>
          <w:i/>
          <w:iCs/>
        </w:rPr>
        <w:t>For more detail on PBAC’s view, see section 7 PBAC outcome.</w:t>
      </w:r>
    </w:p>
    <w:p w14:paraId="7075B85C" w14:textId="321C9B30" w:rsidR="00B50DB8" w:rsidRPr="0085018D" w:rsidDel="00195452" w:rsidRDefault="00203181" w:rsidP="004E18E9">
      <w:pPr>
        <w:pStyle w:val="COMH1numbered"/>
      </w:pPr>
      <w:bookmarkStart w:id="9" w:name="_Toc156922243"/>
      <w:r w:rsidRPr="0085018D" w:rsidDel="00195452">
        <w:t xml:space="preserve">Population and </w:t>
      </w:r>
      <w:r w:rsidR="008E0D3C" w:rsidRPr="0085018D" w:rsidDel="00195452">
        <w:t>d</w:t>
      </w:r>
      <w:r w:rsidRPr="0085018D" w:rsidDel="00195452">
        <w:t>isease</w:t>
      </w:r>
      <w:bookmarkEnd w:id="9"/>
    </w:p>
    <w:p w14:paraId="229B462C" w14:textId="77777777" w:rsidR="00035969" w:rsidRPr="0085018D" w:rsidRDefault="008B772D" w:rsidP="008B772D">
      <w:pPr>
        <w:pStyle w:val="COMexecsumnumberedpara"/>
      </w:pPr>
      <w:r w:rsidRPr="0085018D">
        <w:t xml:space="preserve">Hodgkin lymphoma is a type of fast-growing (aggressive) blood cancer that affects a type of white blood cell called B-cell lymphocytes, which are part of the immune system. The disease is defined by the presence of unusually large, malignant (cancerous), Hodgkin-Reed-Sternberg cells, which help differentiate Hodgkin lymphoma from non-Hodgkin lymphoma. Classical Hodgkin lymphoma is typically characterised by the expression of CD30 surface markers on these cancer cells. The disease has a bimodal age distribution with peaks at 15 to 35 years of age and greater than 60 years of age. Classical Hodgkin lymphoma accounts for </w:t>
      </w:r>
      <w:proofErr w:type="gramStart"/>
      <w:r w:rsidRPr="0085018D">
        <w:t>the majority of</w:t>
      </w:r>
      <w:proofErr w:type="gramEnd"/>
      <w:r w:rsidRPr="0085018D">
        <w:t xml:space="preserve"> cases of Hodgkin lymphoma, with nodular lymphocyte predominant Hodgkin lymphoma comprising the minority of cases.</w:t>
      </w:r>
    </w:p>
    <w:p w14:paraId="21FDD135" w14:textId="2F891745" w:rsidR="00894489" w:rsidRPr="0085018D" w:rsidRDefault="00035969" w:rsidP="008B772D">
      <w:pPr>
        <w:pStyle w:val="COMexecsumnumberedpara"/>
      </w:pPr>
      <w:r w:rsidRPr="0085018D">
        <w:t xml:space="preserve">Disease staging is carried out according to the modified Ann Arbor classification that is based on the number and location of affected lymph nodes as well as whether the disease has spread to the bone marrow or other organs. The disease is further categorised by the presence or absence of B-type symptoms such as fevers, night sweats and weight loss exceeding 10% of the patient’s baseline body weight. Advanced stage Hodgkin lymphoma includes stage III or IV disease (Ann Arbor classification) and stage IIB disease with bulk or </w:t>
      </w:r>
      <w:proofErr w:type="spellStart"/>
      <w:r w:rsidR="00A32225" w:rsidRPr="0085018D">
        <w:t>extranodal</w:t>
      </w:r>
      <w:proofErr w:type="spellEnd"/>
      <w:r w:rsidRPr="0085018D">
        <w:t xml:space="preserve"> disease (German Hodgkin Study Group classification).</w:t>
      </w:r>
    </w:p>
    <w:p w14:paraId="06A27889" w14:textId="19FB0361" w:rsidR="008A62D3" w:rsidRPr="0085018D" w:rsidRDefault="00216AA6" w:rsidP="008B772D">
      <w:pPr>
        <w:pStyle w:val="COMexecsumnumberedpara"/>
      </w:pPr>
      <w:r w:rsidRPr="0085018D">
        <w:t xml:space="preserve">The </w:t>
      </w:r>
      <w:r w:rsidR="00721BAE" w:rsidRPr="0085018D">
        <w:t>submission</w:t>
      </w:r>
      <w:r w:rsidRPr="0085018D">
        <w:t xml:space="preserve"> position</w:t>
      </w:r>
      <w:r w:rsidR="00721BAE" w:rsidRPr="0085018D">
        <w:t>ed</w:t>
      </w:r>
      <w:r w:rsidRPr="0085018D">
        <w:t xml:space="preserve"> A+AVD as a first-line treatment option for patients </w:t>
      </w:r>
      <w:r w:rsidR="00721BAE" w:rsidRPr="0085018D">
        <w:t>with previously untreated CD30 positive advanced (Ann Arbor stage III or IV) Hodgkin lymphoma.</w:t>
      </w:r>
      <w:r w:rsidR="008F7972" w:rsidRPr="0085018D">
        <w:t xml:space="preserve"> The ESC noted the submission</w:t>
      </w:r>
      <w:r w:rsidR="002F2C3E" w:rsidRPr="0085018D">
        <w:t>’</w:t>
      </w:r>
      <w:r w:rsidR="008F7972" w:rsidRPr="0085018D">
        <w:t>s proposed clinical algorithm assumed people receiving A+AVD will not get interim positron emission tomography after 2</w:t>
      </w:r>
      <w:r w:rsidR="003359B1">
        <w:t> </w:t>
      </w:r>
      <w:r w:rsidR="008F7972" w:rsidRPr="0085018D">
        <w:t xml:space="preserve">cycles of chemotherapy (iPET2). </w:t>
      </w:r>
      <w:r w:rsidR="00F35D63" w:rsidRPr="0085018D">
        <w:t xml:space="preserve">The ESC considered that iPET2 would likely continue with A+AVD </w:t>
      </w:r>
      <w:proofErr w:type="gramStart"/>
      <w:r w:rsidR="00BA5E00" w:rsidRPr="0085018D">
        <w:t>despite</w:t>
      </w:r>
      <w:r w:rsidR="00F35D63" w:rsidRPr="0085018D">
        <w:t xml:space="preserve"> the fact that</w:t>
      </w:r>
      <w:proofErr w:type="gramEnd"/>
      <w:r w:rsidR="00F35D63" w:rsidRPr="0085018D">
        <w:t xml:space="preserve"> it was not used in the ECHELON-1 trial. </w:t>
      </w:r>
    </w:p>
    <w:p w14:paraId="206E223B" w14:textId="698610B8" w:rsidR="00C7332D" w:rsidRPr="0085018D" w:rsidRDefault="00CB4468" w:rsidP="00C7332D">
      <w:pPr>
        <w:pStyle w:val="COMexecsumnumberedpara"/>
      </w:pPr>
      <w:r w:rsidRPr="0085018D">
        <w:t xml:space="preserve">More recently published international guidelines recommend </w:t>
      </w:r>
      <w:r w:rsidR="003F135C" w:rsidRPr="0085018D">
        <w:t xml:space="preserve">a narrower place in therapy than proposed in the submission; for treatment </w:t>
      </w:r>
      <w:r w:rsidR="002E7AE6" w:rsidRPr="0085018D">
        <w:t xml:space="preserve">of </w:t>
      </w:r>
      <w:r w:rsidRPr="0085018D">
        <w:t>stage III or IV disease in patients aged 60 years or younger who are fit (</w:t>
      </w:r>
      <w:proofErr w:type="gramStart"/>
      <w:r w:rsidRPr="0085018D">
        <w:t>i.e.</w:t>
      </w:r>
      <w:proofErr w:type="gramEnd"/>
      <w:r w:rsidRPr="0085018D">
        <w:t xml:space="preserve"> do not have poor performance or substantial co-morbidities)</w:t>
      </w:r>
      <w:r w:rsidR="00754070" w:rsidRPr="0085018D">
        <w:t xml:space="preserve"> (</w:t>
      </w:r>
      <w:r w:rsidR="00056ADA" w:rsidRPr="00056ADA">
        <w:t xml:space="preserve">The National Comprehensive Cancer Network </w:t>
      </w:r>
      <w:r w:rsidR="00056ADA">
        <w:t>(</w:t>
      </w:r>
      <w:r w:rsidR="00754070" w:rsidRPr="0085018D">
        <w:t>NCCN</w:t>
      </w:r>
      <w:r w:rsidR="00056ADA">
        <w:t>)</w:t>
      </w:r>
      <w:r w:rsidR="00754070" w:rsidRPr="0085018D">
        <w:t xml:space="preserve"> Guidelines Version 1.2024 Hodgkin Lymphoma)</w:t>
      </w:r>
      <w:r w:rsidRPr="0085018D">
        <w:t xml:space="preserve">. The </w:t>
      </w:r>
      <w:r w:rsidR="00754070" w:rsidRPr="0085018D">
        <w:t xml:space="preserve">NCCN </w:t>
      </w:r>
      <w:r w:rsidRPr="0085018D">
        <w:t xml:space="preserve">guidelines also note that use of A+AVD is contraindicated in those with neuropathy. </w:t>
      </w:r>
    </w:p>
    <w:p w14:paraId="11FCAAEE" w14:textId="7794135C" w:rsidR="007627BE" w:rsidRPr="0085018D" w:rsidRDefault="00CF566A" w:rsidP="00311A44">
      <w:pPr>
        <w:pStyle w:val="COMexecsumnumberedpara"/>
      </w:pPr>
      <w:r w:rsidRPr="0085018D">
        <w:t>The submission presented a current treatment algorithm for relapsed</w:t>
      </w:r>
      <w:r w:rsidR="00FC2506" w:rsidRPr="0085018D">
        <w:t>/</w:t>
      </w:r>
      <w:r w:rsidRPr="0085018D">
        <w:t>refractory disease</w:t>
      </w:r>
      <w:r w:rsidR="004A4DD1" w:rsidRPr="0085018D">
        <w:t>. Patients who fail first</w:t>
      </w:r>
      <w:r w:rsidR="00FC2506" w:rsidRPr="0085018D">
        <w:t xml:space="preserve"> </w:t>
      </w:r>
      <w:r w:rsidR="004A4DD1" w:rsidRPr="0085018D">
        <w:t xml:space="preserve">line therapy are treated with </w:t>
      </w:r>
      <w:r w:rsidR="00FC2506" w:rsidRPr="0085018D">
        <w:t>second line</w:t>
      </w:r>
      <w:r w:rsidR="004A4DD1" w:rsidRPr="0085018D">
        <w:t xml:space="preserve"> (salvage) chemotherapy followed by high dose chemotherapy and ASCT unless they are not suitable. Based on current PBS listings, patients who have undergone ASCT and are relapsed/refractory are eligible for brentuximab </w:t>
      </w:r>
      <w:proofErr w:type="spellStart"/>
      <w:r w:rsidR="004A4DD1" w:rsidRPr="0085018D">
        <w:t>vedotin</w:t>
      </w:r>
      <w:proofErr w:type="spellEnd"/>
      <w:r w:rsidR="004A4DD1" w:rsidRPr="0085018D">
        <w:t xml:space="preserve"> or pembrolizumab. Patients who have not undergone </w:t>
      </w:r>
      <w:proofErr w:type="gramStart"/>
      <w:r w:rsidR="004A4DD1" w:rsidRPr="0085018D">
        <w:t>ASCT, and</w:t>
      </w:r>
      <w:proofErr w:type="gramEnd"/>
      <w:r w:rsidR="004A4DD1" w:rsidRPr="0085018D">
        <w:t xml:space="preserve"> are unsuitable for ASCT or unsuitable for treatment with multi-agent chemotherapy, and have relapsed/refractory disease after 2 prior treatments are also eligible for brentuximab </w:t>
      </w:r>
      <w:proofErr w:type="spellStart"/>
      <w:r w:rsidR="004A4DD1" w:rsidRPr="0085018D">
        <w:t>vedotin</w:t>
      </w:r>
      <w:proofErr w:type="spellEnd"/>
      <w:r w:rsidR="004A4DD1" w:rsidRPr="0085018D">
        <w:t xml:space="preserve"> or pembrolizumab. The submission noted that consolidation treatment with brentuximab </w:t>
      </w:r>
      <w:proofErr w:type="spellStart"/>
      <w:r w:rsidR="004A4DD1" w:rsidRPr="0085018D">
        <w:t>vedotin</w:t>
      </w:r>
      <w:proofErr w:type="spellEnd"/>
      <w:r w:rsidR="004A4DD1" w:rsidRPr="0085018D">
        <w:t xml:space="preserve"> may be considered in patients at high risk of relapse or progression after ASCT. Brentuximab </w:t>
      </w:r>
      <w:proofErr w:type="spellStart"/>
      <w:r w:rsidR="004A4DD1" w:rsidRPr="0085018D">
        <w:t>vedotin</w:t>
      </w:r>
      <w:proofErr w:type="spellEnd"/>
      <w:r w:rsidR="004A4DD1" w:rsidRPr="0085018D">
        <w:t xml:space="preserve"> is TGA-approved but not PBS-listed for </w:t>
      </w:r>
      <w:r w:rsidR="00BB7D56" w:rsidRPr="0085018D">
        <w:t xml:space="preserve">consolidation therapy </w:t>
      </w:r>
      <w:r w:rsidR="00077739" w:rsidRPr="0085018D">
        <w:t>after ASCT.</w:t>
      </w:r>
    </w:p>
    <w:p w14:paraId="307CCAFF" w14:textId="65020672" w:rsidR="00896124" w:rsidRPr="0085018D" w:rsidDel="00195452" w:rsidRDefault="00896124" w:rsidP="00C76F7D">
      <w:pPr>
        <w:pStyle w:val="COMexecsumnumberedpara"/>
        <w:numPr>
          <w:ilvl w:val="0"/>
          <w:numId w:val="0"/>
        </w:numPr>
        <w:ind w:left="720"/>
        <w:rPr>
          <w:i/>
          <w:iCs/>
        </w:rPr>
      </w:pPr>
      <w:r w:rsidRPr="0085018D">
        <w:rPr>
          <w:i/>
          <w:iCs/>
        </w:rPr>
        <w:t>For more detail on PBAC’s view, see section 7 PBAC outcome.</w:t>
      </w:r>
    </w:p>
    <w:p w14:paraId="51E5AE96" w14:textId="5945884B" w:rsidR="00B50DB8" w:rsidRPr="0085018D" w:rsidRDefault="00B50DB8" w:rsidP="004E18E9">
      <w:pPr>
        <w:pStyle w:val="COMH1numbered"/>
      </w:pPr>
      <w:bookmarkStart w:id="10" w:name="_Toc156922244"/>
      <w:r w:rsidRPr="0085018D">
        <w:t>Comparator</w:t>
      </w:r>
      <w:bookmarkEnd w:id="10"/>
    </w:p>
    <w:p w14:paraId="747A75CC" w14:textId="0C310E59" w:rsidR="00A05472" w:rsidRPr="0085018D" w:rsidRDefault="007671EA" w:rsidP="00882E3C">
      <w:pPr>
        <w:pStyle w:val="COMexecsumnumberedpara"/>
        <w:rPr>
          <w:snapToGrid/>
        </w:rPr>
      </w:pPr>
      <w:r w:rsidRPr="0085018D">
        <w:rPr>
          <w:snapToGrid/>
        </w:rPr>
        <w:t>The submission nominated PET-adapted ABVD as the main comparator.</w:t>
      </w:r>
      <w:r w:rsidR="00EA6CC5" w:rsidRPr="0085018D">
        <w:t xml:space="preserve"> </w:t>
      </w:r>
      <w:r w:rsidR="00EA6CC5" w:rsidRPr="0085018D">
        <w:rPr>
          <w:snapToGrid/>
        </w:rPr>
        <w:t xml:space="preserve">The main arguments provided in support of the nominated main comparator </w:t>
      </w:r>
      <w:r w:rsidR="006C5D4B" w:rsidRPr="0085018D">
        <w:rPr>
          <w:snapToGrid/>
        </w:rPr>
        <w:t>were</w:t>
      </w:r>
      <w:r w:rsidR="00EA6CC5" w:rsidRPr="0085018D">
        <w:rPr>
          <w:snapToGrid/>
        </w:rPr>
        <w:t xml:space="preserve"> that ABVD is the </w:t>
      </w:r>
      <w:proofErr w:type="gramStart"/>
      <w:r w:rsidR="00EA6CC5" w:rsidRPr="0085018D">
        <w:rPr>
          <w:snapToGrid/>
        </w:rPr>
        <w:t>most commonly used</w:t>
      </w:r>
      <w:proofErr w:type="gramEnd"/>
      <w:r w:rsidR="00EA6CC5" w:rsidRPr="0085018D">
        <w:rPr>
          <w:snapToGrid/>
        </w:rPr>
        <w:t xml:space="preserve"> first-line treatment for advanced classical Hodgkin lymphoma in Australia and that PET-adapted strategies are recommended in Australian guidelines as they provide similar efficacy to non-PET-adapted strategies but with an improved safety profile.</w:t>
      </w:r>
    </w:p>
    <w:p w14:paraId="1C4BA687" w14:textId="51001578" w:rsidR="004555E6" w:rsidRPr="0085018D" w:rsidRDefault="009E12A1" w:rsidP="00882E3C">
      <w:pPr>
        <w:pStyle w:val="COMexecsumnumberedpara"/>
        <w:rPr>
          <w:snapToGrid/>
        </w:rPr>
      </w:pPr>
      <w:r w:rsidRPr="0085018D">
        <w:rPr>
          <w:snapToGrid/>
        </w:rPr>
        <w:t xml:space="preserve">The submission presented </w:t>
      </w:r>
      <w:r w:rsidR="00C05A34" w:rsidRPr="0085018D">
        <w:rPr>
          <w:snapToGrid/>
        </w:rPr>
        <w:t>analyses of initial treatment regimens used in Australia based on the Lymphoma and Related Diseases Registry (</w:t>
      </w:r>
      <w:proofErr w:type="spellStart"/>
      <w:r w:rsidR="00C05A34" w:rsidRPr="0085018D">
        <w:rPr>
          <w:snapToGrid/>
        </w:rPr>
        <w:t>LaRDR</w:t>
      </w:r>
      <w:proofErr w:type="spellEnd"/>
      <w:r w:rsidR="00C05A34" w:rsidRPr="0085018D">
        <w:rPr>
          <w:snapToGrid/>
        </w:rPr>
        <w:t xml:space="preserve">) </w:t>
      </w:r>
      <w:r w:rsidR="00633CEE" w:rsidRPr="0085018D">
        <w:rPr>
          <w:snapToGrid/>
        </w:rPr>
        <w:t>and Australian Lymphoma Alliance (ALA) datasets (Nguyen 2023, Wellard 2023 unpublished analysis, Goh 2023).</w:t>
      </w:r>
      <w:r w:rsidR="00086252" w:rsidRPr="0085018D">
        <w:rPr>
          <w:snapToGrid/>
        </w:rPr>
        <w:t xml:space="preserve"> Based on the results, the submission claimed that the </w:t>
      </w:r>
      <w:proofErr w:type="gramStart"/>
      <w:r w:rsidR="00086252" w:rsidRPr="0085018D">
        <w:rPr>
          <w:snapToGrid/>
        </w:rPr>
        <w:t>most commonly used</w:t>
      </w:r>
      <w:proofErr w:type="gramEnd"/>
      <w:r w:rsidR="00086252" w:rsidRPr="0085018D">
        <w:rPr>
          <w:snapToGrid/>
        </w:rPr>
        <w:t xml:space="preserve"> </w:t>
      </w:r>
      <w:r w:rsidR="00122649" w:rsidRPr="0085018D">
        <w:rPr>
          <w:snapToGrid/>
        </w:rPr>
        <w:t xml:space="preserve">treatment regimen </w:t>
      </w:r>
      <w:r w:rsidR="004555E6" w:rsidRPr="0085018D">
        <w:rPr>
          <w:snapToGrid/>
        </w:rPr>
        <w:t>was</w:t>
      </w:r>
      <w:r w:rsidR="00122649" w:rsidRPr="0085018D">
        <w:rPr>
          <w:snapToGrid/>
        </w:rPr>
        <w:t xml:space="preserve"> ABVD</w:t>
      </w:r>
      <w:r w:rsidR="00302649" w:rsidRPr="0085018D">
        <w:rPr>
          <w:snapToGrid/>
        </w:rPr>
        <w:t>. However, the submission acknowledged that the analyses only captured regimens used in the first treatment cycles and therefore would not capture the use of PET</w:t>
      </w:r>
      <w:r w:rsidR="004555E6" w:rsidRPr="0085018D">
        <w:rPr>
          <w:snapToGrid/>
        </w:rPr>
        <w:t xml:space="preserve">-adapted regimens or modifications to regimens in subsequent treatment cycles. </w:t>
      </w:r>
    </w:p>
    <w:p w14:paraId="19787B60" w14:textId="06B7A277" w:rsidR="009E12A1" w:rsidRPr="0085018D" w:rsidRDefault="004555E6" w:rsidP="00882E3C">
      <w:pPr>
        <w:pStyle w:val="COMexecsumnumberedpara"/>
        <w:rPr>
          <w:snapToGrid/>
        </w:rPr>
      </w:pPr>
      <w:r w:rsidRPr="0085018D">
        <w:rPr>
          <w:snapToGrid/>
        </w:rPr>
        <w:t>While treatment guidelines recommend the use of PET-adapted regimens, the level of utilisation in the Australian setting is unclear due to limitations with data capture in the identified studies. The authors of the Nguyen 2023 study noted that the uptake of PET-adapted regimens appeared relatively low (data not presented) but suggested that it could be due to limited follow-up in more recently enrolled patients.</w:t>
      </w:r>
      <w:r w:rsidR="00777AA3" w:rsidRPr="0085018D">
        <w:rPr>
          <w:snapToGrid/>
        </w:rPr>
        <w:t xml:space="preserve"> </w:t>
      </w:r>
      <w:bookmarkStart w:id="11" w:name="_Hlk159335350"/>
      <w:r w:rsidR="00777AA3" w:rsidRPr="0085018D">
        <w:rPr>
          <w:snapToGrid/>
        </w:rPr>
        <w:t xml:space="preserve">The ESC agreed with the submission and the PSCR that PET-adapted ABVD is the standard of care for ABVD treatment in Australia. </w:t>
      </w:r>
    </w:p>
    <w:p w14:paraId="5C026631" w14:textId="714C03C6" w:rsidR="004555E6" w:rsidRPr="0085018D" w:rsidRDefault="004555E6" w:rsidP="00882E3C">
      <w:pPr>
        <w:pStyle w:val="COMexecsumnumberedpara"/>
        <w:rPr>
          <w:snapToGrid/>
        </w:rPr>
      </w:pPr>
      <w:r w:rsidRPr="0085018D">
        <w:rPr>
          <w:snapToGrid/>
        </w:rPr>
        <w:t>The submission claimed that while A+</w:t>
      </w:r>
      <w:r w:rsidR="0028074D" w:rsidRPr="0085018D">
        <w:rPr>
          <w:snapToGrid/>
        </w:rPr>
        <w:t>AVD is</w:t>
      </w:r>
      <w:r w:rsidRPr="0085018D">
        <w:rPr>
          <w:snapToGrid/>
        </w:rPr>
        <w:t xml:space="preserve"> not a PET-adapted regimen, it is expected to substitute for PET-adapted ABVD. It is unclear whether A+AVD is more likely to substitute for PET-adapted ABVD or non-PET-adapted ABVD given treatment guidelines recommend the use of PET-adapted regimens over non-PET-adapted regimens. Therefore, both regimens may be relevant comparators.</w:t>
      </w:r>
    </w:p>
    <w:p w14:paraId="1FEC89E5" w14:textId="0D517785" w:rsidR="0028074D" w:rsidRPr="0085018D" w:rsidRDefault="0028074D" w:rsidP="00882E3C">
      <w:pPr>
        <w:pStyle w:val="COMexecsumnumberedpara"/>
        <w:rPr>
          <w:snapToGrid/>
        </w:rPr>
      </w:pPr>
      <w:r w:rsidRPr="0085018D">
        <w:rPr>
          <w:snapToGrid/>
        </w:rPr>
        <w:t xml:space="preserve">The submission nominated PET-adapted </w:t>
      </w:r>
      <w:r w:rsidR="004C737D" w:rsidRPr="004C737D">
        <w:rPr>
          <w:snapToGrid/>
        </w:rPr>
        <w:t xml:space="preserve">escalated bleomycin, etoposide, doxorubicin, cyclophosphamide, vincristine, procarbazine, and prednisolone </w:t>
      </w:r>
      <w:r w:rsidR="004C737D">
        <w:rPr>
          <w:snapToGrid/>
        </w:rPr>
        <w:t>(</w:t>
      </w:r>
      <w:proofErr w:type="spellStart"/>
      <w:r w:rsidRPr="0085018D">
        <w:rPr>
          <w:snapToGrid/>
        </w:rPr>
        <w:t>eBEACOPP</w:t>
      </w:r>
      <w:proofErr w:type="spellEnd"/>
      <w:r w:rsidR="004C737D">
        <w:rPr>
          <w:snapToGrid/>
        </w:rPr>
        <w:t>)</w:t>
      </w:r>
      <w:r w:rsidRPr="0085018D">
        <w:rPr>
          <w:snapToGrid/>
        </w:rPr>
        <w:t xml:space="preserve"> as a supplementary comparator. The submission claimed that </w:t>
      </w:r>
      <w:proofErr w:type="spellStart"/>
      <w:r w:rsidRPr="0085018D">
        <w:rPr>
          <w:snapToGrid/>
        </w:rPr>
        <w:t>eBEACOPP</w:t>
      </w:r>
      <w:proofErr w:type="spellEnd"/>
      <w:r w:rsidRPr="0085018D">
        <w:rPr>
          <w:snapToGrid/>
        </w:rPr>
        <w:t xml:space="preserve"> is an alternative to ABVD but used less commonly in Australia as it is a more intensive regimen, and it is not recommended in patients aged above 60 years. </w:t>
      </w:r>
      <w:r w:rsidR="00777AA3" w:rsidRPr="0085018D">
        <w:rPr>
          <w:snapToGrid/>
        </w:rPr>
        <w:t xml:space="preserve">The ESC </w:t>
      </w:r>
      <w:r w:rsidR="00E312C6" w:rsidRPr="0085018D">
        <w:rPr>
          <w:snapToGrid/>
        </w:rPr>
        <w:t>advised</w:t>
      </w:r>
      <w:r w:rsidR="00777AA3" w:rsidRPr="0085018D">
        <w:rPr>
          <w:snapToGrid/>
        </w:rPr>
        <w:t xml:space="preserve"> that </w:t>
      </w:r>
      <w:proofErr w:type="spellStart"/>
      <w:r w:rsidR="00777AA3" w:rsidRPr="0085018D">
        <w:rPr>
          <w:snapToGrid/>
        </w:rPr>
        <w:t>eBEACOPP</w:t>
      </w:r>
      <w:proofErr w:type="spellEnd"/>
      <w:r w:rsidR="00777AA3" w:rsidRPr="0085018D">
        <w:rPr>
          <w:snapToGrid/>
        </w:rPr>
        <w:t xml:space="preserve"> w</w:t>
      </w:r>
      <w:r w:rsidR="007C6EB1" w:rsidRPr="0085018D">
        <w:rPr>
          <w:snapToGrid/>
        </w:rPr>
        <w:t xml:space="preserve">as standard of care for a </w:t>
      </w:r>
      <w:r w:rsidR="00B4304D" w:rsidRPr="0085018D">
        <w:rPr>
          <w:snapToGrid/>
        </w:rPr>
        <w:t xml:space="preserve">specific </w:t>
      </w:r>
      <w:r w:rsidR="007C6EB1" w:rsidRPr="0085018D">
        <w:rPr>
          <w:snapToGrid/>
        </w:rPr>
        <w:t>subgroup of patients</w:t>
      </w:r>
      <w:r w:rsidR="00B4304D" w:rsidRPr="0085018D">
        <w:rPr>
          <w:snapToGrid/>
        </w:rPr>
        <w:t xml:space="preserve"> with Hodgkin lymphoma</w:t>
      </w:r>
      <w:r w:rsidR="007C6EB1" w:rsidRPr="0085018D">
        <w:rPr>
          <w:snapToGrid/>
        </w:rPr>
        <w:t xml:space="preserve"> (used for at least the first 2 cycles for fit patients &lt; 45 years).</w:t>
      </w:r>
      <w:r w:rsidR="007C6EB1" w:rsidRPr="0085018D">
        <w:rPr>
          <w:i/>
          <w:iCs/>
          <w:snapToGrid/>
        </w:rPr>
        <w:t xml:space="preserve"> </w:t>
      </w:r>
      <w:bookmarkEnd w:id="11"/>
    </w:p>
    <w:p w14:paraId="30A067BB" w14:textId="5795B076" w:rsidR="00B50DB8" w:rsidRPr="0085018D" w:rsidRDefault="00406691" w:rsidP="001770CA">
      <w:pPr>
        <w:pStyle w:val="COMexecsumnumberedpara"/>
        <w:rPr>
          <w:i/>
          <w:iCs/>
          <w:snapToGrid/>
        </w:rPr>
      </w:pPr>
      <w:r w:rsidRPr="0085018D">
        <w:rPr>
          <w:snapToGrid/>
        </w:rPr>
        <w:t xml:space="preserve">The use of brentuximab </w:t>
      </w:r>
      <w:proofErr w:type="spellStart"/>
      <w:r w:rsidRPr="0085018D">
        <w:rPr>
          <w:snapToGrid/>
        </w:rPr>
        <w:t>vedotin</w:t>
      </w:r>
      <w:proofErr w:type="spellEnd"/>
      <w:r w:rsidRPr="0085018D">
        <w:rPr>
          <w:snapToGrid/>
        </w:rPr>
        <w:t xml:space="preserve"> </w:t>
      </w:r>
      <w:r w:rsidR="005B2BE0" w:rsidRPr="0085018D">
        <w:rPr>
          <w:snapToGrid/>
        </w:rPr>
        <w:t xml:space="preserve">in </w:t>
      </w:r>
      <w:r w:rsidR="00D33CD1" w:rsidRPr="0085018D">
        <w:rPr>
          <w:snapToGrid/>
        </w:rPr>
        <w:t>the first line setting</w:t>
      </w:r>
      <w:r w:rsidR="005B2BE0" w:rsidRPr="0085018D">
        <w:rPr>
          <w:snapToGrid/>
        </w:rPr>
        <w:t xml:space="preserve"> may displace the use of brentuximab </w:t>
      </w:r>
      <w:proofErr w:type="spellStart"/>
      <w:r w:rsidR="005B2BE0" w:rsidRPr="0085018D">
        <w:rPr>
          <w:snapToGrid/>
        </w:rPr>
        <w:t>vedotin</w:t>
      </w:r>
      <w:proofErr w:type="spellEnd"/>
      <w:r w:rsidR="005B2BE0" w:rsidRPr="0085018D">
        <w:rPr>
          <w:snapToGrid/>
        </w:rPr>
        <w:t xml:space="preserve"> </w:t>
      </w:r>
      <w:r w:rsidR="00D22F3C" w:rsidRPr="0085018D">
        <w:rPr>
          <w:snapToGrid/>
        </w:rPr>
        <w:t xml:space="preserve">and/or </w:t>
      </w:r>
      <w:r w:rsidR="00F812E4" w:rsidRPr="0085018D">
        <w:rPr>
          <w:snapToGrid/>
        </w:rPr>
        <w:t>immunotherapies (</w:t>
      </w:r>
      <w:proofErr w:type="gramStart"/>
      <w:r w:rsidR="00F812E4" w:rsidRPr="0085018D">
        <w:rPr>
          <w:snapToGrid/>
        </w:rPr>
        <w:t>e.g.</w:t>
      </w:r>
      <w:proofErr w:type="gramEnd"/>
      <w:r w:rsidR="00F812E4" w:rsidRPr="0085018D">
        <w:rPr>
          <w:snapToGrid/>
        </w:rPr>
        <w:t xml:space="preserve"> </w:t>
      </w:r>
      <w:r w:rsidR="00D22F3C" w:rsidRPr="0085018D">
        <w:rPr>
          <w:snapToGrid/>
        </w:rPr>
        <w:t>pembrolizumab</w:t>
      </w:r>
      <w:r w:rsidR="00F812E4" w:rsidRPr="0085018D">
        <w:rPr>
          <w:snapToGrid/>
        </w:rPr>
        <w:t>)</w:t>
      </w:r>
      <w:r w:rsidR="00D22F3C" w:rsidRPr="0085018D">
        <w:rPr>
          <w:snapToGrid/>
        </w:rPr>
        <w:t xml:space="preserve"> </w:t>
      </w:r>
      <w:r w:rsidR="00D33CD1" w:rsidRPr="0085018D">
        <w:rPr>
          <w:snapToGrid/>
        </w:rPr>
        <w:t xml:space="preserve">in </w:t>
      </w:r>
      <w:r w:rsidR="00401E2B" w:rsidRPr="0085018D">
        <w:rPr>
          <w:snapToGrid/>
        </w:rPr>
        <w:t>later</w:t>
      </w:r>
      <w:r w:rsidR="004D3719" w:rsidRPr="0085018D">
        <w:rPr>
          <w:snapToGrid/>
        </w:rPr>
        <w:t xml:space="preserve"> </w:t>
      </w:r>
      <w:r w:rsidR="00401E2B" w:rsidRPr="0085018D">
        <w:rPr>
          <w:snapToGrid/>
        </w:rPr>
        <w:t>line</w:t>
      </w:r>
      <w:r w:rsidR="00BE0644" w:rsidRPr="0085018D">
        <w:rPr>
          <w:snapToGrid/>
        </w:rPr>
        <w:t xml:space="preserve"> setting</w:t>
      </w:r>
      <w:r w:rsidR="004D3719" w:rsidRPr="0085018D">
        <w:rPr>
          <w:snapToGrid/>
        </w:rPr>
        <w:t>s</w:t>
      </w:r>
      <w:r w:rsidR="009D2292" w:rsidRPr="0085018D">
        <w:rPr>
          <w:snapToGrid/>
        </w:rPr>
        <w:t>,</w:t>
      </w:r>
      <w:r w:rsidR="00BE0644" w:rsidRPr="0085018D">
        <w:rPr>
          <w:snapToGrid/>
        </w:rPr>
        <w:t xml:space="preserve"> which was </w:t>
      </w:r>
      <w:r w:rsidR="00401E2B" w:rsidRPr="0085018D">
        <w:rPr>
          <w:snapToGrid/>
        </w:rPr>
        <w:t xml:space="preserve">captured in the trial, and was </w:t>
      </w:r>
      <w:r w:rsidR="00BE0644" w:rsidRPr="0085018D">
        <w:rPr>
          <w:snapToGrid/>
        </w:rPr>
        <w:t>considered in the economic analysis but not the financial estimates</w:t>
      </w:r>
      <w:bookmarkStart w:id="12" w:name="_Ref107305381"/>
      <w:r w:rsidR="0085018D">
        <w:rPr>
          <w:snapToGrid/>
        </w:rPr>
        <w:t xml:space="preserve">. </w:t>
      </w:r>
      <w:r w:rsidR="00024EB5" w:rsidRPr="0085018D">
        <w:rPr>
          <w:snapToGrid/>
        </w:rPr>
        <w:t xml:space="preserve"> </w:t>
      </w:r>
      <w:bookmarkEnd w:id="12"/>
    </w:p>
    <w:p w14:paraId="1EF5AFCB" w14:textId="0F1A2D74" w:rsidR="00896124" w:rsidRPr="0085018D" w:rsidRDefault="00896124" w:rsidP="00896124">
      <w:pPr>
        <w:pStyle w:val="COMexecsumnumberedpara"/>
        <w:numPr>
          <w:ilvl w:val="0"/>
          <w:numId w:val="0"/>
        </w:numPr>
        <w:ind w:left="720"/>
        <w:rPr>
          <w:i/>
          <w:iCs/>
          <w:snapToGrid/>
        </w:rPr>
      </w:pPr>
      <w:r w:rsidRPr="0085018D">
        <w:rPr>
          <w:i/>
          <w:iCs/>
          <w:snapToGrid/>
        </w:rPr>
        <w:t>For more detail on PBAC’s view, see section 7 PBAC outcome.</w:t>
      </w:r>
    </w:p>
    <w:p w14:paraId="7F9C27C8" w14:textId="73EBD390" w:rsidR="00223D5A" w:rsidRPr="0085018D" w:rsidRDefault="00223D5A" w:rsidP="0089087A">
      <w:pPr>
        <w:pStyle w:val="COMH1numbered"/>
      </w:pPr>
      <w:bookmarkStart w:id="13" w:name="_Toc156922245"/>
      <w:r w:rsidRPr="0085018D">
        <w:t>Consideration of the evidence</w:t>
      </w:r>
      <w:bookmarkStart w:id="14" w:name="_Toc22897640"/>
      <w:bookmarkEnd w:id="13"/>
    </w:p>
    <w:p w14:paraId="6F30B20E" w14:textId="77777777" w:rsidR="00896124" w:rsidRPr="0085018D" w:rsidRDefault="00896124" w:rsidP="00896124">
      <w:pPr>
        <w:pStyle w:val="3-SubsectionHeading"/>
        <w:rPr>
          <w:lang w:eastAsia="en-AU"/>
        </w:rPr>
      </w:pPr>
      <w:bookmarkStart w:id="15" w:name="_Hlk76375935"/>
      <w:r w:rsidRPr="0085018D">
        <w:rPr>
          <w:lang w:eastAsia="en-AU"/>
        </w:rPr>
        <w:t>Sponsor hearing</w:t>
      </w:r>
    </w:p>
    <w:p w14:paraId="39605D1E" w14:textId="3F6055DD" w:rsidR="00896124" w:rsidRPr="0085018D" w:rsidRDefault="00896124" w:rsidP="00896124">
      <w:pPr>
        <w:widowControl w:val="0"/>
        <w:numPr>
          <w:ilvl w:val="1"/>
          <w:numId w:val="1"/>
        </w:numPr>
        <w:spacing w:after="120"/>
        <w:rPr>
          <w:rFonts w:cs="Calibri"/>
          <w:bCs/>
          <w:snapToGrid w:val="0"/>
        </w:rPr>
      </w:pPr>
      <w:r w:rsidRPr="0085018D">
        <w:rPr>
          <w:rFonts w:cs="Calibri"/>
          <w:bCs/>
          <w:snapToGrid w:val="0"/>
        </w:rPr>
        <w:t>There was no hearing for this item.</w:t>
      </w:r>
    </w:p>
    <w:p w14:paraId="15E6D7B5" w14:textId="77777777" w:rsidR="00896124" w:rsidRPr="0085018D" w:rsidRDefault="00896124" w:rsidP="00896124">
      <w:pPr>
        <w:pStyle w:val="3-SubsectionHeading"/>
        <w:rPr>
          <w:lang w:eastAsia="en-AU"/>
        </w:rPr>
      </w:pPr>
      <w:r w:rsidRPr="0085018D">
        <w:rPr>
          <w:lang w:eastAsia="en-AU"/>
        </w:rPr>
        <w:t>Consumer comments</w:t>
      </w:r>
    </w:p>
    <w:p w14:paraId="53EE042F" w14:textId="1A15F915" w:rsidR="00896124" w:rsidRPr="0085018D" w:rsidRDefault="00896124" w:rsidP="00896124">
      <w:pPr>
        <w:widowControl w:val="0"/>
        <w:numPr>
          <w:ilvl w:val="1"/>
          <w:numId w:val="1"/>
        </w:numPr>
        <w:spacing w:after="120"/>
        <w:rPr>
          <w:rFonts w:asciiTheme="minorHAnsi" w:hAnsiTheme="minorHAnsi"/>
          <w:bCs/>
          <w:snapToGrid w:val="0"/>
        </w:rPr>
      </w:pPr>
      <w:bookmarkStart w:id="16" w:name="_Hlk76382618"/>
      <w:r w:rsidRPr="0085018D">
        <w:rPr>
          <w:rFonts w:asciiTheme="minorHAnsi" w:hAnsiTheme="minorHAnsi"/>
          <w:bCs/>
          <w:snapToGrid w:val="0"/>
        </w:rPr>
        <w:t xml:space="preserve">The PBAC noted and welcomed the input from </w:t>
      </w:r>
      <w:r w:rsidR="00411E24" w:rsidRPr="0085018D">
        <w:rPr>
          <w:rFonts w:asciiTheme="minorHAnsi" w:hAnsiTheme="minorHAnsi"/>
          <w:bCs/>
          <w:snapToGrid w:val="0"/>
        </w:rPr>
        <w:t xml:space="preserve">an </w:t>
      </w:r>
      <w:r w:rsidRPr="0085018D">
        <w:rPr>
          <w:rFonts w:asciiTheme="minorHAnsi" w:hAnsiTheme="minorHAnsi"/>
          <w:bCs/>
          <w:snapToGrid w:val="0"/>
        </w:rPr>
        <w:t>individual (</w:t>
      </w:r>
      <w:r w:rsidR="00411E24" w:rsidRPr="0085018D">
        <w:rPr>
          <w:rFonts w:asciiTheme="minorHAnsi" w:hAnsiTheme="minorHAnsi"/>
          <w:bCs/>
          <w:snapToGrid w:val="0"/>
        </w:rPr>
        <w:t>1</w:t>
      </w:r>
      <w:r w:rsidRPr="0085018D">
        <w:rPr>
          <w:rFonts w:asciiTheme="minorHAnsi" w:hAnsiTheme="minorHAnsi"/>
          <w:bCs/>
          <w:snapToGrid w:val="0"/>
        </w:rPr>
        <w:t xml:space="preserve">) and </w:t>
      </w:r>
      <w:r w:rsidR="00411E24" w:rsidRPr="0085018D">
        <w:rPr>
          <w:rFonts w:asciiTheme="minorHAnsi" w:hAnsiTheme="minorHAnsi"/>
          <w:bCs/>
          <w:snapToGrid w:val="0"/>
        </w:rPr>
        <w:t xml:space="preserve">an </w:t>
      </w:r>
      <w:r w:rsidRPr="0085018D">
        <w:rPr>
          <w:rFonts w:asciiTheme="minorHAnsi" w:hAnsiTheme="minorHAnsi"/>
          <w:bCs/>
          <w:snapToGrid w:val="0"/>
        </w:rPr>
        <w:t>organisation (1) via the Consumer Comments facility on the PBS website</w:t>
      </w:r>
      <w:r w:rsidR="0085018D">
        <w:rPr>
          <w:rFonts w:asciiTheme="minorHAnsi" w:hAnsiTheme="minorHAnsi"/>
          <w:bCs/>
          <w:snapToGrid w:val="0"/>
        </w:rPr>
        <w:t xml:space="preserve">. </w:t>
      </w:r>
      <w:r w:rsidRPr="0085018D">
        <w:rPr>
          <w:rFonts w:asciiTheme="minorHAnsi" w:hAnsiTheme="minorHAnsi"/>
          <w:bCs/>
          <w:snapToGrid w:val="0"/>
        </w:rPr>
        <w:t>The comments</w:t>
      </w:r>
      <w:r w:rsidR="00411E24" w:rsidRPr="0085018D">
        <w:rPr>
          <w:rFonts w:asciiTheme="minorHAnsi" w:hAnsiTheme="minorHAnsi"/>
          <w:bCs/>
          <w:snapToGrid w:val="0"/>
        </w:rPr>
        <w:t xml:space="preserve"> from </w:t>
      </w:r>
      <w:r w:rsidR="009A3EA3" w:rsidRPr="0085018D">
        <w:rPr>
          <w:rFonts w:asciiTheme="minorHAnsi" w:hAnsiTheme="minorHAnsi"/>
          <w:bCs/>
          <w:snapToGrid w:val="0"/>
        </w:rPr>
        <w:t>an</w:t>
      </w:r>
      <w:r w:rsidR="00411E24" w:rsidRPr="0085018D">
        <w:rPr>
          <w:rFonts w:asciiTheme="minorHAnsi" w:hAnsiTheme="minorHAnsi"/>
          <w:bCs/>
          <w:snapToGrid w:val="0"/>
        </w:rPr>
        <w:t xml:space="preserve"> individual who would like to access the medicine to treat their own health condition described the impact of Hodgkin lymphoma on their quality of life and noted a willingness to access any treatment options that would improve outcomes. The comments from the Leukaemia Foundation</w:t>
      </w:r>
      <w:r w:rsidRPr="0085018D">
        <w:rPr>
          <w:rFonts w:asciiTheme="minorHAnsi" w:hAnsiTheme="minorHAnsi"/>
          <w:bCs/>
          <w:snapToGrid w:val="0"/>
        </w:rPr>
        <w:t xml:space="preserve"> </w:t>
      </w:r>
      <w:r w:rsidR="009A3EA3" w:rsidRPr="0085018D">
        <w:rPr>
          <w:rFonts w:asciiTheme="minorHAnsi" w:hAnsiTheme="minorHAnsi"/>
          <w:bCs/>
          <w:snapToGrid w:val="0"/>
        </w:rPr>
        <w:t xml:space="preserve">highlighted the impact of Hodgkin lymphoma on patients and </w:t>
      </w:r>
      <w:r w:rsidR="003C0A8D" w:rsidRPr="0085018D">
        <w:rPr>
          <w:rFonts w:asciiTheme="minorHAnsi" w:hAnsiTheme="minorHAnsi"/>
          <w:bCs/>
          <w:snapToGrid w:val="0"/>
        </w:rPr>
        <w:t>that additional options are needed for patients to increase clinical choice</w:t>
      </w:r>
      <w:r w:rsidR="0038104E" w:rsidRPr="0085018D">
        <w:rPr>
          <w:rFonts w:asciiTheme="minorHAnsi" w:hAnsiTheme="minorHAnsi"/>
          <w:bCs/>
          <w:snapToGrid w:val="0"/>
        </w:rPr>
        <w:t xml:space="preserve"> given the diverse Hodgkin lymphoma population</w:t>
      </w:r>
      <w:r w:rsidR="009A3EA3" w:rsidRPr="0085018D">
        <w:rPr>
          <w:rFonts w:asciiTheme="minorHAnsi" w:hAnsiTheme="minorHAnsi"/>
          <w:bCs/>
          <w:snapToGrid w:val="0"/>
        </w:rPr>
        <w:t xml:space="preserve">. </w:t>
      </w:r>
    </w:p>
    <w:p w14:paraId="609C0765" w14:textId="53E805B0" w:rsidR="00B60939" w:rsidRPr="0085018D" w:rsidRDefault="00B60939" w:rsidP="002E4F02">
      <w:pPr>
        <w:pStyle w:val="COMH2-non-numbered"/>
      </w:pPr>
      <w:bookmarkStart w:id="17" w:name="_Toc156922246"/>
      <w:bookmarkEnd w:id="15"/>
      <w:bookmarkEnd w:id="16"/>
      <w:r w:rsidRPr="0085018D">
        <w:t>Clinical trials</w:t>
      </w:r>
      <w:bookmarkEnd w:id="14"/>
      <w:bookmarkEnd w:id="17"/>
    </w:p>
    <w:p w14:paraId="17DE34DC" w14:textId="73395768" w:rsidR="007F1017" w:rsidRPr="0085018D" w:rsidRDefault="0001313E" w:rsidP="0001313E">
      <w:pPr>
        <w:pStyle w:val="COMexecsumnumberedpara"/>
      </w:pPr>
      <w:r w:rsidRPr="0085018D">
        <w:t>The submission was based on a head-to-head trial comparing A+AVD with ABVD (as a proxy for PET-adapted ABVD) for the treatment of adult patients with previously untreated advanced stage (Ann Arbor stage III or IV) classical Hodgkin lymphoma (ECHELON-1).</w:t>
      </w:r>
    </w:p>
    <w:p w14:paraId="44910140" w14:textId="77777777" w:rsidR="00F905B3" w:rsidRPr="0085018D" w:rsidRDefault="00F905B3" w:rsidP="00F905B3">
      <w:pPr>
        <w:pStyle w:val="COMexecsumnumberedpara"/>
      </w:pPr>
      <w:r w:rsidRPr="0085018D">
        <w:t xml:space="preserve">No head-to-head trials were identified comparing A+AVD with PET-adapted ABVD or </w:t>
      </w:r>
      <w:proofErr w:type="spellStart"/>
      <w:r w:rsidRPr="0085018D">
        <w:t>eBEACOPP</w:t>
      </w:r>
      <w:proofErr w:type="spellEnd"/>
      <w:r w:rsidRPr="0085018D">
        <w:t>. The submission provided data from the following trials as supportive evidence for the nominated comparators:</w:t>
      </w:r>
    </w:p>
    <w:p w14:paraId="3E282CA1" w14:textId="00677AC7" w:rsidR="00F905B3" w:rsidRPr="0085018D" w:rsidRDefault="00F905B3" w:rsidP="002F0CE0">
      <w:pPr>
        <w:pStyle w:val="COMexecsummbulletlist"/>
        <w:ind w:left="1134"/>
      </w:pPr>
      <w:r w:rsidRPr="0085018D">
        <w:t>A trial of PET-adapted ABVD in adult patients with newly diagnosed advanced (Ann Arbor stage IIB, III, IV or stage IIA with adverse features)</w:t>
      </w:r>
      <w:r w:rsidR="009D2292" w:rsidRPr="0085018D">
        <w:t xml:space="preserve"> classical Hodgkin lymphoma</w:t>
      </w:r>
      <w:r w:rsidRPr="0085018D">
        <w:t xml:space="preserve"> (RATHL). The trial included randomised use of ABVD or AVD for 4 cycles in patients with negative PET findings after 2 cycles of ABVD. Patients with positive PET findings received a BEACOPP-based regimen (</w:t>
      </w:r>
      <w:proofErr w:type="spellStart"/>
      <w:r w:rsidRPr="0085018D">
        <w:t>eBEACOPP</w:t>
      </w:r>
      <w:proofErr w:type="spellEnd"/>
      <w:r w:rsidRPr="0085018D">
        <w:t xml:space="preserve"> or BEACOPP-14).</w:t>
      </w:r>
    </w:p>
    <w:p w14:paraId="6929BECF" w14:textId="73BBFA92" w:rsidR="00F905B3" w:rsidRPr="0085018D" w:rsidRDefault="00F905B3" w:rsidP="002F0CE0">
      <w:pPr>
        <w:pStyle w:val="COMexecsummbulletlist"/>
        <w:ind w:left="1134"/>
      </w:pPr>
      <w:r w:rsidRPr="0085018D">
        <w:t xml:space="preserve">A head-to-head trial comparing PET-adapted </w:t>
      </w:r>
      <w:proofErr w:type="spellStart"/>
      <w:r w:rsidRPr="0085018D">
        <w:t>eBEACOPP</w:t>
      </w:r>
      <w:proofErr w:type="spellEnd"/>
      <w:r w:rsidRPr="0085018D">
        <w:t xml:space="preserve"> with non-PET-adapted </w:t>
      </w:r>
      <w:proofErr w:type="spellStart"/>
      <w:r w:rsidRPr="0085018D">
        <w:t>eBEACOPP</w:t>
      </w:r>
      <w:proofErr w:type="spellEnd"/>
      <w:r w:rsidRPr="0085018D">
        <w:t xml:space="preserve"> in patients aged 16-60 years who had newly diagnosed advanced (Ann Arbor stage IIB, III or IV) classical Hodgkin lymphoma (AHL2011)</w:t>
      </w:r>
      <w:r w:rsidR="0085018D">
        <w:t xml:space="preserve">. </w:t>
      </w:r>
    </w:p>
    <w:p w14:paraId="35096E07" w14:textId="0A579F3C" w:rsidR="00F905B3" w:rsidRPr="0085018D" w:rsidRDefault="00FB7B47" w:rsidP="00AE660E">
      <w:pPr>
        <w:pStyle w:val="COMexecsumnumberedpara"/>
        <w:numPr>
          <w:ilvl w:val="0"/>
          <w:numId w:val="0"/>
        </w:numPr>
        <w:ind w:left="720"/>
      </w:pPr>
      <w:r w:rsidRPr="0085018D">
        <w:t xml:space="preserve">An overview of the HD18 trial of PET-adapted </w:t>
      </w:r>
      <w:proofErr w:type="spellStart"/>
      <w:r w:rsidRPr="0085018D">
        <w:t>eBEACOPP</w:t>
      </w:r>
      <w:proofErr w:type="spellEnd"/>
      <w:r w:rsidRPr="0085018D">
        <w:t xml:space="preserve"> was also included during the evaluation for completeness as it forms part of the main body of evidence informing published guidelines.</w:t>
      </w:r>
      <w:r w:rsidR="00AE660E" w:rsidRPr="0085018D">
        <w:t xml:space="preserve"> </w:t>
      </w:r>
    </w:p>
    <w:p w14:paraId="2FAB5ECD" w14:textId="138D339B" w:rsidR="00B22E04" w:rsidRPr="0085018D" w:rsidRDefault="00B22E04" w:rsidP="0001313E">
      <w:pPr>
        <w:pStyle w:val="COMexecsumnumberedpara"/>
      </w:pPr>
      <w:r w:rsidRPr="0085018D">
        <w:t xml:space="preserve">The submission claimed that </w:t>
      </w:r>
      <w:r w:rsidR="009156AC" w:rsidRPr="0085018D">
        <w:t xml:space="preserve">naïve </w:t>
      </w:r>
      <w:r w:rsidRPr="0085018D">
        <w:t xml:space="preserve">comparisons of treatment efficacy using the A+AVD arm from ECHELON-1 with PET-adapted regimens in the RATHL and AHL2011 trials were not possible due to differences in trial design and patient populations. A </w:t>
      </w:r>
      <w:r w:rsidR="009156AC" w:rsidRPr="0085018D">
        <w:t xml:space="preserve">naïve </w:t>
      </w:r>
      <w:r w:rsidRPr="0085018D">
        <w:t xml:space="preserve">comparison, as opposed to a Bucher indirect comparison, is still possible despite the observed differences. However, the comparisons may not be informative given major differences in both study design, </w:t>
      </w:r>
      <w:proofErr w:type="gramStart"/>
      <w:r w:rsidRPr="0085018D">
        <w:t>populations</w:t>
      </w:r>
      <w:proofErr w:type="gramEnd"/>
      <w:r w:rsidRPr="0085018D">
        <w:t xml:space="preserve"> and outcomes.</w:t>
      </w:r>
      <w:r w:rsidR="00AE660E" w:rsidRPr="0085018D">
        <w:t xml:space="preserve"> </w:t>
      </w:r>
    </w:p>
    <w:p w14:paraId="2B59ABAC" w14:textId="0821540C" w:rsidR="00862502" w:rsidRPr="0085018D" w:rsidRDefault="00A73134" w:rsidP="002E4F02">
      <w:pPr>
        <w:pStyle w:val="COMexecsumnumberedpara"/>
      </w:pPr>
      <w:r w:rsidRPr="0085018D">
        <w:rPr>
          <w:snapToGrid/>
        </w:rPr>
        <w:t xml:space="preserve">Details of the </w:t>
      </w:r>
      <w:r w:rsidR="00A30BAC" w:rsidRPr="0085018D">
        <w:rPr>
          <w:snapToGrid/>
        </w:rPr>
        <w:t xml:space="preserve">key trial </w:t>
      </w:r>
      <w:r w:rsidR="00CE434E" w:rsidRPr="0085018D">
        <w:rPr>
          <w:snapToGrid/>
        </w:rPr>
        <w:t xml:space="preserve">presented in the submission are in </w:t>
      </w:r>
      <w:r w:rsidR="005652B7" w:rsidRPr="0085018D">
        <w:rPr>
          <w:snapToGrid/>
        </w:rPr>
        <w:fldChar w:fldCharType="begin"/>
      </w:r>
      <w:r w:rsidR="005652B7" w:rsidRPr="0085018D">
        <w:rPr>
          <w:snapToGrid/>
        </w:rPr>
        <w:instrText xml:space="preserve"> REF _Ref104803956 \h </w:instrText>
      </w:r>
      <w:r w:rsidR="005652B7" w:rsidRPr="0085018D">
        <w:rPr>
          <w:snapToGrid/>
        </w:rPr>
      </w:r>
      <w:r w:rsidR="005652B7" w:rsidRPr="0085018D">
        <w:rPr>
          <w:snapToGrid/>
        </w:rPr>
        <w:fldChar w:fldCharType="separate"/>
      </w:r>
      <w:r w:rsidR="005652B7" w:rsidRPr="0085018D">
        <w:t xml:space="preserve">Table </w:t>
      </w:r>
      <w:r w:rsidR="005652B7" w:rsidRPr="00B23B25">
        <w:t>2</w:t>
      </w:r>
      <w:r w:rsidR="005652B7" w:rsidRPr="0085018D">
        <w:rPr>
          <w:snapToGrid/>
        </w:rPr>
        <w:fldChar w:fldCharType="end"/>
      </w:r>
      <w:r w:rsidR="005652B7" w:rsidRPr="0085018D">
        <w:rPr>
          <w:snapToGrid/>
        </w:rPr>
        <w:t xml:space="preserve"> </w:t>
      </w:r>
      <w:r w:rsidR="00CE434E" w:rsidRPr="0085018D">
        <w:rPr>
          <w:snapToGrid/>
        </w:rPr>
        <w:t>below.</w:t>
      </w:r>
    </w:p>
    <w:p w14:paraId="7DE3A286" w14:textId="30849488" w:rsidR="008E0D3C" w:rsidRPr="0085018D" w:rsidRDefault="00696EF9" w:rsidP="002E4F02">
      <w:pPr>
        <w:pStyle w:val="COMtablefigcaption"/>
      </w:pPr>
      <w:bookmarkStart w:id="18" w:name="_Ref104803956"/>
      <w:r w:rsidRPr="0085018D">
        <w:t xml:space="preserve">Table </w:t>
      </w:r>
      <w:fldSimple w:instr=" SEQ Table \* ARABIC ">
        <w:r w:rsidR="001F14E4" w:rsidRPr="00B23B25">
          <w:t>2</w:t>
        </w:r>
      </w:fldSimple>
      <w:bookmarkEnd w:id="18"/>
      <w:r w:rsidRPr="0085018D">
        <w:t>:</w:t>
      </w:r>
      <w:r w:rsidR="00BC591F" w:rsidRPr="0085018D">
        <w:t xml:space="preserve"> </w:t>
      </w:r>
      <w:r w:rsidR="008E0D3C" w:rsidRPr="0085018D">
        <w:t xml:space="preserve">Trials and associated reports presented in the </w:t>
      </w:r>
      <w:proofErr w:type="gramStart"/>
      <w:r w:rsidR="008E0D3C" w:rsidRPr="0085018D">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CE434E" w:rsidRPr="0085018D" w14:paraId="2E476DA6" w14:textId="77777777" w:rsidTr="0047164D">
        <w:trPr>
          <w:tblHeader/>
        </w:trPr>
        <w:tc>
          <w:tcPr>
            <w:tcW w:w="796" w:type="pct"/>
            <w:vAlign w:val="center"/>
          </w:tcPr>
          <w:p w14:paraId="19258AC2" w14:textId="77777777" w:rsidR="00CE434E" w:rsidRPr="0085018D" w:rsidRDefault="00CE434E" w:rsidP="001A3E3F">
            <w:pPr>
              <w:pStyle w:val="COMTableheadingrow"/>
              <w:rPr>
                <w:lang w:val="en-AU"/>
              </w:rPr>
            </w:pPr>
            <w:r w:rsidRPr="0085018D">
              <w:rPr>
                <w:lang w:val="en-AU"/>
              </w:rPr>
              <w:t>Trial ID</w:t>
            </w:r>
          </w:p>
        </w:tc>
        <w:tc>
          <w:tcPr>
            <w:tcW w:w="3027" w:type="pct"/>
            <w:vAlign w:val="center"/>
          </w:tcPr>
          <w:p w14:paraId="5048F9A2" w14:textId="77777777" w:rsidR="00CE434E" w:rsidRPr="0085018D" w:rsidRDefault="00CE434E" w:rsidP="001A3E3F">
            <w:pPr>
              <w:pStyle w:val="COMTableheadingrow"/>
              <w:rPr>
                <w:lang w:val="en-AU"/>
              </w:rPr>
            </w:pPr>
            <w:r w:rsidRPr="0085018D">
              <w:rPr>
                <w:lang w:val="en-AU"/>
              </w:rPr>
              <w:t>Protocol title/ Publication title</w:t>
            </w:r>
          </w:p>
        </w:tc>
        <w:tc>
          <w:tcPr>
            <w:tcW w:w="1177" w:type="pct"/>
            <w:vAlign w:val="center"/>
          </w:tcPr>
          <w:p w14:paraId="1A9DAECB" w14:textId="77777777" w:rsidR="00CE434E" w:rsidRPr="0085018D" w:rsidRDefault="00CE434E" w:rsidP="001A3E3F">
            <w:pPr>
              <w:pStyle w:val="COMTableheadingrow"/>
              <w:rPr>
                <w:lang w:val="en-AU"/>
              </w:rPr>
            </w:pPr>
            <w:r w:rsidRPr="0085018D">
              <w:rPr>
                <w:lang w:val="en-AU"/>
              </w:rPr>
              <w:t>Publication citation</w:t>
            </w:r>
          </w:p>
        </w:tc>
      </w:tr>
      <w:tr w:rsidR="00CE434E" w:rsidRPr="0085018D" w14:paraId="75F363FB" w14:textId="77777777" w:rsidTr="0047164D">
        <w:tc>
          <w:tcPr>
            <w:tcW w:w="5000" w:type="pct"/>
            <w:gridSpan w:val="3"/>
            <w:vAlign w:val="center"/>
          </w:tcPr>
          <w:p w14:paraId="05465339" w14:textId="77777777" w:rsidR="00CE434E" w:rsidRPr="0085018D" w:rsidRDefault="00CE434E" w:rsidP="001A3E3F">
            <w:pPr>
              <w:pStyle w:val="COMTableheadingrow"/>
              <w:rPr>
                <w:lang w:val="en-AU"/>
              </w:rPr>
            </w:pPr>
            <w:r w:rsidRPr="0085018D">
              <w:rPr>
                <w:lang w:val="en-AU"/>
              </w:rPr>
              <w:t xml:space="preserve">Trials of brentuximab </w:t>
            </w:r>
            <w:proofErr w:type="spellStart"/>
            <w:r w:rsidRPr="0085018D">
              <w:rPr>
                <w:lang w:val="en-AU"/>
              </w:rPr>
              <w:t>vedotin</w:t>
            </w:r>
            <w:proofErr w:type="spellEnd"/>
            <w:r w:rsidRPr="0085018D">
              <w:rPr>
                <w:lang w:val="en-AU"/>
              </w:rPr>
              <w:t xml:space="preserve"> </w:t>
            </w:r>
          </w:p>
        </w:tc>
      </w:tr>
      <w:tr w:rsidR="00CE434E" w:rsidRPr="0085018D" w14:paraId="0325976C" w14:textId="77777777" w:rsidTr="0047164D">
        <w:tc>
          <w:tcPr>
            <w:tcW w:w="796" w:type="pct"/>
            <w:vMerge w:val="restart"/>
            <w:vAlign w:val="center"/>
          </w:tcPr>
          <w:p w14:paraId="154F8FD1" w14:textId="77777777" w:rsidR="00CE434E" w:rsidRPr="0085018D" w:rsidRDefault="00CE434E" w:rsidP="001A3E3F">
            <w:pPr>
              <w:pStyle w:val="COMTabletext"/>
            </w:pPr>
            <w:r w:rsidRPr="0085018D">
              <w:t>ECHELON-1</w:t>
            </w:r>
          </w:p>
          <w:p w14:paraId="284D13AD" w14:textId="77777777" w:rsidR="00CE434E" w:rsidRPr="0085018D" w:rsidRDefault="00CE434E" w:rsidP="001A3E3F">
            <w:pPr>
              <w:pStyle w:val="COMTabletext"/>
            </w:pPr>
            <w:r w:rsidRPr="0085018D">
              <w:t>(NCT01712490)</w:t>
            </w:r>
          </w:p>
        </w:tc>
        <w:tc>
          <w:tcPr>
            <w:tcW w:w="3027" w:type="pct"/>
            <w:tcBorders>
              <w:bottom w:val="nil"/>
            </w:tcBorders>
            <w:vAlign w:val="center"/>
          </w:tcPr>
          <w:p w14:paraId="2FF8AA04" w14:textId="6960893C" w:rsidR="00CE434E" w:rsidRPr="0085018D" w:rsidRDefault="00CE434E" w:rsidP="009D0623">
            <w:pPr>
              <w:pStyle w:val="COMTabletext"/>
              <w:spacing w:after="40"/>
              <w:rPr>
                <w:szCs w:val="18"/>
              </w:rPr>
            </w:pPr>
            <w:r w:rsidRPr="0085018D">
              <w:rPr>
                <w:szCs w:val="18"/>
              </w:rPr>
              <w:t xml:space="preserve">Clinical Study Report C25003. A </w:t>
            </w:r>
            <w:r w:rsidR="00D30CE1" w:rsidRPr="0085018D">
              <w:rPr>
                <w:szCs w:val="18"/>
              </w:rPr>
              <w:t xml:space="preserve">randomized, open-label, phase 3 trial </w:t>
            </w:r>
            <w:r w:rsidRPr="0085018D">
              <w:rPr>
                <w:szCs w:val="18"/>
              </w:rPr>
              <w:t xml:space="preserve">of A+AVD </w:t>
            </w:r>
            <w:r w:rsidR="00D30CE1" w:rsidRPr="0085018D">
              <w:rPr>
                <w:szCs w:val="18"/>
              </w:rPr>
              <w:t>v</w:t>
            </w:r>
            <w:r w:rsidRPr="0085018D">
              <w:rPr>
                <w:szCs w:val="18"/>
              </w:rPr>
              <w:t>ersus ABVD as</w:t>
            </w:r>
            <w:r w:rsidR="00D30CE1" w:rsidRPr="0085018D">
              <w:rPr>
                <w:szCs w:val="18"/>
              </w:rPr>
              <w:t xml:space="preserve"> frontline therapy in patients with advanced classical </w:t>
            </w:r>
            <w:r w:rsidRPr="0085018D">
              <w:rPr>
                <w:szCs w:val="18"/>
              </w:rPr>
              <w:t xml:space="preserve">Hodgkin </w:t>
            </w:r>
            <w:r w:rsidR="00D30CE1" w:rsidRPr="0085018D">
              <w:rPr>
                <w:szCs w:val="18"/>
              </w:rPr>
              <w:t>l</w:t>
            </w:r>
            <w:r w:rsidRPr="0085018D">
              <w:rPr>
                <w:szCs w:val="18"/>
              </w:rPr>
              <w:t>ymphoma.</w:t>
            </w:r>
          </w:p>
        </w:tc>
        <w:tc>
          <w:tcPr>
            <w:tcW w:w="1177" w:type="pct"/>
            <w:tcBorders>
              <w:bottom w:val="nil"/>
            </w:tcBorders>
          </w:tcPr>
          <w:p w14:paraId="719F30F2" w14:textId="77777777" w:rsidR="00CE434E" w:rsidRPr="0085018D" w:rsidRDefault="00CE434E" w:rsidP="009D0623">
            <w:pPr>
              <w:pStyle w:val="COMTabletext"/>
              <w:spacing w:after="40"/>
            </w:pPr>
            <w:r w:rsidRPr="0085018D">
              <w:t>Clinical Study Report, August 2017</w:t>
            </w:r>
          </w:p>
        </w:tc>
      </w:tr>
      <w:tr w:rsidR="00CE434E" w:rsidRPr="0085018D" w14:paraId="6F60A00B" w14:textId="77777777" w:rsidTr="0047164D">
        <w:tc>
          <w:tcPr>
            <w:tcW w:w="796" w:type="pct"/>
            <w:vMerge/>
            <w:vAlign w:val="center"/>
          </w:tcPr>
          <w:p w14:paraId="542EC61A" w14:textId="77777777" w:rsidR="00CE434E" w:rsidRPr="0085018D" w:rsidRDefault="00CE434E" w:rsidP="001A3E3F">
            <w:pPr>
              <w:pStyle w:val="COMTabletext"/>
            </w:pPr>
          </w:p>
        </w:tc>
        <w:tc>
          <w:tcPr>
            <w:tcW w:w="3027" w:type="pct"/>
            <w:tcBorders>
              <w:top w:val="nil"/>
              <w:bottom w:val="nil"/>
            </w:tcBorders>
            <w:vAlign w:val="center"/>
          </w:tcPr>
          <w:p w14:paraId="2172B24F" w14:textId="19BF0DEC" w:rsidR="00CE434E" w:rsidRPr="0085018D" w:rsidRDefault="00CE434E" w:rsidP="009D0623">
            <w:pPr>
              <w:pStyle w:val="COMTabletext"/>
              <w:spacing w:after="40"/>
              <w:rPr>
                <w:szCs w:val="18"/>
              </w:rPr>
            </w:pPr>
            <w:r w:rsidRPr="0085018D">
              <w:rPr>
                <w:szCs w:val="18"/>
              </w:rPr>
              <w:t xml:space="preserve">Clinical Study Report Addendum 1. Study C25003 (ECHELON-1). A </w:t>
            </w:r>
            <w:r w:rsidR="00D30CE1" w:rsidRPr="0085018D">
              <w:rPr>
                <w:szCs w:val="18"/>
              </w:rPr>
              <w:t xml:space="preserve">randomized, open-label, phase 3 trial </w:t>
            </w:r>
            <w:r w:rsidRPr="0085018D">
              <w:rPr>
                <w:szCs w:val="18"/>
              </w:rPr>
              <w:t xml:space="preserve">of A+AVD </w:t>
            </w:r>
            <w:r w:rsidR="00D30CE1" w:rsidRPr="0085018D">
              <w:rPr>
                <w:szCs w:val="18"/>
              </w:rPr>
              <w:t>v</w:t>
            </w:r>
            <w:r w:rsidRPr="0085018D">
              <w:rPr>
                <w:szCs w:val="18"/>
              </w:rPr>
              <w:t>ersus ABVD as</w:t>
            </w:r>
          </w:p>
          <w:p w14:paraId="482F4988" w14:textId="6E09D28B" w:rsidR="00CE434E" w:rsidRPr="0085018D" w:rsidRDefault="00D30CE1" w:rsidP="009D0623">
            <w:pPr>
              <w:pStyle w:val="COMTabletext"/>
              <w:spacing w:after="40"/>
              <w:rPr>
                <w:szCs w:val="18"/>
              </w:rPr>
            </w:pPr>
            <w:r w:rsidRPr="0085018D">
              <w:rPr>
                <w:szCs w:val="18"/>
              </w:rPr>
              <w:t xml:space="preserve">frontline therapy in patients with advanced classical </w:t>
            </w:r>
            <w:r w:rsidR="00CE434E" w:rsidRPr="0085018D">
              <w:rPr>
                <w:szCs w:val="18"/>
              </w:rPr>
              <w:t xml:space="preserve">Hodgkin </w:t>
            </w:r>
            <w:r w:rsidRPr="0085018D">
              <w:rPr>
                <w:szCs w:val="18"/>
              </w:rPr>
              <w:t>l</w:t>
            </w:r>
            <w:r w:rsidR="00CE434E" w:rsidRPr="0085018D">
              <w:rPr>
                <w:szCs w:val="18"/>
              </w:rPr>
              <w:t>ymphoma.</w:t>
            </w:r>
          </w:p>
        </w:tc>
        <w:tc>
          <w:tcPr>
            <w:tcW w:w="1177" w:type="pct"/>
            <w:tcBorders>
              <w:top w:val="nil"/>
              <w:bottom w:val="nil"/>
            </w:tcBorders>
          </w:tcPr>
          <w:p w14:paraId="5924AF29" w14:textId="77777777" w:rsidR="00CE434E" w:rsidRPr="0085018D" w:rsidRDefault="00CE434E" w:rsidP="009D0623">
            <w:pPr>
              <w:pStyle w:val="COMTabletext"/>
              <w:spacing w:after="40"/>
              <w:rPr>
                <w:szCs w:val="18"/>
              </w:rPr>
            </w:pPr>
            <w:r w:rsidRPr="0085018D">
              <w:rPr>
                <w:szCs w:val="18"/>
              </w:rPr>
              <w:t>Clinical Study Report Addendum 1, May 2022</w:t>
            </w:r>
          </w:p>
        </w:tc>
      </w:tr>
      <w:tr w:rsidR="00CE434E" w:rsidRPr="0085018D" w14:paraId="7E95068C" w14:textId="77777777" w:rsidTr="0047164D">
        <w:tc>
          <w:tcPr>
            <w:tcW w:w="796" w:type="pct"/>
            <w:vMerge/>
            <w:vAlign w:val="center"/>
          </w:tcPr>
          <w:p w14:paraId="68E8B244" w14:textId="77777777" w:rsidR="00CE434E" w:rsidRPr="0085018D" w:rsidRDefault="00CE434E" w:rsidP="001A3E3F">
            <w:pPr>
              <w:pStyle w:val="COMTabletext"/>
            </w:pPr>
          </w:p>
        </w:tc>
        <w:tc>
          <w:tcPr>
            <w:tcW w:w="3027" w:type="pct"/>
            <w:tcBorders>
              <w:top w:val="nil"/>
              <w:bottom w:val="nil"/>
            </w:tcBorders>
            <w:vAlign w:val="center"/>
          </w:tcPr>
          <w:p w14:paraId="420BC6AD" w14:textId="2BED2850" w:rsidR="00CE434E" w:rsidRPr="0085018D" w:rsidRDefault="00CE434E" w:rsidP="009D0623">
            <w:pPr>
              <w:pStyle w:val="COMTabletext"/>
              <w:spacing w:after="40"/>
              <w:rPr>
                <w:szCs w:val="18"/>
              </w:rPr>
            </w:pPr>
            <w:r w:rsidRPr="0085018D">
              <w:rPr>
                <w:szCs w:val="18"/>
              </w:rPr>
              <w:t xml:space="preserve">Connors et al. Brentuximab </w:t>
            </w:r>
            <w:proofErr w:type="spellStart"/>
            <w:r w:rsidR="00D30CE1" w:rsidRPr="0085018D">
              <w:rPr>
                <w:szCs w:val="18"/>
              </w:rPr>
              <w:t>v</w:t>
            </w:r>
            <w:r w:rsidRPr="0085018D">
              <w:rPr>
                <w:szCs w:val="18"/>
              </w:rPr>
              <w:t>edotin</w:t>
            </w:r>
            <w:proofErr w:type="spellEnd"/>
            <w:r w:rsidRPr="0085018D">
              <w:rPr>
                <w:szCs w:val="18"/>
              </w:rPr>
              <w:t xml:space="preserve"> with </w:t>
            </w:r>
            <w:r w:rsidR="00D30CE1" w:rsidRPr="0085018D">
              <w:rPr>
                <w:szCs w:val="18"/>
              </w:rPr>
              <w:t>c</w:t>
            </w:r>
            <w:r w:rsidRPr="0085018D">
              <w:rPr>
                <w:szCs w:val="18"/>
              </w:rPr>
              <w:t xml:space="preserve">hemotherapy for </w:t>
            </w:r>
            <w:r w:rsidR="00D30CE1" w:rsidRPr="0085018D">
              <w:rPr>
                <w:szCs w:val="18"/>
              </w:rPr>
              <w:t>s</w:t>
            </w:r>
            <w:r w:rsidRPr="0085018D">
              <w:rPr>
                <w:szCs w:val="18"/>
              </w:rPr>
              <w:t xml:space="preserve">tage III or IV Hodgkin's </w:t>
            </w:r>
            <w:r w:rsidR="00D30CE1" w:rsidRPr="0085018D">
              <w:rPr>
                <w:szCs w:val="18"/>
              </w:rPr>
              <w:t>l</w:t>
            </w:r>
            <w:r w:rsidRPr="0085018D">
              <w:rPr>
                <w:szCs w:val="18"/>
              </w:rPr>
              <w:t>ymphoma.</w:t>
            </w:r>
          </w:p>
        </w:tc>
        <w:tc>
          <w:tcPr>
            <w:tcW w:w="1177" w:type="pct"/>
            <w:tcBorders>
              <w:top w:val="nil"/>
              <w:bottom w:val="nil"/>
            </w:tcBorders>
          </w:tcPr>
          <w:p w14:paraId="58D1AADF" w14:textId="77777777" w:rsidR="00CE434E" w:rsidRPr="0085018D" w:rsidRDefault="00CE434E" w:rsidP="009D0623">
            <w:pPr>
              <w:pStyle w:val="COMTabletext"/>
              <w:spacing w:after="40"/>
              <w:rPr>
                <w:iCs/>
                <w:szCs w:val="18"/>
              </w:rPr>
            </w:pPr>
            <w:r w:rsidRPr="0085018D">
              <w:rPr>
                <w:iCs/>
                <w:szCs w:val="18"/>
              </w:rPr>
              <w:t>N Engl J Med (2018), 378, 331-344</w:t>
            </w:r>
          </w:p>
        </w:tc>
      </w:tr>
      <w:tr w:rsidR="00CE434E" w:rsidRPr="0085018D" w14:paraId="680A12FA" w14:textId="77777777" w:rsidTr="0047164D">
        <w:tc>
          <w:tcPr>
            <w:tcW w:w="796" w:type="pct"/>
            <w:vMerge/>
            <w:vAlign w:val="center"/>
          </w:tcPr>
          <w:p w14:paraId="36292B63" w14:textId="77777777" w:rsidR="00CE434E" w:rsidRPr="0085018D" w:rsidRDefault="00CE434E" w:rsidP="001A3E3F">
            <w:pPr>
              <w:pStyle w:val="COMTabletext"/>
            </w:pPr>
          </w:p>
        </w:tc>
        <w:tc>
          <w:tcPr>
            <w:tcW w:w="3027" w:type="pct"/>
            <w:tcBorders>
              <w:top w:val="nil"/>
              <w:bottom w:val="nil"/>
            </w:tcBorders>
            <w:vAlign w:val="center"/>
          </w:tcPr>
          <w:p w14:paraId="647238A0" w14:textId="77777777" w:rsidR="00CE434E" w:rsidRPr="0085018D" w:rsidRDefault="00CE434E" w:rsidP="009D0623">
            <w:pPr>
              <w:pStyle w:val="COMTabletext"/>
              <w:spacing w:after="40"/>
              <w:rPr>
                <w:szCs w:val="18"/>
              </w:rPr>
            </w:pPr>
            <w:r w:rsidRPr="0085018D">
              <w:rPr>
                <w:szCs w:val="18"/>
              </w:rPr>
              <w:t xml:space="preserve">Straus et al. Brentuximab </w:t>
            </w:r>
            <w:proofErr w:type="spellStart"/>
            <w:r w:rsidRPr="0085018D">
              <w:rPr>
                <w:szCs w:val="18"/>
              </w:rPr>
              <w:t>vedotin</w:t>
            </w:r>
            <w:proofErr w:type="spellEnd"/>
            <w:r w:rsidRPr="0085018D">
              <w:rPr>
                <w:szCs w:val="18"/>
              </w:rPr>
              <w:t xml:space="preserve"> with chemotherapy for stage III or IV classical Hodgkin lymphoma (ECHELON-1): 5-year update of an international, open-label, randomised, phase 3 trial.</w:t>
            </w:r>
          </w:p>
        </w:tc>
        <w:tc>
          <w:tcPr>
            <w:tcW w:w="1177" w:type="pct"/>
            <w:tcBorders>
              <w:top w:val="nil"/>
              <w:bottom w:val="nil"/>
            </w:tcBorders>
          </w:tcPr>
          <w:p w14:paraId="0CF32CCB" w14:textId="77777777" w:rsidR="00CE434E" w:rsidRPr="0085018D" w:rsidRDefault="00CE434E" w:rsidP="009D0623">
            <w:pPr>
              <w:pStyle w:val="COMTabletext"/>
              <w:spacing w:after="40"/>
              <w:rPr>
                <w:iCs/>
                <w:szCs w:val="18"/>
              </w:rPr>
            </w:pPr>
            <w:r w:rsidRPr="0085018D">
              <w:rPr>
                <w:iCs/>
                <w:szCs w:val="18"/>
              </w:rPr>
              <w:t xml:space="preserve">Lancet </w:t>
            </w:r>
            <w:proofErr w:type="spellStart"/>
            <w:r w:rsidRPr="0085018D">
              <w:rPr>
                <w:iCs/>
                <w:szCs w:val="18"/>
              </w:rPr>
              <w:t>Haematol</w:t>
            </w:r>
            <w:proofErr w:type="spellEnd"/>
            <w:r w:rsidRPr="0085018D">
              <w:rPr>
                <w:iCs/>
                <w:szCs w:val="18"/>
              </w:rPr>
              <w:t xml:space="preserve"> (2021), 8, e410-e421</w:t>
            </w:r>
          </w:p>
        </w:tc>
      </w:tr>
      <w:tr w:rsidR="00CE434E" w:rsidRPr="0085018D" w14:paraId="240BECA5" w14:textId="77777777" w:rsidTr="0047164D">
        <w:tc>
          <w:tcPr>
            <w:tcW w:w="796" w:type="pct"/>
            <w:vMerge/>
            <w:tcBorders>
              <w:bottom w:val="single" w:sz="4" w:space="0" w:color="auto"/>
            </w:tcBorders>
            <w:vAlign w:val="center"/>
          </w:tcPr>
          <w:p w14:paraId="6586F99A" w14:textId="77777777" w:rsidR="00CE434E" w:rsidRPr="0085018D" w:rsidRDefault="00CE434E" w:rsidP="001A3E3F">
            <w:pPr>
              <w:pStyle w:val="COMTabletext"/>
            </w:pPr>
          </w:p>
        </w:tc>
        <w:tc>
          <w:tcPr>
            <w:tcW w:w="3027" w:type="pct"/>
            <w:tcBorders>
              <w:top w:val="nil"/>
              <w:bottom w:val="single" w:sz="4" w:space="0" w:color="auto"/>
            </w:tcBorders>
            <w:vAlign w:val="center"/>
          </w:tcPr>
          <w:p w14:paraId="062281A9" w14:textId="7B9C2EBC" w:rsidR="00CE434E" w:rsidRPr="0085018D" w:rsidRDefault="00CE434E" w:rsidP="001A3E3F">
            <w:pPr>
              <w:pStyle w:val="COMTabletext"/>
              <w:rPr>
                <w:szCs w:val="18"/>
              </w:rPr>
            </w:pPr>
            <w:r w:rsidRPr="0085018D">
              <w:rPr>
                <w:szCs w:val="18"/>
              </w:rPr>
              <w:t xml:space="preserve">Ansell et al. Overall </w:t>
            </w:r>
            <w:r w:rsidR="00D30CE1" w:rsidRPr="0085018D">
              <w:rPr>
                <w:szCs w:val="18"/>
              </w:rPr>
              <w:t>s</w:t>
            </w:r>
            <w:r w:rsidRPr="0085018D">
              <w:rPr>
                <w:szCs w:val="18"/>
              </w:rPr>
              <w:t xml:space="preserve">urvival with </w:t>
            </w:r>
            <w:r w:rsidR="00D30CE1" w:rsidRPr="0085018D">
              <w:rPr>
                <w:szCs w:val="18"/>
              </w:rPr>
              <w:t>b</w:t>
            </w:r>
            <w:r w:rsidRPr="0085018D">
              <w:rPr>
                <w:szCs w:val="18"/>
              </w:rPr>
              <w:t xml:space="preserve">rentuximab </w:t>
            </w:r>
            <w:proofErr w:type="spellStart"/>
            <w:r w:rsidR="00D30CE1" w:rsidRPr="0085018D">
              <w:rPr>
                <w:szCs w:val="18"/>
              </w:rPr>
              <w:t>v</w:t>
            </w:r>
            <w:r w:rsidRPr="0085018D">
              <w:rPr>
                <w:szCs w:val="18"/>
              </w:rPr>
              <w:t>edotin</w:t>
            </w:r>
            <w:proofErr w:type="spellEnd"/>
            <w:r w:rsidRPr="0085018D">
              <w:rPr>
                <w:szCs w:val="18"/>
              </w:rPr>
              <w:t xml:space="preserve"> in Stage III or IV Hodgkin’s </w:t>
            </w:r>
            <w:r w:rsidR="00D30CE1" w:rsidRPr="0085018D">
              <w:rPr>
                <w:szCs w:val="18"/>
              </w:rPr>
              <w:t>l</w:t>
            </w:r>
            <w:r w:rsidRPr="0085018D">
              <w:rPr>
                <w:szCs w:val="18"/>
              </w:rPr>
              <w:t>ymphoma.</w:t>
            </w:r>
          </w:p>
        </w:tc>
        <w:tc>
          <w:tcPr>
            <w:tcW w:w="1177" w:type="pct"/>
            <w:tcBorders>
              <w:top w:val="nil"/>
              <w:bottom w:val="single" w:sz="4" w:space="0" w:color="auto"/>
            </w:tcBorders>
          </w:tcPr>
          <w:p w14:paraId="74D4D568" w14:textId="77777777" w:rsidR="00CE434E" w:rsidRPr="0085018D" w:rsidRDefault="00CE434E" w:rsidP="001D3658">
            <w:pPr>
              <w:pStyle w:val="COMTabletext"/>
              <w:rPr>
                <w:iCs/>
                <w:szCs w:val="18"/>
              </w:rPr>
            </w:pPr>
            <w:r w:rsidRPr="0085018D">
              <w:rPr>
                <w:iCs/>
                <w:szCs w:val="18"/>
              </w:rPr>
              <w:t>N Engl J Med (2022), 387, 310-320</w:t>
            </w:r>
          </w:p>
        </w:tc>
      </w:tr>
    </w:tbl>
    <w:p w14:paraId="0F719FEA" w14:textId="28CB90F1" w:rsidR="00CE434E" w:rsidRPr="0085018D" w:rsidRDefault="00CE434E" w:rsidP="00CE434E">
      <w:pPr>
        <w:pStyle w:val="COMTablefooter"/>
      </w:pPr>
      <w:r w:rsidRPr="0085018D">
        <w:t>Source: Table 2.2-1, p62 of the submission</w:t>
      </w:r>
    </w:p>
    <w:p w14:paraId="1DD06D7D" w14:textId="678DA52B" w:rsidR="007F1017" w:rsidRPr="0085018D" w:rsidRDefault="008F120A" w:rsidP="00EC5836">
      <w:pPr>
        <w:pStyle w:val="COMexecsumnumberedpara"/>
        <w:rPr>
          <w:color w:val="0066FF"/>
        </w:rPr>
      </w:pPr>
      <w:r w:rsidRPr="0085018D">
        <w:t xml:space="preserve">The key features of </w:t>
      </w:r>
      <w:r w:rsidR="006341BE" w:rsidRPr="0085018D">
        <w:t>the ECHELON-1 trial are</w:t>
      </w:r>
      <w:r w:rsidRPr="0085018D">
        <w:t xml:space="preserve"> summarised in</w:t>
      </w:r>
      <w:r w:rsidR="00D6076E" w:rsidRPr="0085018D">
        <w:t xml:space="preserve"> </w:t>
      </w:r>
      <w:r w:rsidR="00D6076E" w:rsidRPr="0085018D">
        <w:fldChar w:fldCharType="begin"/>
      </w:r>
      <w:r w:rsidR="00D6076E" w:rsidRPr="0085018D">
        <w:instrText xml:space="preserve"> REF _Ref104804098 \h  \* MERGEFORMAT </w:instrText>
      </w:r>
      <w:r w:rsidR="00D6076E" w:rsidRPr="0085018D">
        <w:fldChar w:fldCharType="separate"/>
      </w:r>
      <w:r w:rsidR="005652B7" w:rsidRPr="0085018D">
        <w:t>Table 3</w:t>
      </w:r>
      <w:r w:rsidR="00D6076E" w:rsidRPr="0085018D">
        <w:fldChar w:fldCharType="end"/>
      </w:r>
      <w:r w:rsidRPr="0085018D">
        <w:t>.</w:t>
      </w:r>
    </w:p>
    <w:p w14:paraId="355E2F15" w14:textId="5AF8356F" w:rsidR="007F1017" w:rsidRPr="0085018D" w:rsidRDefault="00696EF9" w:rsidP="0047164D">
      <w:pPr>
        <w:pStyle w:val="COMtablefigcaption"/>
        <w:keepLines/>
      </w:pPr>
      <w:bookmarkStart w:id="19" w:name="_Ref104804098"/>
      <w:r w:rsidRPr="0085018D">
        <w:t xml:space="preserve">Table </w:t>
      </w:r>
      <w:fldSimple w:instr=" SEQ Table \* ARABIC ">
        <w:r w:rsidR="001F14E4" w:rsidRPr="00B23B25">
          <w:t>3</w:t>
        </w:r>
      </w:fldSimple>
      <w:bookmarkEnd w:id="19"/>
      <w:r w:rsidR="00D6076E" w:rsidRPr="0085018D">
        <w:t xml:space="preserve">: </w:t>
      </w:r>
      <w:r w:rsidR="007F1017" w:rsidRPr="0085018D">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B41614" w:rsidRPr="0085018D" w14:paraId="53DD7CC6" w14:textId="77777777" w:rsidTr="001E34DF">
        <w:trPr>
          <w:cantSplit/>
          <w:tblHeader/>
        </w:trPr>
        <w:tc>
          <w:tcPr>
            <w:tcW w:w="713" w:type="pct"/>
            <w:shd w:val="clear" w:color="auto" w:fill="auto"/>
            <w:vAlign w:val="center"/>
          </w:tcPr>
          <w:p w14:paraId="794116BC" w14:textId="77777777" w:rsidR="007F1017" w:rsidRPr="0085018D" w:rsidRDefault="007F1017" w:rsidP="0047164D">
            <w:pPr>
              <w:pStyle w:val="COMTableheadingrow"/>
              <w:keepLines/>
              <w:rPr>
                <w:lang w:val="en-AU"/>
              </w:rPr>
            </w:pPr>
            <w:r w:rsidRPr="0085018D">
              <w:rPr>
                <w:lang w:val="en-AU"/>
              </w:rPr>
              <w:t>Trial</w:t>
            </w:r>
          </w:p>
        </w:tc>
        <w:tc>
          <w:tcPr>
            <w:tcW w:w="466" w:type="pct"/>
            <w:shd w:val="clear" w:color="auto" w:fill="auto"/>
            <w:vAlign w:val="center"/>
          </w:tcPr>
          <w:p w14:paraId="51122FE5" w14:textId="77777777" w:rsidR="007F1017" w:rsidRPr="0085018D" w:rsidRDefault="007F1017" w:rsidP="0047164D">
            <w:pPr>
              <w:pStyle w:val="COMTableheadingrow"/>
              <w:keepLines/>
              <w:jc w:val="center"/>
              <w:rPr>
                <w:lang w:val="en-AU"/>
              </w:rPr>
            </w:pPr>
            <w:r w:rsidRPr="0085018D">
              <w:rPr>
                <w:lang w:val="en-AU"/>
              </w:rPr>
              <w:t>N</w:t>
            </w:r>
          </w:p>
        </w:tc>
        <w:tc>
          <w:tcPr>
            <w:tcW w:w="782" w:type="pct"/>
            <w:shd w:val="clear" w:color="auto" w:fill="auto"/>
            <w:vAlign w:val="center"/>
          </w:tcPr>
          <w:p w14:paraId="41C438EF" w14:textId="77777777" w:rsidR="007F1017" w:rsidRPr="0085018D" w:rsidRDefault="007F1017" w:rsidP="0047164D">
            <w:pPr>
              <w:pStyle w:val="COMTableheadingrow"/>
              <w:keepLines/>
              <w:jc w:val="center"/>
              <w:rPr>
                <w:lang w:val="en-AU"/>
              </w:rPr>
            </w:pPr>
            <w:r w:rsidRPr="0085018D">
              <w:rPr>
                <w:lang w:val="en-AU"/>
              </w:rPr>
              <w:t>Design/ duration</w:t>
            </w:r>
          </w:p>
        </w:tc>
        <w:tc>
          <w:tcPr>
            <w:tcW w:w="621" w:type="pct"/>
            <w:shd w:val="clear" w:color="auto" w:fill="auto"/>
            <w:vAlign w:val="center"/>
          </w:tcPr>
          <w:p w14:paraId="1FC91360" w14:textId="77777777" w:rsidR="007F1017" w:rsidRPr="0085018D" w:rsidRDefault="007F1017" w:rsidP="0047164D">
            <w:pPr>
              <w:pStyle w:val="COMTableheadingrow"/>
              <w:keepLines/>
              <w:jc w:val="center"/>
              <w:rPr>
                <w:lang w:val="en-AU"/>
              </w:rPr>
            </w:pPr>
            <w:r w:rsidRPr="0085018D">
              <w:rPr>
                <w:lang w:val="en-AU"/>
              </w:rPr>
              <w:t>Risk of bias</w:t>
            </w:r>
          </w:p>
        </w:tc>
        <w:tc>
          <w:tcPr>
            <w:tcW w:w="857" w:type="pct"/>
            <w:shd w:val="clear" w:color="auto" w:fill="auto"/>
            <w:vAlign w:val="center"/>
          </w:tcPr>
          <w:p w14:paraId="7FF90896" w14:textId="77777777" w:rsidR="007F1017" w:rsidRPr="0085018D" w:rsidRDefault="007F1017" w:rsidP="0047164D">
            <w:pPr>
              <w:pStyle w:val="COMTableheadingrow"/>
              <w:keepLines/>
              <w:jc w:val="center"/>
              <w:rPr>
                <w:lang w:val="en-AU"/>
              </w:rPr>
            </w:pPr>
            <w:r w:rsidRPr="0085018D">
              <w:rPr>
                <w:lang w:val="en-AU"/>
              </w:rPr>
              <w:t>Patient population</w:t>
            </w:r>
          </w:p>
        </w:tc>
        <w:tc>
          <w:tcPr>
            <w:tcW w:w="622" w:type="pct"/>
            <w:shd w:val="clear" w:color="auto" w:fill="auto"/>
            <w:vAlign w:val="center"/>
          </w:tcPr>
          <w:p w14:paraId="0FCB63F9" w14:textId="5B198738" w:rsidR="007F1017" w:rsidRPr="0085018D" w:rsidRDefault="007F1017" w:rsidP="0047164D">
            <w:pPr>
              <w:pStyle w:val="COMTableheadingrow"/>
              <w:keepLines/>
              <w:jc w:val="center"/>
              <w:rPr>
                <w:lang w:val="en-AU"/>
              </w:rPr>
            </w:pPr>
            <w:r w:rsidRPr="0085018D">
              <w:rPr>
                <w:lang w:val="en-AU"/>
              </w:rPr>
              <w:t>Outcomes</w:t>
            </w:r>
          </w:p>
        </w:tc>
        <w:tc>
          <w:tcPr>
            <w:tcW w:w="939" w:type="pct"/>
            <w:shd w:val="clear" w:color="auto" w:fill="auto"/>
            <w:vAlign w:val="center"/>
          </w:tcPr>
          <w:p w14:paraId="08C6F624" w14:textId="77777777" w:rsidR="007F1017" w:rsidRPr="0085018D" w:rsidRDefault="007F1017" w:rsidP="0047164D">
            <w:pPr>
              <w:pStyle w:val="COMTableheadingrow"/>
              <w:keepLines/>
              <w:jc w:val="center"/>
              <w:rPr>
                <w:lang w:val="en-AU"/>
              </w:rPr>
            </w:pPr>
            <w:r w:rsidRPr="0085018D">
              <w:rPr>
                <w:lang w:val="en-AU"/>
              </w:rPr>
              <w:t>Use in modelled evaluation</w:t>
            </w:r>
          </w:p>
        </w:tc>
      </w:tr>
      <w:tr w:rsidR="007F1017" w:rsidRPr="0085018D" w14:paraId="2A03CD4B" w14:textId="77777777" w:rsidTr="00682BA6">
        <w:trPr>
          <w:cantSplit/>
        </w:trPr>
        <w:tc>
          <w:tcPr>
            <w:tcW w:w="5000" w:type="pct"/>
            <w:gridSpan w:val="7"/>
            <w:shd w:val="clear" w:color="auto" w:fill="auto"/>
            <w:vAlign w:val="center"/>
          </w:tcPr>
          <w:p w14:paraId="73088C85" w14:textId="2BD0D6D9" w:rsidR="007F1017" w:rsidRPr="0085018D" w:rsidRDefault="006F1672" w:rsidP="0047164D">
            <w:pPr>
              <w:pStyle w:val="COMTableheadingrow"/>
              <w:keepLines/>
              <w:rPr>
                <w:lang w:val="en-AU"/>
              </w:rPr>
            </w:pPr>
            <w:r w:rsidRPr="0085018D">
              <w:rPr>
                <w:lang w:val="en-AU"/>
              </w:rPr>
              <w:t>A+AVD versus ABVD</w:t>
            </w:r>
          </w:p>
        </w:tc>
      </w:tr>
      <w:tr w:rsidR="00B41614" w:rsidRPr="0085018D" w14:paraId="4EE88DCB" w14:textId="77777777" w:rsidTr="00682BA6">
        <w:trPr>
          <w:cantSplit/>
        </w:trPr>
        <w:tc>
          <w:tcPr>
            <w:tcW w:w="713" w:type="pct"/>
            <w:shd w:val="clear" w:color="auto" w:fill="auto"/>
            <w:vAlign w:val="center"/>
          </w:tcPr>
          <w:p w14:paraId="6EE77D33" w14:textId="026117CC" w:rsidR="007F1017" w:rsidRPr="0085018D" w:rsidRDefault="008F7840" w:rsidP="0047164D">
            <w:pPr>
              <w:pStyle w:val="COMTabletext"/>
              <w:keepLines/>
            </w:pPr>
            <w:r w:rsidRPr="0085018D">
              <w:t>ECHELON-1</w:t>
            </w:r>
          </w:p>
        </w:tc>
        <w:tc>
          <w:tcPr>
            <w:tcW w:w="466" w:type="pct"/>
            <w:shd w:val="clear" w:color="auto" w:fill="auto"/>
            <w:vAlign w:val="center"/>
          </w:tcPr>
          <w:p w14:paraId="41BB0E41" w14:textId="4906EC87" w:rsidR="007F1017" w:rsidRPr="0085018D" w:rsidRDefault="00AD477C" w:rsidP="0047164D">
            <w:pPr>
              <w:pStyle w:val="COMTabletext"/>
              <w:keepLines/>
              <w:jc w:val="center"/>
            </w:pPr>
            <w:r w:rsidRPr="0085018D">
              <w:t>1,334</w:t>
            </w:r>
          </w:p>
        </w:tc>
        <w:tc>
          <w:tcPr>
            <w:tcW w:w="782" w:type="pct"/>
            <w:shd w:val="clear" w:color="auto" w:fill="auto"/>
            <w:vAlign w:val="center"/>
          </w:tcPr>
          <w:p w14:paraId="744D08AC" w14:textId="77095EBE" w:rsidR="007F1017" w:rsidRPr="0085018D" w:rsidRDefault="00AD477C" w:rsidP="0047164D">
            <w:pPr>
              <w:pStyle w:val="COMTabletext"/>
              <w:keepLines/>
              <w:jc w:val="center"/>
            </w:pPr>
            <w:r w:rsidRPr="0085018D">
              <w:t xml:space="preserve">Phase III, </w:t>
            </w:r>
            <w:r w:rsidR="00700EC8" w:rsidRPr="0085018D">
              <w:t>MC, OL, RCT</w:t>
            </w:r>
            <w:r w:rsidR="0048004C" w:rsidRPr="0085018D">
              <w:t>. Primary analysis period (median 24 months</w:t>
            </w:r>
            <w:r w:rsidR="00AC35BC" w:rsidRPr="0085018D">
              <w:t xml:space="preserve"> follow-up) and up to 10 years follow-up</w:t>
            </w:r>
          </w:p>
        </w:tc>
        <w:tc>
          <w:tcPr>
            <w:tcW w:w="621" w:type="pct"/>
            <w:shd w:val="clear" w:color="auto" w:fill="auto"/>
            <w:vAlign w:val="center"/>
          </w:tcPr>
          <w:p w14:paraId="4A529D74" w14:textId="21C805A9" w:rsidR="007F1017" w:rsidRPr="0085018D" w:rsidRDefault="00DB4E63" w:rsidP="0047164D">
            <w:pPr>
              <w:pStyle w:val="COMTabletext"/>
              <w:keepLines/>
              <w:jc w:val="center"/>
              <w:rPr>
                <w:iCs/>
              </w:rPr>
            </w:pPr>
            <w:r w:rsidRPr="0085018D">
              <w:rPr>
                <w:iCs/>
              </w:rPr>
              <w:t>High</w:t>
            </w:r>
          </w:p>
        </w:tc>
        <w:tc>
          <w:tcPr>
            <w:tcW w:w="857" w:type="pct"/>
            <w:shd w:val="clear" w:color="auto" w:fill="auto"/>
            <w:vAlign w:val="center"/>
          </w:tcPr>
          <w:p w14:paraId="5E6F456D" w14:textId="34D840D2" w:rsidR="007F1017" w:rsidRPr="0085018D" w:rsidRDefault="00302D67" w:rsidP="0047164D">
            <w:pPr>
              <w:pStyle w:val="COMTabletext"/>
              <w:keepLines/>
              <w:jc w:val="center"/>
            </w:pPr>
            <w:r w:rsidRPr="0085018D">
              <w:t>Adult patients with previously untreated stage III or IV classical Hodgkin lymphoma</w:t>
            </w:r>
          </w:p>
        </w:tc>
        <w:tc>
          <w:tcPr>
            <w:tcW w:w="622" w:type="pct"/>
            <w:shd w:val="clear" w:color="auto" w:fill="auto"/>
            <w:vAlign w:val="center"/>
          </w:tcPr>
          <w:p w14:paraId="6DC76214" w14:textId="5155B50D" w:rsidR="007F1017" w:rsidRPr="0085018D" w:rsidRDefault="00162762" w:rsidP="0047164D">
            <w:pPr>
              <w:pStyle w:val="COMTabletext"/>
              <w:keepLines/>
              <w:jc w:val="center"/>
            </w:pPr>
            <w:proofErr w:type="spellStart"/>
            <w:r w:rsidRPr="0085018D">
              <w:t>mPFS</w:t>
            </w:r>
            <w:proofErr w:type="spellEnd"/>
            <w:r w:rsidRPr="0085018D">
              <w:t>, OS, complete remission, overall response</w:t>
            </w:r>
          </w:p>
        </w:tc>
        <w:tc>
          <w:tcPr>
            <w:tcW w:w="939" w:type="pct"/>
            <w:shd w:val="clear" w:color="auto" w:fill="auto"/>
            <w:vAlign w:val="center"/>
          </w:tcPr>
          <w:p w14:paraId="150A804C" w14:textId="5E06F01B" w:rsidR="007F1017" w:rsidRPr="0085018D" w:rsidRDefault="00162762" w:rsidP="0047164D">
            <w:pPr>
              <w:pStyle w:val="COMTabletext"/>
              <w:keepLines/>
              <w:jc w:val="center"/>
            </w:pPr>
            <w:proofErr w:type="spellStart"/>
            <w:r w:rsidRPr="0085018D">
              <w:t>mPFS</w:t>
            </w:r>
            <w:proofErr w:type="spellEnd"/>
            <w:r w:rsidR="0028244C" w:rsidRPr="0085018D">
              <w:t>,</w:t>
            </w:r>
            <w:r w:rsidR="006332EB" w:rsidRPr="0085018D">
              <w:t xml:space="preserve"> </w:t>
            </w:r>
            <w:r w:rsidRPr="0085018D">
              <w:t>OS</w:t>
            </w:r>
            <w:r w:rsidR="006332EB" w:rsidRPr="0085018D">
              <w:t xml:space="preserve">, adverse events, EQ-5D-3L, </w:t>
            </w:r>
            <w:r w:rsidR="000A0DC5" w:rsidRPr="0085018D">
              <w:t>use of subsequent treatments</w:t>
            </w:r>
            <w:r w:rsidRPr="0085018D">
              <w:t xml:space="preserve"> </w:t>
            </w:r>
          </w:p>
        </w:tc>
      </w:tr>
    </w:tbl>
    <w:p w14:paraId="560080D2" w14:textId="6BB2B035" w:rsidR="00045017" w:rsidRPr="0085018D" w:rsidRDefault="00045017" w:rsidP="0047164D">
      <w:pPr>
        <w:pStyle w:val="COMTablefooter"/>
        <w:keepNext/>
        <w:keepLines/>
      </w:pPr>
      <w:r w:rsidRPr="0085018D">
        <w:t xml:space="preserve">Source: </w:t>
      </w:r>
      <w:r w:rsidR="006C094B" w:rsidRPr="0085018D">
        <w:t>Section 2.4, pp69-85 of the submission</w:t>
      </w:r>
    </w:p>
    <w:p w14:paraId="55C25999" w14:textId="311062B9" w:rsidR="006C094B" w:rsidRPr="0085018D" w:rsidRDefault="006C094B" w:rsidP="006C094B">
      <w:pPr>
        <w:pStyle w:val="COMTablefooter"/>
      </w:pPr>
      <w:r w:rsidRPr="0085018D">
        <w:t xml:space="preserve">Abbreviations: </w:t>
      </w:r>
      <w:r w:rsidR="00DB4E63" w:rsidRPr="0085018D">
        <w:t xml:space="preserve">MC, multi-centre; </w:t>
      </w:r>
      <w:proofErr w:type="spellStart"/>
      <w:r w:rsidR="00A53EF5" w:rsidRPr="0085018D">
        <w:t>mPFS</w:t>
      </w:r>
      <w:proofErr w:type="spellEnd"/>
      <w:r w:rsidR="00A53EF5" w:rsidRPr="0085018D">
        <w:t xml:space="preserve">, modified progression-free survival; </w:t>
      </w:r>
      <w:r w:rsidR="00DB4E63" w:rsidRPr="0085018D">
        <w:t xml:space="preserve">OL, open label; </w:t>
      </w:r>
      <w:r w:rsidR="00A53EF5" w:rsidRPr="0085018D">
        <w:t xml:space="preserve">OS, overall survival; </w:t>
      </w:r>
      <w:r w:rsidR="00DB4E63" w:rsidRPr="0085018D">
        <w:t>RCT, randomised controlled trial</w:t>
      </w:r>
    </w:p>
    <w:p w14:paraId="2BF88136" w14:textId="41A2428D" w:rsidR="000048C1" w:rsidRPr="0085018D" w:rsidRDefault="000048C1" w:rsidP="00EC5836">
      <w:pPr>
        <w:pStyle w:val="COMexecsumnumberedpara"/>
        <w:rPr>
          <w:color w:val="0066FF"/>
        </w:rPr>
      </w:pPr>
      <w:r w:rsidRPr="0085018D">
        <w:t xml:space="preserve">ECHELON-1 is an ongoing trial with continuing follow-up of the remaining study participants until the accrual of 112 deaths or 10 years from the randomisation date of the last patient, whichever occurs first. Results in the submission are based on the </w:t>
      </w:r>
      <w:r w:rsidR="00EE55F9" w:rsidRPr="0085018D">
        <w:t>primary outcome analysis and first interim overall survival analysis (</w:t>
      </w:r>
      <w:r w:rsidR="006949BD" w:rsidRPr="0085018D">
        <w:t xml:space="preserve">20 </w:t>
      </w:r>
      <w:r w:rsidR="00EE55F9" w:rsidRPr="0085018D">
        <w:t>April 2017 data cut, median follow-up 24 months) and second interim overall survival analysis (</w:t>
      </w:r>
      <w:r w:rsidR="00C07ACA" w:rsidRPr="0085018D">
        <w:t>1</w:t>
      </w:r>
      <w:r w:rsidR="00C07ACA">
        <w:t> </w:t>
      </w:r>
      <w:r w:rsidR="00EE55F9" w:rsidRPr="0085018D">
        <w:t>June</w:t>
      </w:r>
      <w:r w:rsidR="00C07ACA">
        <w:t> </w:t>
      </w:r>
      <w:r w:rsidR="00EE55F9" w:rsidRPr="0085018D">
        <w:t>2021</w:t>
      </w:r>
      <w:r w:rsidR="0042127B" w:rsidRPr="0085018D">
        <w:t xml:space="preserve"> data cut, </w:t>
      </w:r>
      <w:r w:rsidR="00AD77D6" w:rsidRPr="0085018D">
        <w:t xml:space="preserve">median follow-up 73 months). </w:t>
      </w:r>
    </w:p>
    <w:p w14:paraId="4B83BBF3" w14:textId="48C8BFD6" w:rsidR="00045017" w:rsidRPr="0085018D" w:rsidRDefault="00602A71" w:rsidP="00602A71">
      <w:pPr>
        <w:pStyle w:val="COMexecsumnumberedpara"/>
      </w:pPr>
      <w:r w:rsidRPr="0085018D">
        <w:t xml:space="preserve">The open-label trial design has the potential to introduce bias as knowledge of treatment assignment may affect disease management decisions and assessment of outcomes that are not centrally assessed. The risk of bias was minimised </w:t>
      </w:r>
      <w:r w:rsidR="00CC5082" w:rsidRPr="0085018D">
        <w:t xml:space="preserve">for </w:t>
      </w:r>
      <w:r w:rsidRPr="0085018D">
        <w:t xml:space="preserve">results that were </w:t>
      </w:r>
      <w:r w:rsidR="00CC5082" w:rsidRPr="0085018D">
        <w:t>independently reviewed</w:t>
      </w:r>
      <w:r w:rsidRPr="0085018D">
        <w:t xml:space="preserve"> during the primary analysis period (April 2017 data cut). The independent review facility was disbanded after this period, therefore there is potential risk of bias for outcomes that were investigator-assessed only during the post-treatment follow-up period. </w:t>
      </w:r>
    </w:p>
    <w:p w14:paraId="1ED097BB" w14:textId="25161923" w:rsidR="001B0428" w:rsidRPr="0085018D" w:rsidRDefault="00AC6165" w:rsidP="00D850F7">
      <w:pPr>
        <w:pStyle w:val="COMexecsumnumberedpara"/>
      </w:pPr>
      <w:r w:rsidRPr="0085018D">
        <w:t xml:space="preserve">During the trial, an </w:t>
      </w:r>
      <w:r w:rsidRPr="0085018D">
        <w:rPr>
          <w:i/>
          <w:iCs/>
        </w:rPr>
        <w:t>ad hoc</w:t>
      </w:r>
      <w:r w:rsidRPr="0085018D">
        <w:t xml:space="preserve"> safety review was initiated at the sponsor’s request for the independent data monitoring committee (IDMC) to review </w:t>
      </w:r>
      <w:r w:rsidR="00D850F7" w:rsidRPr="0085018D">
        <w:t xml:space="preserve">adverse event data in both arms of the trial. </w:t>
      </w:r>
      <w:r w:rsidR="00DE484D" w:rsidRPr="0085018D">
        <w:t>Due to increased risk of neutropenia and febrile neutropenia</w:t>
      </w:r>
      <w:r w:rsidR="000B4982" w:rsidRPr="0085018D">
        <w:t>, t</w:t>
      </w:r>
      <w:r w:rsidR="008C58E6" w:rsidRPr="0085018D">
        <w:t xml:space="preserve">he IDMC recommended that all </w:t>
      </w:r>
      <w:r w:rsidR="006967A5" w:rsidRPr="0085018D">
        <w:t xml:space="preserve">newly enrolled </w:t>
      </w:r>
      <w:r w:rsidR="008C58E6" w:rsidRPr="0085018D">
        <w:t xml:space="preserve">patients randomised to receive A+AVD be given primary prophylactic </w:t>
      </w:r>
      <w:r w:rsidR="004C737D" w:rsidRPr="004C737D">
        <w:t xml:space="preserve">granulocyte colony-stimulating factor </w:t>
      </w:r>
      <w:r w:rsidR="004C737D">
        <w:t>(</w:t>
      </w:r>
      <w:r w:rsidR="008C58E6" w:rsidRPr="0085018D">
        <w:t>G-CSF</w:t>
      </w:r>
      <w:r w:rsidR="004C737D">
        <w:t>)</w:t>
      </w:r>
      <w:r w:rsidR="008C58E6" w:rsidRPr="0085018D">
        <w:t xml:space="preserve">. </w:t>
      </w:r>
      <w:r w:rsidR="00564F8F" w:rsidRPr="0085018D">
        <w:t>T</w:t>
      </w:r>
      <w:r w:rsidR="008C58E6" w:rsidRPr="0085018D">
        <w:t>he IDMC members</w:t>
      </w:r>
      <w:r w:rsidR="00564F8F" w:rsidRPr="0085018D">
        <w:t xml:space="preserve"> also</w:t>
      </w:r>
      <w:r w:rsidR="008C58E6" w:rsidRPr="0085018D">
        <w:t xml:space="preserve"> observed a trend in serious and sometimes fatal pulmonary complications in the ABVD arm, particularly notable among elderly patients. The IDMC suggested that the trial investigators consider age and age-related co-morbidities when enrolling patients</w:t>
      </w:r>
      <w:r w:rsidR="00470ED0" w:rsidRPr="0085018D">
        <w:t>,</w:t>
      </w:r>
      <w:r w:rsidR="008C58E6" w:rsidRPr="0085018D">
        <w:t xml:space="preserve"> as elderly patients may not have been fit for multi-agent chemotherapy regimens such as A+AVD or ABVD. These changes were included in revised guidelines for study conduct</w:t>
      </w:r>
      <w:r w:rsidR="00D177F1" w:rsidRPr="0085018D">
        <w:t xml:space="preserve"> </w:t>
      </w:r>
      <w:r w:rsidR="008C58E6" w:rsidRPr="0085018D">
        <w:t>after approximately 70% of study participants were enrolled.</w:t>
      </w:r>
    </w:p>
    <w:p w14:paraId="65425BD3" w14:textId="08DFF07F" w:rsidR="00527E3C" w:rsidRPr="0085018D" w:rsidRDefault="00527E3C" w:rsidP="005F6AB1">
      <w:pPr>
        <w:pStyle w:val="COMexecsumnumberedpara"/>
      </w:pPr>
      <w:r w:rsidRPr="0085018D">
        <w:t xml:space="preserve">The treatment regimen for ABVD </w:t>
      </w:r>
      <w:r w:rsidR="00E55A3B" w:rsidRPr="0085018D">
        <w:t xml:space="preserve">in the trial </w:t>
      </w:r>
      <w:r w:rsidR="00766E10" w:rsidRPr="0085018D">
        <w:t>may not be representative of</w:t>
      </w:r>
      <w:r w:rsidRPr="0085018D">
        <w:t xml:space="preserve"> recommended regimens for patients aged above 60 years or those who are unfit for multi-agent chemotherapy.</w:t>
      </w:r>
      <w:r w:rsidR="00C146D4" w:rsidRPr="0085018D">
        <w:t xml:space="preserve"> </w:t>
      </w:r>
      <w:r w:rsidR="00AA7D8A" w:rsidRPr="0085018D">
        <w:t>Published guidelines do</w:t>
      </w:r>
      <w:r w:rsidR="00123515" w:rsidRPr="0085018D">
        <w:t xml:space="preserve"> </w:t>
      </w:r>
      <w:r w:rsidRPr="0085018D">
        <w:t xml:space="preserve">not recommended </w:t>
      </w:r>
      <w:r w:rsidR="00AA7D8A" w:rsidRPr="0085018D">
        <w:t xml:space="preserve">the use of bleomycin </w:t>
      </w:r>
      <w:r w:rsidRPr="0085018D">
        <w:t>in older patients and if used, should be administered for no more than 2</w:t>
      </w:r>
      <w:r w:rsidR="0039635C">
        <w:t> </w:t>
      </w:r>
      <w:r w:rsidRPr="0085018D">
        <w:t>cycles of treatment.</w:t>
      </w:r>
      <w:r w:rsidR="00123515" w:rsidRPr="0085018D">
        <w:t xml:space="preserve"> A</w:t>
      </w:r>
      <w:r w:rsidR="00421F00" w:rsidRPr="0085018D">
        <w:t>vailable data indicated that the total number of bleomycin-containing treatment cycles was lower in the Australian setting (median 2 cycles</w:t>
      </w:r>
      <w:r w:rsidR="003B3CAC" w:rsidRPr="0085018D">
        <w:t>; Goh 2023</w:t>
      </w:r>
      <w:r w:rsidR="00421F00" w:rsidRPr="0085018D">
        <w:t>) compared to the trial (median 6 cycles).</w:t>
      </w:r>
      <w:r w:rsidR="006C58B0" w:rsidRPr="0085018D">
        <w:t xml:space="preserve"> Th</w:t>
      </w:r>
      <w:r w:rsidR="00F67A78" w:rsidRPr="0085018D">
        <w:t xml:space="preserve">e ESC agreed with the evaluation that this </w:t>
      </w:r>
      <w:r w:rsidR="006C58B0" w:rsidRPr="0085018D">
        <w:t xml:space="preserve">may affect the applicability of efficacy and safety data from the trial to the Australian setting. </w:t>
      </w:r>
    </w:p>
    <w:p w14:paraId="4A4FE085" w14:textId="43823699" w:rsidR="00B60939" w:rsidRPr="0085018D" w:rsidRDefault="00B60939" w:rsidP="00EC5836">
      <w:pPr>
        <w:pStyle w:val="COMH2-non-numbered"/>
      </w:pPr>
      <w:bookmarkStart w:id="20" w:name="_Toc22897641"/>
      <w:bookmarkStart w:id="21" w:name="_Toc156922247"/>
      <w:r w:rsidRPr="0085018D">
        <w:t>Comparative effectiveness</w:t>
      </w:r>
      <w:bookmarkEnd w:id="20"/>
      <w:bookmarkEnd w:id="21"/>
    </w:p>
    <w:p w14:paraId="04A55227" w14:textId="4C90591A" w:rsidR="00440A25" w:rsidRPr="0085018D" w:rsidRDefault="00440A25" w:rsidP="00440A25">
      <w:pPr>
        <w:pStyle w:val="COMH4"/>
      </w:pPr>
      <w:r w:rsidRPr="0085018D">
        <w:t>A+AVD versus ABVD</w:t>
      </w:r>
    </w:p>
    <w:p w14:paraId="04638B5D" w14:textId="5EFF5679" w:rsidR="00EC446C" w:rsidRPr="0085018D" w:rsidRDefault="009B034D" w:rsidP="007B7E3E">
      <w:pPr>
        <w:pStyle w:val="COMexecsumnumberedpara"/>
      </w:pPr>
      <w:r w:rsidRPr="0085018D">
        <w:t>The primary outcome in the ECHELON-1 trial was modified progression-free survival which, in addition to progressive disease and death, included receipt of subsequent anti-cancer therapy in patients not in complete response after completion of frontline therapy, defined as Deauville scores ≥3 as per the independent review facility.</w:t>
      </w:r>
    </w:p>
    <w:p w14:paraId="2A8DABF3" w14:textId="4E0087A4" w:rsidR="007B7E3E" w:rsidRPr="0085018D" w:rsidRDefault="005652B7" w:rsidP="007B7E3E">
      <w:pPr>
        <w:pStyle w:val="COMexecsumnumberedpara"/>
      </w:pPr>
      <w:r w:rsidRPr="0085018D">
        <w:fldChar w:fldCharType="begin"/>
      </w:r>
      <w:r w:rsidRPr="0085018D">
        <w:instrText xml:space="preserve"> REF _Ref155360863 \h  \* MERGEFORMAT </w:instrText>
      </w:r>
      <w:r w:rsidRPr="0085018D">
        <w:fldChar w:fldCharType="separate"/>
      </w:r>
      <w:r w:rsidRPr="0085018D">
        <w:t>Figure 1</w:t>
      </w:r>
      <w:r w:rsidRPr="0085018D">
        <w:fldChar w:fldCharType="end"/>
      </w:r>
      <w:r w:rsidRPr="0085018D">
        <w:t xml:space="preserve"> </w:t>
      </w:r>
      <w:r w:rsidR="00D84CED" w:rsidRPr="0085018D">
        <w:t>presents the Kaplan-Meier plot for</w:t>
      </w:r>
      <w:r w:rsidR="00172A26" w:rsidRPr="0085018D">
        <w:t xml:space="preserve"> independently reviewed</w:t>
      </w:r>
      <w:r w:rsidR="00D84CED" w:rsidRPr="0085018D">
        <w:t xml:space="preserve"> </w:t>
      </w:r>
      <w:r w:rsidR="009B034D" w:rsidRPr="0085018D">
        <w:t>m</w:t>
      </w:r>
      <w:r w:rsidR="00DC42B5" w:rsidRPr="0085018D">
        <w:t>odified progression-free survival</w:t>
      </w:r>
      <w:r w:rsidR="00D84CED" w:rsidRPr="0085018D">
        <w:t xml:space="preserve"> (ITT population, April 2017 data cut-off)</w:t>
      </w:r>
      <w:r w:rsidR="007B7E3E" w:rsidRPr="0085018D">
        <w:t>.</w:t>
      </w:r>
      <w:r w:rsidR="00D84CED" w:rsidRPr="0085018D">
        <w:t xml:space="preserve"> </w:t>
      </w:r>
    </w:p>
    <w:p w14:paraId="1A131DA8" w14:textId="63631D41" w:rsidR="005F4BC3" w:rsidRPr="0085018D" w:rsidRDefault="005F4BC3" w:rsidP="002F0CE0">
      <w:pPr>
        <w:pStyle w:val="COMexecsumnumberedpara"/>
        <w:keepNext/>
        <w:numPr>
          <w:ilvl w:val="0"/>
          <w:numId w:val="0"/>
        </w:numPr>
        <w:spacing w:after="0"/>
        <w:rPr>
          <w:rFonts w:ascii="Arial Narrow" w:eastAsiaTheme="majorEastAsia" w:hAnsi="Arial Narrow" w:cstheme="majorBidi"/>
          <w:b/>
          <w:bCs/>
          <w:snapToGrid/>
          <w:sz w:val="20"/>
        </w:rPr>
      </w:pPr>
      <w:bookmarkStart w:id="22" w:name="_Ref155360863"/>
      <w:r w:rsidRPr="0085018D">
        <w:rPr>
          <w:rFonts w:ascii="Arial Narrow" w:eastAsiaTheme="majorEastAsia" w:hAnsi="Arial Narrow" w:cstheme="majorBidi"/>
          <w:b/>
          <w:bCs/>
          <w:snapToGrid/>
          <w:sz w:val="20"/>
        </w:rPr>
        <w:t xml:space="preserve">Figure </w:t>
      </w:r>
      <w:r w:rsidRPr="0085018D">
        <w:rPr>
          <w:rFonts w:ascii="Arial Narrow" w:eastAsiaTheme="majorEastAsia" w:hAnsi="Arial Narrow" w:cstheme="majorBidi"/>
          <w:b/>
          <w:bCs/>
          <w:snapToGrid/>
          <w:sz w:val="20"/>
        </w:rPr>
        <w:fldChar w:fldCharType="begin"/>
      </w:r>
      <w:r w:rsidRPr="0085018D">
        <w:rPr>
          <w:rFonts w:ascii="Arial Narrow" w:eastAsiaTheme="majorEastAsia" w:hAnsi="Arial Narrow" w:cstheme="majorBidi"/>
          <w:b/>
          <w:bCs/>
          <w:snapToGrid/>
          <w:sz w:val="20"/>
        </w:rPr>
        <w:instrText xml:space="preserve"> SEQ Figure \* ARABIC </w:instrText>
      </w:r>
      <w:r w:rsidRPr="0085018D">
        <w:rPr>
          <w:rFonts w:ascii="Arial Narrow" w:eastAsiaTheme="majorEastAsia" w:hAnsi="Arial Narrow" w:cstheme="majorBidi"/>
          <w:b/>
          <w:bCs/>
          <w:snapToGrid/>
          <w:sz w:val="20"/>
        </w:rPr>
        <w:fldChar w:fldCharType="separate"/>
      </w:r>
      <w:r w:rsidR="007F55A7" w:rsidRPr="00B23B25">
        <w:rPr>
          <w:rFonts w:ascii="Arial Narrow" w:eastAsiaTheme="majorEastAsia" w:hAnsi="Arial Narrow" w:cstheme="majorBidi"/>
          <w:b/>
          <w:bCs/>
          <w:snapToGrid/>
          <w:sz w:val="20"/>
        </w:rPr>
        <w:t>1</w:t>
      </w:r>
      <w:r w:rsidRPr="0085018D">
        <w:rPr>
          <w:rFonts w:ascii="Arial Narrow" w:eastAsiaTheme="majorEastAsia" w:hAnsi="Arial Narrow" w:cstheme="majorBidi"/>
          <w:b/>
          <w:bCs/>
          <w:snapToGrid/>
          <w:sz w:val="20"/>
        </w:rPr>
        <w:fldChar w:fldCharType="end"/>
      </w:r>
      <w:bookmarkEnd w:id="22"/>
      <w:r w:rsidRPr="0085018D">
        <w:rPr>
          <w:rFonts w:ascii="Arial Narrow" w:eastAsiaTheme="majorEastAsia" w:hAnsi="Arial Narrow" w:cstheme="majorBidi"/>
          <w:b/>
          <w:bCs/>
          <w:snapToGrid/>
          <w:sz w:val="20"/>
        </w:rPr>
        <w:t>: Modified progression-free survival by IRF assessment (ITT population, April 2017 data cut-off)</w:t>
      </w:r>
    </w:p>
    <w:p w14:paraId="41234945" w14:textId="2C3EA3C0" w:rsidR="007B7E3E" w:rsidRPr="0085018D" w:rsidRDefault="007B7E3E" w:rsidP="002F0CE0">
      <w:pPr>
        <w:pStyle w:val="COMexecsumnumberedpara"/>
        <w:keepNext/>
        <w:numPr>
          <w:ilvl w:val="0"/>
          <w:numId w:val="0"/>
        </w:numPr>
        <w:spacing w:after="0"/>
        <w:rPr>
          <w:rFonts w:ascii="Arial Narrow" w:eastAsiaTheme="majorEastAsia" w:hAnsi="Arial Narrow" w:cstheme="majorBidi"/>
          <w:b/>
          <w:bCs/>
          <w:snapToGrid/>
          <w:sz w:val="20"/>
        </w:rPr>
      </w:pPr>
      <w:r w:rsidRPr="005C7A9E">
        <w:rPr>
          <w:rFonts w:ascii="Arial Narrow" w:eastAsiaTheme="majorEastAsia" w:hAnsi="Arial Narrow" w:cstheme="majorBidi"/>
          <w:b/>
          <w:bCs/>
          <w:noProof/>
          <w:snapToGrid/>
          <w:sz w:val="20"/>
        </w:rPr>
        <w:drawing>
          <wp:inline distT="0" distB="0" distL="0" distR="0" wp14:anchorId="7ED6956C" wp14:editId="2BCBA18D">
            <wp:extent cx="5700395" cy="4115435"/>
            <wp:effectExtent l="0" t="0" r="0" b="0"/>
            <wp:docPr id="1111039907" name="Picture 1" descr="Figure 1: Modified progression-free survival by IRF assessment (ITT population, April 2017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39907" name="Picture 1" descr="Figure 1: Modified progression-free survival by IRF assessment (ITT population, April 2017 data cut-o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4115435"/>
                    </a:xfrm>
                    <a:prstGeom prst="rect">
                      <a:avLst/>
                    </a:prstGeom>
                    <a:noFill/>
                  </pic:spPr>
                </pic:pic>
              </a:graphicData>
            </a:graphic>
          </wp:inline>
        </w:drawing>
      </w:r>
    </w:p>
    <w:p w14:paraId="5341EA18" w14:textId="77777777" w:rsidR="005F4BC3" w:rsidRPr="0085018D" w:rsidRDefault="005F4BC3" w:rsidP="002F0CE0">
      <w:pPr>
        <w:pStyle w:val="COMTablefooter"/>
        <w:keepNext/>
        <w:rPr>
          <w:rFonts w:eastAsiaTheme="majorEastAsia"/>
          <w:snapToGrid/>
        </w:rPr>
      </w:pPr>
      <w:r w:rsidRPr="0085018D">
        <w:rPr>
          <w:rFonts w:eastAsiaTheme="majorEastAsia"/>
          <w:snapToGrid/>
        </w:rPr>
        <w:t>Source: Figure 1A, Connors 2018 publication</w:t>
      </w:r>
    </w:p>
    <w:p w14:paraId="42747D8A" w14:textId="22BE6D5E" w:rsidR="005F4BC3" w:rsidRPr="0085018D" w:rsidRDefault="005F4BC3" w:rsidP="003A272F">
      <w:pPr>
        <w:pStyle w:val="COMTablefooter"/>
        <w:rPr>
          <w:rFonts w:eastAsiaTheme="majorEastAsia"/>
          <w:snapToGrid/>
        </w:rPr>
      </w:pPr>
      <w:r w:rsidRPr="0085018D">
        <w:rPr>
          <w:rFonts w:eastAsiaTheme="majorEastAsia"/>
          <w:snapToGrid/>
        </w:rPr>
        <w:t xml:space="preserve">Abbreviations: A+AVD, brentuximab </w:t>
      </w:r>
      <w:proofErr w:type="spellStart"/>
      <w:r w:rsidRPr="0085018D">
        <w:rPr>
          <w:rFonts w:eastAsiaTheme="majorEastAsia"/>
          <w:snapToGrid/>
        </w:rPr>
        <w:t>vedotin</w:t>
      </w:r>
      <w:proofErr w:type="spellEnd"/>
      <w:r w:rsidRPr="0085018D">
        <w:rPr>
          <w:rFonts w:eastAsiaTheme="majorEastAsia"/>
          <w:snapToGrid/>
        </w:rPr>
        <w:t xml:space="preserve"> plus doxorubicin, vinblastine, dacarbazine; ABVD, doxorubicin, bleomycin, vinblastine, and dacarbazine; CI, confidence interval; IRF, independent review facility</w:t>
      </w:r>
    </w:p>
    <w:p w14:paraId="28593FB8" w14:textId="0A5861CF" w:rsidR="002C2775" w:rsidRPr="0085018D" w:rsidRDefault="005F4BC3" w:rsidP="002F0CE0">
      <w:pPr>
        <w:pStyle w:val="COMexecsumnumberedpara"/>
      </w:pPr>
      <w:r w:rsidRPr="0085018D">
        <w:fldChar w:fldCharType="begin"/>
      </w:r>
      <w:r w:rsidRPr="0085018D">
        <w:instrText xml:space="preserve"> REF _Ref155360815 \h </w:instrText>
      </w:r>
      <w:r w:rsidRPr="0085018D">
        <w:fldChar w:fldCharType="separate"/>
      </w:r>
      <w:r w:rsidRPr="0085018D">
        <w:t>Table 4</w:t>
      </w:r>
      <w:r w:rsidRPr="0085018D">
        <w:fldChar w:fldCharType="end"/>
      </w:r>
      <w:r w:rsidRPr="0085018D">
        <w:t xml:space="preserve"> </w:t>
      </w:r>
      <w:r w:rsidR="00D84CED" w:rsidRPr="0085018D">
        <w:t>is a summary of modified progression-free survival by independent review facility assessment (April 2017 data cut) and by investigator assessment (June 2021 data cut). Data from the June 2021 cut w</w:t>
      </w:r>
      <w:r w:rsidR="00470ED0" w:rsidRPr="0085018D">
        <w:t>ere</w:t>
      </w:r>
      <w:r w:rsidR="00D84CED" w:rsidRPr="0085018D">
        <w:t xml:space="preserve"> used in the economic model of the submission.</w:t>
      </w:r>
    </w:p>
    <w:p w14:paraId="7CB05F3D" w14:textId="6E16C475" w:rsidR="007B7E3E" w:rsidRPr="0085018D" w:rsidRDefault="005F4BC3" w:rsidP="002F0CE0">
      <w:pPr>
        <w:pStyle w:val="COMtablefigcaption"/>
      </w:pPr>
      <w:bookmarkStart w:id="23" w:name="_Ref155360815"/>
      <w:r w:rsidRPr="0085018D">
        <w:t xml:space="preserve">Table </w:t>
      </w:r>
      <w:fldSimple w:instr=" SEQ Table \* ARABIC ">
        <w:r w:rsidR="001F14E4" w:rsidRPr="00B23B25">
          <w:t>4</w:t>
        </w:r>
      </w:fldSimple>
      <w:bookmarkEnd w:id="23"/>
      <w:r w:rsidRPr="0085018D">
        <w:t>: Summary of modified progression-free survival results</w:t>
      </w:r>
    </w:p>
    <w:tbl>
      <w:tblPr>
        <w:tblStyle w:val="TableGrid"/>
        <w:tblW w:w="5000" w:type="pct"/>
        <w:tblLook w:val="04A0" w:firstRow="1" w:lastRow="0" w:firstColumn="1" w:lastColumn="0" w:noHBand="0" w:noVBand="1"/>
        <w:tblCaption w:val="Table 4: Summary of modified progression-free survival results"/>
      </w:tblPr>
      <w:tblGrid>
        <w:gridCol w:w="3126"/>
        <w:gridCol w:w="1470"/>
        <w:gridCol w:w="1481"/>
        <w:gridCol w:w="1470"/>
        <w:gridCol w:w="1470"/>
      </w:tblGrid>
      <w:tr w:rsidR="007B7E3E" w:rsidRPr="0085018D" w14:paraId="13D59537" w14:textId="77777777" w:rsidTr="0047164D">
        <w:tc>
          <w:tcPr>
            <w:tcW w:w="1734" w:type="pct"/>
            <w:vMerge w:val="restart"/>
          </w:tcPr>
          <w:p w14:paraId="1542A45E" w14:textId="77777777" w:rsidR="007B7E3E" w:rsidRPr="0085018D" w:rsidRDefault="007B7E3E" w:rsidP="002F0CE0">
            <w:pPr>
              <w:pStyle w:val="COMTabletext"/>
            </w:pPr>
          </w:p>
        </w:tc>
        <w:tc>
          <w:tcPr>
            <w:tcW w:w="1636" w:type="pct"/>
            <w:gridSpan w:val="2"/>
            <w:vAlign w:val="center"/>
          </w:tcPr>
          <w:p w14:paraId="38A871B5" w14:textId="77777777" w:rsidR="007B7E3E" w:rsidRPr="0085018D" w:rsidRDefault="007B7E3E" w:rsidP="002F0CE0">
            <w:pPr>
              <w:pStyle w:val="COMTableheadingrow"/>
              <w:jc w:val="center"/>
              <w:rPr>
                <w:lang w:val="en-AU"/>
              </w:rPr>
            </w:pPr>
            <w:r w:rsidRPr="0085018D">
              <w:rPr>
                <w:lang w:val="en-AU"/>
              </w:rPr>
              <w:t xml:space="preserve">IRF assessment, </w:t>
            </w:r>
          </w:p>
          <w:p w14:paraId="311EF224" w14:textId="77777777" w:rsidR="007B7E3E" w:rsidRPr="0085018D" w:rsidRDefault="007B7E3E" w:rsidP="002F0CE0">
            <w:pPr>
              <w:pStyle w:val="COMTableheadingrow"/>
              <w:jc w:val="center"/>
              <w:rPr>
                <w:lang w:val="en-AU"/>
              </w:rPr>
            </w:pPr>
            <w:r w:rsidRPr="0085018D">
              <w:rPr>
                <w:lang w:val="en-AU"/>
              </w:rPr>
              <w:t>April 2017 cut-off</w:t>
            </w:r>
          </w:p>
        </w:tc>
        <w:tc>
          <w:tcPr>
            <w:tcW w:w="1630" w:type="pct"/>
            <w:gridSpan w:val="2"/>
            <w:vAlign w:val="center"/>
          </w:tcPr>
          <w:p w14:paraId="0B3C0A33" w14:textId="77777777" w:rsidR="007B7E3E" w:rsidRPr="0085018D" w:rsidRDefault="007B7E3E" w:rsidP="002F0CE0">
            <w:pPr>
              <w:pStyle w:val="COMTableheadingrow"/>
              <w:jc w:val="center"/>
              <w:rPr>
                <w:lang w:val="en-AU"/>
              </w:rPr>
            </w:pPr>
            <w:r w:rsidRPr="0085018D">
              <w:rPr>
                <w:lang w:val="en-AU"/>
              </w:rPr>
              <w:t>Investigator assessment,</w:t>
            </w:r>
          </w:p>
          <w:p w14:paraId="19600612" w14:textId="77777777" w:rsidR="007B7E3E" w:rsidRPr="0085018D" w:rsidRDefault="007B7E3E" w:rsidP="002F0CE0">
            <w:pPr>
              <w:pStyle w:val="COMTableheadingrow"/>
              <w:jc w:val="center"/>
              <w:rPr>
                <w:lang w:val="en-AU"/>
              </w:rPr>
            </w:pPr>
            <w:r w:rsidRPr="0085018D">
              <w:rPr>
                <w:lang w:val="en-AU"/>
              </w:rPr>
              <w:t xml:space="preserve"> June 2021 cut-off</w:t>
            </w:r>
          </w:p>
        </w:tc>
      </w:tr>
      <w:tr w:rsidR="007B7E3E" w:rsidRPr="0085018D" w14:paraId="22FF0960" w14:textId="77777777" w:rsidTr="0047164D">
        <w:tc>
          <w:tcPr>
            <w:tcW w:w="1734" w:type="pct"/>
            <w:vMerge/>
          </w:tcPr>
          <w:p w14:paraId="03CA2D0F" w14:textId="77777777" w:rsidR="007B7E3E" w:rsidRPr="0085018D" w:rsidRDefault="007B7E3E" w:rsidP="002F0CE0">
            <w:pPr>
              <w:pStyle w:val="COMTabletext"/>
            </w:pPr>
          </w:p>
        </w:tc>
        <w:tc>
          <w:tcPr>
            <w:tcW w:w="815" w:type="pct"/>
            <w:vAlign w:val="center"/>
          </w:tcPr>
          <w:p w14:paraId="7E2F5643" w14:textId="77777777" w:rsidR="007B7E3E" w:rsidRPr="0085018D" w:rsidRDefault="007B7E3E" w:rsidP="002F0CE0">
            <w:pPr>
              <w:pStyle w:val="COMTableheadingrow"/>
              <w:jc w:val="center"/>
              <w:rPr>
                <w:lang w:val="en-AU"/>
              </w:rPr>
            </w:pPr>
            <w:r w:rsidRPr="0085018D">
              <w:rPr>
                <w:lang w:val="en-AU"/>
              </w:rPr>
              <w:t>A+AVD</w:t>
            </w:r>
          </w:p>
          <w:p w14:paraId="790D42EB" w14:textId="77777777" w:rsidR="007B7E3E" w:rsidRPr="0085018D" w:rsidRDefault="007B7E3E" w:rsidP="002F0CE0">
            <w:pPr>
              <w:pStyle w:val="COMTableheadingrow"/>
              <w:jc w:val="center"/>
              <w:rPr>
                <w:lang w:val="en-AU"/>
              </w:rPr>
            </w:pPr>
            <w:r w:rsidRPr="0085018D">
              <w:rPr>
                <w:lang w:val="en-AU"/>
              </w:rPr>
              <w:t>N=664</w:t>
            </w:r>
          </w:p>
        </w:tc>
        <w:tc>
          <w:tcPr>
            <w:tcW w:w="821" w:type="pct"/>
            <w:vAlign w:val="center"/>
          </w:tcPr>
          <w:p w14:paraId="0CCD37DF" w14:textId="77777777" w:rsidR="007B7E3E" w:rsidRPr="0085018D" w:rsidRDefault="007B7E3E" w:rsidP="002F0CE0">
            <w:pPr>
              <w:pStyle w:val="COMTableheadingrow"/>
              <w:jc w:val="center"/>
              <w:rPr>
                <w:lang w:val="en-AU"/>
              </w:rPr>
            </w:pPr>
            <w:r w:rsidRPr="0085018D">
              <w:rPr>
                <w:lang w:val="en-AU"/>
              </w:rPr>
              <w:t>ABVD</w:t>
            </w:r>
          </w:p>
          <w:p w14:paraId="37E51B49" w14:textId="77777777" w:rsidR="007B7E3E" w:rsidRPr="0085018D" w:rsidRDefault="007B7E3E" w:rsidP="002F0CE0">
            <w:pPr>
              <w:pStyle w:val="COMTableheadingrow"/>
              <w:jc w:val="center"/>
              <w:rPr>
                <w:lang w:val="en-AU"/>
              </w:rPr>
            </w:pPr>
            <w:r w:rsidRPr="0085018D">
              <w:rPr>
                <w:lang w:val="en-AU"/>
              </w:rPr>
              <w:t>N=670</w:t>
            </w:r>
          </w:p>
        </w:tc>
        <w:tc>
          <w:tcPr>
            <w:tcW w:w="815" w:type="pct"/>
            <w:vAlign w:val="center"/>
          </w:tcPr>
          <w:p w14:paraId="6B549EFA" w14:textId="77777777" w:rsidR="007B7E3E" w:rsidRPr="0085018D" w:rsidRDefault="007B7E3E" w:rsidP="002F0CE0">
            <w:pPr>
              <w:pStyle w:val="COMTableheadingrow"/>
              <w:jc w:val="center"/>
              <w:rPr>
                <w:lang w:val="en-AU"/>
              </w:rPr>
            </w:pPr>
            <w:r w:rsidRPr="0085018D">
              <w:rPr>
                <w:lang w:val="en-AU"/>
              </w:rPr>
              <w:t>A+AVD</w:t>
            </w:r>
          </w:p>
          <w:p w14:paraId="2863C665" w14:textId="77777777" w:rsidR="007B7E3E" w:rsidRPr="0085018D" w:rsidRDefault="007B7E3E" w:rsidP="002F0CE0">
            <w:pPr>
              <w:pStyle w:val="COMTableheadingrow"/>
              <w:jc w:val="center"/>
              <w:rPr>
                <w:lang w:val="en-AU"/>
              </w:rPr>
            </w:pPr>
            <w:r w:rsidRPr="0085018D">
              <w:rPr>
                <w:lang w:val="en-AU"/>
              </w:rPr>
              <w:t>N=664</w:t>
            </w:r>
          </w:p>
        </w:tc>
        <w:tc>
          <w:tcPr>
            <w:tcW w:w="815" w:type="pct"/>
            <w:vAlign w:val="center"/>
          </w:tcPr>
          <w:p w14:paraId="16BEE7FC" w14:textId="77777777" w:rsidR="007B7E3E" w:rsidRPr="0085018D" w:rsidRDefault="007B7E3E" w:rsidP="002F0CE0">
            <w:pPr>
              <w:pStyle w:val="COMTableheadingrow"/>
              <w:jc w:val="center"/>
              <w:rPr>
                <w:lang w:val="en-AU"/>
              </w:rPr>
            </w:pPr>
            <w:r w:rsidRPr="0085018D">
              <w:rPr>
                <w:lang w:val="en-AU"/>
              </w:rPr>
              <w:t>ABVD</w:t>
            </w:r>
          </w:p>
          <w:p w14:paraId="34D6797A" w14:textId="77777777" w:rsidR="007B7E3E" w:rsidRPr="0085018D" w:rsidRDefault="007B7E3E" w:rsidP="002F0CE0">
            <w:pPr>
              <w:pStyle w:val="COMTableheadingrow"/>
              <w:jc w:val="center"/>
              <w:rPr>
                <w:lang w:val="en-AU"/>
              </w:rPr>
            </w:pPr>
            <w:r w:rsidRPr="0085018D">
              <w:rPr>
                <w:lang w:val="en-AU"/>
              </w:rPr>
              <w:t>N=670</w:t>
            </w:r>
          </w:p>
        </w:tc>
      </w:tr>
      <w:tr w:rsidR="007B7E3E" w:rsidRPr="0085018D" w14:paraId="16F35EB4" w14:textId="77777777" w:rsidTr="0047164D">
        <w:tc>
          <w:tcPr>
            <w:tcW w:w="1734" w:type="pct"/>
          </w:tcPr>
          <w:p w14:paraId="2D17695D" w14:textId="77777777" w:rsidR="007B7E3E" w:rsidRPr="0085018D" w:rsidRDefault="007B7E3E" w:rsidP="002F0CE0">
            <w:pPr>
              <w:pStyle w:val="COMTabletext"/>
            </w:pPr>
            <w:r w:rsidRPr="0085018D">
              <w:t>Median follow-up, months (95% CI)</w:t>
            </w:r>
          </w:p>
        </w:tc>
        <w:tc>
          <w:tcPr>
            <w:tcW w:w="815" w:type="pct"/>
          </w:tcPr>
          <w:p w14:paraId="7631E52E" w14:textId="77777777" w:rsidR="007B7E3E" w:rsidRPr="0085018D" w:rsidRDefault="007B7E3E" w:rsidP="002F0CE0">
            <w:pPr>
              <w:pStyle w:val="COMTabletext"/>
            </w:pPr>
            <w:r w:rsidRPr="0085018D">
              <w:t>24.9 (24.6, 25.0)</w:t>
            </w:r>
          </w:p>
        </w:tc>
        <w:tc>
          <w:tcPr>
            <w:tcW w:w="821" w:type="pct"/>
          </w:tcPr>
          <w:p w14:paraId="73321217" w14:textId="77777777" w:rsidR="007B7E3E" w:rsidRPr="0085018D" w:rsidRDefault="007B7E3E" w:rsidP="002F0CE0">
            <w:pPr>
              <w:pStyle w:val="COMTabletext"/>
            </w:pPr>
            <w:r w:rsidRPr="0085018D">
              <w:t>24.9 (24.6, 25.1)</w:t>
            </w:r>
          </w:p>
        </w:tc>
        <w:tc>
          <w:tcPr>
            <w:tcW w:w="815" w:type="pct"/>
          </w:tcPr>
          <w:p w14:paraId="62ECEA46" w14:textId="77777777" w:rsidR="007B7E3E" w:rsidRPr="0085018D" w:rsidRDefault="007B7E3E" w:rsidP="002F0CE0">
            <w:pPr>
              <w:pStyle w:val="COMTabletext"/>
            </w:pPr>
            <w:r w:rsidRPr="0085018D">
              <w:t>73.3 (72.5, 74.1)</w:t>
            </w:r>
          </w:p>
        </w:tc>
        <w:tc>
          <w:tcPr>
            <w:tcW w:w="815" w:type="pct"/>
          </w:tcPr>
          <w:p w14:paraId="35E46B41" w14:textId="77777777" w:rsidR="007B7E3E" w:rsidRPr="0085018D" w:rsidRDefault="007B7E3E" w:rsidP="002F0CE0">
            <w:pPr>
              <w:pStyle w:val="COMTabletext"/>
            </w:pPr>
            <w:r w:rsidRPr="0085018D">
              <w:t>71.6 (70.4, 72.9)</w:t>
            </w:r>
          </w:p>
        </w:tc>
      </w:tr>
      <w:tr w:rsidR="007B7E3E" w:rsidRPr="0085018D" w14:paraId="4B6FA85A" w14:textId="77777777" w:rsidTr="0047164D">
        <w:tc>
          <w:tcPr>
            <w:tcW w:w="1734" w:type="pct"/>
            <w:tcBorders>
              <w:bottom w:val="nil"/>
            </w:tcBorders>
          </w:tcPr>
          <w:p w14:paraId="1184DAD0" w14:textId="77777777" w:rsidR="007B7E3E" w:rsidRPr="0085018D" w:rsidRDefault="007B7E3E" w:rsidP="002F0CE0">
            <w:pPr>
              <w:pStyle w:val="COMTabletext"/>
            </w:pPr>
            <w:r w:rsidRPr="0085018D">
              <w:t>Events, n (%)</w:t>
            </w:r>
          </w:p>
        </w:tc>
        <w:tc>
          <w:tcPr>
            <w:tcW w:w="815" w:type="pct"/>
            <w:tcBorders>
              <w:bottom w:val="nil"/>
            </w:tcBorders>
            <w:vAlign w:val="center"/>
          </w:tcPr>
          <w:p w14:paraId="30CB129D" w14:textId="77777777" w:rsidR="007B7E3E" w:rsidRPr="0085018D" w:rsidRDefault="007B7E3E" w:rsidP="002F0CE0">
            <w:pPr>
              <w:pStyle w:val="COMTabletext"/>
              <w:jc w:val="center"/>
            </w:pPr>
            <w:r w:rsidRPr="0085018D">
              <w:t>117 (18)</w:t>
            </w:r>
          </w:p>
        </w:tc>
        <w:tc>
          <w:tcPr>
            <w:tcW w:w="821" w:type="pct"/>
            <w:tcBorders>
              <w:bottom w:val="nil"/>
            </w:tcBorders>
            <w:vAlign w:val="center"/>
          </w:tcPr>
          <w:p w14:paraId="7995DB96" w14:textId="77777777" w:rsidR="007B7E3E" w:rsidRPr="0085018D" w:rsidRDefault="007B7E3E" w:rsidP="002F0CE0">
            <w:pPr>
              <w:pStyle w:val="COMTabletext"/>
              <w:jc w:val="center"/>
            </w:pPr>
            <w:r w:rsidRPr="0085018D">
              <w:t>146 (22)</w:t>
            </w:r>
          </w:p>
        </w:tc>
        <w:tc>
          <w:tcPr>
            <w:tcW w:w="815" w:type="pct"/>
            <w:tcBorders>
              <w:bottom w:val="nil"/>
            </w:tcBorders>
            <w:vAlign w:val="center"/>
          </w:tcPr>
          <w:p w14:paraId="0515FF6F" w14:textId="77777777" w:rsidR="007B7E3E" w:rsidRPr="0085018D" w:rsidRDefault="007B7E3E" w:rsidP="002F0CE0">
            <w:pPr>
              <w:pStyle w:val="COMTabletext"/>
              <w:jc w:val="center"/>
            </w:pPr>
            <w:r w:rsidRPr="0085018D">
              <w:t>135 (20)</w:t>
            </w:r>
          </w:p>
        </w:tc>
        <w:tc>
          <w:tcPr>
            <w:tcW w:w="815" w:type="pct"/>
            <w:tcBorders>
              <w:bottom w:val="nil"/>
            </w:tcBorders>
            <w:vAlign w:val="center"/>
          </w:tcPr>
          <w:p w14:paraId="37F4F534" w14:textId="77777777" w:rsidR="007B7E3E" w:rsidRPr="0085018D" w:rsidRDefault="007B7E3E" w:rsidP="002F0CE0">
            <w:pPr>
              <w:pStyle w:val="COMTabletext"/>
              <w:jc w:val="center"/>
            </w:pPr>
            <w:r w:rsidRPr="0085018D">
              <w:t>183 (27)</w:t>
            </w:r>
          </w:p>
        </w:tc>
      </w:tr>
      <w:tr w:rsidR="007B7E3E" w:rsidRPr="0085018D" w14:paraId="325F6CEA" w14:textId="77777777" w:rsidTr="0047164D">
        <w:tc>
          <w:tcPr>
            <w:tcW w:w="1734" w:type="pct"/>
            <w:tcBorders>
              <w:top w:val="nil"/>
              <w:bottom w:val="nil"/>
            </w:tcBorders>
          </w:tcPr>
          <w:p w14:paraId="159A6415" w14:textId="77777777" w:rsidR="007B7E3E" w:rsidRPr="0085018D" w:rsidRDefault="007B7E3E" w:rsidP="002F0CE0">
            <w:pPr>
              <w:pStyle w:val="COMTabletext"/>
            </w:pPr>
            <w:r w:rsidRPr="0085018D">
              <w:t>- Disease progression</w:t>
            </w:r>
          </w:p>
        </w:tc>
        <w:tc>
          <w:tcPr>
            <w:tcW w:w="815" w:type="pct"/>
            <w:tcBorders>
              <w:top w:val="nil"/>
              <w:bottom w:val="nil"/>
            </w:tcBorders>
            <w:vAlign w:val="center"/>
          </w:tcPr>
          <w:p w14:paraId="5EFE35DF" w14:textId="77777777" w:rsidR="007B7E3E" w:rsidRPr="0085018D" w:rsidRDefault="007B7E3E" w:rsidP="002F0CE0">
            <w:pPr>
              <w:pStyle w:val="COMTabletext"/>
              <w:jc w:val="center"/>
            </w:pPr>
            <w:r w:rsidRPr="0085018D">
              <w:t>90 (14)</w:t>
            </w:r>
          </w:p>
        </w:tc>
        <w:tc>
          <w:tcPr>
            <w:tcW w:w="821" w:type="pct"/>
            <w:tcBorders>
              <w:top w:val="nil"/>
              <w:bottom w:val="nil"/>
            </w:tcBorders>
            <w:vAlign w:val="center"/>
          </w:tcPr>
          <w:p w14:paraId="59658759" w14:textId="77777777" w:rsidR="007B7E3E" w:rsidRPr="0085018D" w:rsidRDefault="007B7E3E" w:rsidP="002F0CE0">
            <w:pPr>
              <w:pStyle w:val="COMTabletext"/>
              <w:jc w:val="center"/>
            </w:pPr>
            <w:r w:rsidRPr="0085018D">
              <w:t>102 (15)</w:t>
            </w:r>
          </w:p>
        </w:tc>
        <w:tc>
          <w:tcPr>
            <w:tcW w:w="815" w:type="pct"/>
            <w:tcBorders>
              <w:top w:val="nil"/>
              <w:bottom w:val="nil"/>
            </w:tcBorders>
            <w:vAlign w:val="center"/>
          </w:tcPr>
          <w:p w14:paraId="27064B48" w14:textId="77777777" w:rsidR="007B7E3E" w:rsidRPr="0085018D" w:rsidRDefault="007B7E3E" w:rsidP="002F0CE0">
            <w:pPr>
              <w:pStyle w:val="COMTabletext"/>
              <w:jc w:val="center"/>
            </w:pPr>
            <w:r w:rsidRPr="0085018D">
              <w:t>80 (12)</w:t>
            </w:r>
          </w:p>
        </w:tc>
        <w:tc>
          <w:tcPr>
            <w:tcW w:w="815" w:type="pct"/>
            <w:tcBorders>
              <w:top w:val="nil"/>
              <w:bottom w:val="nil"/>
            </w:tcBorders>
            <w:vAlign w:val="center"/>
          </w:tcPr>
          <w:p w14:paraId="3782DCDA" w14:textId="77777777" w:rsidR="007B7E3E" w:rsidRPr="0085018D" w:rsidRDefault="007B7E3E" w:rsidP="002F0CE0">
            <w:pPr>
              <w:pStyle w:val="COMTabletext"/>
              <w:jc w:val="center"/>
            </w:pPr>
            <w:r w:rsidRPr="0085018D">
              <w:t>111 (17)</w:t>
            </w:r>
          </w:p>
        </w:tc>
      </w:tr>
      <w:tr w:rsidR="007B7E3E" w:rsidRPr="0085018D" w14:paraId="173419A2" w14:textId="77777777" w:rsidTr="0047164D">
        <w:tc>
          <w:tcPr>
            <w:tcW w:w="1734" w:type="pct"/>
            <w:tcBorders>
              <w:top w:val="nil"/>
              <w:bottom w:val="nil"/>
            </w:tcBorders>
          </w:tcPr>
          <w:p w14:paraId="11E21F0F" w14:textId="77777777" w:rsidR="007B7E3E" w:rsidRPr="0085018D" w:rsidRDefault="007B7E3E" w:rsidP="002F0CE0">
            <w:pPr>
              <w:pStyle w:val="COMTabletext"/>
            </w:pPr>
            <w:r w:rsidRPr="0085018D">
              <w:t>- Death</w:t>
            </w:r>
          </w:p>
        </w:tc>
        <w:tc>
          <w:tcPr>
            <w:tcW w:w="815" w:type="pct"/>
            <w:tcBorders>
              <w:top w:val="nil"/>
              <w:bottom w:val="nil"/>
            </w:tcBorders>
            <w:vAlign w:val="center"/>
          </w:tcPr>
          <w:p w14:paraId="2ACE31F5" w14:textId="77777777" w:rsidR="007B7E3E" w:rsidRPr="0085018D" w:rsidRDefault="007B7E3E" w:rsidP="002F0CE0">
            <w:pPr>
              <w:pStyle w:val="COMTabletext"/>
              <w:jc w:val="center"/>
            </w:pPr>
            <w:r w:rsidRPr="0085018D">
              <w:t>18 (3)</w:t>
            </w:r>
          </w:p>
        </w:tc>
        <w:tc>
          <w:tcPr>
            <w:tcW w:w="821" w:type="pct"/>
            <w:tcBorders>
              <w:top w:val="nil"/>
              <w:bottom w:val="nil"/>
            </w:tcBorders>
            <w:vAlign w:val="center"/>
          </w:tcPr>
          <w:p w14:paraId="435F3DA0" w14:textId="77777777" w:rsidR="007B7E3E" w:rsidRPr="0085018D" w:rsidRDefault="007B7E3E" w:rsidP="002F0CE0">
            <w:pPr>
              <w:pStyle w:val="COMTabletext"/>
              <w:jc w:val="center"/>
            </w:pPr>
            <w:r w:rsidRPr="0085018D">
              <w:t>22 (3)</w:t>
            </w:r>
          </w:p>
        </w:tc>
        <w:tc>
          <w:tcPr>
            <w:tcW w:w="815" w:type="pct"/>
            <w:tcBorders>
              <w:top w:val="nil"/>
              <w:bottom w:val="nil"/>
            </w:tcBorders>
            <w:vAlign w:val="center"/>
          </w:tcPr>
          <w:p w14:paraId="37CBF0C0" w14:textId="77777777" w:rsidR="007B7E3E" w:rsidRPr="0085018D" w:rsidRDefault="007B7E3E" w:rsidP="002F0CE0">
            <w:pPr>
              <w:pStyle w:val="COMTabletext"/>
              <w:jc w:val="center"/>
            </w:pPr>
            <w:r w:rsidRPr="0085018D">
              <w:t>16 (2)</w:t>
            </w:r>
          </w:p>
        </w:tc>
        <w:tc>
          <w:tcPr>
            <w:tcW w:w="815" w:type="pct"/>
            <w:tcBorders>
              <w:top w:val="nil"/>
              <w:bottom w:val="nil"/>
            </w:tcBorders>
            <w:vAlign w:val="center"/>
          </w:tcPr>
          <w:p w14:paraId="25DFD67C" w14:textId="77777777" w:rsidR="007B7E3E" w:rsidRPr="0085018D" w:rsidRDefault="007B7E3E" w:rsidP="002F0CE0">
            <w:pPr>
              <w:pStyle w:val="COMTabletext"/>
              <w:jc w:val="center"/>
            </w:pPr>
            <w:r w:rsidRPr="0085018D">
              <w:t>28 (4)</w:t>
            </w:r>
          </w:p>
        </w:tc>
      </w:tr>
      <w:tr w:rsidR="007B7E3E" w:rsidRPr="0085018D" w14:paraId="7A7DF2B7" w14:textId="77777777" w:rsidTr="0047164D">
        <w:tc>
          <w:tcPr>
            <w:tcW w:w="1734" w:type="pct"/>
            <w:tcBorders>
              <w:top w:val="nil"/>
            </w:tcBorders>
          </w:tcPr>
          <w:p w14:paraId="44C81360" w14:textId="77777777" w:rsidR="007B7E3E" w:rsidRPr="0085018D" w:rsidRDefault="007B7E3E" w:rsidP="002F0CE0">
            <w:pPr>
              <w:pStyle w:val="COMTabletext"/>
            </w:pPr>
            <w:r w:rsidRPr="0085018D">
              <w:t xml:space="preserve">- Subsequent treatment after noncomplete response </w:t>
            </w:r>
            <w:r w:rsidRPr="0085018D">
              <w:rPr>
                <w:vertAlign w:val="superscript"/>
              </w:rPr>
              <w:t>a</w:t>
            </w:r>
            <w:r w:rsidRPr="0085018D">
              <w:t xml:space="preserve"> </w:t>
            </w:r>
          </w:p>
        </w:tc>
        <w:tc>
          <w:tcPr>
            <w:tcW w:w="815" w:type="pct"/>
            <w:tcBorders>
              <w:top w:val="nil"/>
            </w:tcBorders>
            <w:vAlign w:val="center"/>
          </w:tcPr>
          <w:p w14:paraId="4A9C1434" w14:textId="77777777" w:rsidR="007B7E3E" w:rsidRPr="0085018D" w:rsidRDefault="007B7E3E" w:rsidP="002F0CE0">
            <w:pPr>
              <w:pStyle w:val="COMTabletext"/>
              <w:jc w:val="center"/>
            </w:pPr>
            <w:r w:rsidRPr="0085018D">
              <w:t>9 (1)</w:t>
            </w:r>
          </w:p>
        </w:tc>
        <w:tc>
          <w:tcPr>
            <w:tcW w:w="821" w:type="pct"/>
            <w:tcBorders>
              <w:top w:val="nil"/>
            </w:tcBorders>
            <w:vAlign w:val="center"/>
          </w:tcPr>
          <w:p w14:paraId="60BFEFEC" w14:textId="77777777" w:rsidR="007B7E3E" w:rsidRPr="0085018D" w:rsidRDefault="007B7E3E" w:rsidP="002F0CE0">
            <w:pPr>
              <w:pStyle w:val="COMTabletext"/>
              <w:jc w:val="center"/>
            </w:pPr>
            <w:r w:rsidRPr="0085018D">
              <w:t>22 (3)</w:t>
            </w:r>
          </w:p>
        </w:tc>
        <w:tc>
          <w:tcPr>
            <w:tcW w:w="815" w:type="pct"/>
            <w:tcBorders>
              <w:top w:val="nil"/>
            </w:tcBorders>
            <w:vAlign w:val="center"/>
          </w:tcPr>
          <w:p w14:paraId="3E641331" w14:textId="77777777" w:rsidR="007B7E3E" w:rsidRPr="0085018D" w:rsidRDefault="007B7E3E" w:rsidP="002F0CE0">
            <w:pPr>
              <w:pStyle w:val="COMTabletext"/>
              <w:jc w:val="center"/>
            </w:pPr>
            <w:r w:rsidRPr="0085018D">
              <w:t>39 (6)</w:t>
            </w:r>
          </w:p>
        </w:tc>
        <w:tc>
          <w:tcPr>
            <w:tcW w:w="815" w:type="pct"/>
            <w:tcBorders>
              <w:top w:val="nil"/>
            </w:tcBorders>
            <w:vAlign w:val="center"/>
          </w:tcPr>
          <w:p w14:paraId="20410C34" w14:textId="77777777" w:rsidR="007B7E3E" w:rsidRPr="0085018D" w:rsidRDefault="007B7E3E" w:rsidP="002F0CE0">
            <w:pPr>
              <w:pStyle w:val="COMTabletext"/>
              <w:jc w:val="center"/>
            </w:pPr>
            <w:r w:rsidRPr="0085018D">
              <w:t>44 (7)</w:t>
            </w:r>
          </w:p>
        </w:tc>
      </w:tr>
      <w:tr w:rsidR="007B7E3E" w:rsidRPr="0085018D" w14:paraId="065884FF" w14:textId="77777777" w:rsidTr="0047164D">
        <w:tc>
          <w:tcPr>
            <w:tcW w:w="1734" w:type="pct"/>
          </w:tcPr>
          <w:p w14:paraId="4CD54FCA" w14:textId="77777777" w:rsidR="007B7E3E" w:rsidRPr="0085018D" w:rsidRDefault="007B7E3E" w:rsidP="002F0CE0">
            <w:pPr>
              <w:pStyle w:val="COMTabletext"/>
            </w:pPr>
            <w:r w:rsidRPr="0085018D">
              <w:t>Censored, n (%)</w:t>
            </w:r>
          </w:p>
        </w:tc>
        <w:tc>
          <w:tcPr>
            <w:tcW w:w="815" w:type="pct"/>
            <w:vAlign w:val="center"/>
          </w:tcPr>
          <w:p w14:paraId="2E62D538" w14:textId="77777777" w:rsidR="007B7E3E" w:rsidRPr="0085018D" w:rsidRDefault="007B7E3E" w:rsidP="002F0CE0">
            <w:pPr>
              <w:pStyle w:val="COMTabletext"/>
              <w:jc w:val="center"/>
              <w:rPr>
                <w:vertAlign w:val="superscript"/>
              </w:rPr>
            </w:pPr>
            <w:r w:rsidRPr="0085018D">
              <w:t xml:space="preserve">547 (82.4) </w:t>
            </w:r>
            <w:r w:rsidRPr="0085018D">
              <w:rPr>
                <w:vertAlign w:val="superscript"/>
              </w:rPr>
              <w:t>b</w:t>
            </w:r>
          </w:p>
        </w:tc>
        <w:tc>
          <w:tcPr>
            <w:tcW w:w="821" w:type="pct"/>
            <w:vAlign w:val="center"/>
          </w:tcPr>
          <w:p w14:paraId="209AA135" w14:textId="77777777" w:rsidR="007B7E3E" w:rsidRPr="0085018D" w:rsidRDefault="007B7E3E" w:rsidP="002F0CE0">
            <w:pPr>
              <w:pStyle w:val="COMTabletext"/>
              <w:jc w:val="center"/>
              <w:rPr>
                <w:vertAlign w:val="superscript"/>
              </w:rPr>
            </w:pPr>
            <w:r w:rsidRPr="0085018D">
              <w:t xml:space="preserve">524 (78.2) </w:t>
            </w:r>
            <w:r w:rsidRPr="0085018D">
              <w:rPr>
                <w:vertAlign w:val="superscript"/>
              </w:rPr>
              <w:t>b</w:t>
            </w:r>
          </w:p>
        </w:tc>
        <w:tc>
          <w:tcPr>
            <w:tcW w:w="815" w:type="pct"/>
            <w:vAlign w:val="center"/>
          </w:tcPr>
          <w:p w14:paraId="67273C41" w14:textId="77777777" w:rsidR="007B7E3E" w:rsidRPr="0085018D" w:rsidRDefault="007B7E3E" w:rsidP="002F0CE0">
            <w:pPr>
              <w:pStyle w:val="COMTabletext"/>
              <w:jc w:val="center"/>
            </w:pPr>
            <w:r w:rsidRPr="0085018D">
              <w:t xml:space="preserve">529 (79.7) </w:t>
            </w:r>
            <w:r w:rsidRPr="0085018D">
              <w:rPr>
                <w:vertAlign w:val="superscript"/>
              </w:rPr>
              <w:t>b</w:t>
            </w:r>
          </w:p>
        </w:tc>
        <w:tc>
          <w:tcPr>
            <w:tcW w:w="815" w:type="pct"/>
            <w:vAlign w:val="center"/>
          </w:tcPr>
          <w:p w14:paraId="673F66D2" w14:textId="77777777" w:rsidR="007B7E3E" w:rsidRPr="0085018D" w:rsidRDefault="007B7E3E" w:rsidP="002F0CE0">
            <w:pPr>
              <w:pStyle w:val="COMTabletext"/>
              <w:jc w:val="center"/>
            </w:pPr>
            <w:r w:rsidRPr="0085018D">
              <w:t xml:space="preserve">487 (72.7) </w:t>
            </w:r>
            <w:r w:rsidRPr="0085018D">
              <w:rPr>
                <w:vertAlign w:val="superscript"/>
              </w:rPr>
              <w:t>b</w:t>
            </w:r>
          </w:p>
        </w:tc>
      </w:tr>
      <w:tr w:rsidR="007B7E3E" w:rsidRPr="0085018D" w14:paraId="61958776" w14:textId="77777777" w:rsidTr="0047164D">
        <w:tc>
          <w:tcPr>
            <w:tcW w:w="1734" w:type="pct"/>
          </w:tcPr>
          <w:p w14:paraId="0CF2E409" w14:textId="77777777" w:rsidR="007B7E3E" w:rsidRPr="0085018D" w:rsidRDefault="007B7E3E" w:rsidP="002F0CE0">
            <w:pPr>
              <w:pStyle w:val="COMTabletext"/>
            </w:pPr>
            <w:r w:rsidRPr="0085018D">
              <w:t xml:space="preserve">Median </w:t>
            </w:r>
            <w:proofErr w:type="spellStart"/>
            <w:r w:rsidRPr="0085018D">
              <w:t>mPFS</w:t>
            </w:r>
            <w:proofErr w:type="spellEnd"/>
            <w:r w:rsidRPr="0085018D">
              <w:t>, months (95% CI)</w:t>
            </w:r>
          </w:p>
        </w:tc>
        <w:tc>
          <w:tcPr>
            <w:tcW w:w="815" w:type="pct"/>
            <w:vAlign w:val="center"/>
          </w:tcPr>
          <w:p w14:paraId="5D22E5FD" w14:textId="77777777" w:rsidR="007B7E3E" w:rsidRPr="0085018D" w:rsidRDefault="007B7E3E" w:rsidP="002F0CE0">
            <w:pPr>
              <w:pStyle w:val="COMTabletext"/>
              <w:jc w:val="center"/>
            </w:pPr>
            <w:r w:rsidRPr="0085018D">
              <w:t>NE (31.2, NE)</w:t>
            </w:r>
          </w:p>
        </w:tc>
        <w:tc>
          <w:tcPr>
            <w:tcW w:w="821" w:type="pct"/>
            <w:vAlign w:val="center"/>
          </w:tcPr>
          <w:p w14:paraId="1EDE0802" w14:textId="77777777" w:rsidR="007B7E3E" w:rsidRPr="0085018D" w:rsidRDefault="007B7E3E" w:rsidP="002F0CE0">
            <w:pPr>
              <w:pStyle w:val="COMTabletext"/>
              <w:jc w:val="center"/>
            </w:pPr>
            <w:r w:rsidRPr="0085018D">
              <w:t>NE (NE, NE)</w:t>
            </w:r>
          </w:p>
        </w:tc>
        <w:tc>
          <w:tcPr>
            <w:tcW w:w="815" w:type="pct"/>
            <w:vAlign w:val="center"/>
          </w:tcPr>
          <w:p w14:paraId="46E5FA2F" w14:textId="77777777" w:rsidR="007B7E3E" w:rsidRPr="0085018D" w:rsidRDefault="007B7E3E" w:rsidP="002F0CE0">
            <w:pPr>
              <w:pStyle w:val="COMTabletext"/>
              <w:jc w:val="center"/>
            </w:pPr>
            <w:r w:rsidRPr="0085018D">
              <w:t>NE (NE, NE)</w:t>
            </w:r>
          </w:p>
        </w:tc>
        <w:tc>
          <w:tcPr>
            <w:tcW w:w="815" w:type="pct"/>
            <w:vAlign w:val="center"/>
          </w:tcPr>
          <w:p w14:paraId="7FBBC585" w14:textId="77777777" w:rsidR="007B7E3E" w:rsidRPr="0085018D" w:rsidRDefault="007B7E3E" w:rsidP="002F0CE0">
            <w:pPr>
              <w:pStyle w:val="COMTabletext"/>
              <w:jc w:val="center"/>
            </w:pPr>
            <w:r w:rsidRPr="0085018D">
              <w:t>NE (NE, NE)</w:t>
            </w:r>
          </w:p>
        </w:tc>
      </w:tr>
      <w:tr w:rsidR="007B7E3E" w:rsidRPr="0085018D" w14:paraId="261F5F84" w14:textId="77777777" w:rsidTr="0047164D">
        <w:tc>
          <w:tcPr>
            <w:tcW w:w="1734" w:type="pct"/>
            <w:tcBorders>
              <w:bottom w:val="nil"/>
            </w:tcBorders>
          </w:tcPr>
          <w:p w14:paraId="407A955B" w14:textId="77777777" w:rsidR="007B7E3E" w:rsidRPr="0085018D" w:rsidRDefault="007B7E3E" w:rsidP="002F0CE0">
            <w:pPr>
              <w:pStyle w:val="COMTabletext"/>
            </w:pPr>
            <w:r w:rsidRPr="0085018D">
              <w:t>Kaplan-Meier estimates, % (95% CI)</w:t>
            </w:r>
          </w:p>
        </w:tc>
        <w:tc>
          <w:tcPr>
            <w:tcW w:w="815" w:type="pct"/>
            <w:tcBorders>
              <w:bottom w:val="nil"/>
            </w:tcBorders>
            <w:vAlign w:val="center"/>
          </w:tcPr>
          <w:p w14:paraId="39C09595" w14:textId="77777777" w:rsidR="007B7E3E" w:rsidRPr="0085018D" w:rsidRDefault="007B7E3E" w:rsidP="002F0CE0">
            <w:pPr>
              <w:pStyle w:val="COMTabletext"/>
              <w:jc w:val="center"/>
            </w:pPr>
          </w:p>
        </w:tc>
        <w:tc>
          <w:tcPr>
            <w:tcW w:w="821" w:type="pct"/>
            <w:tcBorders>
              <w:bottom w:val="nil"/>
            </w:tcBorders>
            <w:vAlign w:val="center"/>
          </w:tcPr>
          <w:p w14:paraId="2C374095" w14:textId="77777777" w:rsidR="007B7E3E" w:rsidRPr="0085018D" w:rsidRDefault="007B7E3E" w:rsidP="002F0CE0">
            <w:pPr>
              <w:pStyle w:val="COMTabletext"/>
              <w:jc w:val="center"/>
            </w:pPr>
          </w:p>
        </w:tc>
        <w:tc>
          <w:tcPr>
            <w:tcW w:w="815" w:type="pct"/>
            <w:tcBorders>
              <w:bottom w:val="nil"/>
            </w:tcBorders>
            <w:vAlign w:val="center"/>
          </w:tcPr>
          <w:p w14:paraId="5EB56A98" w14:textId="77777777" w:rsidR="007B7E3E" w:rsidRPr="0085018D" w:rsidRDefault="007B7E3E" w:rsidP="002F0CE0">
            <w:pPr>
              <w:pStyle w:val="COMTabletext"/>
              <w:jc w:val="center"/>
            </w:pPr>
          </w:p>
        </w:tc>
        <w:tc>
          <w:tcPr>
            <w:tcW w:w="815" w:type="pct"/>
            <w:tcBorders>
              <w:bottom w:val="nil"/>
            </w:tcBorders>
            <w:vAlign w:val="center"/>
          </w:tcPr>
          <w:p w14:paraId="70C73A95" w14:textId="77777777" w:rsidR="007B7E3E" w:rsidRPr="0085018D" w:rsidRDefault="007B7E3E" w:rsidP="002F0CE0">
            <w:pPr>
              <w:pStyle w:val="COMTabletext"/>
              <w:jc w:val="center"/>
            </w:pPr>
          </w:p>
        </w:tc>
      </w:tr>
      <w:tr w:rsidR="007B7E3E" w:rsidRPr="0085018D" w14:paraId="0DD1C892" w14:textId="77777777" w:rsidTr="0047164D">
        <w:tc>
          <w:tcPr>
            <w:tcW w:w="1734" w:type="pct"/>
            <w:tcBorders>
              <w:top w:val="nil"/>
              <w:bottom w:val="nil"/>
            </w:tcBorders>
          </w:tcPr>
          <w:p w14:paraId="1CA00852" w14:textId="77777777" w:rsidR="007B7E3E" w:rsidRPr="0085018D" w:rsidRDefault="007B7E3E" w:rsidP="002F0CE0">
            <w:pPr>
              <w:pStyle w:val="COMTabletext"/>
            </w:pPr>
            <w:r w:rsidRPr="0085018D">
              <w:t>- 6 months</w:t>
            </w:r>
          </w:p>
        </w:tc>
        <w:tc>
          <w:tcPr>
            <w:tcW w:w="815" w:type="pct"/>
            <w:tcBorders>
              <w:top w:val="nil"/>
              <w:bottom w:val="nil"/>
            </w:tcBorders>
          </w:tcPr>
          <w:p w14:paraId="426C0290" w14:textId="77777777" w:rsidR="007B7E3E" w:rsidRPr="0085018D" w:rsidRDefault="007B7E3E" w:rsidP="002F0CE0">
            <w:pPr>
              <w:pStyle w:val="COMTabletext"/>
              <w:jc w:val="center"/>
            </w:pPr>
            <w:r w:rsidRPr="0085018D">
              <w:t>95.5 (93.5, 96.8)</w:t>
            </w:r>
          </w:p>
        </w:tc>
        <w:tc>
          <w:tcPr>
            <w:tcW w:w="821" w:type="pct"/>
            <w:tcBorders>
              <w:top w:val="nil"/>
              <w:bottom w:val="nil"/>
            </w:tcBorders>
          </w:tcPr>
          <w:p w14:paraId="44AB20CF" w14:textId="77777777" w:rsidR="007B7E3E" w:rsidRPr="0085018D" w:rsidRDefault="007B7E3E" w:rsidP="002F0CE0">
            <w:pPr>
              <w:pStyle w:val="COMTabletext"/>
              <w:jc w:val="center"/>
            </w:pPr>
            <w:r w:rsidRPr="0085018D">
              <w:t>94.9 (92.9, 96.4)</w:t>
            </w:r>
          </w:p>
        </w:tc>
        <w:tc>
          <w:tcPr>
            <w:tcW w:w="815" w:type="pct"/>
            <w:tcBorders>
              <w:top w:val="nil"/>
              <w:bottom w:val="nil"/>
            </w:tcBorders>
            <w:vAlign w:val="center"/>
          </w:tcPr>
          <w:p w14:paraId="74167E83" w14:textId="77777777" w:rsidR="007B7E3E" w:rsidRPr="0085018D" w:rsidRDefault="007B7E3E" w:rsidP="002F0CE0">
            <w:pPr>
              <w:pStyle w:val="COMTabletext"/>
              <w:jc w:val="center"/>
            </w:pPr>
            <w:r w:rsidRPr="0085018D">
              <w:t>95.5 (93.6, 96.9)</w:t>
            </w:r>
          </w:p>
        </w:tc>
        <w:tc>
          <w:tcPr>
            <w:tcW w:w="815" w:type="pct"/>
            <w:tcBorders>
              <w:top w:val="nil"/>
              <w:bottom w:val="nil"/>
            </w:tcBorders>
            <w:vAlign w:val="center"/>
          </w:tcPr>
          <w:p w14:paraId="1E005536" w14:textId="77777777" w:rsidR="007B7E3E" w:rsidRPr="0085018D" w:rsidRDefault="007B7E3E" w:rsidP="002F0CE0">
            <w:pPr>
              <w:pStyle w:val="COMTabletext"/>
              <w:jc w:val="center"/>
            </w:pPr>
            <w:r w:rsidRPr="0085018D">
              <w:t>93.5 (91.3, 95.1)</w:t>
            </w:r>
          </w:p>
        </w:tc>
      </w:tr>
      <w:tr w:rsidR="007B7E3E" w:rsidRPr="0085018D" w14:paraId="1C659149" w14:textId="77777777" w:rsidTr="0047164D">
        <w:tc>
          <w:tcPr>
            <w:tcW w:w="1734" w:type="pct"/>
            <w:tcBorders>
              <w:top w:val="nil"/>
              <w:bottom w:val="nil"/>
            </w:tcBorders>
          </w:tcPr>
          <w:p w14:paraId="4408353F" w14:textId="77777777" w:rsidR="007B7E3E" w:rsidRPr="0085018D" w:rsidRDefault="007B7E3E" w:rsidP="002F0CE0">
            <w:pPr>
              <w:pStyle w:val="COMTabletext"/>
            </w:pPr>
            <w:r w:rsidRPr="0085018D">
              <w:t>- 1 year</w:t>
            </w:r>
          </w:p>
        </w:tc>
        <w:tc>
          <w:tcPr>
            <w:tcW w:w="815" w:type="pct"/>
            <w:tcBorders>
              <w:top w:val="nil"/>
              <w:bottom w:val="nil"/>
            </w:tcBorders>
          </w:tcPr>
          <w:p w14:paraId="09EF922C" w14:textId="77777777" w:rsidR="007B7E3E" w:rsidRPr="0085018D" w:rsidRDefault="007B7E3E" w:rsidP="002F0CE0">
            <w:pPr>
              <w:pStyle w:val="COMTabletext"/>
              <w:jc w:val="center"/>
            </w:pPr>
            <w:r w:rsidRPr="0085018D">
              <w:t>86.3 (83.3, 88.7)</w:t>
            </w:r>
          </w:p>
        </w:tc>
        <w:tc>
          <w:tcPr>
            <w:tcW w:w="821" w:type="pct"/>
            <w:tcBorders>
              <w:top w:val="nil"/>
              <w:bottom w:val="nil"/>
            </w:tcBorders>
          </w:tcPr>
          <w:p w14:paraId="46C7651F" w14:textId="77777777" w:rsidR="007B7E3E" w:rsidRPr="0085018D" w:rsidRDefault="007B7E3E" w:rsidP="002F0CE0">
            <w:pPr>
              <w:pStyle w:val="COMTabletext"/>
              <w:jc w:val="center"/>
            </w:pPr>
            <w:r w:rsidRPr="0085018D">
              <w:t>80.7 (77.3, 83.6)</w:t>
            </w:r>
          </w:p>
        </w:tc>
        <w:tc>
          <w:tcPr>
            <w:tcW w:w="815" w:type="pct"/>
            <w:tcBorders>
              <w:top w:val="nil"/>
              <w:bottom w:val="nil"/>
            </w:tcBorders>
            <w:vAlign w:val="center"/>
          </w:tcPr>
          <w:p w14:paraId="6A7F2682" w14:textId="77777777" w:rsidR="007B7E3E" w:rsidRPr="0085018D" w:rsidRDefault="007B7E3E" w:rsidP="002F0CE0">
            <w:pPr>
              <w:pStyle w:val="COMTabletext"/>
              <w:jc w:val="center"/>
            </w:pPr>
            <w:r w:rsidRPr="0085018D">
              <w:t>83.4 (80.3, 86.0)</w:t>
            </w:r>
          </w:p>
        </w:tc>
        <w:tc>
          <w:tcPr>
            <w:tcW w:w="815" w:type="pct"/>
            <w:tcBorders>
              <w:top w:val="nil"/>
              <w:bottom w:val="nil"/>
            </w:tcBorders>
            <w:vAlign w:val="center"/>
          </w:tcPr>
          <w:p w14:paraId="2AF537AC" w14:textId="77777777" w:rsidR="007B7E3E" w:rsidRPr="0085018D" w:rsidRDefault="007B7E3E" w:rsidP="002F0CE0">
            <w:pPr>
              <w:pStyle w:val="COMTabletext"/>
              <w:jc w:val="center"/>
            </w:pPr>
            <w:r w:rsidRPr="0085018D">
              <w:t>77.0 (73.5, 80.0)</w:t>
            </w:r>
          </w:p>
        </w:tc>
      </w:tr>
      <w:tr w:rsidR="007B7E3E" w:rsidRPr="0085018D" w14:paraId="5ACAA89E" w14:textId="77777777" w:rsidTr="0047164D">
        <w:tc>
          <w:tcPr>
            <w:tcW w:w="1734" w:type="pct"/>
            <w:tcBorders>
              <w:top w:val="nil"/>
              <w:bottom w:val="nil"/>
            </w:tcBorders>
          </w:tcPr>
          <w:p w14:paraId="7F836226" w14:textId="77777777" w:rsidR="007B7E3E" w:rsidRPr="0085018D" w:rsidRDefault="007B7E3E" w:rsidP="002F0CE0">
            <w:pPr>
              <w:pStyle w:val="COMTabletext"/>
            </w:pPr>
            <w:r w:rsidRPr="0085018D">
              <w:t>- 2 years</w:t>
            </w:r>
          </w:p>
        </w:tc>
        <w:tc>
          <w:tcPr>
            <w:tcW w:w="815" w:type="pct"/>
            <w:tcBorders>
              <w:top w:val="nil"/>
              <w:bottom w:val="nil"/>
            </w:tcBorders>
          </w:tcPr>
          <w:p w14:paraId="6E595AB1" w14:textId="77777777" w:rsidR="007B7E3E" w:rsidRPr="0085018D" w:rsidRDefault="007B7E3E" w:rsidP="002F0CE0">
            <w:pPr>
              <w:pStyle w:val="COMTabletext"/>
              <w:jc w:val="center"/>
            </w:pPr>
            <w:r w:rsidRPr="0085018D">
              <w:t>82.1 (78.7, 85.0)</w:t>
            </w:r>
          </w:p>
        </w:tc>
        <w:tc>
          <w:tcPr>
            <w:tcW w:w="821" w:type="pct"/>
            <w:tcBorders>
              <w:top w:val="nil"/>
              <w:bottom w:val="nil"/>
            </w:tcBorders>
          </w:tcPr>
          <w:p w14:paraId="74F9211F" w14:textId="77777777" w:rsidR="007B7E3E" w:rsidRPr="0085018D" w:rsidRDefault="007B7E3E" w:rsidP="002F0CE0">
            <w:pPr>
              <w:pStyle w:val="COMTabletext"/>
              <w:jc w:val="center"/>
            </w:pPr>
            <w:r w:rsidRPr="0085018D">
              <w:t>77.2 (73.7, 80.4)</w:t>
            </w:r>
          </w:p>
        </w:tc>
        <w:tc>
          <w:tcPr>
            <w:tcW w:w="815" w:type="pct"/>
            <w:tcBorders>
              <w:top w:val="nil"/>
              <w:bottom w:val="nil"/>
            </w:tcBorders>
            <w:vAlign w:val="center"/>
          </w:tcPr>
          <w:p w14:paraId="1478A6F6" w14:textId="77777777" w:rsidR="007B7E3E" w:rsidRPr="0085018D" w:rsidRDefault="007B7E3E" w:rsidP="002F0CE0">
            <w:pPr>
              <w:pStyle w:val="COMTabletext"/>
              <w:jc w:val="center"/>
            </w:pPr>
            <w:r w:rsidRPr="0085018D">
              <w:t>81.1 (77.9, 84.0)</w:t>
            </w:r>
          </w:p>
        </w:tc>
        <w:tc>
          <w:tcPr>
            <w:tcW w:w="815" w:type="pct"/>
            <w:tcBorders>
              <w:top w:val="nil"/>
              <w:bottom w:val="nil"/>
            </w:tcBorders>
            <w:vAlign w:val="center"/>
          </w:tcPr>
          <w:p w14:paraId="73A9F937" w14:textId="77777777" w:rsidR="007B7E3E" w:rsidRPr="0085018D" w:rsidRDefault="007B7E3E" w:rsidP="002F0CE0">
            <w:pPr>
              <w:pStyle w:val="COMTabletext"/>
              <w:jc w:val="center"/>
            </w:pPr>
            <w:r w:rsidRPr="0085018D">
              <w:t>74.4 (70.9, 77.6)</w:t>
            </w:r>
          </w:p>
        </w:tc>
      </w:tr>
      <w:tr w:rsidR="007B7E3E" w:rsidRPr="0085018D" w14:paraId="0CFE67E0" w14:textId="77777777" w:rsidTr="0047164D">
        <w:tc>
          <w:tcPr>
            <w:tcW w:w="1734" w:type="pct"/>
            <w:tcBorders>
              <w:top w:val="nil"/>
              <w:bottom w:val="nil"/>
            </w:tcBorders>
          </w:tcPr>
          <w:p w14:paraId="2BB39622" w14:textId="77777777" w:rsidR="007B7E3E" w:rsidRPr="0085018D" w:rsidRDefault="007B7E3E" w:rsidP="002F0CE0">
            <w:pPr>
              <w:pStyle w:val="COMTabletext"/>
            </w:pPr>
            <w:r w:rsidRPr="0085018D">
              <w:t>- 3 years</w:t>
            </w:r>
          </w:p>
        </w:tc>
        <w:tc>
          <w:tcPr>
            <w:tcW w:w="815" w:type="pct"/>
            <w:tcBorders>
              <w:top w:val="nil"/>
              <w:bottom w:val="nil"/>
            </w:tcBorders>
          </w:tcPr>
          <w:p w14:paraId="23935CF0" w14:textId="77777777" w:rsidR="007B7E3E" w:rsidRPr="0085018D" w:rsidRDefault="007B7E3E" w:rsidP="002F0CE0">
            <w:pPr>
              <w:pStyle w:val="COMTabletext"/>
              <w:jc w:val="center"/>
            </w:pPr>
            <w:r w:rsidRPr="0085018D">
              <w:t>78.8 (74.7, 82.3)</w:t>
            </w:r>
          </w:p>
        </w:tc>
        <w:tc>
          <w:tcPr>
            <w:tcW w:w="821" w:type="pct"/>
            <w:tcBorders>
              <w:top w:val="nil"/>
              <w:bottom w:val="nil"/>
            </w:tcBorders>
          </w:tcPr>
          <w:p w14:paraId="67611AB5" w14:textId="77777777" w:rsidR="007B7E3E" w:rsidRPr="0085018D" w:rsidRDefault="007B7E3E" w:rsidP="002F0CE0">
            <w:pPr>
              <w:pStyle w:val="COMTabletext"/>
              <w:jc w:val="center"/>
            </w:pPr>
            <w:r w:rsidRPr="0085018D">
              <w:t>74.7 (70.8, 78.2)</w:t>
            </w:r>
          </w:p>
        </w:tc>
        <w:tc>
          <w:tcPr>
            <w:tcW w:w="815" w:type="pct"/>
            <w:tcBorders>
              <w:top w:val="nil"/>
              <w:bottom w:val="nil"/>
            </w:tcBorders>
            <w:vAlign w:val="center"/>
          </w:tcPr>
          <w:p w14:paraId="134A8273" w14:textId="77777777" w:rsidR="007B7E3E" w:rsidRPr="0085018D" w:rsidRDefault="007B7E3E" w:rsidP="002F0CE0">
            <w:pPr>
              <w:pStyle w:val="COMTabletext"/>
              <w:jc w:val="center"/>
            </w:pPr>
            <w:r w:rsidRPr="0085018D">
              <w:t>80.1 (76.8, 83.0)</w:t>
            </w:r>
          </w:p>
        </w:tc>
        <w:tc>
          <w:tcPr>
            <w:tcW w:w="815" w:type="pct"/>
            <w:tcBorders>
              <w:top w:val="nil"/>
              <w:bottom w:val="nil"/>
            </w:tcBorders>
            <w:vAlign w:val="center"/>
          </w:tcPr>
          <w:p w14:paraId="2C7B3073" w14:textId="77777777" w:rsidR="007B7E3E" w:rsidRPr="0085018D" w:rsidRDefault="007B7E3E" w:rsidP="002F0CE0">
            <w:pPr>
              <w:pStyle w:val="COMTabletext"/>
              <w:jc w:val="center"/>
            </w:pPr>
            <w:r w:rsidRPr="0085018D">
              <w:t>73.1 (69.4, 76.3)</w:t>
            </w:r>
          </w:p>
        </w:tc>
      </w:tr>
      <w:tr w:rsidR="007B7E3E" w:rsidRPr="0085018D" w14:paraId="3126775B" w14:textId="77777777" w:rsidTr="0047164D">
        <w:tc>
          <w:tcPr>
            <w:tcW w:w="1734" w:type="pct"/>
            <w:tcBorders>
              <w:top w:val="nil"/>
              <w:bottom w:val="nil"/>
            </w:tcBorders>
          </w:tcPr>
          <w:p w14:paraId="16E3A36A" w14:textId="77777777" w:rsidR="007B7E3E" w:rsidRPr="0085018D" w:rsidRDefault="007B7E3E" w:rsidP="002F0CE0">
            <w:pPr>
              <w:pStyle w:val="COMTabletext"/>
            </w:pPr>
            <w:r w:rsidRPr="0085018D">
              <w:t>- 4 years</w:t>
            </w:r>
          </w:p>
        </w:tc>
        <w:tc>
          <w:tcPr>
            <w:tcW w:w="815" w:type="pct"/>
            <w:tcBorders>
              <w:top w:val="nil"/>
              <w:bottom w:val="nil"/>
            </w:tcBorders>
            <w:vAlign w:val="center"/>
          </w:tcPr>
          <w:p w14:paraId="3600E556" w14:textId="77777777" w:rsidR="007B7E3E" w:rsidRPr="0085018D" w:rsidRDefault="007B7E3E" w:rsidP="002F0CE0">
            <w:pPr>
              <w:pStyle w:val="COMTabletext"/>
              <w:jc w:val="center"/>
            </w:pPr>
            <w:r w:rsidRPr="0085018D">
              <w:t>-</w:t>
            </w:r>
          </w:p>
        </w:tc>
        <w:tc>
          <w:tcPr>
            <w:tcW w:w="821" w:type="pct"/>
            <w:tcBorders>
              <w:top w:val="nil"/>
              <w:bottom w:val="nil"/>
            </w:tcBorders>
            <w:vAlign w:val="center"/>
          </w:tcPr>
          <w:p w14:paraId="5B6AE730" w14:textId="77777777" w:rsidR="007B7E3E" w:rsidRPr="0085018D" w:rsidRDefault="007B7E3E" w:rsidP="002F0CE0">
            <w:pPr>
              <w:pStyle w:val="COMTabletext"/>
              <w:jc w:val="center"/>
            </w:pPr>
            <w:r w:rsidRPr="0085018D">
              <w:t>-</w:t>
            </w:r>
          </w:p>
        </w:tc>
        <w:tc>
          <w:tcPr>
            <w:tcW w:w="815" w:type="pct"/>
            <w:tcBorders>
              <w:top w:val="nil"/>
              <w:bottom w:val="nil"/>
            </w:tcBorders>
          </w:tcPr>
          <w:p w14:paraId="2F33F933" w14:textId="77777777" w:rsidR="007B7E3E" w:rsidRPr="0085018D" w:rsidRDefault="007B7E3E" w:rsidP="002F0CE0">
            <w:pPr>
              <w:pStyle w:val="COMTabletext"/>
              <w:jc w:val="center"/>
            </w:pPr>
            <w:r w:rsidRPr="0085018D">
              <w:t>79.1 (75.7, 82.1)</w:t>
            </w:r>
          </w:p>
        </w:tc>
        <w:tc>
          <w:tcPr>
            <w:tcW w:w="815" w:type="pct"/>
            <w:tcBorders>
              <w:top w:val="nil"/>
              <w:bottom w:val="nil"/>
            </w:tcBorders>
          </w:tcPr>
          <w:p w14:paraId="77EBEE6B" w14:textId="77777777" w:rsidR="007B7E3E" w:rsidRPr="0085018D" w:rsidRDefault="007B7E3E" w:rsidP="002F0CE0">
            <w:pPr>
              <w:pStyle w:val="COMTabletext"/>
              <w:jc w:val="center"/>
            </w:pPr>
            <w:r w:rsidRPr="0085018D">
              <w:t>72.5 (68.9, 75.8)</w:t>
            </w:r>
          </w:p>
        </w:tc>
      </w:tr>
      <w:tr w:rsidR="007B7E3E" w:rsidRPr="0085018D" w14:paraId="635A9131" w14:textId="77777777" w:rsidTr="0047164D">
        <w:tc>
          <w:tcPr>
            <w:tcW w:w="1734" w:type="pct"/>
            <w:tcBorders>
              <w:top w:val="nil"/>
              <w:bottom w:val="nil"/>
            </w:tcBorders>
          </w:tcPr>
          <w:p w14:paraId="2BBDBAE5" w14:textId="77777777" w:rsidR="007B7E3E" w:rsidRPr="0085018D" w:rsidRDefault="007B7E3E" w:rsidP="002F0CE0">
            <w:pPr>
              <w:pStyle w:val="COMTabletext"/>
            </w:pPr>
            <w:r w:rsidRPr="0085018D">
              <w:t>- 5 years</w:t>
            </w:r>
          </w:p>
        </w:tc>
        <w:tc>
          <w:tcPr>
            <w:tcW w:w="815" w:type="pct"/>
            <w:tcBorders>
              <w:top w:val="nil"/>
              <w:bottom w:val="nil"/>
            </w:tcBorders>
            <w:vAlign w:val="center"/>
          </w:tcPr>
          <w:p w14:paraId="28B7BF0E" w14:textId="77777777" w:rsidR="007B7E3E" w:rsidRPr="0085018D" w:rsidRDefault="007B7E3E" w:rsidP="002F0CE0">
            <w:pPr>
              <w:pStyle w:val="COMTabletext"/>
              <w:jc w:val="center"/>
            </w:pPr>
            <w:r w:rsidRPr="0085018D">
              <w:t>-</w:t>
            </w:r>
          </w:p>
        </w:tc>
        <w:tc>
          <w:tcPr>
            <w:tcW w:w="821" w:type="pct"/>
            <w:tcBorders>
              <w:top w:val="nil"/>
              <w:bottom w:val="nil"/>
            </w:tcBorders>
            <w:vAlign w:val="center"/>
          </w:tcPr>
          <w:p w14:paraId="2C294A16" w14:textId="77777777" w:rsidR="007B7E3E" w:rsidRPr="0085018D" w:rsidRDefault="007B7E3E" w:rsidP="002F0CE0">
            <w:pPr>
              <w:pStyle w:val="COMTabletext"/>
              <w:jc w:val="center"/>
            </w:pPr>
            <w:r w:rsidRPr="0085018D">
              <w:t>-</w:t>
            </w:r>
          </w:p>
        </w:tc>
        <w:tc>
          <w:tcPr>
            <w:tcW w:w="815" w:type="pct"/>
            <w:tcBorders>
              <w:top w:val="nil"/>
              <w:bottom w:val="nil"/>
            </w:tcBorders>
          </w:tcPr>
          <w:p w14:paraId="470C0B34" w14:textId="77777777" w:rsidR="007B7E3E" w:rsidRPr="0085018D" w:rsidRDefault="007B7E3E" w:rsidP="002F0CE0">
            <w:pPr>
              <w:pStyle w:val="COMTabletext"/>
              <w:jc w:val="center"/>
            </w:pPr>
            <w:r w:rsidRPr="0085018D">
              <w:t>78.8 (75.4, 81.7)</w:t>
            </w:r>
          </w:p>
        </w:tc>
        <w:tc>
          <w:tcPr>
            <w:tcW w:w="815" w:type="pct"/>
            <w:tcBorders>
              <w:top w:val="nil"/>
              <w:bottom w:val="nil"/>
            </w:tcBorders>
          </w:tcPr>
          <w:p w14:paraId="3416A23B" w14:textId="77777777" w:rsidR="007B7E3E" w:rsidRPr="0085018D" w:rsidRDefault="007B7E3E" w:rsidP="002F0CE0">
            <w:pPr>
              <w:pStyle w:val="COMTabletext"/>
              <w:jc w:val="center"/>
            </w:pPr>
            <w:r w:rsidRPr="0085018D">
              <w:t>71.8 (68.1, 75.1)</w:t>
            </w:r>
          </w:p>
        </w:tc>
      </w:tr>
      <w:tr w:rsidR="007B7E3E" w:rsidRPr="0085018D" w14:paraId="7DDF382C" w14:textId="77777777" w:rsidTr="0047164D">
        <w:tc>
          <w:tcPr>
            <w:tcW w:w="1734" w:type="pct"/>
            <w:tcBorders>
              <w:top w:val="nil"/>
              <w:bottom w:val="nil"/>
            </w:tcBorders>
          </w:tcPr>
          <w:p w14:paraId="2480E3E3" w14:textId="77777777" w:rsidR="007B7E3E" w:rsidRPr="0085018D" w:rsidRDefault="007B7E3E" w:rsidP="002F0CE0">
            <w:pPr>
              <w:pStyle w:val="COMTabletext"/>
            </w:pPr>
            <w:r w:rsidRPr="0085018D">
              <w:t>- 6 years</w:t>
            </w:r>
          </w:p>
        </w:tc>
        <w:tc>
          <w:tcPr>
            <w:tcW w:w="815" w:type="pct"/>
            <w:tcBorders>
              <w:top w:val="nil"/>
              <w:bottom w:val="nil"/>
            </w:tcBorders>
            <w:vAlign w:val="center"/>
          </w:tcPr>
          <w:p w14:paraId="7FB34232" w14:textId="77777777" w:rsidR="007B7E3E" w:rsidRPr="0085018D" w:rsidRDefault="007B7E3E" w:rsidP="002F0CE0">
            <w:pPr>
              <w:pStyle w:val="COMTabletext"/>
              <w:jc w:val="center"/>
            </w:pPr>
            <w:r w:rsidRPr="0085018D">
              <w:t>-</w:t>
            </w:r>
          </w:p>
        </w:tc>
        <w:tc>
          <w:tcPr>
            <w:tcW w:w="821" w:type="pct"/>
            <w:tcBorders>
              <w:top w:val="nil"/>
              <w:bottom w:val="nil"/>
            </w:tcBorders>
            <w:vAlign w:val="center"/>
          </w:tcPr>
          <w:p w14:paraId="1AFF63FD" w14:textId="77777777" w:rsidR="007B7E3E" w:rsidRPr="0085018D" w:rsidRDefault="007B7E3E" w:rsidP="002F0CE0">
            <w:pPr>
              <w:pStyle w:val="COMTabletext"/>
              <w:jc w:val="center"/>
            </w:pPr>
            <w:r w:rsidRPr="0085018D">
              <w:t>-</w:t>
            </w:r>
          </w:p>
        </w:tc>
        <w:tc>
          <w:tcPr>
            <w:tcW w:w="815" w:type="pct"/>
            <w:tcBorders>
              <w:top w:val="nil"/>
              <w:bottom w:val="nil"/>
            </w:tcBorders>
          </w:tcPr>
          <w:p w14:paraId="52ABA312" w14:textId="77777777" w:rsidR="007B7E3E" w:rsidRPr="0085018D" w:rsidRDefault="007B7E3E" w:rsidP="002F0CE0">
            <w:pPr>
              <w:pStyle w:val="COMTabletext"/>
              <w:jc w:val="center"/>
            </w:pPr>
            <w:r w:rsidRPr="0085018D">
              <w:t>78.8 (75.4, 81.7)</w:t>
            </w:r>
          </w:p>
        </w:tc>
        <w:tc>
          <w:tcPr>
            <w:tcW w:w="815" w:type="pct"/>
            <w:tcBorders>
              <w:top w:val="nil"/>
              <w:bottom w:val="nil"/>
            </w:tcBorders>
          </w:tcPr>
          <w:p w14:paraId="1D9BD24B" w14:textId="77777777" w:rsidR="007B7E3E" w:rsidRPr="0085018D" w:rsidRDefault="007B7E3E" w:rsidP="002F0CE0">
            <w:pPr>
              <w:pStyle w:val="COMTabletext"/>
              <w:jc w:val="center"/>
            </w:pPr>
            <w:r w:rsidRPr="0085018D">
              <w:t>70.9 (67.1, 74.3)</w:t>
            </w:r>
          </w:p>
        </w:tc>
      </w:tr>
      <w:tr w:rsidR="007B7E3E" w:rsidRPr="0085018D" w14:paraId="6EFDDF43" w14:textId="77777777" w:rsidTr="0047164D">
        <w:tc>
          <w:tcPr>
            <w:tcW w:w="1734" w:type="pct"/>
            <w:tcBorders>
              <w:top w:val="nil"/>
            </w:tcBorders>
          </w:tcPr>
          <w:p w14:paraId="777AE146" w14:textId="77777777" w:rsidR="007B7E3E" w:rsidRPr="0085018D" w:rsidRDefault="007B7E3E" w:rsidP="002F0CE0">
            <w:pPr>
              <w:pStyle w:val="COMTabletext"/>
            </w:pPr>
            <w:r w:rsidRPr="0085018D">
              <w:t>- 7 years</w:t>
            </w:r>
          </w:p>
        </w:tc>
        <w:tc>
          <w:tcPr>
            <w:tcW w:w="815" w:type="pct"/>
            <w:tcBorders>
              <w:top w:val="nil"/>
            </w:tcBorders>
            <w:vAlign w:val="center"/>
          </w:tcPr>
          <w:p w14:paraId="40212CD8" w14:textId="77777777" w:rsidR="007B7E3E" w:rsidRPr="0085018D" w:rsidRDefault="007B7E3E" w:rsidP="002F0CE0">
            <w:pPr>
              <w:pStyle w:val="COMTabletext"/>
              <w:jc w:val="center"/>
            </w:pPr>
            <w:r w:rsidRPr="0085018D">
              <w:t>-</w:t>
            </w:r>
          </w:p>
        </w:tc>
        <w:tc>
          <w:tcPr>
            <w:tcW w:w="821" w:type="pct"/>
            <w:tcBorders>
              <w:top w:val="nil"/>
            </w:tcBorders>
            <w:vAlign w:val="center"/>
          </w:tcPr>
          <w:p w14:paraId="53C24265" w14:textId="77777777" w:rsidR="007B7E3E" w:rsidRPr="0085018D" w:rsidRDefault="007B7E3E" w:rsidP="002F0CE0">
            <w:pPr>
              <w:pStyle w:val="COMTabletext"/>
              <w:jc w:val="center"/>
            </w:pPr>
            <w:r w:rsidRPr="0085018D">
              <w:t>-</w:t>
            </w:r>
          </w:p>
        </w:tc>
        <w:tc>
          <w:tcPr>
            <w:tcW w:w="815" w:type="pct"/>
            <w:tcBorders>
              <w:top w:val="nil"/>
            </w:tcBorders>
          </w:tcPr>
          <w:p w14:paraId="5E79F40E" w14:textId="77777777" w:rsidR="007B7E3E" w:rsidRPr="0085018D" w:rsidRDefault="007B7E3E" w:rsidP="002F0CE0">
            <w:pPr>
              <w:pStyle w:val="COMTabletext"/>
              <w:jc w:val="center"/>
            </w:pPr>
            <w:r w:rsidRPr="0085018D">
              <w:t>78.8 (75.4, 81.7)</w:t>
            </w:r>
          </w:p>
        </w:tc>
        <w:tc>
          <w:tcPr>
            <w:tcW w:w="815" w:type="pct"/>
            <w:tcBorders>
              <w:top w:val="nil"/>
            </w:tcBorders>
          </w:tcPr>
          <w:p w14:paraId="0794B55A" w14:textId="77777777" w:rsidR="007B7E3E" w:rsidRPr="0085018D" w:rsidRDefault="007B7E3E" w:rsidP="002F0CE0">
            <w:pPr>
              <w:pStyle w:val="COMTabletext"/>
              <w:jc w:val="center"/>
            </w:pPr>
            <w:r w:rsidRPr="0085018D">
              <w:t>70.9 (67.1, 74.3)</w:t>
            </w:r>
          </w:p>
        </w:tc>
      </w:tr>
      <w:tr w:rsidR="007B7E3E" w:rsidRPr="0085018D" w14:paraId="034C4053" w14:textId="77777777" w:rsidTr="0047164D">
        <w:tc>
          <w:tcPr>
            <w:tcW w:w="1734" w:type="pct"/>
          </w:tcPr>
          <w:p w14:paraId="1C6AF591" w14:textId="77777777" w:rsidR="007B7E3E" w:rsidRPr="0085018D" w:rsidRDefault="007B7E3E" w:rsidP="002F0CE0">
            <w:pPr>
              <w:pStyle w:val="COMTabletext"/>
            </w:pPr>
            <w:r w:rsidRPr="0085018D">
              <w:t>Hazard ratio (95% CI)</w:t>
            </w:r>
          </w:p>
        </w:tc>
        <w:tc>
          <w:tcPr>
            <w:tcW w:w="1636" w:type="pct"/>
            <w:gridSpan w:val="2"/>
            <w:vAlign w:val="center"/>
          </w:tcPr>
          <w:p w14:paraId="4E5B88A0" w14:textId="77777777" w:rsidR="007B7E3E" w:rsidRPr="0085018D" w:rsidRDefault="007B7E3E" w:rsidP="002F0CE0">
            <w:pPr>
              <w:pStyle w:val="COMTabletext"/>
              <w:jc w:val="center"/>
              <w:rPr>
                <w:b/>
                <w:bCs w:val="0"/>
              </w:rPr>
            </w:pPr>
            <w:r w:rsidRPr="0085018D">
              <w:rPr>
                <w:b/>
                <w:bCs w:val="0"/>
              </w:rPr>
              <w:t>0.770 (0.603, 0.982)</w:t>
            </w:r>
          </w:p>
        </w:tc>
        <w:tc>
          <w:tcPr>
            <w:tcW w:w="1630" w:type="pct"/>
            <w:gridSpan w:val="2"/>
            <w:vAlign w:val="center"/>
          </w:tcPr>
          <w:p w14:paraId="289550DF" w14:textId="77777777" w:rsidR="007B7E3E" w:rsidRPr="0085018D" w:rsidRDefault="007B7E3E" w:rsidP="002F0CE0">
            <w:pPr>
              <w:pStyle w:val="COMTabletext"/>
              <w:jc w:val="center"/>
            </w:pPr>
            <w:r w:rsidRPr="0085018D">
              <w:t xml:space="preserve">0.708 (0.566, 0.884) </w:t>
            </w:r>
            <w:r w:rsidRPr="0085018D">
              <w:rPr>
                <w:vertAlign w:val="superscript"/>
              </w:rPr>
              <w:t>c</w:t>
            </w:r>
          </w:p>
        </w:tc>
      </w:tr>
    </w:tbl>
    <w:p w14:paraId="1F4C644E" w14:textId="77777777" w:rsidR="007B7E3E" w:rsidRPr="0085018D" w:rsidRDefault="007B7E3E" w:rsidP="002F0CE0">
      <w:pPr>
        <w:pStyle w:val="COMTablefooter"/>
        <w:keepNext/>
      </w:pPr>
      <w:r w:rsidRPr="0085018D">
        <w:t>Source: Tables 2.5-1 and 2.5-2, pp85-87 of the submission; Table 11.g, p108 of the ECHELON-1 clinical study report and Table 3.n, p51 of the ECHELON-1 clinical study report addendum 1</w:t>
      </w:r>
    </w:p>
    <w:p w14:paraId="50B0C7FF" w14:textId="77777777" w:rsidR="007B7E3E" w:rsidRPr="0085018D" w:rsidRDefault="007B7E3E" w:rsidP="002F0CE0">
      <w:pPr>
        <w:pStyle w:val="COMTablefooter"/>
        <w:keepNext/>
      </w:pPr>
      <w:r w:rsidRPr="0085018D">
        <w:t xml:space="preserve">Abbreviations: A+AVD, brentuximab </w:t>
      </w:r>
      <w:proofErr w:type="spellStart"/>
      <w:r w:rsidRPr="0085018D">
        <w:t>vedotin</w:t>
      </w:r>
      <w:proofErr w:type="spellEnd"/>
      <w:r w:rsidRPr="0085018D">
        <w:t xml:space="preserve"> plus doxorubicin, vinblastine, dacarbazine; ABVD, doxorubicin, bleomycin, vinblastine, and dacarbazine; CI, confidence interval; IRF, independent review facility; </w:t>
      </w:r>
      <w:proofErr w:type="spellStart"/>
      <w:r w:rsidRPr="0085018D">
        <w:t>mPFS</w:t>
      </w:r>
      <w:proofErr w:type="spellEnd"/>
      <w:r w:rsidRPr="0085018D">
        <w:t>, modified progression-free survival; NE, not estimable</w:t>
      </w:r>
    </w:p>
    <w:p w14:paraId="28F5734E" w14:textId="77777777" w:rsidR="007B7E3E" w:rsidRPr="0085018D" w:rsidRDefault="007B7E3E" w:rsidP="002F0CE0">
      <w:pPr>
        <w:pStyle w:val="COMTablefooter"/>
        <w:keepNext/>
        <w:rPr>
          <w:b/>
          <w:bCs/>
        </w:rPr>
      </w:pPr>
      <w:r w:rsidRPr="0085018D">
        <w:rPr>
          <w:b/>
          <w:bCs/>
        </w:rPr>
        <w:t xml:space="preserve">Bolded results were statistically </w:t>
      </w:r>
      <w:proofErr w:type="gramStart"/>
      <w:r w:rsidRPr="0085018D">
        <w:rPr>
          <w:b/>
          <w:bCs/>
        </w:rPr>
        <w:t>significant</w:t>
      </w:r>
      <w:proofErr w:type="gramEnd"/>
    </w:p>
    <w:p w14:paraId="6B553FDD" w14:textId="77777777" w:rsidR="007B7E3E" w:rsidRPr="0085018D" w:rsidRDefault="007B7E3E" w:rsidP="002F0CE0">
      <w:pPr>
        <w:pStyle w:val="COMTablefooter"/>
        <w:keepNext/>
      </w:pPr>
      <w:r w:rsidRPr="0085018D">
        <w:rPr>
          <w:vertAlign w:val="superscript"/>
        </w:rPr>
        <w:t>a</w:t>
      </w:r>
      <w:r w:rsidRPr="0085018D">
        <w:t xml:space="preserve"> Noncomplete response was defined as a Deauville score of ≤3 at the end-of-treatment PET </w:t>
      </w:r>
      <w:proofErr w:type="gramStart"/>
      <w:r w:rsidRPr="0085018D">
        <w:t>scan</w:t>
      </w:r>
      <w:proofErr w:type="gramEnd"/>
    </w:p>
    <w:p w14:paraId="407FFAE5" w14:textId="77777777" w:rsidR="007B7E3E" w:rsidRPr="0085018D" w:rsidRDefault="007B7E3E" w:rsidP="002F0CE0">
      <w:pPr>
        <w:pStyle w:val="COMTablefooter"/>
        <w:keepNext/>
      </w:pPr>
      <w:r w:rsidRPr="0085018D">
        <w:rPr>
          <w:vertAlign w:val="superscript"/>
        </w:rPr>
        <w:t>b</w:t>
      </w:r>
      <w:r w:rsidRPr="0085018D">
        <w:t xml:space="preserve"> </w:t>
      </w:r>
      <w:proofErr w:type="gramStart"/>
      <w:r w:rsidRPr="0085018D">
        <w:t>The</w:t>
      </w:r>
      <w:proofErr w:type="gramEnd"/>
      <w:r w:rsidRPr="0085018D">
        <w:t xml:space="preserve"> primary reason for censoring was no documented </w:t>
      </w:r>
      <w:proofErr w:type="spellStart"/>
      <w:r w:rsidRPr="0085018D">
        <w:t>mPFS</w:t>
      </w:r>
      <w:proofErr w:type="spellEnd"/>
      <w:r w:rsidRPr="0085018D">
        <w:t xml:space="preserve"> event at the time of analysis</w:t>
      </w:r>
    </w:p>
    <w:p w14:paraId="08C8F58B" w14:textId="77777777" w:rsidR="007B7E3E" w:rsidRPr="0085018D" w:rsidRDefault="007B7E3E" w:rsidP="003A272F">
      <w:pPr>
        <w:pStyle w:val="COMTablefooter"/>
      </w:pPr>
      <w:r w:rsidRPr="0085018D">
        <w:rPr>
          <w:vertAlign w:val="superscript"/>
        </w:rPr>
        <w:t>c</w:t>
      </w:r>
      <w:r w:rsidRPr="0085018D">
        <w:t xml:space="preserve"> </w:t>
      </w:r>
      <w:proofErr w:type="gramStart"/>
      <w:r w:rsidRPr="0085018D">
        <w:t>The</w:t>
      </w:r>
      <w:proofErr w:type="gramEnd"/>
      <w:r w:rsidRPr="0085018D">
        <w:t xml:space="preserve"> 95% CI was descriptive and unadjusted for multiplicity</w:t>
      </w:r>
    </w:p>
    <w:p w14:paraId="12A32E07" w14:textId="05C18B1C" w:rsidR="00EC446C" w:rsidRPr="0085018D" w:rsidRDefault="00271045" w:rsidP="00AA5FBC">
      <w:pPr>
        <w:pStyle w:val="COMexecsumnumberedpara"/>
      </w:pPr>
      <w:bookmarkStart w:id="24" w:name="_Ref159425318"/>
      <w:r w:rsidRPr="0085018D">
        <w:t xml:space="preserve">Median modified progression-free survival was not reached in either treatment arm. For the primary analysis period, modified progression-free survival was statistically significantly improved in the A+AVD group compared to the ABVD group. </w:t>
      </w:r>
      <w:r w:rsidR="00670C90" w:rsidRPr="0085018D">
        <w:t>R</w:t>
      </w:r>
      <w:r w:rsidR="00EC446C" w:rsidRPr="0085018D">
        <w:t xml:space="preserve">esults </w:t>
      </w:r>
      <w:r w:rsidR="00670C90" w:rsidRPr="0085018D">
        <w:t>based on</w:t>
      </w:r>
      <w:r w:rsidR="00EC446C" w:rsidRPr="0085018D">
        <w:t xml:space="preserve"> the June 2021 data cut favoured A+AVD, with greater numerical benefit compared to results from the primary analysis period. Results from the later data cut may be subject to bias as the </w:t>
      </w:r>
      <w:r w:rsidR="00670C90" w:rsidRPr="0085018D">
        <w:t>data were not independently reviewed.</w:t>
      </w:r>
      <w:r w:rsidR="00F25494" w:rsidRPr="0085018D">
        <w:t xml:space="preserve"> The PSCR noted that at the earlier data cut-off there was a high concordance (91%) between modified progression-free survival as assessed by a blinded independent review facility and an unblinded investigator. The PSCR argued that this suggested that there was minimal bias for the later results based only on modified progression-free survival by an unblinded investigator.</w:t>
      </w:r>
      <w:bookmarkEnd w:id="24"/>
      <w:r w:rsidR="00F25494" w:rsidRPr="0085018D">
        <w:t xml:space="preserve"> </w:t>
      </w:r>
    </w:p>
    <w:p w14:paraId="21E2B567" w14:textId="4F6A6DAD" w:rsidR="0070088A" w:rsidRPr="0085018D" w:rsidRDefault="00B8737F" w:rsidP="00AA5FBC">
      <w:pPr>
        <w:pStyle w:val="COMexecsumnumberedpara"/>
      </w:pPr>
      <w:r w:rsidRPr="0085018D">
        <w:t>The trial included pre-specified subgroup analyses for modified progression-free survival. Almost all subgroups demonstrated a consistent trend</w:t>
      </w:r>
      <w:r w:rsidR="00DA553C" w:rsidRPr="0085018D">
        <w:t>,</w:t>
      </w:r>
      <w:r w:rsidRPr="0085018D">
        <w:t xml:space="preserve"> with results favouring patients in the A+AVD arm compared to the ABVD arm (HR &lt;1). However, there were subgroups where the hazard ratio was ≥1 including patients aged ≥60 years, patients aged ≥65 years and patients with no </w:t>
      </w:r>
      <w:proofErr w:type="spellStart"/>
      <w:r w:rsidRPr="0085018D">
        <w:t>extranodal</w:t>
      </w:r>
      <w:proofErr w:type="spellEnd"/>
      <w:r w:rsidRPr="0085018D">
        <w:t xml:space="preserve"> sites. </w:t>
      </w:r>
      <w:r w:rsidR="00DA553C" w:rsidRPr="0085018D">
        <w:t xml:space="preserve">There was also a numerically greater benefit for patients with stage IV disease treated with A+AVD (28.9% relative risk reduction) compared to patients with stage III disease (7.8% relative risk reduction). </w:t>
      </w:r>
      <w:r w:rsidRPr="0085018D">
        <w:t>The magnitude of benefit of A+AVD in patients aged ≥60 years</w:t>
      </w:r>
      <w:r w:rsidR="00DA553C" w:rsidRPr="0085018D">
        <w:t xml:space="preserve"> and patients with stage III </w:t>
      </w:r>
      <w:r w:rsidR="00C75007" w:rsidRPr="0085018D">
        <w:t>disease is uncertain, however, the analyses were not powered to detect statistically significant differences</w:t>
      </w:r>
      <w:r w:rsidRPr="0085018D">
        <w:t>.</w:t>
      </w:r>
      <w:r w:rsidR="00C75007" w:rsidRPr="0085018D">
        <w:t xml:space="preserve"> No interaction testing was performed.</w:t>
      </w:r>
    </w:p>
    <w:p w14:paraId="468FFE43" w14:textId="2ED16540" w:rsidR="00BA5E00" w:rsidRPr="0085018D" w:rsidRDefault="00AA5FBC" w:rsidP="00AA5FBC">
      <w:pPr>
        <w:pStyle w:val="COMexecsumnumberedpara"/>
      </w:pPr>
      <w:r w:rsidRPr="0085018D">
        <w:t>Exploratory analyses of progression-free survival using standard definitions (</w:t>
      </w:r>
      <w:proofErr w:type="gramStart"/>
      <w:r w:rsidRPr="0085018D">
        <w:t>i.e.</w:t>
      </w:r>
      <w:proofErr w:type="gramEnd"/>
      <w:r w:rsidRPr="0085018D">
        <w:t xml:space="preserve"> time to disease progression or death) were presented in the submission. </w:t>
      </w:r>
      <w:r w:rsidR="005639B9" w:rsidRPr="0085018D">
        <w:t>The ESC noted that i</w:t>
      </w:r>
      <w:r w:rsidRPr="0085018D">
        <w:t>ndependently assessed results from the primary analysis period showed a trend in favour of A+AVD, however the results did not achieve statistical significance (HR 0.83; 95% CI: 0.64, 1.07). The trial report stated that the results should be interpreted with caution as protocol-directed study conduct related to the primary endpoint had the potential to impact the determination of progression-free survival events.</w:t>
      </w:r>
      <w:r w:rsidR="00BA5E00" w:rsidRPr="0085018D">
        <w:t xml:space="preserve"> </w:t>
      </w:r>
    </w:p>
    <w:p w14:paraId="6C1B7336" w14:textId="4E2F82F1" w:rsidR="00AA5FBC" w:rsidRPr="0085018D" w:rsidRDefault="00BA5E00" w:rsidP="00AA5FBC">
      <w:pPr>
        <w:pStyle w:val="COMexecsumnumberedpara"/>
      </w:pPr>
      <w:bookmarkStart w:id="25" w:name="_Ref163739316"/>
      <w:r w:rsidRPr="0085018D">
        <w:t xml:space="preserve">The ESC considered that the use of modified progression-free survival </w:t>
      </w:r>
      <w:r w:rsidR="005639B9" w:rsidRPr="0085018D">
        <w:t xml:space="preserve">was clinically robust </w:t>
      </w:r>
      <w:r w:rsidRPr="0085018D">
        <w:t>in this</w:t>
      </w:r>
      <w:r w:rsidR="005639B9" w:rsidRPr="0085018D">
        <w:t xml:space="preserve"> context</w:t>
      </w:r>
      <w:r w:rsidRPr="0085018D">
        <w:t xml:space="preserve"> </w:t>
      </w:r>
      <w:r w:rsidR="005639B9" w:rsidRPr="0085018D">
        <w:t xml:space="preserve">as if a patient had not achieved a complete </w:t>
      </w:r>
      <w:proofErr w:type="gramStart"/>
      <w:r w:rsidR="005639B9" w:rsidRPr="0085018D">
        <w:t>response</w:t>
      </w:r>
      <w:proofErr w:type="gramEnd"/>
      <w:r w:rsidR="005639B9" w:rsidRPr="0085018D">
        <w:t xml:space="preserve"> they would be given further treatment (i.e. they would not wait for disease progression after first-line treatment). As such, the ESC considered the use of modified progression-free survival </w:t>
      </w:r>
      <w:r w:rsidRPr="0085018D">
        <w:t>was more likely to reflect what would occur clinically than the analyses of progression-free survival using standard definitions</w:t>
      </w:r>
      <w:bookmarkEnd w:id="25"/>
      <w:r w:rsidR="0085018D">
        <w:t xml:space="preserve">. </w:t>
      </w:r>
    </w:p>
    <w:p w14:paraId="14214920" w14:textId="1C994368" w:rsidR="00DA3167" w:rsidRPr="0085018D" w:rsidRDefault="005652B7" w:rsidP="002B4121">
      <w:pPr>
        <w:pStyle w:val="COMexecsumnumberedpara"/>
      </w:pPr>
      <w:r w:rsidRPr="0085018D">
        <w:fldChar w:fldCharType="begin"/>
      </w:r>
      <w:r w:rsidRPr="0085018D">
        <w:instrText xml:space="preserve"> REF _Ref155360902 \h </w:instrText>
      </w:r>
      <w:r w:rsidRPr="0085018D">
        <w:fldChar w:fldCharType="separate"/>
      </w:r>
      <w:r w:rsidRPr="0085018D">
        <w:t xml:space="preserve">Figure </w:t>
      </w:r>
      <w:r w:rsidRPr="00B23B25">
        <w:t>2</w:t>
      </w:r>
      <w:r w:rsidRPr="0085018D">
        <w:fldChar w:fldCharType="end"/>
      </w:r>
      <w:r w:rsidRPr="0085018D">
        <w:t xml:space="preserve"> </w:t>
      </w:r>
      <w:r w:rsidR="002B4121" w:rsidRPr="0085018D">
        <w:t>presents the Kaplan-Meier plot of overall survival, a key secondary outcome in the trial (ITT population, June 2021 data cut).</w:t>
      </w:r>
    </w:p>
    <w:p w14:paraId="75C1C753" w14:textId="32DA115F" w:rsidR="005652B7" w:rsidRPr="0085018D" w:rsidRDefault="005652B7" w:rsidP="005652B7">
      <w:pPr>
        <w:pStyle w:val="COMtablefigcaption"/>
      </w:pPr>
      <w:bookmarkStart w:id="26" w:name="_Ref155360902"/>
      <w:r w:rsidRPr="0085018D">
        <w:t xml:space="preserve">Figure </w:t>
      </w:r>
      <w:fldSimple w:instr=" SEQ Figure \* ARABIC ">
        <w:r w:rsidR="007F55A7" w:rsidRPr="00B23B25">
          <w:t>2</w:t>
        </w:r>
      </w:fldSimple>
      <w:bookmarkEnd w:id="26"/>
      <w:r w:rsidRPr="0085018D">
        <w:t>: Overall survival (ITT population, June 2021 data cut-off)</w:t>
      </w:r>
    </w:p>
    <w:p w14:paraId="33277E19" w14:textId="77777777" w:rsidR="002B4121" w:rsidRPr="0085018D" w:rsidRDefault="002B4121" w:rsidP="002B4121">
      <w:pPr>
        <w:pStyle w:val="COMTabletext"/>
      </w:pPr>
      <w:r w:rsidRPr="005C7A9E">
        <w:rPr>
          <w:noProof/>
        </w:rPr>
        <w:drawing>
          <wp:inline distT="0" distB="0" distL="0" distR="0" wp14:anchorId="2A01665D" wp14:editId="677C7A6B">
            <wp:extent cx="5732145" cy="2520315"/>
            <wp:effectExtent l="0" t="0" r="1905" b="0"/>
            <wp:docPr id="1897330238" name="Picture 1897330238" descr="Figure 2: Overall survival (ITT population, June 2021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0238" name="Picture 1897330238" descr="Figure 2: Overall survival (ITT population, June 2021 data cut-off)"/>
                    <pic:cNvPicPr/>
                  </pic:nvPicPr>
                  <pic:blipFill>
                    <a:blip r:embed="rId9"/>
                    <a:stretch>
                      <a:fillRect/>
                    </a:stretch>
                  </pic:blipFill>
                  <pic:spPr>
                    <a:xfrm>
                      <a:off x="0" y="0"/>
                      <a:ext cx="5732145" cy="2520315"/>
                    </a:xfrm>
                    <a:prstGeom prst="rect">
                      <a:avLst/>
                    </a:prstGeom>
                  </pic:spPr>
                </pic:pic>
              </a:graphicData>
            </a:graphic>
          </wp:inline>
        </w:drawing>
      </w:r>
    </w:p>
    <w:p w14:paraId="0D1D4620" w14:textId="77777777" w:rsidR="002B4121" w:rsidRPr="0085018D" w:rsidRDefault="002B4121" w:rsidP="002B4121">
      <w:pPr>
        <w:pStyle w:val="COMTablefooter"/>
      </w:pPr>
      <w:r w:rsidRPr="0085018D">
        <w:t>Source: Figure 1, Ansell 2022 publication</w:t>
      </w:r>
    </w:p>
    <w:p w14:paraId="3717E037" w14:textId="3DB2EF73" w:rsidR="002B4121" w:rsidRPr="0085018D" w:rsidRDefault="00470ED0" w:rsidP="002B4121">
      <w:pPr>
        <w:pStyle w:val="COMTablefooter"/>
      </w:pPr>
      <w:r w:rsidRPr="0085018D">
        <w:t xml:space="preserve">Abbreviations: </w:t>
      </w:r>
      <w:r w:rsidR="002B4121" w:rsidRPr="0085018D">
        <w:t xml:space="preserve">A+AVD, brentuximab </w:t>
      </w:r>
      <w:proofErr w:type="spellStart"/>
      <w:r w:rsidR="002B4121" w:rsidRPr="0085018D">
        <w:t>vedotin</w:t>
      </w:r>
      <w:proofErr w:type="spellEnd"/>
      <w:r w:rsidR="002B4121" w:rsidRPr="0085018D">
        <w:t xml:space="preserve"> plus doxorubicin, vinblastine, dacarbazine; ABVD, doxorubicin, bleomycin, vinblastine, and dacarbazine; CI, confidence interval</w:t>
      </w:r>
    </w:p>
    <w:p w14:paraId="5C4C1572" w14:textId="1FA28139" w:rsidR="00F74197" w:rsidRPr="0085018D" w:rsidRDefault="005652B7" w:rsidP="001C2EA0">
      <w:pPr>
        <w:pStyle w:val="COMexecsumnumberedpara"/>
      </w:pPr>
      <w:r w:rsidRPr="0085018D">
        <w:fldChar w:fldCharType="begin"/>
      </w:r>
      <w:r w:rsidRPr="0085018D">
        <w:instrText xml:space="preserve"> REF _Ref155360929 \h </w:instrText>
      </w:r>
      <w:r w:rsidRPr="0085018D">
        <w:fldChar w:fldCharType="separate"/>
      </w:r>
      <w:r w:rsidRPr="0085018D">
        <w:t xml:space="preserve">Table </w:t>
      </w:r>
      <w:r w:rsidRPr="00B23B25">
        <w:t>5</w:t>
      </w:r>
      <w:r w:rsidRPr="0085018D">
        <w:fldChar w:fldCharType="end"/>
      </w:r>
      <w:r w:rsidRPr="0085018D">
        <w:t xml:space="preserve"> </w:t>
      </w:r>
      <w:r w:rsidR="00F74197" w:rsidRPr="0085018D">
        <w:t>is a summary of overall survival from the primary analysis period (April 2017 data cut) and second interim analysis for overall survival (June 2021 data cut). Data from the June 2021 cut-off w</w:t>
      </w:r>
      <w:r w:rsidR="000D3AAF" w:rsidRPr="0085018D">
        <w:t>ere</w:t>
      </w:r>
      <w:r w:rsidR="00F74197" w:rsidRPr="0085018D">
        <w:t xml:space="preserve"> used in the economic model of the submission.</w:t>
      </w:r>
    </w:p>
    <w:p w14:paraId="6B2A41F2" w14:textId="18C7C8BC" w:rsidR="001C2EA0" w:rsidRPr="0085018D" w:rsidRDefault="005652B7" w:rsidP="001C2EA0">
      <w:pPr>
        <w:pStyle w:val="COMtablefigcaption"/>
      </w:pPr>
      <w:bookmarkStart w:id="27" w:name="_Ref155360929"/>
      <w:r w:rsidRPr="0085018D">
        <w:t xml:space="preserve">Table </w:t>
      </w:r>
      <w:fldSimple w:instr=" SEQ Table \* ARABIC ">
        <w:r w:rsidR="001F14E4" w:rsidRPr="00B23B25">
          <w:t>5</w:t>
        </w:r>
      </w:fldSimple>
      <w:bookmarkEnd w:id="27"/>
      <w:r w:rsidRPr="0085018D">
        <w:t>: Summary of overall survival results</w:t>
      </w:r>
    </w:p>
    <w:tbl>
      <w:tblPr>
        <w:tblStyle w:val="TableGrid"/>
        <w:tblW w:w="5000" w:type="pct"/>
        <w:tblLook w:val="04A0" w:firstRow="1" w:lastRow="0" w:firstColumn="1" w:lastColumn="0" w:noHBand="0" w:noVBand="1"/>
        <w:tblCaption w:val="Table 5: Summary of overall survival results"/>
      </w:tblPr>
      <w:tblGrid>
        <w:gridCol w:w="3126"/>
        <w:gridCol w:w="1470"/>
        <w:gridCol w:w="1481"/>
        <w:gridCol w:w="1470"/>
        <w:gridCol w:w="1470"/>
      </w:tblGrid>
      <w:tr w:rsidR="001C2EA0" w:rsidRPr="0085018D" w14:paraId="6FDBFB8B" w14:textId="77777777" w:rsidTr="0047164D">
        <w:tc>
          <w:tcPr>
            <w:tcW w:w="1734" w:type="pct"/>
            <w:vMerge w:val="restart"/>
          </w:tcPr>
          <w:p w14:paraId="4F30DCB3" w14:textId="77777777" w:rsidR="001C2EA0" w:rsidRPr="0085018D" w:rsidRDefault="001C2EA0" w:rsidP="001A3E3F">
            <w:pPr>
              <w:pStyle w:val="COMTabletext"/>
            </w:pPr>
          </w:p>
        </w:tc>
        <w:tc>
          <w:tcPr>
            <w:tcW w:w="1636" w:type="pct"/>
            <w:gridSpan w:val="2"/>
            <w:vAlign w:val="center"/>
          </w:tcPr>
          <w:p w14:paraId="208F8C48" w14:textId="77777777" w:rsidR="001C2EA0" w:rsidRPr="0085018D" w:rsidRDefault="001C2EA0" w:rsidP="001A3E3F">
            <w:pPr>
              <w:pStyle w:val="COMTableheadingrow"/>
              <w:jc w:val="center"/>
              <w:rPr>
                <w:lang w:val="en-AU"/>
              </w:rPr>
            </w:pPr>
            <w:r w:rsidRPr="0085018D">
              <w:rPr>
                <w:lang w:val="en-AU"/>
              </w:rPr>
              <w:t>April 2017 cut-off</w:t>
            </w:r>
          </w:p>
        </w:tc>
        <w:tc>
          <w:tcPr>
            <w:tcW w:w="1630" w:type="pct"/>
            <w:gridSpan w:val="2"/>
            <w:vAlign w:val="center"/>
          </w:tcPr>
          <w:p w14:paraId="3E05640C" w14:textId="77777777" w:rsidR="001C2EA0" w:rsidRPr="0085018D" w:rsidRDefault="001C2EA0" w:rsidP="001A3E3F">
            <w:pPr>
              <w:pStyle w:val="COMTableheadingrow"/>
              <w:jc w:val="center"/>
              <w:rPr>
                <w:lang w:val="en-AU"/>
              </w:rPr>
            </w:pPr>
            <w:r w:rsidRPr="0085018D">
              <w:rPr>
                <w:lang w:val="en-AU"/>
              </w:rPr>
              <w:t>June 2021 cut-off</w:t>
            </w:r>
          </w:p>
        </w:tc>
      </w:tr>
      <w:tr w:rsidR="001C2EA0" w:rsidRPr="0085018D" w14:paraId="476BF50B" w14:textId="77777777" w:rsidTr="0047164D">
        <w:tc>
          <w:tcPr>
            <w:tcW w:w="1734" w:type="pct"/>
            <w:vMerge/>
          </w:tcPr>
          <w:p w14:paraId="654E05DF" w14:textId="77777777" w:rsidR="001C2EA0" w:rsidRPr="0085018D" w:rsidRDefault="001C2EA0" w:rsidP="001A3E3F">
            <w:pPr>
              <w:pStyle w:val="COMTabletext"/>
            </w:pPr>
          </w:p>
        </w:tc>
        <w:tc>
          <w:tcPr>
            <w:tcW w:w="815" w:type="pct"/>
            <w:vAlign w:val="center"/>
          </w:tcPr>
          <w:p w14:paraId="7D4417F2" w14:textId="77777777" w:rsidR="001C2EA0" w:rsidRPr="0085018D" w:rsidRDefault="001C2EA0" w:rsidP="001A3E3F">
            <w:pPr>
              <w:pStyle w:val="COMTableheadingrow"/>
              <w:jc w:val="center"/>
              <w:rPr>
                <w:lang w:val="en-AU"/>
              </w:rPr>
            </w:pPr>
            <w:r w:rsidRPr="0085018D">
              <w:rPr>
                <w:lang w:val="en-AU"/>
              </w:rPr>
              <w:t>A+AVD</w:t>
            </w:r>
          </w:p>
          <w:p w14:paraId="38579A3F" w14:textId="77777777" w:rsidR="001C2EA0" w:rsidRPr="0085018D" w:rsidRDefault="001C2EA0" w:rsidP="001A3E3F">
            <w:pPr>
              <w:pStyle w:val="COMTableheadingrow"/>
              <w:jc w:val="center"/>
              <w:rPr>
                <w:lang w:val="en-AU"/>
              </w:rPr>
            </w:pPr>
            <w:r w:rsidRPr="0085018D">
              <w:rPr>
                <w:lang w:val="en-AU"/>
              </w:rPr>
              <w:t>N=664</w:t>
            </w:r>
          </w:p>
        </w:tc>
        <w:tc>
          <w:tcPr>
            <w:tcW w:w="821" w:type="pct"/>
            <w:vAlign w:val="center"/>
          </w:tcPr>
          <w:p w14:paraId="13C53C21" w14:textId="77777777" w:rsidR="001C2EA0" w:rsidRPr="0085018D" w:rsidRDefault="001C2EA0" w:rsidP="001A3E3F">
            <w:pPr>
              <w:pStyle w:val="COMTableheadingrow"/>
              <w:jc w:val="center"/>
              <w:rPr>
                <w:lang w:val="en-AU"/>
              </w:rPr>
            </w:pPr>
            <w:r w:rsidRPr="0085018D">
              <w:rPr>
                <w:lang w:val="en-AU"/>
              </w:rPr>
              <w:t>ABVD</w:t>
            </w:r>
          </w:p>
          <w:p w14:paraId="10A07E48" w14:textId="77777777" w:rsidR="001C2EA0" w:rsidRPr="0085018D" w:rsidRDefault="001C2EA0" w:rsidP="001A3E3F">
            <w:pPr>
              <w:pStyle w:val="COMTableheadingrow"/>
              <w:jc w:val="center"/>
              <w:rPr>
                <w:lang w:val="en-AU"/>
              </w:rPr>
            </w:pPr>
            <w:r w:rsidRPr="0085018D">
              <w:rPr>
                <w:lang w:val="en-AU"/>
              </w:rPr>
              <w:t>N=670</w:t>
            </w:r>
          </w:p>
        </w:tc>
        <w:tc>
          <w:tcPr>
            <w:tcW w:w="815" w:type="pct"/>
            <w:vAlign w:val="center"/>
          </w:tcPr>
          <w:p w14:paraId="78193DC9" w14:textId="77777777" w:rsidR="001C2EA0" w:rsidRPr="0085018D" w:rsidRDefault="001C2EA0" w:rsidP="001A3E3F">
            <w:pPr>
              <w:pStyle w:val="COMTableheadingrow"/>
              <w:jc w:val="center"/>
              <w:rPr>
                <w:lang w:val="en-AU"/>
              </w:rPr>
            </w:pPr>
            <w:r w:rsidRPr="0085018D">
              <w:rPr>
                <w:lang w:val="en-AU"/>
              </w:rPr>
              <w:t>A+AVD</w:t>
            </w:r>
          </w:p>
          <w:p w14:paraId="7B64399C" w14:textId="77777777" w:rsidR="001C2EA0" w:rsidRPr="0085018D" w:rsidRDefault="001C2EA0" w:rsidP="001A3E3F">
            <w:pPr>
              <w:pStyle w:val="COMTableheadingrow"/>
              <w:jc w:val="center"/>
              <w:rPr>
                <w:lang w:val="en-AU"/>
              </w:rPr>
            </w:pPr>
            <w:r w:rsidRPr="0085018D">
              <w:rPr>
                <w:lang w:val="en-AU"/>
              </w:rPr>
              <w:t>N=664</w:t>
            </w:r>
          </w:p>
        </w:tc>
        <w:tc>
          <w:tcPr>
            <w:tcW w:w="815" w:type="pct"/>
            <w:vAlign w:val="center"/>
          </w:tcPr>
          <w:p w14:paraId="4F02FD99" w14:textId="77777777" w:rsidR="001C2EA0" w:rsidRPr="0085018D" w:rsidRDefault="001C2EA0" w:rsidP="001A3E3F">
            <w:pPr>
              <w:pStyle w:val="COMTableheadingrow"/>
              <w:jc w:val="center"/>
              <w:rPr>
                <w:lang w:val="en-AU"/>
              </w:rPr>
            </w:pPr>
            <w:r w:rsidRPr="0085018D">
              <w:rPr>
                <w:lang w:val="en-AU"/>
              </w:rPr>
              <w:t>ABVD</w:t>
            </w:r>
          </w:p>
          <w:p w14:paraId="40C7AE06" w14:textId="77777777" w:rsidR="001C2EA0" w:rsidRPr="0085018D" w:rsidRDefault="001C2EA0" w:rsidP="001A3E3F">
            <w:pPr>
              <w:pStyle w:val="COMTableheadingrow"/>
              <w:jc w:val="center"/>
              <w:rPr>
                <w:lang w:val="en-AU"/>
              </w:rPr>
            </w:pPr>
            <w:r w:rsidRPr="0085018D">
              <w:rPr>
                <w:lang w:val="en-AU"/>
              </w:rPr>
              <w:t>N=670</w:t>
            </w:r>
          </w:p>
        </w:tc>
      </w:tr>
      <w:tr w:rsidR="001C2EA0" w:rsidRPr="0085018D" w14:paraId="69CD5CB9" w14:textId="77777777" w:rsidTr="0047164D">
        <w:tc>
          <w:tcPr>
            <w:tcW w:w="1734" w:type="pct"/>
            <w:tcBorders>
              <w:bottom w:val="single" w:sz="4" w:space="0" w:color="auto"/>
            </w:tcBorders>
          </w:tcPr>
          <w:p w14:paraId="13A4912C" w14:textId="77777777" w:rsidR="001C2EA0" w:rsidRPr="0085018D" w:rsidRDefault="001C2EA0" w:rsidP="001A3E3F">
            <w:pPr>
              <w:pStyle w:val="COMTabletext"/>
            </w:pPr>
            <w:r w:rsidRPr="0085018D">
              <w:t>Median follow-up, months (95% CI)</w:t>
            </w:r>
          </w:p>
        </w:tc>
        <w:tc>
          <w:tcPr>
            <w:tcW w:w="815" w:type="pct"/>
            <w:tcBorders>
              <w:bottom w:val="single" w:sz="4" w:space="0" w:color="auto"/>
            </w:tcBorders>
            <w:vAlign w:val="center"/>
          </w:tcPr>
          <w:p w14:paraId="2B620739" w14:textId="77777777" w:rsidR="001C2EA0" w:rsidRPr="0085018D" w:rsidRDefault="001C2EA0" w:rsidP="001A3E3F">
            <w:pPr>
              <w:pStyle w:val="COMTabletext"/>
              <w:jc w:val="center"/>
            </w:pPr>
            <w:r w:rsidRPr="0085018D">
              <w:t>28.0 (26.4, 28.3)</w:t>
            </w:r>
          </w:p>
        </w:tc>
        <w:tc>
          <w:tcPr>
            <w:tcW w:w="821" w:type="pct"/>
            <w:tcBorders>
              <w:bottom w:val="single" w:sz="4" w:space="0" w:color="auto"/>
            </w:tcBorders>
            <w:vAlign w:val="center"/>
          </w:tcPr>
          <w:p w14:paraId="6ABBDF0F" w14:textId="77777777" w:rsidR="001C2EA0" w:rsidRPr="0085018D" w:rsidRDefault="001C2EA0" w:rsidP="001A3E3F">
            <w:pPr>
              <w:pStyle w:val="COMTabletext"/>
              <w:jc w:val="center"/>
            </w:pPr>
            <w:r w:rsidRPr="0085018D">
              <w:t>27.5 (25.9, 28.1)</w:t>
            </w:r>
          </w:p>
        </w:tc>
        <w:tc>
          <w:tcPr>
            <w:tcW w:w="815" w:type="pct"/>
            <w:tcBorders>
              <w:bottom w:val="single" w:sz="4" w:space="0" w:color="auto"/>
            </w:tcBorders>
            <w:vAlign w:val="center"/>
          </w:tcPr>
          <w:p w14:paraId="44693BFC" w14:textId="77777777" w:rsidR="001C2EA0" w:rsidRPr="0085018D" w:rsidRDefault="001C2EA0" w:rsidP="001A3E3F">
            <w:pPr>
              <w:pStyle w:val="COMTabletext"/>
              <w:jc w:val="center"/>
            </w:pPr>
            <w:r w:rsidRPr="0085018D">
              <w:t>73.3 (72.6, 74.1)</w:t>
            </w:r>
          </w:p>
        </w:tc>
        <w:tc>
          <w:tcPr>
            <w:tcW w:w="815" w:type="pct"/>
            <w:tcBorders>
              <w:bottom w:val="single" w:sz="4" w:space="0" w:color="auto"/>
            </w:tcBorders>
            <w:vAlign w:val="center"/>
          </w:tcPr>
          <w:p w14:paraId="142EFDDA" w14:textId="77777777" w:rsidR="001C2EA0" w:rsidRPr="0085018D" w:rsidRDefault="001C2EA0" w:rsidP="001A3E3F">
            <w:pPr>
              <w:pStyle w:val="COMTabletext"/>
              <w:jc w:val="center"/>
            </w:pPr>
            <w:r w:rsidRPr="0085018D">
              <w:t>72.4 (71.1, 73.6)</w:t>
            </w:r>
          </w:p>
        </w:tc>
      </w:tr>
      <w:tr w:rsidR="001C2EA0" w:rsidRPr="0085018D" w14:paraId="313DB372" w14:textId="77777777" w:rsidTr="0047164D">
        <w:tc>
          <w:tcPr>
            <w:tcW w:w="1734" w:type="pct"/>
            <w:tcBorders>
              <w:bottom w:val="single" w:sz="4" w:space="0" w:color="auto"/>
            </w:tcBorders>
          </w:tcPr>
          <w:p w14:paraId="066B1ED2" w14:textId="77777777" w:rsidR="001C2EA0" w:rsidRPr="0085018D" w:rsidRDefault="001C2EA0" w:rsidP="001A3E3F">
            <w:pPr>
              <w:pStyle w:val="COMTabletext"/>
            </w:pPr>
            <w:r w:rsidRPr="0085018D">
              <w:t>Deaths, n (%)</w:t>
            </w:r>
          </w:p>
        </w:tc>
        <w:tc>
          <w:tcPr>
            <w:tcW w:w="815" w:type="pct"/>
            <w:tcBorders>
              <w:bottom w:val="single" w:sz="4" w:space="0" w:color="auto"/>
            </w:tcBorders>
            <w:vAlign w:val="center"/>
          </w:tcPr>
          <w:p w14:paraId="568A0A32" w14:textId="77777777" w:rsidR="001C2EA0" w:rsidRPr="0085018D" w:rsidRDefault="001C2EA0" w:rsidP="001A3E3F">
            <w:pPr>
              <w:pStyle w:val="COMTabletext"/>
              <w:jc w:val="center"/>
            </w:pPr>
            <w:r w:rsidRPr="0085018D">
              <w:t>28 (4)</w:t>
            </w:r>
          </w:p>
        </w:tc>
        <w:tc>
          <w:tcPr>
            <w:tcW w:w="821" w:type="pct"/>
            <w:tcBorders>
              <w:bottom w:val="single" w:sz="4" w:space="0" w:color="auto"/>
            </w:tcBorders>
            <w:vAlign w:val="center"/>
          </w:tcPr>
          <w:p w14:paraId="08B60AF1" w14:textId="77777777" w:rsidR="001C2EA0" w:rsidRPr="0085018D" w:rsidRDefault="001C2EA0" w:rsidP="001A3E3F">
            <w:pPr>
              <w:pStyle w:val="COMTabletext"/>
              <w:jc w:val="center"/>
            </w:pPr>
            <w:r w:rsidRPr="0085018D">
              <w:t>39 (6)</w:t>
            </w:r>
          </w:p>
        </w:tc>
        <w:tc>
          <w:tcPr>
            <w:tcW w:w="815" w:type="pct"/>
            <w:tcBorders>
              <w:bottom w:val="single" w:sz="4" w:space="0" w:color="auto"/>
            </w:tcBorders>
          </w:tcPr>
          <w:p w14:paraId="4ACE6CCF" w14:textId="77777777" w:rsidR="001C2EA0" w:rsidRPr="0085018D" w:rsidRDefault="001C2EA0" w:rsidP="001A3E3F">
            <w:pPr>
              <w:pStyle w:val="COMTabletext"/>
              <w:jc w:val="center"/>
            </w:pPr>
            <w:r w:rsidRPr="0085018D">
              <w:t>39 (6)</w:t>
            </w:r>
          </w:p>
        </w:tc>
        <w:tc>
          <w:tcPr>
            <w:tcW w:w="815" w:type="pct"/>
            <w:tcBorders>
              <w:bottom w:val="single" w:sz="4" w:space="0" w:color="auto"/>
            </w:tcBorders>
          </w:tcPr>
          <w:p w14:paraId="6C310FF2" w14:textId="77777777" w:rsidR="001C2EA0" w:rsidRPr="0085018D" w:rsidRDefault="001C2EA0" w:rsidP="001A3E3F">
            <w:pPr>
              <w:pStyle w:val="COMTabletext"/>
              <w:jc w:val="center"/>
            </w:pPr>
            <w:r w:rsidRPr="0085018D">
              <w:t>64 (10)</w:t>
            </w:r>
          </w:p>
        </w:tc>
      </w:tr>
      <w:tr w:rsidR="001C2EA0" w:rsidRPr="0085018D" w14:paraId="2C0C086C" w14:textId="77777777" w:rsidTr="0047164D">
        <w:tc>
          <w:tcPr>
            <w:tcW w:w="1734" w:type="pct"/>
            <w:tcBorders>
              <w:top w:val="single" w:sz="4" w:space="0" w:color="auto"/>
            </w:tcBorders>
          </w:tcPr>
          <w:p w14:paraId="2719F20F" w14:textId="77777777" w:rsidR="001C2EA0" w:rsidRPr="0085018D" w:rsidRDefault="001C2EA0" w:rsidP="001A3E3F">
            <w:pPr>
              <w:pStyle w:val="COMTabletext"/>
            </w:pPr>
            <w:r w:rsidRPr="0085018D">
              <w:t>Censored, n (%)</w:t>
            </w:r>
          </w:p>
        </w:tc>
        <w:tc>
          <w:tcPr>
            <w:tcW w:w="815" w:type="pct"/>
            <w:tcBorders>
              <w:top w:val="single" w:sz="4" w:space="0" w:color="auto"/>
            </w:tcBorders>
            <w:vAlign w:val="center"/>
          </w:tcPr>
          <w:p w14:paraId="2967F487" w14:textId="77777777" w:rsidR="001C2EA0" w:rsidRPr="0085018D" w:rsidRDefault="001C2EA0" w:rsidP="001A3E3F">
            <w:pPr>
              <w:pStyle w:val="COMTabletext"/>
              <w:jc w:val="center"/>
            </w:pPr>
            <w:r w:rsidRPr="0085018D">
              <w:t>636 (96)</w:t>
            </w:r>
          </w:p>
        </w:tc>
        <w:tc>
          <w:tcPr>
            <w:tcW w:w="821" w:type="pct"/>
            <w:tcBorders>
              <w:top w:val="single" w:sz="4" w:space="0" w:color="auto"/>
            </w:tcBorders>
            <w:vAlign w:val="center"/>
          </w:tcPr>
          <w:p w14:paraId="141CB909" w14:textId="77777777" w:rsidR="001C2EA0" w:rsidRPr="0085018D" w:rsidRDefault="001C2EA0" w:rsidP="001A3E3F">
            <w:pPr>
              <w:pStyle w:val="COMTabletext"/>
              <w:jc w:val="center"/>
            </w:pPr>
            <w:r w:rsidRPr="0085018D">
              <w:t>631 (94)</w:t>
            </w:r>
          </w:p>
        </w:tc>
        <w:tc>
          <w:tcPr>
            <w:tcW w:w="815" w:type="pct"/>
            <w:tcBorders>
              <w:top w:val="single" w:sz="4" w:space="0" w:color="auto"/>
            </w:tcBorders>
            <w:vAlign w:val="center"/>
          </w:tcPr>
          <w:p w14:paraId="2CF34784" w14:textId="77777777" w:rsidR="001C2EA0" w:rsidRPr="0085018D" w:rsidRDefault="001C2EA0" w:rsidP="001A3E3F">
            <w:pPr>
              <w:pStyle w:val="COMTabletext"/>
              <w:jc w:val="center"/>
            </w:pPr>
            <w:r w:rsidRPr="0085018D">
              <w:t>420 (63)</w:t>
            </w:r>
          </w:p>
        </w:tc>
        <w:tc>
          <w:tcPr>
            <w:tcW w:w="815" w:type="pct"/>
            <w:tcBorders>
              <w:top w:val="single" w:sz="4" w:space="0" w:color="auto"/>
            </w:tcBorders>
            <w:vAlign w:val="center"/>
          </w:tcPr>
          <w:p w14:paraId="0C0B641B" w14:textId="77777777" w:rsidR="001C2EA0" w:rsidRPr="0085018D" w:rsidRDefault="001C2EA0" w:rsidP="001A3E3F">
            <w:pPr>
              <w:pStyle w:val="COMTabletext"/>
              <w:jc w:val="center"/>
            </w:pPr>
            <w:r w:rsidRPr="0085018D">
              <w:t>468 (70)</w:t>
            </w:r>
          </w:p>
        </w:tc>
      </w:tr>
      <w:tr w:rsidR="001C2EA0" w:rsidRPr="0085018D" w14:paraId="42D863FA" w14:textId="77777777" w:rsidTr="0047164D">
        <w:tc>
          <w:tcPr>
            <w:tcW w:w="1734" w:type="pct"/>
            <w:tcBorders>
              <w:bottom w:val="single" w:sz="4" w:space="0" w:color="auto"/>
            </w:tcBorders>
          </w:tcPr>
          <w:p w14:paraId="64ABDBF1" w14:textId="77777777" w:rsidR="001C2EA0" w:rsidRPr="0085018D" w:rsidRDefault="001C2EA0" w:rsidP="001A3E3F">
            <w:pPr>
              <w:pStyle w:val="COMTabletext"/>
            </w:pPr>
            <w:r w:rsidRPr="0085018D">
              <w:t>Alive, n (%)</w:t>
            </w:r>
          </w:p>
        </w:tc>
        <w:tc>
          <w:tcPr>
            <w:tcW w:w="815" w:type="pct"/>
            <w:tcBorders>
              <w:bottom w:val="single" w:sz="4" w:space="0" w:color="auto"/>
            </w:tcBorders>
            <w:vAlign w:val="center"/>
          </w:tcPr>
          <w:p w14:paraId="30219C0C" w14:textId="77777777" w:rsidR="001C2EA0" w:rsidRPr="0085018D" w:rsidRDefault="001C2EA0" w:rsidP="001A3E3F">
            <w:pPr>
              <w:pStyle w:val="COMTabletext"/>
              <w:jc w:val="center"/>
            </w:pPr>
            <w:r w:rsidRPr="0085018D">
              <w:t>580 (87)</w:t>
            </w:r>
          </w:p>
        </w:tc>
        <w:tc>
          <w:tcPr>
            <w:tcW w:w="821" w:type="pct"/>
            <w:tcBorders>
              <w:bottom w:val="single" w:sz="4" w:space="0" w:color="auto"/>
            </w:tcBorders>
            <w:vAlign w:val="center"/>
          </w:tcPr>
          <w:p w14:paraId="146C36A1" w14:textId="77777777" w:rsidR="001C2EA0" w:rsidRPr="0085018D" w:rsidRDefault="001C2EA0" w:rsidP="001A3E3F">
            <w:pPr>
              <w:pStyle w:val="COMTabletext"/>
              <w:jc w:val="center"/>
            </w:pPr>
            <w:r w:rsidRPr="0085018D">
              <w:t>560 (84)</w:t>
            </w:r>
          </w:p>
        </w:tc>
        <w:tc>
          <w:tcPr>
            <w:tcW w:w="815" w:type="pct"/>
            <w:tcBorders>
              <w:bottom w:val="single" w:sz="4" w:space="0" w:color="auto"/>
            </w:tcBorders>
            <w:vAlign w:val="center"/>
          </w:tcPr>
          <w:p w14:paraId="16786FCB" w14:textId="77777777" w:rsidR="001C2EA0" w:rsidRPr="0085018D" w:rsidRDefault="001C2EA0" w:rsidP="001A3E3F">
            <w:pPr>
              <w:pStyle w:val="COMTabletext"/>
              <w:jc w:val="center"/>
            </w:pPr>
            <w:r w:rsidRPr="0085018D">
              <w:t>415 (63)</w:t>
            </w:r>
          </w:p>
        </w:tc>
        <w:tc>
          <w:tcPr>
            <w:tcW w:w="815" w:type="pct"/>
            <w:tcBorders>
              <w:bottom w:val="single" w:sz="4" w:space="0" w:color="auto"/>
            </w:tcBorders>
            <w:vAlign w:val="center"/>
          </w:tcPr>
          <w:p w14:paraId="25658628" w14:textId="77777777" w:rsidR="001C2EA0" w:rsidRPr="0085018D" w:rsidRDefault="001C2EA0" w:rsidP="001A3E3F">
            <w:pPr>
              <w:pStyle w:val="COMTabletext"/>
              <w:jc w:val="center"/>
            </w:pPr>
            <w:r w:rsidRPr="0085018D">
              <w:t>372 (56)</w:t>
            </w:r>
          </w:p>
        </w:tc>
      </w:tr>
      <w:tr w:rsidR="001C2EA0" w:rsidRPr="0085018D" w14:paraId="33BCCD10" w14:textId="77777777" w:rsidTr="0047164D">
        <w:tc>
          <w:tcPr>
            <w:tcW w:w="1734" w:type="pct"/>
          </w:tcPr>
          <w:p w14:paraId="0280578C" w14:textId="77777777" w:rsidR="001C2EA0" w:rsidRPr="0085018D" w:rsidRDefault="001C2EA0" w:rsidP="001A3E3F">
            <w:pPr>
              <w:pStyle w:val="COMTabletext"/>
            </w:pPr>
            <w:r w:rsidRPr="0085018D">
              <w:t>Median OS, months (95% CI)</w:t>
            </w:r>
          </w:p>
        </w:tc>
        <w:tc>
          <w:tcPr>
            <w:tcW w:w="815" w:type="pct"/>
            <w:vAlign w:val="center"/>
          </w:tcPr>
          <w:p w14:paraId="10AB54A7" w14:textId="77777777" w:rsidR="001C2EA0" w:rsidRPr="0085018D" w:rsidRDefault="001C2EA0" w:rsidP="001A3E3F">
            <w:pPr>
              <w:pStyle w:val="COMTabletext"/>
              <w:jc w:val="center"/>
            </w:pPr>
            <w:r w:rsidRPr="0085018D">
              <w:t>NE (NE, NE)</w:t>
            </w:r>
          </w:p>
        </w:tc>
        <w:tc>
          <w:tcPr>
            <w:tcW w:w="821" w:type="pct"/>
            <w:vAlign w:val="center"/>
          </w:tcPr>
          <w:p w14:paraId="17DB4664" w14:textId="77777777" w:rsidR="001C2EA0" w:rsidRPr="0085018D" w:rsidRDefault="001C2EA0" w:rsidP="001A3E3F">
            <w:pPr>
              <w:pStyle w:val="COMTabletext"/>
              <w:jc w:val="center"/>
            </w:pPr>
            <w:r w:rsidRPr="0085018D">
              <w:t>NE (NE, NE)</w:t>
            </w:r>
          </w:p>
        </w:tc>
        <w:tc>
          <w:tcPr>
            <w:tcW w:w="815" w:type="pct"/>
            <w:vAlign w:val="center"/>
          </w:tcPr>
          <w:p w14:paraId="52282BE4" w14:textId="77777777" w:rsidR="001C2EA0" w:rsidRPr="0085018D" w:rsidRDefault="001C2EA0" w:rsidP="001A3E3F">
            <w:pPr>
              <w:pStyle w:val="COMTabletext"/>
              <w:jc w:val="center"/>
            </w:pPr>
            <w:r w:rsidRPr="0085018D">
              <w:t>NE (NE, NE)</w:t>
            </w:r>
          </w:p>
        </w:tc>
        <w:tc>
          <w:tcPr>
            <w:tcW w:w="815" w:type="pct"/>
            <w:vAlign w:val="center"/>
          </w:tcPr>
          <w:p w14:paraId="6A28A131" w14:textId="77777777" w:rsidR="001C2EA0" w:rsidRPr="0085018D" w:rsidRDefault="001C2EA0" w:rsidP="001A3E3F">
            <w:pPr>
              <w:pStyle w:val="COMTabletext"/>
              <w:jc w:val="center"/>
            </w:pPr>
            <w:r w:rsidRPr="0085018D">
              <w:t>NE (NE, NE)</w:t>
            </w:r>
          </w:p>
        </w:tc>
      </w:tr>
      <w:tr w:rsidR="001C2EA0" w:rsidRPr="0085018D" w14:paraId="288E652D" w14:textId="77777777" w:rsidTr="0047164D">
        <w:tc>
          <w:tcPr>
            <w:tcW w:w="1734" w:type="pct"/>
            <w:tcBorders>
              <w:bottom w:val="nil"/>
            </w:tcBorders>
          </w:tcPr>
          <w:p w14:paraId="6D13A6BE" w14:textId="77777777" w:rsidR="001C2EA0" w:rsidRPr="0085018D" w:rsidRDefault="001C2EA0" w:rsidP="001A3E3F">
            <w:pPr>
              <w:pStyle w:val="COMTabletext"/>
            </w:pPr>
            <w:r w:rsidRPr="0085018D">
              <w:t>Kaplan-Meier estimates, % (95% CI)</w:t>
            </w:r>
          </w:p>
        </w:tc>
        <w:tc>
          <w:tcPr>
            <w:tcW w:w="815" w:type="pct"/>
            <w:tcBorders>
              <w:bottom w:val="nil"/>
            </w:tcBorders>
            <w:vAlign w:val="center"/>
          </w:tcPr>
          <w:p w14:paraId="25F0AF40" w14:textId="77777777" w:rsidR="001C2EA0" w:rsidRPr="0085018D" w:rsidRDefault="001C2EA0" w:rsidP="001A3E3F">
            <w:pPr>
              <w:pStyle w:val="COMTabletext"/>
              <w:jc w:val="center"/>
            </w:pPr>
          </w:p>
        </w:tc>
        <w:tc>
          <w:tcPr>
            <w:tcW w:w="821" w:type="pct"/>
            <w:tcBorders>
              <w:bottom w:val="nil"/>
            </w:tcBorders>
            <w:vAlign w:val="center"/>
          </w:tcPr>
          <w:p w14:paraId="1D7FF734" w14:textId="77777777" w:rsidR="001C2EA0" w:rsidRPr="0085018D" w:rsidRDefault="001C2EA0" w:rsidP="001A3E3F">
            <w:pPr>
              <w:pStyle w:val="COMTabletext"/>
              <w:jc w:val="center"/>
            </w:pPr>
          </w:p>
        </w:tc>
        <w:tc>
          <w:tcPr>
            <w:tcW w:w="815" w:type="pct"/>
            <w:tcBorders>
              <w:bottom w:val="nil"/>
            </w:tcBorders>
            <w:vAlign w:val="center"/>
          </w:tcPr>
          <w:p w14:paraId="513B4E45" w14:textId="77777777" w:rsidR="001C2EA0" w:rsidRPr="0085018D" w:rsidRDefault="001C2EA0" w:rsidP="001A3E3F">
            <w:pPr>
              <w:pStyle w:val="COMTabletext"/>
              <w:jc w:val="center"/>
            </w:pPr>
          </w:p>
        </w:tc>
        <w:tc>
          <w:tcPr>
            <w:tcW w:w="815" w:type="pct"/>
            <w:tcBorders>
              <w:bottom w:val="nil"/>
            </w:tcBorders>
            <w:vAlign w:val="center"/>
          </w:tcPr>
          <w:p w14:paraId="6B3698BC" w14:textId="77777777" w:rsidR="001C2EA0" w:rsidRPr="0085018D" w:rsidRDefault="001C2EA0" w:rsidP="001A3E3F">
            <w:pPr>
              <w:pStyle w:val="COMTabletext"/>
              <w:jc w:val="center"/>
            </w:pPr>
          </w:p>
        </w:tc>
      </w:tr>
      <w:tr w:rsidR="001C2EA0" w:rsidRPr="0085018D" w14:paraId="64363A8A" w14:textId="77777777" w:rsidTr="0047164D">
        <w:tc>
          <w:tcPr>
            <w:tcW w:w="1734" w:type="pct"/>
            <w:tcBorders>
              <w:top w:val="nil"/>
              <w:bottom w:val="nil"/>
            </w:tcBorders>
          </w:tcPr>
          <w:p w14:paraId="79CC3301" w14:textId="77777777" w:rsidR="001C2EA0" w:rsidRPr="0085018D" w:rsidRDefault="001C2EA0" w:rsidP="001A3E3F">
            <w:pPr>
              <w:pStyle w:val="COMTabletext"/>
            </w:pPr>
            <w:r w:rsidRPr="0085018D">
              <w:t>- 6 months</w:t>
            </w:r>
          </w:p>
        </w:tc>
        <w:tc>
          <w:tcPr>
            <w:tcW w:w="815" w:type="pct"/>
            <w:tcBorders>
              <w:top w:val="nil"/>
              <w:bottom w:val="nil"/>
            </w:tcBorders>
          </w:tcPr>
          <w:p w14:paraId="29CDAE64" w14:textId="77777777" w:rsidR="001C2EA0" w:rsidRPr="0085018D" w:rsidRDefault="001C2EA0" w:rsidP="001A3E3F">
            <w:pPr>
              <w:pStyle w:val="COMTabletext"/>
              <w:jc w:val="center"/>
            </w:pPr>
            <w:r w:rsidRPr="0085018D">
              <w:t>98.3 (97.0, 99.1)</w:t>
            </w:r>
          </w:p>
        </w:tc>
        <w:tc>
          <w:tcPr>
            <w:tcW w:w="821" w:type="pct"/>
            <w:tcBorders>
              <w:top w:val="nil"/>
              <w:bottom w:val="nil"/>
            </w:tcBorders>
          </w:tcPr>
          <w:p w14:paraId="52A80413" w14:textId="77777777" w:rsidR="001C2EA0" w:rsidRPr="0085018D" w:rsidRDefault="001C2EA0" w:rsidP="001A3E3F">
            <w:pPr>
              <w:pStyle w:val="COMTabletext"/>
              <w:jc w:val="center"/>
            </w:pPr>
            <w:r w:rsidRPr="0085018D">
              <w:t>98.1 (96.8, 98.9)</w:t>
            </w:r>
          </w:p>
        </w:tc>
        <w:tc>
          <w:tcPr>
            <w:tcW w:w="815" w:type="pct"/>
            <w:tcBorders>
              <w:top w:val="nil"/>
              <w:bottom w:val="nil"/>
            </w:tcBorders>
          </w:tcPr>
          <w:p w14:paraId="12B12D43" w14:textId="77777777" w:rsidR="001C2EA0" w:rsidRPr="0085018D" w:rsidRDefault="001C2EA0" w:rsidP="001A3E3F">
            <w:pPr>
              <w:pStyle w:val="COMTabletext"/>
              <w:jc w:val="center"/>
            </w:pPr>
            <w:r w:rsidRPr="0085018D">
              <w:t>98.3 (97.0, 99.1)</w:t>
            </w:r>
          </w:p>
        </w:tc>
        <w:tc>
          <w:tcPr>
            <w:tcW w:w="815" w:type="pct"/>
            <w:tcBorders>
              <w:top w:val="nil"/>
              <w:bottom w:val="nil"/>
            </w:tcBorders>
          </w:tcPr>
          <w:p w14:paraId="32222D72" w14:textId="77777777" w:rsidR="001C2EA0" w:rsidRPr="0085018D" w:rsidRDefault="001C2EA0" w:rsidP="001A3E3F">
            <w:pPr>
              <w:pStyle w:val="COMTabletext"/>
              <w:jc w:val="center"/>
            </w:pPr>
            <w:r w:rsidRPr="0085018D">
              <w:t>98.1 (96.8, 98.9)</w:t>
            </w:r>
          </w:p>
        </w:tc>
      </w:tr>
      <w:tr w:rsidR="001C2EA0" w:rsidRPr="0085018D" w14:paraId="580DD416" w14:textId="77777777" w:rsidTr="0047164D">
        <w:tc>
          <w:tcPr>
            <w:tcW w:w="1734" w:type="pct"/>
            <w:tcBorders>
              <w:top w:val="nil"/>
              <w:bottom w:val="nil"/>
            </w:tcBorders>
          </w:tcPr>
          <w:p w14:paraId="0F70AEF4" w14:textId="77777777" w:rsidR="001C2EA0" w:rsidRPr="0085018D" w:rsidRDefault="001C2EA0" w:rsidP="001A3E3F">
            <w:pPr>
              <w:pStyle w:val="COMTabletext"/>
            </w:pPr>
            <w:r w:rsidRPr="0085018D">
              <w:t>- 1 year</w:t>
            </w:r>
          </w:p>
        </w:tc>
        <w:tc>
          <w:tcPr>
            <w:tcW w:w="815" w:type="pct"/>
            <w:tcBorders>
              <w:top w:val="nil"/>
              <w:bottom w:val="nil"/>
            </w:tcBorders>
          </w:tcPr>
          <w:p w14:paraId="70F492EA" w14:textId="77777777" w:rsidR="001C2EA0" w:rsidRPr="0085018D" w:rsidRDefault="001C2EA0" w:rsidP="001A3E3F">
            <w:pPr>
              <w:pStyle w:val="COMTabletext"/>
              <w:jc w:val="center"/>
            </w:pPr>
            <w:r w:rsidRPr="0085018D">
              <w:t>97.4 (95.8, 98.4)</w:t>
            </w:r>
          </w:p>
        </w:tc>
        <w:tc>
          <w:tcPr>
            <w:tcW w:w="821" w:type="pct"/>
            <w:tcBorders>
              <w:top w:val="nil"/>
              <w:bottom w:val="nil"/>
            </w:tcBorders>
          </w:tcPr>
          <w:p w14:paraId="71B517C3" w14:textId="77777777" w:rsidR="001C2EA0" w:rsidRPr="0085018D" w:rsidRDefault="001C2EA0" w:rsidP="001A3E3F">
            <w:pPr>
              <w:pStyle w:val="COMTabletext"/>
              <w:jc w:val="center"/>
            </w:pPr>
            <w:r w:rsidRPr="0085018D">
              <w:t>96.9 (95.2, 98.0)</w:t>
            </w:r>
          </w:p>
        </w:tc>
        <w:tc>
          <w:tcPr>
            <w:tcW w:w="815" w:type="pct"/>
            <w:tcBorders>
              <w:top w:val="nil"/>
              <w:bottom w:val="nil"/>
            </w:tcBorders>
            <w:vAlign w:val="center"/>
          </w:tcPr>
          <w:p w14:paraId="4B5D7E50" w14:textId="77777777" w:rsidR="001C2EA0" w:rsidRPr="0085018D" w:rsidRDefault="001C2EA0" w:rsidP="001A3E3F">
            <w:pPr>
              <w:pStyle w:val="COMTabletext"/>
              <w:jc w:val="center"/>
            </w:pPr>
            <w:r w:rsidRPr="0085018D">
              <w:t>97.2 (95.7, 98.3)</w:t>
            </w:r>
          </w:p>
        </w:tc>
        <w:tc>
          <w:tcPr>
            <w:tcW w:w="815" w:type="pct"/>
            <w:tcBorders>
              <w:top w:val="nil"/>
              <w:bottom w:val="nil"/>
            </w:tcBorders>
            <w:vAlign w:val="center"/>
          </w:tcPr>
          <w:p w14:paraId="5CC3A13F" w14:textId="77777777" w:rsidR="001C2EA0" w:rsidRPr="0085018D" w:rsidRDefault="001C2EA0" w:rsidP="001A3E3F">
            <w:pPr>
              <w:pStyle w:val="COMTabletext"/>
              <w:jc w:val="center"/>
            </w:pPr>
            <w:r w:rsidRPr="0085018D">
              <w:t>96.7 (95.1, 97.9)</w:t>
            </w:r>
          </w:p>
        </w:tc>
      </w:tr>
      <w:tr w:rsidR="001C2EA0" w:rsidRPr="0085018D" w14:paraId="477482E5" w14:textId="77777777" w:rsidTr="0047164D">
        <w:tc>
          <w:tcPr>
            <w:tcW w:w="1734" w:type="pct"/>
            <w:tcBorders>
              <w:top w:val="nil"/>
              <w:bottom w:val="nil"/>
            </w:tcBorders>
          </w:tcPr>
          <w:p w14:paraId="258E46E8" w14:textId="77777777" w:rsidR="001C2EA0" w:rsidRPr="0085018D" w:rsidRDefault="001C2EA0" w:rsidP="001A3E3F">
            <w:pPr>
              <w:pStyle w:val="COMTabletext"/>
            </w:pPr>
            <w:r w:rsidRPr="0085018D">
              <w:t>- 2 years</w:t>
            </w:r>
          </w:p>
        </w:tc>
        <w:tc>
          <w:tcPr>
            <w:tcW w:w="815" w:type="pct"/>
            <w:tcBorders>
              <w:top w:val="nil"/>
              <w:bottom w:val="nil"/>
            </w:tcBorders>
          </w:tcPr>
          <w:p w14:paraId="5E42EFDF" w14:textId="77777777" w:rsidR="001C2EA0" w:rsidRPr="0085018D" w:rsidRDefault="001C2EA0" w:rsidP="001A3E3F">
            <w:pPr>
              <w:pStyle w:val="COMTabletext"/>
              <w:jc w:val="center"/>
            </w:pPr>
            <w:r w:rsidRPr="0085018D">
              <w:t>96.6 (94.8, 97.7)</w:t>
            </w:r>
          </w:p>
        </w:tc>
        <w:tc>
          <w:tcPr>
            <w:tcW w:w="821" w:type="pct"/>
            <w:tcBorders>
              <w:top w:val="nil"/>
              <w:bottom w:val="nil"/>
            </w:tcBorders>
          </w:tcPr>
          <w:p w14:paraId="48F923B0" w14:textId="77777777" w:rsidR="001C2EA0" w:rsidRPr="0085018D" w:rsidRDefault="001C2EA0" w:rsidP="001A3E3F">
            <w:pPr>
              <w:pStyle w:val="COMTabletext"/>
              <w:jc w:val="center"/>
            </w:pPr>
            <w:r w:rsidRPr="0085018D">
              <w:t>94.9 (92.9, 96.4)</w:t>
            </w:r>
          </w:p>
        </w:tc>
        <w:tc>
          <w:tcPr>
            <w:tcW w:w="815" w:type="pct"/>
            <w:tcBorders>
              <w:top w:val="nil"/>
              <w:bottom w:val="nil"/>
            </w:tcBorders>
            <w:vAlign w:val="center"/>
          </w:tcPr>
          <w:p w14:paraId="18DB0370" w14:textId="77777777" w:rsidR="001C2EA0" w:rsidRPr="0085018D" w:rsidRDefault="001C2EA0" w:rsidP="001A3E3F">
            <w:pPr>
              <w:pStyle w:val="COMTabletext"/>
              <w:jc w:val="center"/>
            </w:pPr>
            <w:r w:rsidRPr="0085018D">
              <w:t>96.5 (94.7, 97.6)</w:t>
            </w:r>
          </w:p>
        </w:tc>
        <w:tc>
          <w:tcPr>
            <w:tcW w:w="815" w:type="pct"/>
            <w:tcBorders>
              <w:top w:val="nil"/>
              <w:bottom w:val="nil"/>
            </w:tcBorders>
            <w:vAlign w:val="center"/>
          </w:tcPr>
          <w:p w14:paraId="251F93C4" w14:textId="77777777" w:rsidR="001C2EA0" w:rsidRPr="0085018D" w:rsidRDefault="001C2EA0" w:rsidP="001A3E3F">
            <w:pPr>
              <w:pStyle w:val="COMTabletext"/>
              <w:jc w:val="center"/>
            </w:pPr>
            <w:r w:rsidRPr="0085018D">
              <w:t>94.7 (92.6, 96.2)</w:t>
            </w:r>
          </w:p>
        </w:tc>
      </w:tr>
      <w:tr w:rsidR="001C2EA0" w:rsidRPr="0085018D" w14:paraId="4B6E9D3C" w14:textId="77777777" w:rsidTr="0047164D">
        <w:tc>
          <w:tcPr>
            <w:tcW w:w="1734" w:type="pct"/>
            <w:tcBorders>
              <w:top w:val="nil"/>
              <w:bottom w:val="nil"/>
            </w:tcBorders>
          </w:tcPr>
          <w:p w14:paraId="5BCE69F9" w14:textId="77777777" w:rsidR="001C2EA0" w:rsidRPr="0085018D" w:rsidRDefault="001C2EA0" w:rsidP="001A3E3F">
            <w:pPr>
              <w:pStyle w:val="COMTabletext"/>
            </w:pPr>
            <w:r w:rsidRPr="0085018D">
              <w:t>- 3 years</w:t>
            </w:r>
          </w:p>
        </w:tc>
        <w:tc>
          <w:tcPr>
            <w:tcW w:w="815" w:type="pct"/>
            <w:tcBorders>
              <w:top w:val="nil"/>
              <w:bottom w:val="nil"/>
            </w:tcBorders>
          </w:tcPr>
          <w:p w14:paraId="18C46D0C" w14:textId="77777777" w:rsidR="001C2EA0" w:rsidRPr="0085018D" w:rsidRDefault="001C2EA0" w:rsidP="001A3E3F">
            <w:pPr>
              <w:pStyle w:val="COMTabletext"/>
              <w:jc w:val="center"/>
            </w:pPr>
            <w:r w:rsidRPr="0085018D">
              <w:t>94.4 (91.4, 96.4)</w:t>
            </w:r>
          </w:p>
        </w:tc>
        <w:tc>
          <w:tcPr>
            <w:tcW w:w="821" w:type="pct"/>
            <w:tcBorders>
              <w:top w:val="nil"/>
              <w:bottom w:val="nil"/>
            </w:tcBorders>
          </w:tcPr>
          <w:p w14:paraId="429814F0" w14:textId="77777777" w:rsidR="001C2EA0" w:rsidRPr="0085018D" w:rsidRDefault="001C2EA0" w:rsidP="001A3E3F">
            <w:pPr>
              <w:pStyle w:val="COMTabletext"/>
              <w:jc w:val="center"/>
            </w:pPr>
            <w:r w:rsidRPr="0085018D">
              <w:t>92.9 (90.1, 95.0)</w:t>
            </w:r>
          </w:p>
        </w:tc>
        <w:tc>
          <w:tcPr>
            <w:tcW w:w="815" w:type="pct"/>
            <w:tcBorders>
              <w:top w:val="nil"/>
              <w:bottom w:val="nil"/>
            </w:tcBorders>
            <w:vAlign w:val="center"/>
          </w:tcPr>
          <w:p w14:paraId="5F682223" w14:textId="77777777" w:rsidR="001C2EA0" w:rsidRPr="0085018D" w:rsidRDefault="001C2EA0" w:rsidP="001A3E3F">
            <w:pPr>
              <w:pStyle w:val="COMTabletext"/>
              <w:jc w:val="center"/>
            </w:pPr>
            <w:r w:rsidRPr="0085018D">
              <w:t>95.6 (93.7, 97.0)</w:t>
            </w:r>
          </w:p>
        </w:tc>
        <w:tc>
          <w:tcPr>
            <w:tcW w:w="815" w:type="pct"/>
            <w:tcBorders>
              <w:top w:val="nil"/>
              <w:bottom w:val="nil"/>
            </w:tcBorders>
            <w:vAlign w:val="center"/>
          </w:tcPr>
          <w:p w14:paraId="38F28895" w14:textId="77777777" w:rsidR="001C2EA0" w:rsidRPr="0085018D" w:rsidRDefault="001C2EA0" w:rsidP="001A3E3F">
            <w:pPr>
              <w:pStyle w:val="COMTabletext"/>
              <w:jc w:val="center"/>
            </w:pPr>
            <w:r w:rsidRPr="0085018D">
              <w:t>93.3 (91.1, 95.0)</w:t>
            </w:r>
          </w:p>
        </w:tc>
      </w:tr>
      <w:tr w:rsidR="001C2EA0" w:rsidRPr="0085018D" w14:paraId="16C69CDB" w14:textId="77777777" w:rsidTr="0047164D">
        <w:tc>
          <w:tcPr>
            <w:tcW w:w="1734" w:type="pct"/>
            <w:tcBorders>
              <w:top w:val="nil"/>
              <w:bottom w:val="nil"/>
            </w:tcBorders>
          </w:tcPr>
          <w:p w14:paraId="6D92F038" w14:textId="77777777" w:rsidR="001C2EA0" w:rsidRPr="0085018D" w:rsidRDefault="001C2EA0" w:rsidP="001A3E3F">
            <w:pPr>
              <w:pStyle w:val="COMTabletext"/>
            </w:pPr>
            <w:r w:rsidRPr="0085018D">
              <w:t>- 4 years</w:t>
            </w:r>
          </w:p>
        </w:tc>
        <w:tc>
          <w:tcPr>
            <w:tcW w:w="815" w:type="pct"/>
            <w:tcBorders>
              <w:top w:val="nil"/>
              <w:bottom w:val="nil"/>
            </w:tcBorders>
            <w:vAlign w:val="center"/>
          </w:tcPr>
          <w:p w14:paraId="391683FD" w14:textId="77777777" w:rsidR="001C2EA0" w:rsidRPr="0085018D" w:rsidRDefault="001C2EA0" w:rsidP="001A3E3F">
            <w:pPr>
              <w:pStyle w:val="COMTabletext"/>
              <w:jc w:val="center"/>
            </w:pPr>
            <w:r w:rsidRPr="0085018D">
              <w:t>-</w:t>
            </w:r>
          </w:p>
        </w:tc>
        <w:tc>
          <w:tcPr>
            <w:tcW w:w="821" w:type="pct"/>
            <w:tcBorders>
              <w:top w:val="nil"/>
              <w:bottom w:val="nil"/>
            </w:tcBorders>
            <w:vAlign w:val="center"/>
          </w:tcPr>
          <w:p w14:paraId="2FD24D43" w14:textId="77777777" w:rsidR="001C2EA0" w:rsidRPr="0085018D" w:rsidRDefault="001C2EA0" w:rsidP="001A3E3F">
            <w:pPr>
              <w:pStyle w:val="COMTabletext"/>
              <w:jc w:val="center"/>
            </w:pPr>
            <w:r w:rsidRPr="0085018D">
              <w:t>-</w:t>
            </w:r>
          </w:p>
        </w:tc>
        <w:tc>
          <w:tcPr>
            <w:tcW w:w="815" w:type="pct"/>
            <w:tcBorders>
              <w:top w:val="nil"/>
              <w:bottom w:val="nil"/>
            </w:tcBorders>
          </w:tcPr>
          <w:p w14:paraId="31EAE0B4" w14:textId="77777777" w:rsidR="001C2EA0" w:rsidRPr="0085018D" w:rsidRDefault="001C2EA0" w:rsidP="001A3E3F">
            <w:pPr>
              <w:pStyle w:val="COMTabletext"/>
              <w:jc w:val="center"/>
            </w:pPr>
            <w:r w:rsidRPr="0085018D">
              <w:t>94.9 (92.9, 96.4)</w:t>
            </w:r>
          </w:p>
        </w:tc>
        <w:tc>
          <w:tcPr>
            <w:tcW w:w="815" w:type="pct"/>
            <w:tcBorders>
              <w:top w:val="nil"/>
              <w:bottom w:val="nil"/>
            </w:tcBorders>
          </w:tcPr>
          <w:p w14:paraId="1ABB194F" w14:textId="77777777" w:rsidR="001C2EA0" w:rsidRPr="0085018D" w:rsidRDefault="001C2EA0" w:rsidP="001A3E3F">
            <w:pPr>
              <w:pStyle w:val="COMTabletext"/>
              <w:jc w:val="center"/>
            </w:pPr>
            <w:r w:rsidRPr="0085018D">
              <w:t>92.1 (89.7, 94.0)</w:t>
            </w:r>
          </w:p>
        </w:tc>
      </w:tr>
      <w:tr w:rsidR="001C2EA0" w:rsidRPr="0085018D" w14:paraId="6D6ADED9" w14:textId="77777777" w:rsidTr="0047164D">
        <w:tc>
          <w:tcPr>
            <w:tcW w:w="1734" w:type="pct"/>
            <w:tcBorders>
              <w:top w:val="nil"/>
              <w:bottom w:val="nil"/>
            </w:tcBorders>
          </w:tcPr>
          <w:p w14:paraId="5C7C3707" w14:textId="77777777" w:rsidR="001C2EA0" w:rsidRPr="0085018D" w:rsidRDefault="001C2EA0" w:rsidP="001A3E3F">
            <w:pPr>
              <w:pStyle w:val="COMTabletext"/>
            </w:pPr>
            <w:r w:rsidRPr="0085018D">
              <w:t>- 5 years</w:t>
            </w:r>
          </w:p>
        </w:tc>
        <w:tc>
          <w:tcPr>
            <w:tcW w:w="815" w:type="pct"/>
            <w:tcBorders>
              <w:top w:val="nil"/>
              <w:bottom w:val="nil"/>
            </w:tcBorders>
            <w:vAlign w:val="center"/>
          </w:tcPr>
          <w:p w14:paraId="2457ED99" w14:textId="77777777" w:rsidR="001C2EA0" w:rsidRPr="0085018D" w:rsidRDefault="001C2EA0" w:rsidP="001A3E3F">
            <w:pPr>
              <w:pStyle w:val="COMTabletext"/>
              <w:jc w:val="center"/>
            </w:pPr>
            <w:r w:rsidRPr="0085018D">
              <w:t>-</w:t>
            </w:r>
          </w:p>
        </w:tc>
        <w:tc>
          <w:tcPr>
            <w:tcW w:w="821" w:type="pct"/>
            <w:tcBorders>
              <w:top w:val="nil"/>
              <w:bottom w:val="nil"/>
            </w:tcBorders>
            <w:vAlign w:val="center"/>
          </w:tcPr>
          <w:p w14:paraId="5C42C931" w14:textId="77777777" w:rsidR="001C2EA0" w:rsidRPr="0085018D" w:rsidRDefault="001C2EA0" w:rsidP="001A3E3F">
            <w:pPr>
              <w:pStyle w:val="COMTabletext"/>
              <w:jc w:val="center"/>
            </w:pPr>
            <w:r w:rsidRPr="0085018D">
              <w:t>-</w:t>
            </w:r>
          </w:p>
        </w:tc>
        <w:tc>
          <w:tcPr>
            <w:tcW w:w="815" w:type="pct"/>
            <w:tcBorders>
              <w:top w:val="nil"/>
              <w:bottom w:val="nil"/>
            </w:tcBorders>
          </w:tcPr>
          <w:p w14:paraId="092D4900" w14:textId="77777777" w:rsidR="001C2EA0" w:rsidRPr="0085018D" w:rsidRDefault="001C2EA0" w:rsidP="001A3E3F">
            <w:pPr>
              <w:pStyle w:val="COMTabletext"/>
              <w:jc w:val="center"/>
            </w:pPr>
            <w:r w:rsidRPr="0085018D">
              <w:t>94.8 (92.7, 96.2)</w:t>
            </w:r>
          </w:p>
        </w:tc>
        <w:tc>
          <w:tcPr>
            <w:tcW w:w="815" w:type="pct"/>
            <w:tcBorders>
              <w:top w:val="nil"/>
              <w:bottom w:val="nil"/>
            </w:tcBorders>
          </w:tcPr>
          <w:p w14:paraId="29564391" w14:textId="77777777" w:rsidR="001C2EA0" w:rsidRPr="0085018D" w:rsidRDefault="001C2EA0" w:rsidP="001A3E3F">
            <w:pPr>
              <w:pStyle w:val="COMTabletext"/>
              <w:jc w:val="center"/>
            </w:pPr>
            <w:r w:rsidRPr="0085018D">
              <w:t>91.2 (88.6, 93.2)</w:t>
            </w:r>
          </w:p>
        </w:tc>
      </w:tr>
      <w:tr w:rsidR="001C2EA0" w:rsidRPr="0085018D" w14:paraId="0C214568" w14:textId="77777777" w:rsidTr="0047164D">
        <w:tc>
          <w:tcPr>
            <w:tcW w:w="1734" w:type="pct"/>
            <w:tcBorders>
              <w:top w:val="nil"/>
              <w:bottom w:val="nil"/>
            </w:tcBorders>
          </w:tcPr>
          <w:p w14:paraId="37F42E7B" w14:textId="77777777" w:rsidR="001C2EA0" w:rsidRPr="0085018D" w:rsidRDefault="001C2EA0" w:rsidP="001A3E3F">
            <w:pPr>
              <w:pStyle w:val="COMTabletext"/>
            </w:pPr>
            <w:r w:rsidRPr="0085018D">
              <w:t>- 6 years</w:t>
            </w:r>
          </w:p>
        </w:tc>
        <w:tc>
          <w:tcPr>
            <w:tcW w:w="815" w:type="pct"/>
            <w:tcBorders>
              <w:top w:val="nil"/>
              <w:bottom w:val="nil"/>
            </w:tcBorders>
            <w:vAlign w:val="center"/>
          </w:tcPr>
          <w:p w14:paraId="2DA80412" w14:textId="77777777" w:rsidR="001C2EA0" w:rsidRPr="0085018D" w:rsidRDefault="001C2EA0" w:rsidP="001A3E3F">
            <w:pPr>
              <w:pStyle w:val="COMTabletext"/>
              <w:jc w:val="center"/>
            </w:pPr>
            <w:r w:rsidRPr="0085018D">
              <w:t>-</w:t>
            </w:r>
          </w:p>
        </w:tc>
        <w:tc>
          <w:tcPr>
            <w:tcW w:w="821" w:type="pct"/>
            <w:tcBorders>
              <w:top w:val="nil"/>
              <w:bottom w:val="nil"/>
            </w:tcBorders>
            <w:vAlign w:val="center"/>
          </w:tcPr>
          <w:p w14:paraId="21B0E2C9" w14:textId="77777777" w:rsidR="001C2EA0" w:rsidRPr="0085018D" w:rsidRDefault="001C2EA0" w:rsidP="001A3E3F">
            <w:pPr>
              <w:pStyle w:val="COMTabletext"/>
              <w:jc w:val="center"/>
            </w:pPr>
            <w:r w:rsidRPr="0085018D">
              <w:t>-</w:t>
            </w:r>
          </w:p>
        </w:tc>
        <w:tc>
          <w:tcPr>
            <w:tcW w:w="815" w:type="pct"/>
            <w:tcBorders>
              <w:top w:val="nil"/>
              <w:bottom w:val="nil"/>
            </w:tcBorders>
          </w:tcPr>
          <w:p w14:paraId="19F8EDFF" w14:textId="77777777" w:rsidR="001C2EA0" w:rsidRPr="0085018D" w:rsidRDefault="001C2EA0" w:rsidP="001A3E3F">
            <w:pPr>
              <w:pStyle w:val="COMTabletext"/>
              <w:jc w:val="center"/>
            </w:pPr>
            <w:r w:rsidRPr="0085018D">
              <w:t>93.9 (91.6, 95.5)</w:t>
            </w:r>
          </w:p>
        </w:tc>
        <w:tc>
          <w:tcPr>
            <w:tcW w:w="815" w:type="pct"/>
            <w:tcBorders>
              <w:top w:val="nil"/>
              <w:bottom w:val="nil"/>
            </w:tcBorders>
          </w:tcPr>
          <w:p w14:paraId="7DCF1338" w14:textId="77777777" w:rsidR="001C2EA0" w:rsidRPr="0085018D" w:rsidRDefault="001C2EA0" w:rsidP="001A3E3F">
            <w:pPr>
              <w:pStyle w:val="COMTabletext"/>
              <w:jc w:val="center"/>
            </w:pPr>
            <w:r w:rsidRPr="0085018D">
              <w:t>89.4 (86.6, 91.7)</w:t>
            </w:r>
          </w:p>
        </w:tc>
      </w:tr>
      <w:tr w:rsidR="001C2EA0" w:rsidRPr="0085018D" w14:paraId="13F1DF29" w14:textId="77777777" w:rsidTr="0047164D">
        <w:tc>
          <w:tcPr>
            <w:tcW w:w="1734" w:type="pct"/>
            <w:tcBorders>
              <w:top w:val="nil"/>
            </w:tcBorders>
          </w:tcPr>
          <w:p w14:paraId="73705635" w14:textId="77777777" w:rsidR="001C2EA0" w:rsidRPr="0085018D" w:rsidRDefault="001C2EA0" w:rsidP="001A3E3F">
            <w:pPr>
              <w:pStyle w:val="COMTabletext"/>
            </w:pPr>
            <w:r w:rsidRPr="0085018D">
              <w:t>- 7 years</w:t>
            </w:r>
          </w:p>
        </w:tc>
        <w:tc>
          <w:tcPr>
            <w:tcW w:w="815" w:type="pct"/>
            <w:tcBorders>
              <w:top w:val="nil"/>
            </w:tcBorders>
            <w:vAlign w:val="center"/>
          </w:tcPr>
          <w:p w14:paraId="37A82EA2" w14:textId="77777777" w:rsidR="001C2EA0" w:rsidRPr="0085018D" w:rsidRDefault="001C2EA0" w:rsidP="001A3E3F">
            <w:pPr>
              <w:pStyle w:val="COMTabletext"/>
              <w:jc w:val="center"/>
            </w:pPr>
            <w:r w:rsidRPr="0085018D">
              <w:t>-</w:t>
            </w:r>
          </w:p>
        </w:tc>
        <w:tc>
          <w:tcPr>
            <w:tcW w:w="821" w:type="pct"/>
            <w:tcBorders>
              <w:top w:val="nil"/>
            </w:tcBorders>
            <w:vAlign w:val="center"/>
          </w:tcPr>
          <w:p w14:paraId="4A11CE99" w14:textId="77777777" w:rsidR="001C2EA0" w:rsidRPr="0085018D" w:rsidRDefault="001C2EA0" w:rsidP="001A3E3F">
            <w:pPr>
              <w:pStyle w:val="COMTabletext"/>
              <w:jc w:val="center"/>
            </w:pPr>
            <w:r w:rsidRPr="0085018D">
              <w:t>-</w:t>
            </w:r>
          </w:p>
        </w:tc>
        <w:tc>
          <w:tcPr>
            <w:tcW w:w="815" w:type="pct"/>
            <w:tcBorders>
              <w:top w:val="nil"/>
            </w:tcBorders>
          </w:tcPr>
          <w:p w14:paraId="282FA3F1" w14:textId="77777777" w:rsidR="001C2EA0" w:rsidRPr="0085018D" w:rsidRDefault="001C2EA0" w:rsidP="001A3E3F">
            <w:pPr>
              <w:pStyle w:val="COMTabletext"/>
              <w:jc w:val="center"/>
            </w:pPr>
            <w:r w:rsidRPr="0085018D">
              <w:t>93.3 (90.7, 95.2)</w:t>
            </w:r>
          </w:p>
        </w:tc>
        <w:tc>
          <w:tcPr>
            <w:tcW w:w="815" w:type="pct"/>
            <w:tcBorders>
              <w:top w:val="nil"/>
            </w:tcBorders>
          </w:tcPr>
          <w:p w14:paraId="46B11EA8" w14:textId="77777777" w:rsidR="001C2EA0" w:rsidRPr="0085018D" w:rsidRDefault="001C2EA0" w:rsidP="001A3E3F">
            <w:pPr>
              <w:pStyle w:val="COMTabletext"/>
              <w:jc w:val="center"/>
            </w:pPr>
            <w:r w:rsidRPr="0085018D">
              <w:t>88.7 (85.6, 91.1)</w:t>
            </w:r>
          </w:p>
        </w:tc>
      </w:tr>
      <w:tr w:rsidR="001C2EA0" w:rsidRPr="0085018D" w14:paraId="758A753A" w14:textId="77777777" w:rsidTr="0047164D">
        <w:tc>
          <w:tcPr>
            <w:tcW w:w="1734" w:type="pct"/>
          </w:tcPr>
          <w:p w14:paraId="410AF05A" w14:textId="77777777" w:rsidR="001C2EA0" w:rsidRPr="0085018D" w:rsidRDefault="001C2EA0" w:rsidP="001A3E3F">
            <w:pPr>
              <w:pStyle w:val="COMTabletext"/>
            </w:pPr>
            <w:r w:rsidRPr="0085018D">
              <w:t>Hazard ratio (95% CI)</w:t>
            </w:r>
          </w:p>
        </w:tc>
        <w:tc>
          <w:tcPr>
            <w:tcW w:w="1636" w:type="pct"/>
            <w:gridSpan w:val="2"/>
            <w:vAlign w:val="center"/>
          </w:tcPr>
          <w:p w14:paraId="5BB378F9" w14:textId="77777777" w:rsidR="001C2EA0" w:rsidRPr="0085018D" w:rsidRDefault="001C2EA0" w:rsidP="001A3E3F">
            <w:pPr>
              <w:pStyle w:val="COMTabletext"/>
              <w:jc w:val="center"/>
            </w:pPr>
            <w:r w:rsidRPr="0085018D">
              <w:t>0.72 (0.44, 1.17)</w:t>
            </w:r>
          </w:p>
        </w:tc>
        <w:tc>
          <w:tcPr>
            <w:tcW w:w="1630" w:type="pct"/>
            <w:gridSpan w:val="2"/>
            <w:vAlign w:val="center"/>
          </w:tcPr>
          <w:p w14:paraId="0F34BEDA" w14:textId="77777777" w:rsidR="001C2EA0" w:rsidRPr="0085018D" w:rsidRDefault="001C2EA0" w:rsidP="001A3E3F">
            <w:pPr>
              <w:pStyle w:val="COMTabletext"/>
              <w:jc w:val="center"/>
              <w:rPr>
                <w:b/>
                <w:bCs w:val="0"/>
              </w:rPr>
            </w:pPr>
            <w:r w:rsidRPr="0085018D">
              <w:rPr>
                <w:b/>
                <w:bCs w:val="0"/>
              </w:rPr>
              <w:t>0.59 (0.40, 0.88)</w:t>
            </w:r>
          </w:p>
        </w:tc>
      </w:tr>
    </w:tbl>
    <w:p w14:paraId="5BC02F93" w14:textId="77777777" w:rsidR="001C2EA0" w:rsidRPr="0085018D" w:rsidRDefault="001C2EA0" w:rsidP="001C2EA0">
      <w:pPr>
        <w:pStyle w:val="COMTablefooter"/>
      </w:pPr>
      <w:r w:rsidRPr="0085018D">
        <w:t>Source: Table 2.5-3, p99 of the submission; Table 11.q, p130 of the ECHELON-1 clinical study report</w:t>
      </w:r>
    </w:p>
    <w:p w14:paraId="76EDFDD4" w14:textId="77777777" w:rsidR="001C2EA0" w:rsidRPr="0085018D" w:rsidRDefault="001C2EA0" w:rsidP="001C2EA0">
      <w:pPr>
        <w:pStyle w:val="COMTablefooter"/>
      </w:pPr>
      <w:r w:rsidRPr="0085018D">
        <w:t xml:space="preserve">Abbreviations: A+AVD, brentuximab </w:t>
      </w:r>
      <w:proofErr w:type="spellStart"/>
      <w:r w:rsidRPr="0085018D">
        <w:t>vedotin</w:t>
      </w:r>
      <w:proofErr w:type="spellEnd"/>
      <w:r w:rsidRPr="0085018D">
        <w:t xml:space="preserve"> plus doxorubicin, vinblastine, dacarbazine; ABVD, doxorubicin, bleomycin, vinblastine, and dacarbazine; CI, confidence interval; NE, not estimable; OS, overall survival</w:t>
      </w:r>
    </w:p>
    <w:p w14:paraId="61E0C602" w14:textId="6E93062A" w:rsidR="00247925" w:rsidRPr="0085018D" w:rsidRDefault="001C2EA0" w:rsidP="001C2EA0">
      <w:pPr>
        <w:pStyle w:val="COMexecsumnumberedpara"/>
      </w:pPr>
      <w:r w:rsidRPr="0085018D">
        <w:t>Median overall survival was not reached for either treatment arm. Results from the primary analysis indicated improved overall survival in the A+AVD group compared the ABVD group, however the results did not achieve statistical significance. However, the second interim analysis using the later data cut showed statistically significantly improved overall survival for A+AVD compared to ABVD.</w:t>
      </w:r>
    </w:p>
    <w:p w14:paraId="1CCBF215" w14:textId="0DF2BA27" w:rsidR="00794D9D" w:rsidRPr="0085018D" w:rsidRDefault="00794D9D" w:rsidP="001C2EA0">
      <w:pPr>
        <w:pStyle w:val="COMexecsumnumberedpara"/>
      </w:pPr>
      <w:r w:rsidRPr="0085018D">
        <w:t xml:space="preserve">Pre-specified subgroup analyses were conducted based on data from the second interim analysis of overall survival. </w:t>
      </w:r>
      <w:r w:rsidR="002E6F5B" w:rsidRPr="0085018D">
        <w:t xml:space="preserve">Results from most subgroups showed consistent treatment benefits in favour of A+AVD compared to ABVD except for patients with no </w:t>
      </w:r>
      <w:proofErr w:type="spellStart"/>
      <w:r w:rsidR="002E6F5B" w:rsidRPr="0085018D">
        <w:t>extranodal</w:t>
      </w:r>
      <w:proofErr w:type="spellEnd"/>
      <w:r w:rsidR="002E6F5B" w:rsidRPr="0085018D">
        <w:t xml:space="preserve"> site involvement (HR&gt;1). </w:t>
      </w:r>
      <w:r w:rsidR="009E6003" w:rsidRPr="0085018D">
        <w:t>Analyses according to disease stage and age indicated that survival benefit in the overall population may have been driven primarily by patients with stage IV disease and those aged &lt;60 years. However, there was a notable imbalance in the number of patients aged &lt;60 years (1,148 (86%)) compared to those aged ≥60 years (186 (14%)) in the trial.</w:t>
      </w:r>
    </w:p>
    <w:p w14:paraId="45D4325E" w14:textId="2DF8D0B7" w:rsidR="009D04DB" w:rsidRPr="0085018D" w:rsidRDefault="009D04DB" w:rsidP="009D04DB">
      <w:pPr>
        <w:pStyle w:val="COMexecsumnumberedpara"/>
      </w:pPr>
      <w:bookmarkStart w:id="28" w:name="_Ref163739766"/>
      <w:r w:rsidRPr="0085018D">
        <w:t>Both modified progression-free survival and overall survival data were subject to relatively high levels of censoring as most patients had yet to experience an event, with potential confounding due to the use of subsequent treatments</w:t>
      </w:r>
      <w:r w:rsidR="00CF1337" w:rsidRPr="0085018D">
        <w:t xml:space="preserve"> (20.4% in A+AVD arm and </w:t>
      </w:r>
      <w:r w:rsidR="00BB335C" w:rsidRPr="0085018D">
        <w:t>23.8% in ABVD arm at the June 2021 cut-off)</w:t>
      </w:r>
      <w:r w:rsidRPr="0085018D">
        <w:t xml:space="preserve">. </w:t>
      </w:r>
      <w:r w:rsidR="009E6FFB" w:rsidRPr="0085018D">
        <w:t xml:space="preserve">While modified progression-free survival captured the use of subsequent treatments, this was </w:t>
      </w:r>
      <w:r w:rsidR="00FD3585" w:rsidRPr="0085018D">
        <w:t>only in patients with incomplete response at the end of first line treatment (less than 3% of patients at approximately 6 months</w:t>
      </w:r>
      <w:r w:rsidR="00024734" w:rsidRPr="0085018D">
        <w:t xml:space="preserve"> in the primary analysis</w:t>
      </w:r>
      <w:r w:rsidR="00FD3585" w:rsidRPr="0085018D">
        <w:t xml:space="preserve">). The proportion of patients with disease progression who received subsequent treatments was not reported and could not be determined from </w:t>
      </w:r>
      <w:r w:rsidR="005172FB" w:rsidRPr="0085018D">
        <w:t>modified progression-free survival as it was a composite endpoint.</w:t>
      </w:r>
      <w:bookmarkEnd w:id="28"/>
      <w:r w:rsidR="005172FB" w:rsidRPr="0085018D">
        <w:t xml:space="preserve"> </w:t>
      </w:r>
    </w:p>
    <w:p w14:paraId="1ABC48A7" w14:textId="405D0C5F" w:rsidR="009D04DB" w:rsidRPr="0085018D" w:rsidRDefault="00146E2B" w:rsidP="001C2EA0">
      <w:pPr>
        <w:pStyle w:val="COMexecsumnumberedpara"/>
      </w:pPr>
      <w:r w:rsidRPr="0085018D">
        <w:t xml:space="preserve">The submission presented results from other secondary outcomes that were independently assessed including complete remission and overall response (rates and duration), PET negativity after Cycle 2, noncomplete responders who received irradiation, duration of response, disease-free </w:t>
      </w:r>
      <w:proofErr w:type="gramStart"/>
      <w:r w:rsidRPr="0085018D">
        <w:t>survival</w:t>
      </w:r>
      <w:proofErr w:type="gramEnd"/>
      <w:r w:rsidRPr="0085018D">
        <w:t xml:space="preserve"> and event-free survival. The results consistently showed a small numerical benefit in favour of the A+AVD arm compared with the ABVD arm.</w:t>
      </w:r>
    </w:p>
    <w:p w14:paraId="31467ACF" w14:textId="1BBB12A4" w:rsidR="00146E2B" w:rsidRPr="0085018D" w:rsidRDefault="00146E2B" w:rsidP="001C2EA0">
      <w:pPr>
        <w:pStyle w:val="COMexecsumnumberedpara"/>
      </w:pPr>
      <w:r w:rsidRPr="0085018D">
        <w:t>The submission also presented patient-reported outcomes based on the European Organization for Research and Treatment of Cancer Quality of Life Questionnaire-30 (EORTC QLQ-C30) and health utility values captured via the EQ-5D-3L instrument (see pp100-107 of the submission). Results from both instruments indicated worsening trends in both arms during the frontline treatment period that was worse for the A+AVD group compared to the ABVD group. Both arms improved during the post-treatment follow-up period (up to 36 months after the end of treatment) with no appreciable differences between arms. The trial report noted the observed differences were not clinically meaningful as they were below published minimal clinically important differences (MCID) of 10 for EORTC QLQ-C30 subscales (range 0-100) and 0.07 for EQ-5D-3L utility values using the UK value set.</w:t>
      </w:r>
    </w:p>
    <w:p w14:paraId="11204826" w14:textId="6B7EC5AA" w:rsidR="00146E2B" w:rsidRPr="0085018D" w:rsidRDefault="00146E2B" w:rsidP="001C2EA0">
      <w:pPr>
        <w:pStyle w:val="COMexecsumnumberedpara"/>
      </w:pPr>
      <w:r w:rsidRPr="0085018D">
        <w:t>The trial also captured the impact of lung toxicity using the Functional Assessment of Chronic Illness Therapy (FACIT-</w:t>
      </w:r>
      <w:proofErr w:type="spellStart"/>
      <w:r w:rsidRPr="0085018D">
        <w:t>Dyspnea</w:t>
      </w:r>
      <w:proofErr w:type="spellEnd"/>
      <w:r w:rsidRPr="0085018D">
        <w:t xml:space="preserve"> 10) and neurotoxicity using the Functional Assessment of Cancer Therapy/</w:t>
      </w:r>
      <w:proofErr w:type="spellStart"/>
      <w:r w:rsidRPr="0085018D">
        <w:t>Gynecologic</w:t>
      </w:r>
      <w:proofErr w:type="spellEnd"/>
      <w:r w:rsidRPr="0085018D">
        <w:t xml:space="preserve"> Oncology Group-Neurotoxicity subscale (FACT/GOG-</w:t>
      </w:r>
      <w:proofErr w:type="spellStart"/>
      <w:r w:rsidRPr="0085018D">
        <w:t>Ntx</w:t>
      </w:r>
      <w:proofErr w:type="spellEnd"/>
      <w:r w:rsidRPr="0085018D">
        <w:t xml:space="preserve"> subscale) during the frontline treatment period. A trend was observed for worsening dyspnoea and functional limitation for patients on A+AVD compared to ABVD, however, the trial report noted there is no established MCID for the FACIT-</w:t>
      </w:r>
      <w:proofErr w:type="spellStart"/>
      <w:r w:rsidRPr="0085018D">
        <w:t>Dyspnea</w:t>
      </w:r>
      <w:proofErr w:type="spellEnd"/>
      <w:r w:rsidRPr="0085018D">
        <w:t xml:space="preserve"> 10 subscale and assumed no clinically important differences between arms based on a 0.5 standard deviation of baseline scores. Mean neurotoxicity scores were worse in the A+AVD arm compared to the ABVD arm during treatment. The trial investigators considered the differences to be clinically meaningful and reflective of the higher proportion of patients in the A+AVD arm experiencing peripheral neuropathy.</w:t>
      </w:r>
    </w:p>
    <w:p w14:paraId="2297C51B" w14:textId="6038CA1A" w:rsidR="00146E2B" w:rsidRPr="0085018D" w:rsidRDefault="004F5EB0" w:rsidP="001C2EA0">
      <w:pPr>
        <w:pStyle w:val="COMexecsumnumberedpara"/>
      </w:pPr>
      <w:r w:rsidRPr="0085018D">
        <w:t>All patient-reported outcomes were also analysed according to whether patients had experienced a modified progression-free survival event within each treatment arm. The trial report noted no clinically meaningful differences associated with a modified progression-free survival event</w:t>
      </w:r>
      <w:r w:rsidR="0085018D">
        <w:t xml:space="preserve">. </w:t>
      </w:r>
      <w:r w:rsidRPr="0085018D">
        <w:t xml:space="preserve"> </w:t>
      </w:r>
    </w:p>
    <w:p w14:paraId="33DFC0A0" w14:textId="604B0642" w:rsidR="004F5EB0" w:rsidRPr="0085018D" w:rsidRDefault="00134ED0" w:rsidP="001C2EA0">
      <w:pPr>
        <w:pStyle w:val="COMexecsumnumberedpara"/>
      </w:pPr>
      <w:r w:rsidRPr="0085018D">
        <w:t>In terms of</w:t>
      </w:r>
      <w:r w:rsidR="004F5EB0" w:rsidRPr="0085018D">
        <w:t xml:space="preserve"> health resource utilisation</w:t>
      </w:r>
      <w:r w:rsidRPr="0085018D">
        <w:t>, a</w:t>
      </w:r>
      <w:r w:rsidR="004F5EB0" w:rsidRPr="0085018D">
        <w:t xml:space="preserve"> higher proportion of patients in the A+AVD arm were hospitalised (38%) compared to those in the ABVD arm (29%). The median duration of hospitalisation was 9 days (range 1-772 days) in the A+AVD arm and 8 days (range 1-668 days) in the ABVD arm. The hospitalisation rate was also higher in the A+AVD arm (0.15 per patient-year) compared to the ABVD arm (0.11 per patient-year). The main reason for hospitalisation was adverse events (A+AVD 71%; ABVD 63%).</w:t>
      </w:r>
    </w:p>
    <w:p w14:paraId="1EF72CCB" w14:textId="067C3F29" w:rsidR="00440A25" w:rsidRPr="0085018D" w:rsidRDefault="007E1451" w:rsidP="009E7205">
      <w:pPr>
        <w:pStyle w:val="COMH4"/>
        <w:keepNext/>
      </w:pPr>
      <w:r w:rsidRPr="0085018D">
        <w:t xml:space="preserve">A+AVD versus </w:t>
      </w:r>
      <w:r w:rsidR="00440A25" w:rsidRPr="0085018D">
        <w:t>PET-adapted regimens</w:t>
      </w:r>
      <w:r w:rsidRPr="0085018D">
        <w:t xml:space="preserve"> and non-PET-adapted </w:t>
      </w:r>
      <w:proofErr w:type="spellStart"/>
      <w:r w:rsidRPr="0085018D">
        <w:t>eBEACOPP</w:t>
      </w:r>
      <w:proofErr w:type="spellEnd"/>
    </w:p>
    <w:p w14:paraId="5CA17290" w14:textId="6E6DC9DC" w:rsidR="00760C4E" w:rsidRPr="0085018D" w:rsidRDefault="003D3645" w:rsidP="002F0CE0">
      <w:pPr>
        <w:pStyle w:val="COMexecsumnumberedpara"/>
        <w:rPr>
          <w:color w:val="0066FF"/>
        </w:rPr>
      </w:pPr>
      <w:r w:rsidRPr="0085018D">
        <w:t xml:space="preserve">The submission presented a comprehensive overview of the RATHL and AHL2011 trials of PET-adapted ABVD and </w:t>
      </w:r>
      <w:proofErr w:type="spellStart"/>
      <w:r w:rsidRPr="0085018D">
        <w:t>eBEACOPP</w:t>
      </w:r>
      <w:proofErr w:type="spellEnd"/>
      <w:r w:rsidRPr="0085018D">
        <w:t>, respectively. An overview of the</w:t>
      </w:r>
      <w:r w:rsidRPr="0085018D">
        <w:rPr>
          <w:snapToGrid/>
          <w:color w:val="0066FF"/>
        </w:rPr>
        <w:t xml:space="preserve"> </w:t>
      </w:r>
      <w:r w:rsidRPr="0085018D">
        <w:t xml:space="preserve">HD18 trial of PET-adapted </w:t>
      </w:r>
      <w:proofErr w:type="spellStart"/>
      <w:r w:rsidRPr="0085018D">
        <w:t>eBEACOPP</w:t>
      </w:r>
      <w:proofErr w:type="spellEnd"/>
      <w:r w:rsidRPr="0085018D">
        <w:t xml:space="preserve"> was included during the evaluation for completeness as it contributes to the main body of evidence informing published guidelines.</w:t>
      </w:r>
    </w:p>
    <w:p w14:paraId="2F1DAC76" w14:textId="0BC510B6" w:rsidR="00654771" w:rsidRPr="0085018D" w:rsidRDefault="00654771" w:rsidP="00BF7179">
      <w:pPr>
        <w:pStyle w:val="COMexecsumnumberedpara"/>
      </w:pPr>
      <w:r w:rsidRPr="0085018D">
        <w:t>Overall, the current body of evidence suggests that PET-adapted regimens have similar efficacy compared to non-PET-adapted regimens as well as improved short-term safety in patients who de-escalate treatment following a negative interim PET scan. However, longer term outcomes are uncertain due to limited follow-up (median follow-up 5-6 years) which does not allow for complete identification of late complications such as secondary malignancies</w:t>
      </w:r>
      <w:r w:rsidR="0085018D">
        <w:t xml:space="preserve">. </w:t>
      </w:r>
      <w:r w:rsidRPr="0085018D">
        <w:t xml:space="preserve"> </w:t>
      </w:r>
    </w:p>
    <w:p w14:paraId="0D452F85" w14:textId="09CC190F" w:rsidR="003D3645" w:rsidRPr="0085018D" w:rsidRDefault="003D3645" w:rsidP="00EC5836">
      <w:pPr>
        <w:pStyle w:val="COMexecsumnumberedpara"/>
        <w:rPr>
          <w:color w:val="0066FF"/>
        </w:rPr>
      </w:pPr>
      <w:r w:rsidRPr="0085018D">
        <w:t>The study designs of the RATHL, AHL2011 and HD18 trials were complex, with different points of randomisation and escalation/de-escalation of investigated treatment regimens</w:t>
      </w:r>
      <w:r w:rsidR="00877D3C" w:rsidRPr="0085018D">
        <w:t xml:space="preserve"> which limited comparability between these trials and the key trial, ECHELON</w:t>
      </w:r>
      <w:r w:rsidR="00877D3C" w:rsidRPr="0085018D">
        <w:noBreakHyphen/>
        <w:t>1.</w:t>
      </w:r>
      <w:r w:rsidR="00085F78" w:rsidRPr="0085018D">
        <w:t xml:space="preserve"> </w:t>
      </w:r>
      <w:r w:rsidR="007E0B34" w:rsidRPr="0085018D">
        <w:t>The RATHL, AHL2011 and HD18 trials also assessed progression-free survival using standard definitions while the ECHELON-1 trial assessed modified progression-free survival.</w:t>
      </w:r>
    </w:p>
    <w:p w14:paraId="1FE0ABD3" w14:textId="5C1F0F5C" w:rsidR="00CB5771" w:rsidRPr="0085018D" w:rsidRDefault="008B0141" w:rsidP="00877D3C">
      <w:pPr>
        <w:pStyle w:val="COMexecsumnumberedpara"/>
      </w:pPr>
      <w:bookmarkStart w:id="29" w:name="_Ref159413744"/>
      <w:r w:rsidRPr="0085018D">
        <w:t>Despite these limitations, the submission claimed the ABVD arm of the ECHELON-1 trial is a reasonable proxy for the efficacy of PET-adapted ABVD given the results from the RATHL trial were supportive of similar efficacy between PET-adapted ABVD and non-PET-adapted ABVD. The submission acknowledged however, that PET-adapted ABVD is likely to be less toxic than non-PET-adapted ABVD given the ability to reduce the number of bleomycin-containing treatment cycles. The</w:t>
      </w:r>
      <w:r w:rsidR="00FE3610" w:rsidRPr="0085018D">
        <w:t xml:space="preserve"> ESC noted that the</w:t>
      </w:r>
      <w:r w:rsidRPr="0085018D">
        <w:t xml:space="preserve"> RATHL trial only provided a randomised comparison of ABVD and AVD in patients with PET-negative findings after 2 cycles of ABVD. The trial was not designed to compare ABVD and BEACOPP-based regimens in PET-positive patients. Therefore, the </w:t>
      </w:r>
      <w:r w:rsidR="00FE3610" w:rsidRPr="0085018D">
        <w:t>ESC agreed with the evaluation</w:t>
      </w:r>
      <w:r w:rsidR="00FE3610" w:rsidRPr="0085018D">
        <w:rPr>
          <w:i/>
          <w:iCs/>
        </w:rPr>
        <w:t xml:space="preserve"> </w:t>
      </w:r>
      <w:r w:rsidR="00FE3610" w:rsidRPr="0085018D">
        <w:t xml:space="preserve">that the </w:t>
      </w:r>
      <w:r w:rsidRPr="0085018D">
        <w:t>overall comparative efficacy and safety of PET-adapted ABVD (with options to escalate/de-escalate treatment) compared to non-PET-adapted ABVD remains uncertain</w:t>
      </w:r>
      <w:bookmarkEnd w:id="29"/>
      <w:r w:rsidR="0085018D">
        <w:t xml:space="preserve">. </w:t>
      </w:r>
      <w:r w:rsidRPr="0085018D">
        <w:t xml:space="preserve"> </w:t>
      </w:r>
    </w:p>
    <w:p w14:paraId="79AEF967" w14:textId="7712B75F" w:rsidR="0051740C" w:rsidRPr="0085018D" w:rsidRDefault="002A4144" w:rsidP="00877D3C">
      <w:pPr>
        <w:pStyle w:val="COMexecsumnumberedpara"/>
      </w:pPr>
      <w:r w:rsidRPr="0085018D">
        <w:t xml:space="preserve">No data comparing A+AVD and non-PET-adapted </w:t>
      </w:r>
      <w:proofErr w:type="spellStart"/>
      <w:r w:rsidRPr="0085018D">
        <w:t>eBEACOPP</w:t>
      </w:r>
      <w:proofErr w:type="spellEnd"/>
      <w:r w:rsidRPr="0085018D">
        <w:t xml:space="preserve"> were presented in the submission. There are no head-to-head trials of A+AVD and </w:t>
      </w:r>
      <w:proofErr w:type="spellStart"/>
      <w:r w:rsidRPr="0085018D">
        <w:t>eBEACOPP</w:t>
      </w:r>
      <w:proofErr w:type="spellEnd"/>
      <w:r w:rsidRPr="0085018D">
        <w:t xml:space="preserve">, however, a Cochrane systematic review of </w:t>
      </w:r>
      <w:proofErr w:type="spellStart"/>
      <w:r w:rsidRPr="0085018D">
        <w:t>eBEACOPP</w:t>
      </w:r>
      <w:proofErr w:type="spellEnd"/>
      <w:r w:rsidRPr="0085018D">
        <w:t xml:space="preserve"> versus ABVD as first-line treatment for early unfavourable and advanced stage Hodgkin lymphoma was identified during the evaluation (</w:t>
      </w:r>
      <w:proofErr w:type="spellStart"/>
      <w:r w:rsidRPr="0085018D">
        <w:t>Skoetz</w:t>
      </w:r>
      <w:proofErr w:type="spellEnd"/>
      <w:r w:rsidRPr="0085018D">
        <w:t xml:space="preserve"> 2017). </w:t>
      </w:r>
    </w:p>
    <w:p w14:paraId="2E65D138" w14:textId="724F617E" w:rsidR="00521A8B" w:rsidRPr="0085018D" w:rsidRDefault="002A4144" w:rsidP="00877D3C">
      <w:pPr>
        <w:pStyle w:val="COMexecsumnumberedpara"/>
      </w:pPr>
      <w:r w:rsidRPr="0085018D">
        <w:t xml:space="preserve">The </w:t>
      </w:r>
      <w:proofErr w:type="spellStart"/>
      <w:r w:rsidRPr="0085018D">
        <w:t>Skoetz</w:t>
      </w:r>
      <w:proofErr w:type="spellEnd"/>
      <w:r w:rsidRPr="0085018D">
        <w:t xml:space="preserve"> 2017 review included five randomised controlled trials that included either </w:t>
      </w:r>
      <w:proofErr w:type="spellStart"/>
      <w:r w:rsidRPr="0085018D">
        <w:t>eBEACOPP</w:t>
      </w:r>
      <w:proofErr w:type="spellEnd"/>
      <w:r w:rsidRPr="0085018D">
        <w:t xml:space="preserve"> or ABVD as the primary treatment regimen (EORTC 20012, GHSG HD9, GHSG HD 14, GSM-HD 2008 and HD 2000). Meta-analysed results suggested statistically significant improvements in overall survival (HR 0.74; 95% CI: 0.57, 0.97) and progression-free survival (HR 0.54; 95% CI: 0.45, 0.64) in patients treated with </w:t>
      </w:r>
      <w:proofErr w:type="spellStart"/>
      <w:r w:rsidRPr="0085018D">
        <w:t>eBEACOPP</w:t>
      </w:r>
      <w:proofErr w:type="spellEnd"/>
      <w:r w:rsidRPr="0085018D">
        <w:t xml:space="preserve"> compared to ABVD. However, </w:t>
      </w:r>
      <w:r w:rsidR="002234C6" w:rsidRPr="0085018D">
        <w:t>there was also</w:t>
      </w:r>
      <w:r w:rsidRPr="0085018D">
        <w:t xml:space="preserve"> increased incidence of acute toxicity (</w:t>
      </w:r>
      <w:proofErr w:type="gramStart"/>
      <w:r w:rsidRPr="0085018D">
        <w:t>e.g.</w:t>
      </w:r>
      <w:proofErr w:type="gramEnd"/>
      <w:r w:rsidRPr="0085018D">
        <w:t xml:space="preserve"> haematological, respiratory, gastrointestinal) </w:t>
      </w:r>
      <w:r w:rsidR="002234C6" w:rsidRPr="0085018D">
        <w:t xml:space="preserve">with </w:t>
      </w:r>
      <w:proofErr w:type="spellStart"/>
      <w:r w:rsidR="002234C6" w:rsidRPr="0085018D">
        <w:t>eBEACOPP</w:t>
      </w:r>
      <w:proofErr w:type="spellEnd"/>
      <w:r w:rsidR="002234C6" w:rsidRPr="0085018D">
        <w:t xml:space="preserve"> </w:t>
      </w:r>
      <w:r w:rsidR="00D45145" w:rsidRPr="0085018D">
        <w:t>and</w:t>
      </w:r>
      <w:r w:rsidRPr="0085018D">
        <w:t xml:space="preserve"> potential for increased risk of long-term side effects such as secondary malignancies and infertility although there was insufficient data to determine if there was a difference compared to ABVD.</w:t>
      </w:r>
    </w:p>
    <w:p w14:paraId="1452C351" w14:textId="04F85588" w:rsidR="00B60939" w:rsidRPr="0085018D" w:rsidRDefault="00B60939" w:rsidP="00D86231">
      <w:pPr>
        <w:pStyle w:val="COMH2-non-numbered"/>
      </w:pPr>
      <w:bookmarkStart w:id="30" w:name="_Toc22897642"/>
      <w:bookmarkStart w:id="31" w:name="_Toc156922248"/>
      <w:r w:rsidRPr="0085018D">
        <w:t>Comparative harms</w:t>
      </w:r>
      <w:bookmarkEnd w:id="30"/>
      <w:bookmarkEnd w:id="31"/>
    </w:p>
    <w:bookmarkStart w:id="32" w:name="_Hlk104801403"/>
    <w:p w14:paraId="2DAF16D1" w14:textId="6F84C529" w:rsidR="00B60939" w:rsidRPr="0085018D" w:rsidRDefault="005652B7" w:rsidP="008E0F48">
      <w:pPr>
        <w:pStyle w:val="COMexecsumnumberedpara"/>
      </w:pPr>
      <w:r w:rsidRPr="0085018D">
        <w:fldChar w:fldCharType="begin"/>
      </w:r>
      <w:r w:rsidRPr="0085018D">
        <w:instrText xml:space="preserve"> REF _Ref155360957 \h </w:instrText>
      </w:r>
      <w:r w:rsidRPr="0085018D">
        <w:fldChar w:fldCharType="separate"/>
      </w:r>
      <w:r w:rsidRPr="0085018D">
        <w:t xml:space="preserve">Table </w:t>
      </w:r>
      <w:r w:rsidRPr="00B23B25">
        <w:t>6</w:t>
      </w:r>
      <w:r w:rsidRPr="0085018D">
        <w:fldChar w:fldCharType="end"/>
      </w:r>
      <w:r w:rsidRPr="0085018D">
        <w:t xml:space="preserve"> </w:t>
      </w:r>
      <w:r w:rsidR="008E0F48" w:rsidRPr="0085018D">
        <w:t>summarises the safety outcomes in the key trial during the primary analysis period (April 2017 data cut)</w:t>
      </w:r>
      <w:r w:rsidR="008C7282" w:rsidRPr="0085018D">
        <w:t xml:space="preserve">. </w:t>
      </w:r>
      <w:bookmarkEnd w:id="32"/>
      <w:r w:rsidR="008E0F48" w:rsidRPr="0085018D">
        <w:t>The ECHELON-1 trial was open-label, which may bias the reporting of adverse events. Adverse event data were based on patient incidence only, which does not capture the occurrence of multiple events of the same type in individual patients.</w:t>
      </w:r>
    </w:p>
    <w:p w14:paraId="7EC31C44" w14:textId="387B8B39" w:rsidR="008E0F48" w:rsidRPr="0085018D" w:rsidRDefault="008E0F48" w:rsidP="008E0F48">
      <w:pPr>
        <w:pStyle w:val="COMtablefigcaption"/>
      </w:pPr>
      <w:bookmarkStart w:id="33" w:name="_Ref155360957"/>
      <w:r w:rsidRPr="0085018D">
        <w:t xml:space="preserve">Table </w:t>
      </w:r>
      <w:fldSimple w:instr=" SEQ Table \* ARABIC ">
        <w:r w:rsidR="001F14E4" w:rsidRPr="00B23B25">
          <w:t>6</w:t>
        </w:r>
      </w:fldSimple>
      <w:bookmarkEnd w:id="33"/>
      <w:r w:rsidRPr="0085018D">
        <w:t>: Summary of key adverse events in the ECHELON-1 trial (safety population, April 2017 data cut)</w:t>
      </w:r>
    </w:p>
    <w:tbl>
      <w:tblPr>
        <w:tblStyle w:val="TableGrid"/>
        <w:tblW w:w="0" w:type="auto"/>
        <w:tblLook w:val="04A0" w:firstRow="1" w:lastRow="0" w:firstColumn="1" w:lastColumn="0" w:noHBand="0" w:noVBand="1"/>
        <w:tblCaption w:val="Table 6: Summary of key adverse events in the ECHELON-1 trial (safety population, April 2017 data cut)"/>
      </w:tblPr>
      <w:tblGrid>
        <w:gridCol w:w="3551"/>
        <w:gridCol w:w="2733"/>
        <w:gridCol w:w="2733"/>
      </w:tblGrid>
      <w:tr w:rsidR="008E0F48" w:rsidRPr="0085018D" w14:paraId="4878EF0E" w14:textId="77777777" w:rsidTr="001A3E3F">
        <w:tc>
          <w:tcPr>
            <w:tcW w:w="3551" w:type="dxa"/>
            <w:vAlign w:val="center"/>
          </w:tcPr>
          <w:p w14:paraId="1E205963" w14:textId="77777777" w:rsidR="008E0F48" w:rsidRPr="0085018D" w:rsidRDefault="008E0F48" w:rsidP="001A3E3F">
            <w:pPr>
              <w:pStyle w:val="COMTableheadingrow"/>
              <w:rPr>
                <w:lang w:val="en-AU"/>
              </w:rPr>
            </w:pPr>
            <w:r w:rsidRPr="0085018D">
              <w:rPr>
                <w:lang w:val="en-AU"/>
              </w:rPr>
              <w:t>Patients, n (%)</w:t>
            </w:r>
          </w:p>
        </w:tc>
        <w:tc>
          <w:tcPr>
            <w:tcW w:w="2733" w:type="dxa"/>
            <w:vAlign w:val="center"/>
          </w:tcPr>
          <w:p w14:paraId="5A11E808" w14:textId="77777777" w:rsidR="008E0F48" w:rsidRPr="0085018D" w:rsidRDefault="008E0F48" w:rsidP="001A3E3F">
            <w:pPr>
              <w:pStyle w:val="COMTableheadingrow"/>
              <w:jc w:val="center"/>
              <w:rPr>
                <w:lang w:val="en-AU"/>
              </w:rPr>
            </w:pPr>
            <w:r w:rsidRPr="0085018D">
              <w:rPr>
                <w:lang w:val="en-AU"/>
              </w:rPr>
              <w:t>A+AVD</w:t>
            </w:r>
          </w:p>
          <w:p w14:paraId="7BFF562A" w14:textId="77777777" w:rsidR="008E0F48" w:rsidRPr="0085018D" w:rsidRDefault="008E0F48" w:rsidP="001A3E3F">
            <w:pPr>
              <w:pStyle w:val="COMTableheadingrow"/>
              <w:jc w:val="center"/>
              <w:rPr>
                <w:lang w:val="en-AU"/>
              </w:rPr>
            </w:pPr>
            <w:r w:rsidRPr="0085018D">
              <w:rPr>
                <w:lang w:val="en-AU"/>
              </w:rPr>
              <w:t>N=662</w:t>
            </w:r>
          </w:p>
        </w:tc>
        <w:tc>
          <w:tcPr>
            <w:tcW w:w="2733" w:type="dxa"/>
            <w:vAlign w:val="center"/>
          </w:tcPr>
          <w:p w14:paraId="0D99929B" w14:textId="77777777" w:rsidR="008E0F48" w:rsidRPr="0085018D" w:rsidRDefault="008E0F48" w:rsidP="001A3E3F">
            <w:pPr>
              <w:pStyle w:val="COMTableheadingrow"/>
              <w:jc w:val="center"/>
              <w:rPr>
                <w:lang w:val="en-AU"/>
              </w:rPr>
            </w:pPr>
            <w:r w:rsidRPr="0085018D">
              <w:rPr>
                <w:lang w:val="en-AU"/>
              </w:rPr>
              <w:t>ABVD</w:t>
            </w:r>
          </w:p>
          <w:p w14:paraId="5799F5D6" w14:textId="77777777" w:rsidR="008E0F48" w:rsidRPr="0085018D" w:rsidRDefault="008E0F48" w:rsidP="001A3E3F">
            <w:pPr>
              <w:pStyle w:val="COMTableheadingrow"/>
              <w:jc w:val="center"/>
              <w:rPr>
                <w:lang w:val="en-AU"/>
              </w:rPr>
            </w:pPr>
            <w:r w:rsidRPr="0085018D">
              <w:rPr>
                <w:lang w:val="en-AU"/>
              </w:rPr>
              <w:t>N=659</w:t>
            </w:r>
          </w:p>
        </w:tc>
      </w:tr>
      <w:tr w:rsidR="008E0F48" w:rsidRPr="0085018D" w14:paraId="22192A85" w14:textId="77777777" w:rsidTr="001A3E3F">
        <w:tc>
          <w:tcPr>
            <w:tcW w:w="3551" w:type="dxa"/>
          </w:tcPr>
          <w:p w14:paraId="6277BD88" w14:textId="77777777" w:rsidR="008E0F48" w:rsidRPr="0085018D" w:rsidRDefault="008E0F48" w:rsidP="001A3E3F">
            <w:pPr>
              <w:pStyle w:val="COMTabletext"/>
            </w:pPr>
            <w:r w:rsidRPr="0085018D">
              <w:t>Any adverse event</w:t>
            </w:r>
          </w:p>
        </w:tc>
        <w:tc>
          <w:tcPr>
            <w:tcW w:w="2733" w:type="dxa"/>
            <w:vAlign w:val="center"/>
          </w:tcPr>
          <w:p w14:paraId="26AEF542" w14:textId="77777777" w:rsidR="008E0F48" w:rsidRPr="0085018D" w:rsidRDefault="008E0F48" w:rsidP="001A3E3F">
            <w:pPr>
              <w:pStyle w:val="COMTabletext"/>
              <w:jc w:val="center"/>
            </w:pPr>
            <w:r w:rsidRPr="0085018D">
              <w:t>653 (99)</w:t>
            </w:r>
          </w:p>
        </w:tc>
        <w:tc>
          <w:tcPr>
            <w:tcW w:w="2733" w:type="dxa"/>
            <w:vAlign w:val="center"/>
          </w:tcPr>
          <w:p w14:paraId="21039934" w14:textId="77777777" w:rsidR="008E0F48" w:rsidRPr="0085018D" w:rsidRDefault="008E0F48" w:rsidP="001A3E3F">
            <w:pPr>
              <w:pStyle w:val="COMTabletext"/>
              <w:jc w:val="center"/>
            </w:pPr>
            <w:r w:rsidRPr="0085018D">
              <w:t>646 (98)</w:t>
            </w:r>
          </w:p>
        </w:tc>
      </w:tr>
      <w:tr w:rsidR="008E0F48" w:rsidRPr="0085018D" w14:paraId="787BE575" w14:textId="77777777" w:rsidTr="001A3E3F">
        <w:tc>
          <w:tcPr>
            <w:tcW w:w="3551" w:type="dxa"/>
          </w:tcPr>
          <w:p w14:paraId="3A8106DC" w14:textId="77777777" w:rsidR="008E0F48" w:rsidRPr="0085018D" w:rsidRDefault="008E0F48" w:rsidP="001A3E3F">
            <w:pPr>
              <w:pStyle w:val="COMTabletext"/>
            </w:pPr>
            <w:r w:rsidRPr="0085018D">
              <w:t>Grade 3 or higher adverse event</w:t>
            </w:r>
          </w:p>
        </w:tc>
        <w:tc>
          <w:tcPr>
            <w:tcW w:w="2733" w:type="dxa"/>
            <w:vAlign w:val="center"/>
          </w:tcPr>
          <w:p w14:paraId="02F0F7E6" w14:textId="77777777" w:rsidR="008E0F48" w:rsidRPr="0085018D" w:rsidRDefault="008E0F48" w:rsidP="001A3E3F">
            <w:pPr>
              <w:pStyle w:val="COMTabletext"/>
              <w:jc w:val="center"/>
            </w:pPr>
            <w:r w:rsidRPr="0085018D">
              <w:t>549 (83)</w:t>
            </w:r>
          </w:p>
        </w:tc>
        <w:tc>
          <w:tcPr>
            <w:tcW w:w="2733" w:type="dxa"/>
            <w:vAlign w:val="center"/>
          </w:tcPr>
          <w:p w14:paraId="7162DB17" w14:textId="77777777" w:rsidR="008E0F48" w:rsidRPr="0085018D" w:rsidRDefault="008E0F48" w:rsidP="001A3E3F">
            <w:pPr>
              <w:pStyle w:val="COMTabletext"/>
              <w:jc w:val="center"/>
            </w:pPr>
            <w:r w:rsidRPr="0085018D">
              <w:t>434 (66)</w:t>
            </w:r>
          </w:p>
        </w:tc>
      </w:tr>
      <w:tr w:rsidR="008E0F48" w:rsidRPr="0085018D" w14:paraId="740D8A8F" w14:textId="77777777" w:rsidTr="001A3E3F">
        <w:tc>
          <w:tcPr>
            <w:tcW w:w="3551" w:type="dxa"/>
          </w:tcPr>
          <w:p w14:paraId="441EC432" w14:textId="77777777" w:rsidR="008E0F48" w:rsidRPr="0085018D" w:rsidRDefault="008E0F48" w:rsidP="001A3E3F">
            <w:pPr>
              <w:pStyle w:val="COMTabletext"/>
            </w:pPr>
            <w:r w:rsidRPr="0085018D">
              <w:t>Serious adverse event</w:t>
            </w:r>
          </w:p>
        </w:tc>
        <w:tc>
          <w:tcPr>
            <w:tcW w:w="2733" w:type="dxa"/>
            <w:vAlign w:val="center"/>
          </w:tcPr>
          <w:p w14:paraId="6B599465" w14:textId="77777777" w:rsidR="008E0F48" w:rsidRPr="0085018D" w:rsidRDefault="008E0F48" w:rsidP="001A3E3F">
            <w:pPr>
              <w:pStyle w:val="COMTabletext"/>
              <w:jc w:val="center"/>
            </w:pPr>
            <w:r w:rsidRPr="0085018D">
              <w:t>284 (43)</w:t>
            </w:r>
          </w:p>
        </w:tc>
        <w:tc>
          <w:tcPr>
            <w:tcW w:w="2733" w:type="dxa"/>
            <w:vAlign w:val="center"/>
          </w:tcPr>
          <w:p w14:paraId="669EC58C" w14:textId="77777777" w:rsidR="008E0F48" w:rsidRPr="0085018D" w:rsidRDefault="008E0F48" w:rsidP="001A3E3F">
            <w:pPr>
              <w:pStyle w:val="COMTabletext"/>
              <w:jc w:val="center"/>
            </w:pPr>
            <w:r w:rsidRPr="0085018D">
              <w:t>178 (27)</w:t>
            </w:r>
          </w:p>
        </w:tc>
      </w:tr>
      <w:tr w:rsidR="008E0F48" w:rsidRPr="0085018D" w14:paraId="34BA182A" w14:textId="77777777" w:rsidTr="001A3E3F">
        <w:tc>
          <w:tcPr>
            <w:tcW w:w="3551" w:type="dxa"/>
          </w:tcPr>
          <w:p w14:paraId="46899612" w14:textId="77777777" w:rsidR="008E0F48" w:rsidRPr="0085018D" w:rsidRDefault="008E0F48" w:rsidP="001A3E3F">
            <w:pPr>
              <w:pStyle w:val="COMTabletext"/>
            </w:pPr>
            <w:r w:rsidRPr="0085018D">
              <w:t>Adverse events resulting in study drug discontinuation</w:t>
            </w:r>
          </w:p>
        </w:tc>
        <w:tc>
          <w:tcPr>
            <w:tcW w:w="2733" w:type="dxa"/>
            <w:vAlign w:val="center"/>
          </w:tcPr>
          <w:p w14:paraId="274F0FC6" w14:textId="77777777" w:rsidR="008E0F48" w:rsidRPr="0085018D" w:rsidRDefault="008E0F48" w:rsidP="001A3E3F">
            <w:pPr>
              <w:pStyle w:val="COMTabletext"/>
              <w:jc w:val="center"/>
            </w:pPr>
            <w:r w:rsidRPr="0085018D">
              <w:t>88 (13)</w:t>
            </w:r>
          </w:p>
        </w:tc>
        <w:tc>
          <w:tcPr>
            <w:tcW w:w="2733" w:type="dxa"/>
            <w:vAlign w:val="center"/>
          </w:tcPr>
          <w:p w14:paraId="1F1CF39A" w14:textId="77777777" w:rsidR="008E0F48" w:rsidRPr="0085018D" w:rsidRDefault="008E0F48" w:rsidP="001A3E3F">
            <w:pPr>
              <w:pStyle w:val="COMTabletext"/>
              <w:jc w:val="center"/>
            </w:pPr>
            <w:r w:rsidRPr="0085018D">
              <w:t>105 (16)</w:t>
            </w:r>
          </w:p>
        </w:tc>
      </w:tr>
      <w:tr w:rsidR="008E0F48" w:rsidRPr="0085018D" w14:paraId="0934E6FE" w14:textId="77777777" w:rsidTr="001A3E3F">
        <w:tc>
          <w:tcPr>
            <w:tcW w:w="3551" w:type="dxa"/>
          </w:tcPr>
          <w:p w14:paraId="623DC618" w14:textId="77777777" w:rsidR="008E0F48" w:rsidRPr="0085018D" w:rsidRDefault="008E0F48" w:rsidP="001A3E3F">
            <w:pPr>
              <w:pStyle w:val="COMTabletext"/>
            </w:pPr>
            <w:r w:rsidRPr="0085018D">
              <w:t>Adverse event resulting in dose modification</w:t>
            </w:r>
          </w:p>
        </w:tc>
        <w:tc>
          <w:tcPr>
            <w:tcW w:w="2733" w:type="dxa"/>
            <w:vAlign w:val="center"/>
          </w:tcPr>
          <w:p w14:paraId="76E56174" w14:textId="77777777" w:rsidR="008E0F48" w:rsidRPr="0085018D" w:rsidRDefault="008E0F48" w:rsidP="001A3E3F">
            <w:pPr>
              <w:pStyle w:val="COMTabletext"/>
              <w:jc w:val="center"/>
            </w:pPr>
            <w:r w:rsidRPr="0085018D">
              <w:t>423 (64)</w:t>
            </w:r>
          </w:p>
        </w:tc>
        <w:tc>
          <w:tcPr>
            <w:tcW w:w="2733" w:type="dxa"/>
            <w:vAlign w:val="center"/>
          </w:tcPr>
          <w:p w14:paraId="58D89E11" w14:textId="77777777" w:rsidR="008E0F48" w:rsidRPr="0085018D" w:rsidRDefault="008E0F48" w:rsidP="001A3E3F">
            <w:pPr>
              <w:pStyle w:val="COMTabletext"/>
              <w:jc w:val="center"/>
            </w:pPr>
            <w:r w:rsidRPr="0085018D">
              <w:t>293 (44)</w:t>
            </w:r>
          </w:p>
        </w:tc>
      </w:tr>
      <w:tr w:rsidR="008E0F48" w:rsidRPr="0085018D" w14:paraId="173356CE" w14:textId="77777777" w:rsidTr="001A3E3F">
        <w:tc>
          <w:tcPr>
            <w:tcW w:w="3551" w:type="dxa"/>
          </w:tcPr>
          <w:p w14:paraId="4D8E5891" w14:textId="77777777" w:rsidR="008E0F48" w:rsidRPr="0085018D" w:rsidRDefault="008E0F48" w:rsidP="001A3E3F">
            <w:pPr>
              <w:pStyle w:val="COMTabletext"/>
            </w:pPr>
            <w:r w:rsidRPr="0085018D">
              <w:t>- Dose held</w:t>
            </w:r>
          </w:p>
        </w:tc>
        <w:tc>
          <w:tcPr>
            <w:tcW w:w="2733" w:type="dxa"/>
            <w:vAlign w:val="center"/>
          </w:tcPr>
          <w:p w14:paraId="68E898A7" w14:textId="77777777" w:rsidR="008E0F48" w:rsidRPr="0085018D" w:rsidRDefault="008E0F48" w:rsidP="001A3E3F">
            <w:pPr>
              <w:pStyle w:val="COMTabletext"/>
              <w:jc w:val="center"/>
            </w:pPr>
            <w:r w:rsidRPr="0085018D">
              <w:t>44 (7)</w:t>
            </w:r>
          </w:p>
        </w:tc>
        <w:tc>
          <w:tcPr>
            <w:tcW w:w="2733" w:type="dxa"/>
            <w:vAlign w:val="center"/>
          </w:tcPr>
          <w:p w14:paraId="3E3520AD" w14:textId="77777777" w:rsidR="008E0F48" w:rsidRPr="0085018D" w:rsidRDefault="008E0F48" w:rsidP="001A3E3F">
            <w:pPr>
              <w:pStyle w:val="COMTabletext"/>
              <w:jc w:val="center"/>
            </w:pPr>
            <w:r w:rsidRPr="0085018D">
              <w:t>32 (5)</w:t>
            </w:r>
          </w:p>
        </w:tc>
      </w:tr>
      <w:tr w:rsidR="008E0F48" w:rsidRPr="0085018D" w14:paraId="70699A28" w14:textId="77777777" w:rsidTr="001A3E3F">
        <w:tc>
          <w:tcPr>
            <w:tcW w:w="3551" w:type="dxa"/>
          </w:tcPr>
          <w:p w14:paraId="2795DB07" w14:textId="77777777" w:rsidR="008E0F48" w:rsidRPr="0085018D" w:rsidRDefault="008E0F48" w:rsidP="001A3E3F">
            <w:pPr>
              <w:pStyle w:val="COMTabletext"/>
            </w:pPr>
            <w:r w:rsidRPr="0085018D">
              <w:t>- Dose interrupted</w:t>
            </w:r>
          </w:p>
        </w:tc>
        <w:tc>
          <w:tcPr>
            <w:tcW w:w="2733" w:type="dxa"/>
            <w:vAlign w:val="center"/>
          </w:tcPr>
          <w:p w14:paraId="3B006C3E" w14:textId="77777777" w:rsidR="008E0F48" w:rsidRPr="0085018D" w:rsidRDefault="008E0F48" w:rsidP="001A3E3F">
            <w:pPr>
              <w:pStyle w:val="COMTabletext"/>
              <w:jc w:val="center"/>
            </w:pPr>
            <w:r w:rsidRPr="0085018D">
              <w:t>22 (3)</w:t>
            </w:r>
          </w:p>
        </w:tc>
        <w:tc>
          <w:tcPr>
            <w:tcW w:w="2733" w:type="dxa"/>
            <w:vAlign w:val="center"/>
          </w:tcPr>
          <w:p w14:paraId="1A45520E" w14:textId="77777777" w:rsidR="008E0F48" w:rsidRPr="0085018D" w:rsidRDefault="008E0F48" w:rsidP="001A3E3F">
            <w:pPr>
              <w:pStyle w:val="COMTabletext"/>
              <w:jc w:val="center"/>
            </w:pPr>
            <w:r w:rsidRPr="0085018D">
              <w:t>33 (5)</w:t>
            </w:r>
          </w:p>
        </w:tc>
      </w:tr>
      <w:tr w:rsidR="008E0F48" w:rsidRPr="0085018D" w14:paraId="16D15FC2" w14:textId="77777777" w:rsidTr="001A3E3F">
        <w:tc>
          <w:tcPr>
            <w:tcW w:w="3551" w:type="dxa"/>
          </w:tcPr>
          <w:p w14:paraId="1E4BDDC7" w14:textId="77777777" w:rsidR="008E0F48" w:rsidRPr="0085018D" w:rsidRDefault="008E0F48" w:rsidP="001A3E3F">
            <w:pPr>
              <w:pStyle w:val="COMTabletext"/>
            </w:pPr>
            <w:r w:rsidRPr="0085018D">
              <w:t>- Dose reduced</w:t>
            </w:r>
          </w:p>
        </w:tc>
        <w:tc>
          <w:tcPr>
            <w:tcW w:w="2733" w:type="dxa"/>
            <w:vAlign w:val="center"/>
          </w:tcPr>
          <w:p w14:paraId="5F87EED6" w14:textId="77777777" w:rsidR="008E0F48" w:rsidRPr="0085018D" w:rsidRDefault="008E0F48" w:rsidP="001A3E3F">
            <w:pPr>
              <w:pStyle w:val="COMTabletext"/>
              <w:jc w:val="center"/>
            </w:pPr>
            <w:r w:rsidRPr="0085018D">
              <w:t>191 (29)</w:t>
            </w:r>
          </w:p>
        </w:tc>
        <w:tc>
          <w:tcPr>
            <w:tcW w:w="2733" w:type="dxa"/>
            <w:vAlign w:val="center"/>
          </w:tcPr>
          <w:p w14:paraId="7CE275E2" w14:textId="77777777" w:rsidR="008E0F48" w:rsidRPr="0085018D" w:rsidRDefault="008E0F48" w:rsidP="001A3E3F">
            <w:pPr>
              <w:pStyle w:val="COMTabletext"/>
              <w:jc w:val="center"/>
            </w:pPr>
            <w:r w:rsidRPr="0085018D">
              <w:t>65 (10)</w:t>
            </w:r>
          </w:p>
        </w:tc>
      </w:tr>
      <w:tr w:rsidR="008E0F48" w:rsidRPr="0085018D" w14:paraId="0A6CDBCC" w14:textId="77777777" w:rsidTr="001A3E3F">
        <w:tc>
          <w:tcPr>
            <w:tcW w:w="3551" w:type="dxa"/>
          </w:tcPr>
          <w:p w14:paraId="7953444E" w14:textId="77777777" w:rsidR="008E0F48" w:rsidRPr="0085018D" w:rsidRDefault="008E0F48" w:rsidP="001A3E3F">
            <w:pPr>
              <w:pStyle w:val="COMTabletext"/>
            </w:pPr>
            <w:r w:rsidRPr="0085018D">
              <w:t>- Dose delayed</w:t>
            </w:r>
          </w:p>
        </w:tc>
        <w:tc>
          <w:tcPr>
            <w:tcW w:w="2733" w:type="dxa"/>
            <w:vAlign w:val="center"/>
          </w:tcPr>
          <w:p w14:paraId="0A705256" w14:textId="77777777" w:rsidR="008E0F48" w:rsidRPr="0085018D" w:rsidRDefault="008E0F48" w:rsidP="001A3E3F">
            <w:pPr>
              <w:pStyle w:val="COMTabletext"/>
              <w:jc w:val="center"/>
            </w:pPr>
            <w:r w:rsidRPr="0085018D">
              <w:t>318 (48)</w:t>
            </w:r>
          </w:p>
        </w:tc>
        <w:tc>
          <w:tcPr>
            <w:tcW w:w="2733" w:type="dxa"/>
            <w:vAlign w:val="center"/>
          </w:tcPr>
          <w:p w14:paraId="1213533C" w14:textId="77777777" w:rsidR="008E0F48" w:rsidRPr="0085018D" w:rsidRDefault="008E0F48" w:rsidP="001A3E3F">
            <w:pPr>
              <w:pStyle w:val="COMTabletext"/>
              <w:jc w:val="center"/>
            </w:pPr>
            <w:r w:rsidRPr="0085018D">
              <w:t>217 (33)</w:t>
            </w:r>
          </w:p>
        </w:tc>
      </w:tr>
      <w:tr w:rsidR="008E0F48" w:rsidRPr="0085018D" w14:paraId="617C9430" w14:textId="77777777" w:rsidTr="001A3E3F">
        <w:tc>
          <w:tcPr>
            <w:tcW w:w="3551" w:type="dxa"/>
          </w:tcPr>
          <w:p w14:paraId="0D38E107" w14:textId="77777777" w:rsidR="008E0F48" w:rsidRPr="0085018D" w:rsidRDefault="008E0F48" w:rsidP="001A3E3F">
            <w:pPr>
              <w:pStyle w:val="COMTabletext"/>
            </w:pPr>
            <w:r w:rsidRPr="0085018D">
              <w:t>On-study deaths</w:t>
            </w:r>
          </w:p>
        </w:tc>
        <w:tc>
          <w:tcPr>
            <w:tcW w:w="2733" w:type="dxa"/>
            <w:vAlign w:val="center"/>
          </w:tcPr>
          <w:p w14:paraId="5A1D7AB2" w14:textId="77777777" w:rsidR="008E0F48" w:rsidRPr="0085018D" w:rsidRDefault="008E0F48" w:rsidP="001A3E3F">
            <w:pPr>
              <w:pStyle w:val="COMTabletext"/>
              <w:jc w:val="center"/>
            </w:pPr>
            <w:r w:rsidRPr="0085018D">
              <w:t>9 (1)</w:t>
            </w:r>
          </w:p>
        </w:tc>
        <w:tc>
          <w:tcPr>
            <w:tcW w:w="2733" w:type="dxa"/>
            <w:vAlign w:val="center"/>
          </w:tcPr>
          <w:p w14:paraId="37F8DE80" w14:textId="77777777" w:rsidR="008E0F48" w:rsidRPr="0085018D" w:rsidRDefault="008E0F48" w:rsidP="001A3E3F">
            <w:pPr>
              <w:pStyle w:val="COMTabletext"/>
              <w:jc w:val="center"/>
            </w:pPr>
            <w:r w:rsidRPr="0085018D">
              <w:t>13 (2)</w:t>
            </w:r>
          </w:p>
        </w:tc>
      </w:tr>
      <w:tr w:rsidR="008E0F48" w:rsidRPr="0085018D" w14:paraId="765E1FF2" w14:textId="77777777" w:rsidTr="001A3E3F">
        <w:tc>
          <w:tcPr>
            <w:tcW w:w="3551" w:type="dxa"/>
          </w:tcPr>
          <w:p w14:paraId="034DDE6B" w14:textId="77777777" w:rsidR="008E0F48" w:rsidRPr="0085018D" w:rsidRDefault="008E0F48" w:rsidP="001A3E3F">
            <w:pPr>
              <w:pStyle w:val="COMTabletext"/>
            </w:pPr>
            <w:r w:rsidRPr="0085018D">
              <w:t>Deaths due to study treatment-related adverse events</w:t>
            </w:r>
          </w:p>
        </w:tc>
        <w:tc>
          <w:tcPr>
            <w:tcW w:w="2733" w:type="dxa"/>
            <w:vAlign w:val="center"/>
          </w:tcPr>
          <w:p w14:paraId="5D5A4E57" w14:textId="77777777" w:rsidR="008E0F48" w:rsidRPr="0085018D" w:rsidRDefault="008E0F48" w:rsidP="001A3E3F">
            <w:pPr>
              <w:pStyle w:val="COMTabletext"/>
              <w:jc w:val="center"/>
            </w:pPr>
            <w:r w:rsidRPr="0085018D">
              <w:t>8 (1)</w:t>
            </w:r>
          </w:p>
        </w:tc>
        <w:tc>
          <w:tcPr>
            <w:tcW w:w="2733" w:type="dxa"/>
            <w:vAlign w:val="center"/>
          </w:tcPr>
          <w:p w14:paraId="6C7C4489" w14:textId="77777777" w:rsidR="008E0F48" w:rsidRPr="0085018D" w:rsidRDefault="008E0F48" w:rsidP="001A3E3F">
            <w:pPr>
              <w:pStyle w:val="COMTabletext"/>
              <w:jc w:val="center"/>
            </w:pPr>
            <w:r w:rsidRPr="0085018D">
              <w:t>7 (1)</w:t>
            </w:r>
          </w:p>
        </w:tc>
      </w:tr>
      <w:tr w:rsidR="008E0F48" w:rsidRPr="0085018D" w14:paraId="5903A537" w14:textId="77777777" w:rsidTr="001A3E3F">
        <w:tc>
          <w:tcPr>
            <w:tcW w:w="9017" w:type="dxa"/>
            <w:gridSpan w:val="3"/>
          </w:tcPr>
          <w:p w14:paraId="13FC8193" w14:textId="77777777" w:rsidR="008E0F48" w:rsidRPr="0085018D" w:rsidRDefault="008E0F48" w:rsidP="001A3E3F">
            <w:pPr>
              <w:pStyle w:val="COMTableheadingrow"/>
              <w:rPr>
                <w:lang w:val="en-AU"/>
              </w:rPr>
            </w:pPr>
            <w:r w:rsidRPr="0085018D">
              <w:rPr>
                <w:lang w:val="en-AU"/>
              </w:rPr>
              <w:t>Adverse events of special interest</w:t>
            </w:r>
          </w:p>
        </w:tc>
      </w:tr>
      <w:tr w:rsidR="008E0F48" w:rsidRPr="0085018D" w14:paraId="5ED773F1" w14:textId="77777777" w:rsidTr="001A3E3F">
        <w:tc>
          <w:tcPr>
            <w:tcW w:w="3551" w:type="dxa"/>
          </w:tcPr>
          <w:p w14:paraId="7BE60D63" w14:textId="77777777" w:rsidR="008E0F48" w:rsidRPr="0085018D" w:rsidRDefault="008E0F48" w:rsidP="001A3E3F">
            <w:pPr>
              <w:pStyle w:val="COMTabletext"/>
            </w:pPr>
            <w:r w:rsidRPr="0085018D">
              <w:t>Neutropenia</w:t>
            </w:r>
          </w:p>
        </w:tc>
        <w:tc>
          <w:tcPr>
            <w:tcW w:w="2733" w:type="dxa"/>
            <w:vAlign w:val="center"/>
          </w:tcPr>
          <w:p w14:paraId="439C8A12" w14:textId="77777777" w:rsidR="008E0F48" w:rsidRPr="0085018D" w:rsidRDefault="008E0F48" w:rsidP="001A3E3F">
            <w:pPr>
              <w:pStyle w:val="COMTabletext"/>
              <w:jc w:val="center"/>
            </w:pPr>
            <w:r w:rsidRPr="0085018D">
              <w:t>454 (69)</w:t>
            </w:r>
          </w:p>
        </w:tc>
        <w:tc>
          <w:tcPr>
            <w:tcW w:w="2733" w:type="dxa"/>
            <w:vAlign w:val="center"/>
          </w:tcPr>
          <w:p w14:paraId="6769BF29" w14:textId="77777777" w:rsidR="008E0F48" w:rsidRPr="0085018D" w:rsidRDefault="008E0F48" w:rsidP="001A3E3F">
            <w:pPr>
              <w:pStyle w:val="COMTabletext"/>
              <w:jc w:val="center"/>
            </w:pPr>
            <w:r w:rsidRPr="0085018D">
              <w:t>361 (55)</w:t>
            </w:r>
          </w:p>
        </w:tc>
      </w:tr>
      <w:tr w:rsidR="008E0F48" w:rsidRPr="0085018D" w14:paraId="36AA2BD9" w14:textId="77777777" w:rsidTr="001A3E3F">
        <w:tc>
          <w:tcPr>
            <w:tcW w:w="3551" w:type="dxa"/>
          </w:tcPr>
          <w:p w14:paraId="0A87BB8C" w14:textId="77777777" w:rsidR="008E0F48" w:rsidRPr="0085018D" w:rsidRDefault="008E0F48" w:rsidP="001A3E3F">
            <w:pPr>
              <w:pStyle w:val="COMTabletext"/>
            </w:pPr>
            <w:r w:rsidRPr="0085018D">
              <w:t>Febrile neutropenia</w:t>
            </w:r>
          </w:p>
        </w:tc>
        <w:tc>
          <w:tcPr>
            <w:tcW w:w="2733" w:type="dxa"/>
            <w:vAlign w:val="center"/>
          </w:tcPr>
          <w:p w14:paraId="143298EB" w14:textId="77777777" w:rsidR="008E0F48" w:rsidRPr="0085018D" w:rsidRDefault="008E0F48" w:rsidP="001A3E3F">
            <w:pPr>
              <w:pStyle w:val="COMTabletext"/>
              <w:jc w:val="center"/>
            </w:pPr>
            <w:r w:rsidRPr="0085018D">
              <w:t>128 (19)</w:t>
            </w:r>
          </w:p>
        </w:tc>
        <w:tc>
          <w:tcPr>
            <w:tcW w:w="2733" w:type="dxa"/>
            <w:vAlign w:val="center"/>
          </w:tcPr>
          <w:p w14:paraId="7421258B" w14:textId="77777777" w:rsidR="008E0F48" w:rsidRPr="0085018D" w:rsidRDefault="008E0F48" w:rsidP="001A3E3F">
            <w:pPr>
              <w:pStyle w:val="COMTabletext"/>
              <w:jc w:val="center"/>
            </w:pPr>
            <w:r w:rsidRPr="0085018D">
              <w:t>52 (8)</w:t>
            </w:r>
          </w:p>
        </w:tc>
      </w:tr>
      <w:tr w:rsidR="008E0F48" w:rsidRPr="0085018D" w14:paraId="33189CF0" w14:textId="77777777" w:rsidTr="001A3E3F">
        <w:tc>
          <w:tcPr>
            <w:tcW w:w="3551" w:type="dxa"/>
          </w:tcPr>
          <w:p w14:paraId="39610278" w14:textId="77777777" w:rsidR="008E0F48" w:rsidRPr="0085018D" w:rsidRDefault="008E0F48" w:rsidP="001A3E3F">
            <w:pPr>
              <w:pStyle w:val="COMTabletext"/>
            </w:pPr>
            <w:r w:rsidRPr="0085018D">
              <w:t>Peripheral neuropathy</w:t>
            </w:r>
          </w:p>
        </w:tc>
        <w:tc>
          <w:tcPr>
            <w:tcW w:w="2733" w:type="dxa"/>
            <w:vAlign w:val="center"/>
          </w:tcPr>
          <w:p w14:paraId="59A878E1" w14:textId="77777777" w:rsidR="008E0F48" w:rsidRPr="0085018D" w:rsidRDefault="008E0F48" w:rsidP="001A3E3F">
            <w:pPr>
              <w:pStyle w:val="COMTabletext"/>
              <w:jc w:val="center"/>
            </w:pPr>
            <w:r w:rsidRPr="0085018D">
              <w:t>442 (67)</w:t>
            </w:r>
          </w:p>
        </w:tc>
        <w:tc>
          <w:tcPr>
            <w:tcW w:w="2733" w:type="dxa"/>
            <w:vAlign w:val="center"/>
          </w:tcPr>
          <w:p w14:paraId="2F322DED" w14:textId="77777777" w:rsidR="008E0F48" w:rsidRPr="0085018D" w:rsidRDefault="008E0F48" w:rsidP="001A3E3F">
            <w:pPr>
              <w:pStyle w:val="COMTabletext"/>
              <w:jc w:val="center"/>
            </w:pPr>
            <w:r w:rsidRPr="0085018D">
              <w:t>286 (43)</w:t>
            </w:r>
          </w:p>
        </w:tc>
      </w:tr>
      <w:tr w:rsidR="008E0F48" w:rsidRPr="0085018D" w14:paraId="23184B99" w14:textId="77777777" w:rsidTr="001A3E3F">
        <w:tc>
          <w:tcPr>
            <w:tcW w:w="3551" w:type="dxa"/>
          </w:tcPr>
          <w:p w14:paraId="524973BC" w14:textId="77777777" w:rsidR="008E0F48" w:rsidRPr="0085018D" w:rsidRDefault="008E0F48" w:rsidP="001A3E3F">
            <w:pPr>
              <w:pStyle w:val="COMTabletext"/>
            </w:pPr>
            <w:r w:rsidRPr="0085018D">
              <w:t>Pulmonary toxicity</w:t>
            </w:r>
          </w:p>
        </w:tc>
        <w:tc>
          <w:tcPr>
            <w:tcW w:w="2733" w:type="dxa"/>
            <w:vAlign w:val="center"/>
          </w:tcPr>
          <w:p w14:paraId="66E9D740" w14:textId="77777777" w:rsidR="008E0F48" w:rsidRPr="0085018D" w:rsidRDefault="008E0F48" w:rsidP="001A3E3F">
            <w:pPr>
              <w:pStyle w:val="COMTabletext"/>
              <w:jc w:val="center"/>
            </w:pPr>
            <w:r w:rsidRPr="0085018D">
              <w:t>12 (2)</w:t>
            </w:r>
          </w:p>
        </w:tc>
        <w:tc>
          <w:tcPr>
            <w:tcW w:w="2733" w:type="dxa"/>
            <w:vAlign w:val="center"/>
          </w:tcPr>
          <w:p w14:paraId="33F397EE" w14:textId="77777777" w:rsidR="008E0F48" w:rsidRPr="0085018D" w:rsidRDefault="008E0F48" w:rsidP="001A3E3F">
            <w:pPr>
              <w:pStyle w:val="COMTabletext"/>
              <w:jc w:val="center"/>
            </w:pPr>
            <w:r w:rsidRPr="0085018D">
              <w:t>44 (7)</w:t>
            </w:r>
          </w:p>
        </w:tc>
      </w:tr>
      <w:tr w:rsidR="008E0F48" w:rsidRPr="0085018D" w14:paraId="0E7A9543" w14:textId="77777777" w:rsidTr="001A3E3F">
        <w:tc>
          <w:tcPr>
            <w:tcW w:w="3551" w:type="dxa"/>
          </w:tcPr>
          <w:p w14:paraId="7618E0A7" w14:textId="77777777" w:rsidR="008E0F48" w:rsidRPr="0085018D" w:rsidRDefault="008E0F48" w:rsidP="001A3E3F">
            <w:pPr>
              <w:pStyle w:val="COMTabletext"/>
            </w:pPr>
            <w:r w:rsidRPr="0085018D">
              <w:t>Infusion-related reactions</w:t>
            </w:r>
          </w:p>
        </w:tc>
        <w:tc>
          <w:tcPr>
            <w:tcW w:w="2733" w:type="dxa"/>
            <w:vAlign w:val="center"/>
          </w:tcPr>
          <w:p w14:paraId="336F7016" w14:textId="77777777" w:rsidR="008E0F48" w:rsidRPr="0085018D" w:rsidRDefault="008E0F48" w:rsidP="001A3E3F">
            <w:pPr>
              <w:pStyle w:val="COMTabletext"/>
              <w:jc w:val="center"/>
            </w:pPr>
            <w:r w:rsidRPr="0085018D">
              <w:t>57 (9)</w:t>
            </w:r>
          </w:p>
        </w:tc>
        <w:tc>
          <w:tcPr>
            <w:tcW w:w="2733" w:type="dxa"/>
            <w:vAlign w:val="center"/>
          </w:tcPr>
          <w:p w14:paraId="552BDAED" w14:textId="77777777" w:rsidR="008E0F48" w:rsidRPr="0085018D" w:rsidRDefault="008E0F48" w:rsidP="001A3E3F">
            <w:pPr>
              <w:pStyle w:val="COMTabletext"/>
              <w:jc w:val="center"/>
            </w:pPr>
            <w:r w:rsidRPr="0085018D">
              <w:t>100 (15)</w:t>
            </w:r>
          </w:p>
        </w:tc>
      </w:tr>
    </w:tbl>
    <w:p w14:paraId="0FBCD2AE" w14:textId="77777777" w:rsidR="008E0F48" w:rsidRPr="0085018D" w:rsidRDefault="008E0F48" w:rsidP="008E0F48">
      <w:pPr>
        <w:pStyle w:val="COMTablefooter"/>
        <w:rPr>
          <w:rFonts w:eastAsia="Calibri"/>
        </w:rPr>
      </w:pPr>
      <w:r w:rsidRPr="0085018D">
        <w:rPr>
          <w:rFonts w:eastAsia="Calibri"/>
        </w:rPr>
        <w:t>Source: Table 12.f, p234 of the ECHELON-1 clinical study report</w:t>
      </w:r>
    </w:p>
    <w:p w14:paraId="59EB1E8C" w14:textId="77777777" w:rsidR="008E0F48" w:rsidRPr="0085018D" w:rsidRDefault="008E0F48" w:rsidP="008E0F48">
      <w:pPr>
        <w:pStyle w:val="COMTablefooter"/>
        <w:rPr>
          <w:rFonts w:eastAsia="Calibri"/>
        </w:rPr>
      </w:pPr>
      <w:r w:rsidRPr="0085018D">
        <w:rPr>
          <w:rFonts w:eastAsia="Calibri"/>
        </w:rPr>
        <w:t xml:space="preserve">Abbreviations: A+AVD, brentuximab </w:t>
      </w:r>
      <w:proofErr w:type="spellStart"/>
      <w:r w:rsidRPr="0085018D">
        <w:rPr>
          <w:rFonts w:eastAsia="Calibri"/>
        </w:rPr>
        <w:t>vedotin</w:t>
      </w:r>
      <w:proofErr w:type="spellEnd"/>
      <w:r w:rsidRPr="0085018D">
        <w:rPr>
          <w:rFonts w:eastAsia="Calibri"/>
        </w:rPr>
        <w:t xml:space="preserve"> plus doxorubicin, vinblastine, dacarbazine; ABVD, doxorubicin, bleomycin, vinblastine, and dacarbazine</w:t>
      </w:r>
    </w:p>
    <w:p w14:paraId="4619F803" w14:textId="0413B29E" w:rsidR="008E0F48" w:rsidRPr="0085018D" w:rsidRDefault="008E0F48" w:rsidP="008E0F48">
      <w:pPr>
        <w:pStyle w:val="COMexecsumnumberedpara"/>
      </w:pPr>
      <w:r w:rsidRPr="0085018D">
        <w:t xml:space="preserve">Almost all patients in both treatment arms experienced an adverse event. Treatment-emergent adverse events reported in ≥10% of patients in either treatment arm and in ≥10% more patients in the A+AVD arm compared to the ABVD arm were neutropenia, peripheral neuropathy, weight decreased, abdominal pain, </w:t>
      </w:r>
      <w:proofErr w:type="gramStart"/>
      <w:r w:rsidRPr="0085018D">
        <w:t>anaemia</w:t>
      </w:r>
      <w:proofErr w:type="gramEnd"/>
      <w:r w:rsidRPr="0085018D">
        <w:t xml:space="preserve"> and febrile neutropenia. Adverse events leading to premature discontinuation of study drug were reported more frequently for patients in the ABVD arm compared to the A+AVD arm. However, more patients in the A+AVD arm experienced adverse events resulting in dose modifications compared to ABVD, most commonly due to neutropenia and neuropathy.</w:t>
      </w:r>
    </w:p>
    <w:p w14:paraId="672D4013" w14:textId="4136F897" w:rsidR="008E0F48" w:rsidRPr="0085018D" w:rsidRDefault="00420D8C" w:rsidP="008E0F48">
      <w:pPr>
        <w:pStyle w:val="COMexecsumnumberedpara"/>
      </w:pPr>
      <w:r w:rsidRPr="0085018D">
        <w:t xml:space="preserve">More patients in the A+AVD arm experienced a serious adverse event compared to those in the ABVD arm. The most frequently reported serious adverse events in the A+AVD arm were febrile neutropenia, pyrexia, neutropenia, pneumonia, abdominal pain, sepsis, constipation, diarrhoea, pulmonary embolism, vomiting and dehydration. In the ABVD arm, the most frequently reported serious adverse events were febrile neutropenia, pyrexia, </w:t>
      </w:r>
      <w:proofErr w:type="gramStart"/>
      <w:r w:rsidRPr="0085018D">
        <w:t>pneumonia</w:t>
      </w:r>
      <w:proofErr w:type="gramEnd"/>
      <w:r w:rsidRPr="0085018D">
        <w:t xml:space="preserve"> and pneumonitis.</w:t>
      </w:r>
    </w:p>
    <w:p w14:paraId="0EDA2C25" w14:textId="738F0433" w:rsidR="00420D8C" w:rsidRPr="0085018D" w:rsidRDefault="00420D8C" w:rsidP="008E0F48">
      <w:pPr>
        <w:pStyle w:val="COMexecsumnumberedpara"/>
      </w:pPr>
      <w:r w:rsidRPr="0085018D">
        <w:t>On-study death occurred in 9 patients in the A+AVD arm</w:t>
      </w:r>
      <w:r w:rsidR="00612015" w:rsidRPr="0085018D">
        <w:t xml:space="preserve"> (</w:t>
      </w:r>
      <w:r w:rsidRPr="0085018D">
        <w:t>8 were treatment related</w:t>
      </w:r>
      <w:r w:rsidR="00612015" w:rsidRPr="0085018D">
        <w:t>)</w:t>
      </w:r>
      <w:r w:rsidRPr="0085018D">
        <w:t xml:space="preserve">. </w:t>
      </w:r>
      <w:proofErr w:type="gramStart"/>
      <w:r w:rsidRPr="0085018D">
        <w:t>The majority of</w:t>
      </w:r>
      <w:proofErr w:type="gramEnd"/>
      <w:r w:rsidRPr="0085018D">
        <w:t xml:space="preserve"> on-study deaths were associated with neutropenia and its complications, including neutropenic sepsis and septic shock. Most of the deaths (6 of 9) occurred in the first cycle of treatment. None of the A+AVD patients who died on-study had received G-CSF primary prophylaxis. In the ABVD arm, on-study death occurred in 13 patients and 7 of these were considered treatment related. </w:t>
      </w:r>
      <w:proofErr w:type="gramStart"/>
      <w:r w:rsidRPr="0085018D">
        <w:t>The majority of</w:t>
      </w:r>
      <w:proofErr w:type="gramEnd"/>
      <w:r w:rsidRPr="0085018D">
        <w:t xml:space="preserve"> on-study deaths were associated with pulmonary toxicity. Most of the deaths (10 of 13) occurred in the fifth and sixth cycles of treatment.</w:t>
      </w:r>
    </w:p>
    <w:p w14:paraId="2D044A39" w14:textId="3E32ED21" w:rsidR="00420D8C" w:rsidRPr="0085018D" w:rsidRDefault="00420D8C" w:rsidP="008E0F48">
      <w:pPr>
        <w:pStyle w:val="COMexecsumnumberedpara"/>
      </w:pPr>
      <w:r w:rsidRPr="0085018D">
        <w:t xml:space="preserve">In the updated safety analysis (June 2021 cut-off), there were 39 deaths (6%) in the A+AVD arm and 64 deaths (10%) in the ABVD arm. These totals included </w:t>
      </w:r>
      <w:r w:rsidR="009C6243" w:rsidRPr="0085018D">
        <w:t xml:space="preserve">additional </w:t>
      </w:r>
      <w:r w:rsidRPr="0085018D">
        <w:t>deaths during the follow-up period reported in 30 patients in the A+AVD arm and 51</w:t>
      </w:r>
      <w:r w:rsidR="0039635C">
        <w:t> </w:t>
      </w:r>
      <w:r w:rsidRPr="0085018D">
        <w:t xml:space="preserve">patients in the ABVD arm. The primary cause of deaths was Hodgkin lymphoma or its complications. A detailed breakdown of causes of death </w:t>
      </w:r>
      <w:r w:rsidR="00A91943" w:rsidRPr="0085018D">
        <w:t>during the follow-up period was not available.</w:t>
      </w:r>
    </w:p>
    <w:p w14:paraId="04A3B154" w14:textId="68256518" w:rsidR="00420D8C" w:rsidRPr="0085018D" w:rsidRDefault="00420D8C" w:rsidP="008E0F48">
      <w:pPr>
        <w:pStyle w:val="COMexecsumnumberedpara"/>
      </w:pPr>
      <w:r w:rsidRPr="0085018D">
        <w:t>The submission claimed the safety profile of A+AVD in the trial may be worse than in clinical practice due to differences in the use of G-CSF primary prophylaxis.</w:t>
      </w:r>
      <w:r w:rsidR="007F149B" w:rsidRPr="0085018D">
        <w:t xml:space="preserve"> Subgroup analyses indicated </w:t>
      </w:r>
      <w:r w:rsidR="006061DF" w:rsidRPr="0085018D">
        <w:t>lower incidence of febrile neutropenia, neutropenia, infections and infestations and deaths in both treatment arms with use of G-CSF by day 5 of the first treatment cycle</w:t>
      </w:r>
      <w:r w:rsidR="004526A8" w:rsidRPr="0085018D">
        <w:t>. However, the proportion of patients with these adverse events (including serious adverse events) remained higher in the A+AVD arm compared to the ABVD arm regardless of G-CSF use.</w:t>
      </w:r>
    </w:p>
    <w:p w14:paraId="1FF753F7" w14:textId="665DB4E1" w:rsidR="004526A8" w:rsidRPr="0085018D" w:rsidRDefault="00BF61DF" w:rsidP="008E0F48">
      <w:pPr>
        <w:pStyle w:val="COMexecsumnumberedpara"/>
      </w:pPr>
      <w:r w:rsidRPr="0085018D">
        <w:t>The trial included a comprehensive review of peripheral neuropathy</w:t>
      </w:r>
      <w:r w:rsidR="00A91943" w:rsidRPr="0085018D">
        <w:t xml:space="preserve">. </w:t>
      </w:r>
      <w:r w:rsidRPr="0085018D">
        <w:t xml:space="preserve">The most frequently reported peripheral neuropathy events were peripheral sensory neuropathy, peripheral neuropathy, </w:t>
      </w:r>
      <w:proofErr w:type="gramStart"/>
      <w:r w:rsidRPr="0085018D">
        <w:t>paraesthesia</w:t>
      </w:r>
      <w:proofErr w:type="gramEnd"/>
      <w:r w:rsidRPr="0085018D">
        <w:t xml:space="preserve"> and peripheral motor neuropathy. A higher proportion of patients in the A+AVD arm had peripheral neuropathy events of Grade 3 or higher severity (9%) compared to those in the ABVD group (2%). At the last follow-up (June 2021 data cut), more patients in the A+AVD group (19%) had ongoing peripheral neuropathy compared to the ABVD group (9%). Most events were of Grade 2 or less severity. The assessment of ongoing Grade 3 or higher peripheral neuropathy was limited </w:t>
      </w:r>
      <w:r w:rsidR="00BD270A" w:rsidRPr="0085018D">
        <w:t xml:space="preserve">to </w:t>
      </w:r>
      <w:r w:rsidR="002349DA" w:rsidRPr="0085018D">
        <w:t>a small number of patients</w:t>
      </w:r>
      <w:r w:rsidR="002340C7" w:rsidRPr="0085018D">
        <w:t>,</w:t>
      </w:r>
      <w:r w:rsidR="007505B9" w:rsidRPr="0085018D">
        <w:t xml:space="preserve"> </w:t>
      </w:r>
      <w:r w:rsidR="00385D47" w:rsidRPr="0085018D">
        <w:t>of which the majority</w:t>
      </w:r>
      <w:r w:rsidR="002340C7" w:rsidRPr="0085018D">
        <w:t xml:space="preserve"> </w:t>
      </w:r>
      <w:r w:rsidR="00BD270A" w:rsidRPr="0085018D">
        <w:t xml:space="preserve">were lost to follow-up, </w:t>
      </w:r>
      <w:r w:rsidR="002340C7" w:rsidRPr="0085018D">
        <w:t xml:space="preserve">had </w:t>
      </w:r>
      <w:r w:rsidR="00BD270A" w:rsidRPr="0085018D">
        <w:t>withdr</w:t>
      </w:r>
      <w:r w:rsidR="002340C7" w:rsidRPr="0085018D">
        <w:t>a</w:t>
      </w:r>
      <w:r w:rsidR="00BD270A" w:rsidRPr="0085018D">
        <w:t>w</w:t>
      </w:r>
      <w:r w:rsidR="002340C7" w:rsidRPr="0085018D">
        <w:t>n</w:t>
      </w:r>
      <w:r w:rsidR="00BD270A" w:rsidRPr="0085018D">
        <w:t xml:space="preserve"> from the </w:t>
      </w:r>
      <w:proofErr w:type="gramStart"/>
      <w:r w:rsidR="00BD270A" w:rsidRPr="0085018D">
        <w:t>study</w:t>
      </w:r>
      <w:proofErr w:type="gramEnd"/>
      <w:r w:rsidR="00BD270A" w:rsidRPr="0085018D">
        <w:t xml:space="preserve"> or </w:t>
      </w:r>
      <w:r w:rsidR="00236DFB" w:rsidRPr="0085018D">
        <w:t>had died at the latest data cut</w:t>
      </w:r>
      <w:r w:rsidR="00BD270A" w:rsidRPr="0085018D">
        <w:t xml:space="preserve"> </w:t>
      </w:r>
      <w:r w:rsidR="007505B9" w:rsidRPr="0085018D">
        <w:t xml:space="preserve">(11 </w:t>
      </w:r>
      <w:r w:rsidR="00236DFB" w:rsidRPr="0085018D">
        <w:t xml:space="preserve">of 16 patients </w:t>
      </w:r>
      <w:r w:rsidR="007505B9" w:rsidRPr="0085018D">
        <w:t>in the A+AVD arm and 4 in the ABVD arm)</w:t>
      </w:r>
      <w:r w:rsidRPr="0085018D">
        <w:t>.</w:t>
      </w:r>
    </w:p>
    <w:p w14:paraId="29450661" w14:textId="1605E919" w:rsidR="00BF61DF" w:rsidRPr="0085018D" w:rsidRDefault="00BF61DF" w:rsidP="008E0F48">
      <w:pPr>
        <w:pStyle w:val="COMexecsumnumberedpara"/>
      </w:pPr>
      <w:r w:rsidRPr="0085018D">
        <w:t>Pulmonary toxicity is known to be associated with bleomycin, which is the likely contributor to the increased incidence of these events in the ABVD arm compared to the A+AVD arm. Serious pulmonary toxicity events were reported for 5 A+AVD patients (&lt;1%) and 21 ABVD patients (3%), including 3 ABVD patients with a fatal event. No fatal events related to pulmonary toxicity were reported for the A+AVD arm. Pulmonary toxicity was not systematically assessed after the completion of frontline treatment.</w:t>
      </w:r>
    </w:p>
    <w:p w14:paraId="5F7F6878" w14:textId="2366004F" w:rsidR="00BF61DF" w:rsidRPr="0085018D" w:rsidRDefault="00BF61DF" w:rsidP="008E0F48">
      <w:pPr>
        <w:pStyle w:val="COMexecsumnumberedpara"/>
      </w:pPr>
      <w:r w:rsidRPr="0085018D">
        <w:t>The incidence of secondary malignancies was a long-term safety outcome in the trial. A secondary malignancy (solid tumours and haematological malignancies) was reported for 23 A+AVD patients (3%) and 32 ABVD patients (5%) based on the updated safety analysis (June 2021 data cut). The incidence of secondary malignancies was higher among patients aged ≥60 years</w:t>
      </w:r>
      <w:r w:rsidR="00484586" w:rsidRPr="0085018D">
        <w:t>,</w:t>
      </w:r>
      <w:r w:rsidRPr="0085018D">
        <w:t xml:space="preserve"> with 9 patients in the A+AVD arm (11%) and 14 patients in the ABVD arm (14%).</w:t>
      </w:r>
    </w:p>
    <w:p w14:paraId="0E716BAA" w14:textId="122B50C8" w:rsidR="00BF61DF" w:rsidRPr="0085018D" w:rsidRDefault="00BF61DF" w:rsidP="008E0F48">
      <w:pPr>
        <w:pStyle w:val="COMexecsumnumberedpara"/>
      </w:pPr>
      <w:r w:rsidRPr="0085018D">
        <w:t>Fertility was not formally assessed in the trial; however, similar numbers of pregnancies were reported in each treatment group based on the June 2021 cut-off. There were 114 pregnancies in 82 patients or partners in the A+AVD group (12%) and 81 pregnancies in 61 patients or partners in the ABVD group (9%).</w:t>
      </w:r>
    </w:p>
    <w:p w14:paraId="46FD21C0" w14:textId="73FB311D" w:rsidR="00484586" w:rsidRPr="0085018D" w:rsidRDefault="00484586" w:rsidP="00484586">
      <w:pPr>
        <w:pStyle w:val="COMexecsumnumberedpara"/>
        <w:rPr>
          <w:i/>
          <w:iCs/>
        </w:rPr>
      </w:pPr>
      <w:r w:rsidRPr="0085018D">
        <w:t xml:space="preserve">The submission also presented a naïve (indirect) comparison of safety outcomes between the A+AVD arm of the ECHELON-1 trial and the PET-adapted </w:t>
      </w:r>
      <w:proofErr w:type="spellStart"/>
      <w:r w:rsidRPr="0085018D">
        <w:t>eBEACOPP</w:t>
      </w:r>
      <w:proofErr w:type="spellEnd"/>
      <w:r w:rsidRPr="0085018D">
        <w:t xml:space="preserve"> arm of the AHL2011 trial.</w:t>
      </w:r>
      <w:r w:rsidRPr="0085018D">
        <w:rPr>
          <w:i/>
          <w:iCs/>
        </w:rPr>
        <w:t xml:space="preserve"> </w:t>
      </w:r>
      <w:r w:rsidRPr="0085018D">
        <w:t xml:space="preserve">The analyses compared the incidence of adverse events in both trials using the safety populations as well as the subgroup aged &lt;60 years from the ECHELON-1 trial. The submission claimed that the results support a claim of superior safety for A+AVD compared to PET-adapted </w:t>
      </w:r>
      <w:proofErr w:type="spellStart"/>
      <w:r w:rsidRPr="0085018D">
        <w:t>eBEACOPP</w:t>
      </w:r>
      <w:proofErr w:type="spellEnd"/>
      <w:r w:rsidRPr="0085018D">
        <w:t xml:space="preserve"> based on statistically significantly fewer patients experiencing haematological adverse events of grade 3 or higher. However, the naïve comparison also showed higher incidences of serious adverse events in the A+AVD arm compared to the PET-adapted </w:t>
      </w:r>
      <w:proofErr w:type="spellStart"/>
      <w:r w:rsidRPr="0085018D">
        <w:t>eBEACOPP</w:t>
      </w:r>
      <w:proofErr w:type="spellEnd"/>
      <w:r w:rsidRPr="0085018D">
        <w:t xml:space="preserve"> arm. Overall, the naïve (indirect) comparison was non-informative given the lack of a common reference arm and limited comparability between the trials.</w:t>
      </w:r>
    </w:p>
    <w:p w14:paraId="6F83279F" w14:textId="42BFD757" w:rsidR="006434D6" w:rsidRPr="0085018D" w:rsidRDefault="006434D6" w:rsidP="00F51D43">
      <w:pPr>
        <w:pStyle w:val="COMexecsumnumberedpara"/>
      </w:pPr>
      <w:r w:rsidRPr="0085018D">
        <w:t>The submission presented data on potential safety concerns based on the Periodic Benefit-Risk Evaluation Report (PBRER) for the period from 19 August 2022 to 18</w:t>
      </w:r>
      <w:r w:rsidR="0039635C">
        <w:t> </w:t>
      </w:r>
      <w:r w:rsidRPr="0085018D">
        <w:t xml:space="preserve">February 2023. Important identified risks included progressive multifocal leukoencephalopathy, pulmonary toxicity associated with combination use of bleomycin and brentuximab </w:t>
      </w:r>
      <w:proofErr w:type="spellStart"/>
      <w:r w:rsidRPr="0085018D">
        <w:t>vedotin</w:t>
      </w:r>
      <w:proofErr w:type="spellEnd"/>
      <w:r w:rsidRPr="0085018D">
        <w:t xml:space="preserve">, peripheral neuropathy, myelosuppression, infections, infusion-related reactions, hyperglycaemia, Steven-Johnson syndrome (SJS)/Toxic epidermal necrolysis (TEN), tumour lysis syndrome and anti-drug antibodies. Important potential risks were severe hepatotoxicity, pulmonary toxicity, gastrointestinal complications, reproductive </w:t>
      </w:r>
      <w:proofErr w:type="gramStart"/>
      <w:r w:rsidRPr="0085018D">
        <w:t>toxicity</w:t>
      </w:r>
      <w:proofErr w:type="gramEnd"/>
      <w:r w:rsidRPr="0085018D">
        <w:t xml:space="preserve"> and thymus depletion (paediatrics). Missing information included long term safety. No new safety signals were identified during the reporting period. </w:t>
      </w:r>
    </w:p>
    <w:p w14:paraId="412EC8ED" w14:textId="5886561A" w:rsidR="006434D6" w:rsidRPr="0085018D" w:rsidRDefault="006434D6" w:rsidP="006434D6">
      <w:pPr>
        <w:pStyle w:val="COMexecsumnumberedpara"/>
      </w:pPr>
      <w:r w:rsidRPr="0085018D">
        <w:t xml:space="preserve">There are limited long-term safety data particularly for late secondary complications such as secondary malignancies as these tend to occur 10 to 20 years post treatment, beyond the planned follow-up for the ECHELON-1 trial. </w:t>
      </w:r>
    </w:p>
    <w:p w14:paraId="04908C7F" w14:textId="381F8EE6" w:rsidR="007F1017" w:rsidRPr="0085018D" w:rsidRDefault="007F1017" w:rsidP="00D86231">
      <w:pPr>
        <w:pStyle w:val="COMH2-non-numbered"/>
      </w:pPr>
      <w:bookmarkStart w:id="34" w:name="_Toc22897643"/>
      <w:bookmarkStart w:id="35" w:name="_Toc156922249"/>
      <w:r w:rsidRPr="0085018D">
        <w:t>Benefits/harms</w:t>
      </w:r>
      <w:bookmarkEnd w:id="34"/>
      <w:bookmarkEnd w:id="35"/>
    </w:p>
    <w:p w14:paraId="6BB9866B" w14:textId="64A77E65" w:rsidR="00C4033D" w:rsidRPr="0085018D" w:rsidRDefault="00C4033D" w:rsidP="00C4033D">
      <w:pPr>
        <w:pStyle w:val="COMexecsumnumberedpara"/>
      </w:pPr>
      <w:proofErr w:type="gramStart"/>
      <w:r w:rsidRPr="0085018D">
        <w:t>On the basis of</w:t>
      </w:r>
      <w:proofErr w:type="gramEnd"/>
      <w:r w:rsidRPr="0085018D">
        <w:t xml:space="preserve"> direct evidence presented </w:t>
      </w:r>
      <w:r w:rsidR="00D15595" w:rsidRPr="0085018D">
        <w:t>in</w:t>
      </w:r>
      <w:r w:rsidRPr="0085018D">
        <w:t xml:space="preserve"> the submission, after a median duration of follow-up of 2 years (April 2017 cut off), for every 100 patients treated with A+AVD compared to ABVD:</w:t>
      </w:r>
    </w:p>
    <w:p w14:paraId="4732A6B8" w14:textId="3B83C7E0" w:rsidR="006B72EE" w:rsidRPr="0085018D" w:rsidRDefault="006B72EE" w:rsidP="0039635C">
      <w:pPr>
        <w:pStyle w:val="COMexecsummbulletlist"/>
        <w:ind w:left="1134"/>
      </w:pPr>
      <w:r w:rsidRPr="0085018D">
        <w:t xml:space="preserve">Approximately 4 fewer patients would experience a modified progression-free survival event </w:t>
      </w:r>
      <w:r w:rsidR="00FB2CBC" w:rsidRPr="0085018D">
        <w:t xml:space="preserve">at 3 years </w:t>
      </w:r>
      <w:r w:rsidRPr="0085018D">
        <w:t xml:space="preserve">(disease progression, </w:t>
      </w:r>
      <w:proofErr w:type="gramStart"/>
      <w:r w:rsidRPr="0085018D">
        <w:t>death</w:t>
      </w:r>
      <w:proofErr w:type="gramEnd"/>
      <w:r w:rsidRPr="0085018D">
        <w:t xml:space="preserve"> or subsequent treatment after incomplete response at the end of frontline treatment).</w:t>
      </w:r>
    </w:p>
    <w:p w14:paraId="4DE6E6E8" w14:textId="22C1031D" w:rsidR="006B72EE" w:rsidRPr="0085018D" w:rsidRDefault="008B6B3B" w:rsidP="002F0CE0">
      <w:pPr>
        <w:pStyle w:val="COMexecsummbulletlist"/>
        <w:ind w:left="1134"/>
      </w:pPr>
      <w:r w:rsidRPr="0085018D">
        <w:t>No apparent difference in deaths.</w:t>
      </w:r>
    </w:p>
    <w:p w14:paraId="4766A3AB" w14:textId="5BB1C532" w:rsidR="00C4033D" w:rsidRPr="0085018D" w:rsidRDefault="00C4033D" w:rsidP="002F0CE0">
      <w:pPr>
        <w:pStyle w:val="COMexecsummbulletlist"/>
        <w:ind w:left="1134"/>
      </w:pPr>
      <w:r w:rsidRPr="0085018D">
        <w:t>Approximately 16 additional patients would experience a serious adverse event that is life-threatening or required hospitalisation.</w:t>
      </w:r>
    </w:p>
    <w:p w14:paraId="47A1A712" w14:textId="77777777" w:rsidR="00C4033D" w:rsidRPr="0085018D" w:rsidRDefault="00C4033D" w:rsidP="002F0CE0">
      <w:pPr>
        <w:pStyle w:val="COMexecsummbulletlist"/>
        <w:ind w:left="1134"/>
      </w:pPr>
      <w:r w:rsidRPr="0085018D">
        <w:t>Approximately 14 additional patients would experience neutropenia.</w:t>
      </w:r>
    </w:p>
    <w:p w14:paraId="1F93301D" w14:textId="77777777" w:rsidR="00C4033D" w:rsidRPr="0085018D" w:rsidRDefault="00C4033D" w:rsidP="002F0CE0">
      <w:pPr>
        <w:pStyle w:val="COMexecsummbulletlist"/>
        <w:ind w:left="1134"/>
      </w:pPr>
      <w:r w:rsidRPr="0085018D">
        <w:t>Approximately 11 additional patients would experience febrile neutropenia.</w:t>
      </w:r>
    </w:p>
    <w:p w14:paraId="295A92F1" w14:textId="77777777" w:rsidR="00C4033D" w:rsidRPr="0085018D" w:rsidRDefault="00C4033D" w:rsidP="002F0CE0">
      <w:pPr>
        <w:pStyle w:val="COMexecsummbulletlist"/>
        <w:ind w:left="1134"/>
      </w:pPr>
      <w:r w:rsidRPr="0085018D">
        <w:t>Approximately 24 additional patients would experience peripheral neuropathy.</w:t>
      </w:r>
    </w:p>
    <w:p w14:paraId="7A30D950" w14:textId="60D073D1" w:rsidR="00C4033D" w:rsidRPr="0085018D" w:rsidRDefault="00C4033D" w:rsidP="002F0CE0">
      <w:pPr>
        <w:pStyle w:val="COMexecsummbulletlist"/>
        <w:ind w:left="1134"/>
      </w:pPr>
      <w:r w:rsidRPr="0085018D">
        <w:t>Approximately 5 fewer patients would experience pulmonary toxicity.</w:t>
      </w:r>
    </w:p>
    <w:p w14:paraId="15A6F6A6" w14:textId="77777777" w:rsidR="00E3681E" w:rsidRPr="0085018D" w:rsidRDefault="00E3681E" w:rsidP="00E3681E">
      <w:pPr>
        <w:pStyle w:val="COMexecsumnumberedpara"/>
      </w:pPr>
      <w:proofErr w:type="gramStart"/>
      <w:r w:rsidRPr="0085018D">
        <w:t>On the basis of</w:t>
      </w:r>
      <w:proofErr w:type="gramEnd"/>
      <w:r w:rsidRPr="0085018D">
        <w:t xml:space="preserve"> direct evidence presented in the submission, after a median duration of follow-up of 6.1 years (June 2021 cut off), for every 100 patients treated with A+AVD compared to ABVD:</w:t>
      </w:r>
    </w:p>
    <w:p w14:paraId="4150F2AE" w14:textId="57C1308E" w:rsidR="00E3681E" w:rsidRPr="0085018D" w:rsidRDefault="00E3681E" w:rsidP="002F0CE0">
      <w:pPr>
        <w:pStyle w:val="COMexecsummbulletlist"/>
        <w:ind w:left="1134"/>
      </w:pPr>
      <w:r w:rsidRPr="0085018D">
        <w:t xml:space="preserve">Approximately </w:t>
      </w:r>
      <w:r w:rsidR="00224F0B" w:rsidRPr="0085018D">
        <w:t>8</w:t>
      </w:r>
      <w:r w:rsidRPr="0085018D">
        <w:t xml:space="preserve"> fewer patients would experience a modified progression-free survival event </w:t>
      </w:r>
      <w:r w:rsidR="00D327A0" w:rsidRPr="0085018D">
        <w:t xml:space="preserve">at 7 years </w:t>
      </w:r>
      <w:r w:rsidRPr="0085018D">
        <w:t xml:space="preserve">(disease progression, </w:t>
      </w:r>
      <w:proofErr w:type="gramStart"/>
      <w:r w:rsidRPr="0085018D">
        <w:t>death</w:t>
      </w:r>
      <w:proofErr w:type="gramEnd"/>
      <w:r w:rsidRPr="0085018D">
        <w:t xml:space="preserve"> or subsequent treatment after incomplete response at the end of frontline treatment).</w:t>
      </w:r>
    </w:p>
    <w:p w14:paraId="597AD5C6" w14:textId="2987486D" w:rsidR="00E3681E" w:rsidRPr="0085018D" w:rsidRDefault="00E3681E" w:rsidP="002F0CE0">
      <w:pPr>
        <w:pStyle w:val="COMexecsummbulletlist"/>
        <w:ind w:left="1134"/>
      </w:pPr>
      <w:r w:rsidRPr="0085018D">
        <w:t xml:space="preserve">Approximately </w:t>
      </w:r>
      <w:r w:rsidR="00D327A0" w:rsidRPr="0085018D">
        <w:t>5</w:t>
      </w:r>
      <w:r w:rsidRPr="0085018D">
        <w:t xml:space="preserve"> fewer patients would have died</w:t>
      </w:r>
      <w:r w:rsidR="00D327A0" w:rsidRPr="0085018D">
        <w:t xml:space="preserve"> at 7 years</w:t>
      </w:r>
      <w:r w:rsidRPr="0085018D">
        <w:t>.</w:t>
      </w:r>
    </w:p>
    <w:p w14:paraId="6142FEFD" w14:textId="21D5C36D" w:rsidR="00E3681E" w:rsidRPr="0085018D" w:rsidRDefault="00E3681E" w:rsidP="00E3681E">
      <w:pPr>
        <w:pStyle w:val="COMexecsumnumberedpara"/>
      </w:pPr>
      <w:r w:rsidRPr="0085018D">
        <w:t>Comprehensive safety data were not available for the June 2021 cut off.</w:t>
      </w:r>
    </w:p>
    <w:p w14:paraId="7A1772B6" w14:textId="75B9B808" w:rsidR="00B60939" w:rsidRPr="0085018D" w:rsidRDefault="00B60939" w:rsidP="00E9094A">
      <w:pPr>
        <w:pStyle w:val="COMH2-non-numbered"/>
      </w:pPr>
      <w:bookmarkStart w:id="36" w:name="_Toc22897644"/>
      <w:bookmarkStart w:id="37" w:name="_Toc156922250"/>
      <w:r w:rsidRPr="0085018D">
        <w:t>Clinical claim</w:t>
      </w:r>
      <w:bookmarkEnd w:id="36"/>
      <w:bookmarkEnd w:id="37"/>
    </w:p>
    <w:p w14:paraId="289EAA5E" w14:textId="0F66BAC5" w:rsidR="007C70FF" w:rsidRPr="0085018D" w:rsidRDefault="00C21D8C" w:rsidP="00C21D8C">
      <w:pPr>
        <w:pStyle w:val="COMexecsumnumberedpara"/>
      </w:pPr>
      <w:r w:rsidRPr="0085018D">
        <w:t>The submission did not make a clinical claim for A+AVD versus non-PET-adapted ABVD. The clinical evidence was supportive of superior efficacy and inferior safety for A+AVD versus non-PET-adapted ABVD.</w:t>
      </w:r>
    </w:p>
    <w:p w14:paraId="69D450A0" w14:textId="54B501F7" w:rsidR="00FE3610" w:rsidRPr="0085018D" w:rsidRDefault="00C21D8C" w:rsidP="00483B10">
      <w:pPr>
        <w:pStyle w:val="COMexecsumnumberedpara"/>
        <w:rPr>
          <w:i/>
          <w:iCs/>
        </w:rPr>
      </w:pPr>
      <w:r w:rsidRPr="0085018D">
        <w:t>The submission described A+AVD as superior in terms of efficacy and inferior in terms of safety compared to PET-adapted ABVD. The comparative efficacy and safety of these regimens is uncertain given the lack of comparative data.</w:t>
      </w:r>
      <w:r w:rsidR="00EA6596" w:rsidRPr="0085018D">
        <w:t xml:space="preserve"> </w:t>
      </w:r>
      <w:r w:rsidR="00025CE9" w:rsidRPr="0085018D">
        <w:t xml:space="preserve">The PSCR </w:t>
      </w:r>
      <w:r w:rsidR="00B60AA9" w:rsidRPr="0085018D">
        <w:t>noted</w:t>
      </w:r>
      <w:r w:rsidR="00025CE9" w:rsidRPr="0085018D">
        <w:t xml:space="preserve"> that the RATHL trial was presented as evidence of similar efficacy between PET-adapted and non-PET adapted ABVD and </w:t>
      </w:r>
      <w:r w:rsidR="00B60AA9" w:rsidRPr="0085018D">
        <w:t>argued that</w:t>
      </w:r>
      <w:r w:rsidR="00025CE9" w:rsidRPr="0085018D">
        <w:t xml:space="preserve"> the (non-PET-adapted) ABVD arm from the ECHELON-1 trial may be a reasonable proxy for the efficacy of PET-adapted ABVD. The ESC agreed with the PSCR that the RATHL trial provided evidence of similar efficacy between </w:t>
      </w:r>
      <w:r w:rsidR="00B60AA9" w:rsidRPr="0085018D">
        <w:t xml:space="preserve">a </w:t>
      </w:r>
      <w:r w:rsidR="00025CE9" w:rsidRPr="0085018D">
        <w:t>PET-adapted</w:t>
      </w:r>
      <w:r w:rsidR="00FE3610" w:rsidRPr="0085018D">
        <w:t xml:space="preserve"> </w:t>
      </w:r>
      <w:r w:rsidR="007F64EA" w:rsidRPr="0085018D">
        <w:t>a</w:t>
      </w:r>
      <w:r w:rsidR="00B60AA9" w:rsidRPr="0085018D">
        <w:t>nd</w:t>
      </w:r>
      <w:r w:rsidR="007F64EA" w:rsidRPr="0085018D">
        <w:t xml:space="preserve"> </w:t>
      </w:r>
      <w:r w:rsidR="00FE3610" w:rsidRPr="0085018D">
        <w:t>non-PET-adapted regimen</w:t>
      </w:r>
      <w:r w:rsidR="007F64EA" w:rsidRPr="0085018D">
        <w:t xml:space="preserve">. However, the ESC noted the RATHL trial was not designed to determine the overall efficacy and safety of PET-adapted ABVD (with options to escalate/de-escalate treatment) compared to non-PET-adapted ABVD (see paragraph </w:t>
      </w:r>
      <w:r w:rsidR="007F64EA" w:rsidRPr="0085018D">
        <w:fldChar w:fldCharType="begin"/>
      </w:r>
      <w:r w:rsidR="007F64EA" w:rsidRPr="0085018D">
        <w:instrText xml:space="preserve"> REF _Ref159413744 \r \h  \* MERGEFORMAT </w:instrText>
      </w:r>
      <w:r w:rsidR="007F64EA" w:rsidRPr="0085018D">
        <w:fldChar w:fldCharType="separate"/>
      </w:r>
      <w:r w:rsidR="00EE192C">
        <w:t>6.32</w:t>
      </w:r>
      <w:r w:rsidR="007F64EA" w:rsidRPr="0085018D">
        <w:fldChar w:fldCharType="end"/>
      </w:r>
      <w:r w:rsidR="007F64EA" w:rsidRPr="0085018D">
        <w:t xml:space="preserve">). </w:t>
      </w:r>
      <w:r w:rsidR="00BE23DD" w:rsidRPr="0085018D">
        <w:t>T</w:t>
      </w:r>
      <w:r w:rsidR="007F64EA" w:rsidRPr="0085018D">
        <w:t xml:space="preserve">he ESC </w:t>
      </w:r>
      <w:r w:rsidR="00BE23DD" w:rsidRPr="0085018D">
        <w:t>advised that</w:t>
      </w:r>
      <w:r w:rsidR="007F64EA" w:rsidRPr="0085018D">
        <w:t xml:space="preserve"> </w:t>
      </w:r>
      <w:r w:rsidR="00786338" w:rsidRPr="0085018D">
        <w:t xml:space="preserve">the clinical claim </w:t>
      </w:r>
      <w:r w:rsidR="00BE23DD" w:rsidRPr="0085018D">
        <w:t>was potentially reasonable but uncertain</w:t>
      </w:r>
      <w:r w:rsidR="0085018D">
        <w:t>.</w:t>
      </w:r>
    </w:p>
    <w:p w14:paraId="6C993BFA" w14:textId="0C577772" w:rsidR="00E33794" w:rsidRPr="0085018D" w:rsidRDefault="00E33794" w:rsidP="009E01BC">
      <w:pPr>
        <w:pStyle w:val="COMexecsumnumberedpara"/>
      </w:pPr>
      <w:r w:rsidRPr="0085018D">
        <w:t xml:space="preserve">The submission did not make a clinical claim for A+AVD versus non-PET-adapted </w:t>
      </w:r>
      <w:proofErr w:type="spellStart"/>
      <w:r w:rsidRPr="0085018D">
        <w:t>eBEACOPP</w:t>
      </w:r>
      <w:proofErr w:type="spellEnd"/>
      <w:r w:rsidRPr="0085018D">
        <w:t>. The comparative efficacy and safety of these regimens is uncertain given the lack of comparative data.</w:t>
      </w:r>
      <w:r w:rsidR="009E01BC" w:rsidRPr="0085018D">
        <w:t xml:space="preserve"> </w:t>
      </w:r>
      <w:r w:rsidRPr="0085018D">
        <w:t xml:space="preserve">The submission described A+AVD as superior in terms of safety compared to PET-adapted </w:t>
      </w:r>
      <w:proofErr w:type="spellStart"/>
      <w:r w:rsidRPr="0085018D">
        <w:t>eBEACOPP</w:t>
      </w:r>
      <w:proofErr w:type="spellEnd"/>
      <w:r w:rsidRPr="0085018D">
        <w:t>. Th</w:t>
      </w:r>
      <w:r w:rsidR="005D5AE6" w:rsidRPr="0085018D">
        <w:t xml:space="preserve">e ESC agreed with the evaluation that the </w:t>
      </w:r>
      <w:r w:rsidRPr="0085018D">
        <w:t xml:space="preserve">claim may not be reasonable given the lack of comparative data between A+AVD and PET-adapted </w:t>
      </w:r>
      <w:proofErr w:type="spellStart"/>
      <w:r w:rsidRPr="0085018D">
        <w:t>eBEACOPP</w:t>
      </w:r>
      <w:proofErr w:type="spellEnd"/>
      <w:r w:rsidRPr="0085018D">
        <w:t xml:space="preserve">. No clinical claim was made </w:t>
      </w:r>
      <w:proofErr w:type="gramStart"/>
      <w:r w:rsidRPr="0085018D">
        <w:t>in regard to</w:t>
      </w:r>
      <w:proofErr w:type="gramEnd"/>
      <w:r w:rsidRPr="0085018D">
        <w:t xml:space="preserve"> comparative efficacy.</w:t>
      </w:r>
      <w:r w:rsidR="00EA6596" w:rsidRPr="0085018D">
        <w:t xml:space="preserve"> The ESC </w:t>
      </w:r>
      <w:r w:rsidR="00B60AA9" w:rsidRPr="0085018D">
        <w:t>considered</w:t>
      </w:r>
      <w:r w:rsidR="00EA6596" w:rsidRPr="0085018D">
        <w:t xml:space="preserve"> that </w:t>
      </w:r>
      <w:proofErr w:type="spellStart"/>
      <w:r w:rsidR="00EA6596" w:rsidRPr="0085018D">
        <w:t>eBEACOPP</w:t>
      </w:r>
      <w:proofErr w:type="spellEnd"/>
      <w:r w:rsidR="00EA6596" w:rsidRPr="0085018D">
        <w:t xml:space="preserve"> </w:t>
      </w:r>
      <w:r w:rsidR="009E01BC" w:rsidRPr="0085018D">
        <w:t xml:space="preserve">(both non-PET adapted and PET-adapted) </w:t>
      </w:r>
      <w:r w:rsidR="00EA6596" w:rsidRPr="0085018D">
        <w:t>was unlikely to be replaced by A+AVD</w:t>
      </w:r>
      <w:r w:rsidR="00483B10" w:rsidRPr="0085018D">
        <w:t xml:space="preserve"> in clinical practice</w:t>
      </w:r>
      <w:r w:rsidR="00EA6596" w:rsidRPr="0085018D">
        <w:t xml:space="preserve">. </w:t>
      </w:r>
    </w:p>
    <w:p w14:paraId="6E6C9164" w14:textId="47C5EF3E" w:rsidR="00E011A8" w:rsidRPr="0085018D" w:rsidRDefault="00E011A8" w:rsidP="002A4146">
      <w:pPr>
        <w:pStyle w:val="COMexecsumnumberedpara"/>
        <w:rPr>
          <w:rFonts w:eastAsia="Calibri"/>
        </w:rPr>
      </w:pPr>
      <w:r w:rsidRPr="0085018D">
        <w:rPr>
          <w:rFonts w:eastAsia="Calibri"/>
        </w:rPr>
        <w:t xml:space="preserve">The magnitude of long-term survival benefit associated with A+AVD versus ABVD is uncertain given </w:t>
      </w:r>
      <w:r w:rsidR="00B679F4" w:rsidRPr="0085018D">
        <w:rPr>
          <w:rFonts w:eastAsia="Calibri"/>
        </w:rPr>
        <w:t>the</w:t>
      </w:r>
      <w:r w:rsidR="002A4146" w:rsidRPr="0085018D">
        <w:rPr>
          <w:rFonts w:eastAsia="Calibri"/>
        </w:rPr>
        <w:t xml:space="preserve"> relatively long expected overall survival</w:t>
      </w:r>
      <w:r w:rsidRPr="0085018D">
        <w:rPr>
          <w:rFonts w:eastAsia="Calibri"/>
        </w:rPr>
        <w:t xml:space="preserve"> in a trial population with a median age of 36 years</w:t>
      </w:r>
      <w:r w:rsidR="002A4146" w:rsidRPr="0085018D">
        <w:rPr>
          <w:rFonts w:eastAsia="Calibri"/>
        </w:rPr>
        <w:t xml:space="preserve"> and relatively high survival rates</w:t>
      </w:r>
      <w:r w:rsidR="00762470" w:rsidRPr="0085018D">
        <w:rPr>
          <w:rFonts w:eastAsia="Calibri"/>
        </w:rPr>
        <w:t xml:space="preserve"> </w:t>
      </w:r>
      <w:r w:rsidR="002449BE" w:rsidRPr="0085018D">
        <w:rPr>
          <w:rFonts w:eastAsia="Calibri"/>
        </w:rPr>
        <w:t>(</w:t>
      </w:r>
      <w:r w:rsidR="00C24F47" w:rsidRPr="0085018D">
        <w:rPr>
          <w:rFonts w:eastAsia="Calibri"/>
        </w:rPr>
        <w:t>89-93%</w:t>
      </w:r>
      <w:r w:rsidR="009059B5" w:rsidRPr="0085018D">
        <w:rPr>
          <w:rFonts w:eastAsia="Calibri"/>
        </w:rPr>
        <w:t xml:space="preserve"> at 7 years</w:t>
      </w:r>
      <w:r w:rsidR="00C24F47" w:rsidRPr="0085018D">
        <w:rPr>
          <w:rFonts w:eastAsia="Calibri"/>
        </w:rPr>
        <w:t>)</w:t>
      </w:r>
      <w:r w:rsidRPr="0085018D">
        <w:rPr>
          <w:rFonts w:eastAsia="Calibri"/>
        </w:rPr>
        <w:t xml:space="preserve">. </w:t>
      </w:r>
      <w:r w:rsidR="008D566C" w:rsidRPr="0085018D">
        <w:t xml:space="preserve">The ESC agreed with the PSCR that patients with advanced Hodgkin lymphoma are treated frontline with curative intent which makes it difficult to show an overall survival advantage in clinical trials for new treatments. The ESC noted that survival endpoints in the trial were subject to high levels of censoring as most patients had yet to experience an event, with potential confounding due to subsequent treatments. There are also limited data for late complications such as secondary malignancies as these tend to occur 10 to 20 years post treatment. The ESC acknowledged the PSCR argument that ECHELON-1 was not powered or of sufficient duration to detect a difference in late secondary complications but noted that with high cure rates a key goal is also the prevention of such events. </w:t>
      </w:r>
    </w:p>
    <w:p w14:paraId="0C202036" w14:textId="7FC4533C" w:rsidR="00896124" w:rsidRPr="0085018D" w:rsidRDefault="00896124" w:rsidP="00896124">
      <w:pPr>
        <w:pStyle w:val="COMexecsumnumberedpara"/>
      </w:pPr>
      <w:bookmarkStart w:id="38" w:name="_Hlk76376200"/>
      <w:r w:rsidRPr="0085018D">
        <w:rPr>
          <w:iCs/>
        </w:rPr>
        <w:t>The</w:t>
      </w:r>
      <w:r w:rsidRPr="0085018D">
        <w:t xml:space="preserve"> PBAC considered that the claim of superior</w:t>
      </w:r>
      <w:r w:rsidR="00C50743" w:rsidRPr="0085018D">
        <w:t xml:space="preserve"> </w:t>
      </w:r>
      <w:r w:rsidRPr="0085018D">
        <w:t xml:space="preserve">effectiveness </w:t>
      </w:r>
      <w:r w:rsidR="00C50743" w:rsidRPr="0085018D">
        <w:t xml:space="preserve">compared to PET-adapted ABVD </w:t>
      </w:r>
      <w:r w:rsidRPr="0085018D">
        <w:t xml:space="preserve">was </w:t>
      </w:r>
      <w:r w:rsidR="00693069" w:rsidRPr="0085018D">
        <w:t xml:space="preserve">highly </w:t>
      </w:r>
      <w:r w:rsidR="00C50743" w:rsidRPr="0085018D">
        <w:t>uncertain but</w:t>
      </w:r>
      <w:r w:rsidR="00693069" w:rsidRPr="0085018D">
        <w:t xml:space="preserve"> likely</w:t>
      </w:r>
      <w:r w:rsidR="00C50743" w:rsidRPr="0085018D">
        <w:t xml:space="preserve"> </w:t>
      </w:r>
      <w:r w:rsidRPr="0085018D">
        <w:t>reasonable.</w:t>
      </w:r>
    </w:p>
    <w:p w14:paraId="69E2BC1E" w14:textId="208D8271" w:rsidR="00896124" w:rsidRPr="0085018D" w:rsidRDefault="00896124" w:rsidP="00F6377D">
      <w:pPr>
        <w:pStyle w:val="COMexecsumnumberedpara"/>
      </w:pPr>
      <w:r w:rsidRPr="0085018D">
        <w:t xml:space="preserve">The PBAC considered that the claim of inferior safety </w:t>
      </w:r>
      <w:r w:rsidR="00C50743" w:rsidRPr="0085018D">
        <w:t xml:space="preserve">compared to PET-adapted ABVD </w:t>
      </w:r>
      <w:r w:rsidRPr="0085018D">
        <w:t>was reasonable.</w:t>
      </w:r>
      <w:bookmarkEnd w:id="38"/>
    </w:p>
    <w:p w14:paraId="74A1172E" w14:textId="1F2EDB1F" w:rsidR="00B60939" w:rsidRPr="0085018D" w:rsidRDefault="00B60939" w:rsidP="00E9094A">
      <w:pPr>
        <w:pStyle w:val="COMH2-non-numbered"/>
      </w:pPr>
      <w:bookmarkStart w:id="39" w:name="_Toc22897645"/>
      <w:bookmarkStart w:id="40" w:name="_Toc156922251"/>
      <w:r w:rsidRPr="0085018D">
        <w:t>Economic analysis</w:t>
      </w:r>
      <w:bookmarkEnd w:id="39"/>
      <w:bookmarkEnd w:id="40"/>
      <w:r w:rsidR="00491B3A" w:rsidRPr="0085018D">
        <w:t xml:space="preserve"> </w:t>
      </w:r>
    </w:p>
    <w:p w14:paraId="14C1E8F9" w14:textId="178A28CB" w:rsidR="00275C5A" w:rsidRPr="0085018D" w:rsidRDefault="007E3830" w:rsidP="007E3830">
      <w:pPr>
        <w:pStyle w:val="COMexecsumnumberedpara"/>
      </w:pPr>
      <w:r w:rsidRPr="0085018D">
        <w:t xml:space="preserve">The submission presented a cost-utility analysis of A+AVD compared to PET-adapted ABVD in patients with previously untreated CD30+ stage III or IV Hodgkin lymphoma. The economic evaluation was based on data from the ECHELON-1 trial of A+AVD versus ABVD as well as other modelled variables. The submission assumed that ABVD was a reasonable proxy for PET-adapted ABVD as all inputs were based on the ABVD arm of the trial except for drug costs. During the evaluation, ABVD was considered as the comparator in a revised base case and the analysis using PET-adapted ABVD treatment costs was presented in </w:t>
      </w:r>
      <w:r w:rsidR="00585EAA" w:rsidRPr="0085018D">
        <w:t xml:space="preserve">a </w:t>
      </w:r>
      <w:r w:rsidRPr="0085018D">
        <w:t>sensitivity analys</w:t>
      </w:r>
      <w:r w:rsidR="00585EAA" w:rsidRPr="0085018D">
        <w:t>i</w:t>
      </w:r>
      <w:r w:rsidRPr="0085018D">
        <w:t>s.</w:t>
      </w:r>
    </w:p>
    <w:p w14:paraId="15A9AFA4" w14:textId="680F100F" w:rsidR="00275C5A" w:rsidRPr="0085018D" w:rsidRDefault="00E16AD8" w:rsidP="0039635C">
      <w:pPr>
        <w:pStyle w:val="COMtablefigcaption"/>
        <w:keepLines/>
      </w:pPr>
      <w:r w:rsidRPr="0085018D">
        <w:t xml:space="preserve">Table </w:t>
      </w:r>
      <w:fldSimple w:instr=" SEQ Table \* ARABIC ">
        <w:r w:rsidR="001F14E4" w:rsidRPr="00B23B25">
          <w:t>7</w:t>
        </w:r>
      </w:fldSimple>
      <w:r w:rsidRPr="0085018D">
        <w:t>:</w:t>
      </w:r>
      <w:r w:rsidR="00275C5A" w:rsidRPr="0085018D">
        <w:t xml:space="preserve"> </w:t>
      </w:r>
      <w:r w:rsidR="000D6E36" w:rsidRPr="0085018D">
        <w:t>Key components of the economic evaluation</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7: Key components of the economic evaluation"/>
      </w:tblPr>
      <w:tblGrid>
        <w:gridCol w:w="1479"/>
        <w:gridCol w:w="7531"/>
      </w:tblGrid>
      <w:tr w:rsidR="0048516D" w:rsidRPr="0085018D" w14:paraId="1805F2FA" w14:textId="77777777" w:rsidTr="001A3E3F">
        <w:tc>
          <w:tcPr>
            <w:tcW w:w="821" w:type="pct"/>
            <w:vAlign w:val="center"/>
          </w:tcPr>
          <w:p w14:paraId="500EE239" w14:textId="77777777" w:rsidR="0048516D" w:rsidRPr="0085018D" w:rsidRDefault="0048516D" w:rsidP="0039635C">
            <w:pPr>
              <w:pStyle w:val="COMTableheadingrow"/>
              <w:keepLines/>
              <w:rPr>
                <w:lang w:val="en-AU"/>
              </w:rPr>
            </w:pPr>
            <w:r w:rsidRPr="0085018D">
              <w:rPr>
                <w:lang w:val="en-AU"/>
              </w:rPr>
              <w:t>Component</w:t>
            </w:r>
          </w:p>
        </w:tc>
        <w:tc>
          <w:tcPr>
            <w:tcW w:w="4179" w:type="pct"/>
            <w:vAlign w:val="center"/>
          </w:tcPr>
          <w:p w14:paraId="660990D4" w14:textId="77777777" w:rsidR="0048516D" w:rsidRPr="0085018D" w:rsidRDefault="0048516D" w:rsidP="0039635C">
            <w:pPr>
              <w:pStyle w:val="COMTableheadingrow"/>
              <w:keepLines/>
              <w:rPr>
                <w:lang w:val="en-AU"/>
              </w:rPr>
            </w:pPr>
            <w:r w:rsidRPr="0085018D">
              <w:rPr>
                <w:lang w:val="en-AU"/>
              </w:rPr>
              <w:t>Description</w:t>
            </w:r>
          </w:p>
        </w:tc>
      </w:tr>
      <w:tr w:rsidR="0048516D" w:rsidRPr="0085018D" w14:paraId="48CC3908" w14:textId="77777777" w:rsidTr="001A3E3F">
        <w:tc>
          <w:tcPr>
            <w:tcW w:w="821" w:type="pct"/>
            <w:vAlign w:val="center"/>
          </w:tcPr>
          <w:p w14:paraId="3747321E" w14:textId="77777777" w:rsidR="0048516D" w:rsidRPr="0085018D" w:rsidRDefault="0048516D" w:rsidP="0039635C">
            <w:pPr>
              <w:pStyle w:val="COMTabletext"/>
              <w:keepLines/>
            </w:pPr>
            <w:r w:rsidRPr="0085018D">
              <w:t>Type of analysis</w:t>
            </w:r>
          </w:p>
        </w:tc>
        <w:tc>
          <w:tcPr>
            <w:tcW w:w="4179" w:type="pct"/>
            <w:vAlign w:val="center"/>
          </w:tcPr>
          <w:p w14:paraId="415A85CF" w14:textId="77777777" w:rsidR="0048516D" w:rsidRPr="0085018D" w:rsidRDefault="0048516D" w:rsidP="0039635C">
            <w:pPr>
              <w:pStyle w:val="COMTabletext"/>
              <w:keepLines/>
            </w:pPr>
            <w:r w:rsidRPr="0085018D">
              <w:t>Cost-effectiveness/cost-utility analysis</w:t>
            </w:r>
          </w:p>
        </w:tc>
      </w:tr>
      <w:tr w:rsidR="0048516D" w:rsidRPr="0085018D" w14:paraId="63B59420" w14:textId="77777777" w:rsidTr="001A3E3F">
        <w:tc>
          <w:tcPr>
            <w:tcW w:w="821" w:type="pct"/>
            <w:vAlign w:val="center"/>
          </w:tcPr>
          <w:p w14:paraId="5DB4B1C9" w14:textId="77777777" w:rsidR="0048516D" w:rsidRPr="0085018D" w:rsidRDefault="0048516D" w:rsidP="0039635C">
            <w:pPr>
              <w:pStyle w:val="COMTabletext"/>
              <w:keepLines/>
            </w:pPr>
            <w:r w:rsidRPr="0085018D">
              <w:t>Treatments</w:t>
            </w:r>
          </w:p>
        </w:tc>
        <w:tc>
          <w:tcPr>
            <w:tcW w:w="4179" w:type="pct"/>
            <w:vAlign w:val="center"/>
          </w:tcPr>
          <w:p w14:paraId="7815499A" w14:textId="77777777" w:rsidR="0048516D" w:rsidRPr="0085018D" w:rsidRDefault="0048516D" w:rsidP="0039635C">
            <w:pPr>
              <w:pStyle w:val="COMTabletext"/>
              <w:keepLines/>
            </w:pPr>
            <w:r w:rsidRPr="0085018D">
              <w:t>A+AVD versus ABVD</w:t>
            </w:r>
          </w:p>
        </w:tc>
      </w:tr>
      <w:tr w:rsidR="0048516D" w:rsidRPr="0085018D" w14:paraId="4DB7EBC2" w14:textId="77777777" w:rsidTr="001A3E3F">
        <w:tc>
          <w:tcPr>
            <w:tcW w:w="821" w:type="pct"/>
            <w:vAlign w:val="center"/>
          </w:tcPr>
          <w:p w14:paraId="48008124" w14:textId="77777777" w:rsidR="0048516D" w:rsidRPr="0085018D" w:rsidRDefault="0048516D" w:rsidP="0039635C">
            <w:pPr>
              <w:pStyle w:val="COMTabletext"/>
              <w:keepLines/>
            </w:pPr>
            <w:r w:rsidRPr="0085018D">
              <w:t>Outcomes</w:t>
            </w:r>
          </w:p>
        </w:tc>
        <w:tc>
          <w:tcPr>
            <w:tcW w:w="4179" w:type="pct"/>
            <w:vAlign w:val="center"/>
          </w:tcPr>
          <w:p w14:paraId="56672309" w14:textId="77777777" w:rsidR="0048516D" w:rsidRPr="0085018D" w:rsidRDefault="0048516D" w:rsidP="0039635C">
            <w:pPr>
              <w:pStyle w:val="COMTabletext"/>
              <w:keepLines/>
            </w:pPr>
            <w:r w:rsidRPr="0085018D">
              <w:t>Life years and quality-adjusted life years</w:t>
            </w:r>
          </w:p>
        </w:tc>
      </w:tr>
      <w:tr w:rsidR="0048516D" w:rsidRPr="0085018D" w14:paraId="174D929C" w14:textId="77777777" w:rsidTr="001A3E3F">
        <w:tc>
          <w:tcPr>
            <w:tcW w:w="821" w:type="pct"/>
            <w:vAlign w:val="center"/>
          </w:tcPr>
          <w:p w14:paraId="23DC4300" w14:textId="77777777" w:rsidR="0048516D" w:rsidRPr="0085018D" w:rsidRDefault="0048516D" w:rsidP="0039635C">
            <w:pPr>
              <w:pStyle w:val="COMTabletext"/>
              <w:keepLines/>
            </w:pPr>
            <w:r w:rsidRPr="0085018D">
              <w:t>Time horizon</w:t>
            </w:r>
          </w:p>
        </w:tc>
        <w:tc>
          <w:tcPr>
            <w:tcW w:w="4179" w:type="pct"/>
            <w:vAlign w:val="center"/>
          </w:tcPr>
          <w:p w14:paraId="54032274" w14:textId="77777777" w:rsidR="0048516D" w:rsidRPr="0085018D" w:rsidRDefault="0048516D" w:rsidP="0039635C">
            <w:pPr>
              <w:pStyle w:val="COMTabletext"/>
              <w:keepLines/>
            </w:pPr>
            <w:r w:rsidRPr="0085018D">
              <w:t>65 years in the model base case versus a maximum of 8.1 years (97 months) in ECHELON-1</w:t>
            </w:r>
          </w:p>
        </w:tc>
      </w:tr>
      <w:tr w:rsidR="0048516D" w:rsidRPr="0085018D" w14:paraId="35542861" w14:textId="77777777" w:rsidTr="001A3E3F">
        <w:tc>
          <w:tcPr>
            <w:tcW w:w="821" w:type="pct"/>
            <w:vAlign w:val="center"/>
          </w:tcPr>
          <w:p w14:paraId="15FE35AE" w14:textId="77777777" w:rsidR="0048516D" w:rsidRPr="0085018D" w:rsidRDefault="0048516D" w:rsidP="0039635C">
            <w:pPr>
              <w:pStyle w:val="COMTabletext"/>
              <w:keepLines/>
            </w:pPr>
            <w:r w:rsidRPr="0085018D">
              <w:t>Cycle length</w:t>
            </w:r>
          </w:p>
        </w:tc>
        <w:tc>
          <w:tcPr>
            <w:tcW w:w="4179" w:type="pct"/>
            <w:vAlign w:val="center"/>
          </w:tcPr>
          <w:p w14:paraId="545E00DE" w14:textId="77777777" w:rsidR="0048516D" w:rsidRPr="0085018D" w:rsidRDefault="0048516D" w:rsidP="0039635C">
            <w:pPr>
              <w:pStyle w:val="COMTabletext"/>
              <w:keepLines/>
            </w:pPr>
            <w:r w:rsidRPr="0085018D">
              <w:t>1 week</w:t>
            </w:r>
          </w:p>
        </w:tc>
      </w:tr>
      <w:tr w:rsidR="0048516D" w:rsidRPr="0085018D" w14:paraId="4903D6E2" w14:textId="77777777" w:rsidTr="001A3E3F">
        <w:tc>
          <w:tcPr>
            <w:tcW w:w="821" w:type="pct"/>
            <w:vAlign w:val="center"/>
          </w:tcPr>
          <w:p w14:paraId="789DE202" w14:textId="77777777" w:rsidR="0048516D" w:rsidRPr="0085018D" w:rsidRDefault="0048516D" w:rsidP="0039635C">
            <w:pPr>
              <w:pStyle w:val="COMTabletext"/>
              <w:keepLines/>
            </w:pPr>
            <w:r w:rsidRPr="0085018D">
              <w:t>Methods used to generate results</w:t>
            </w:r>
          </w:p>
        </w:tc>
        <w:tc>
          <w:tcPr>
            <w:tcW w:w="4179" w:type="pct"/>
            <w:vAlign w:val="center"/>
          </w:tcPr>
          <w:p w14:paraId="5BF45F96" w14:textId="77777777" w:rsidR="0048516D" w:rsidRPr="0085018D" w:rsidRDefault="0048516D" w:rsidP="0039635C">
            <w:pPr>
              <w:pStyle w:val="COMTabletext"/>
              <w:keepLines/>
            </w:pPr>
            <w:r w:rsidRPr="0085018D">
              <w:t>Partitioned survival analysis</w:t>
            </w:r>
          </w:p>
        </w:tc>
      </w:tr>
      <w:tr w:rsidR="0048516D" w:rsidRPr="0085018D" w14:paraId="26BFF70C" w14:textId="77777777" w:rsidTr="001A3E3F">
        <w:tc>
          <w:tcPr>
            <w:tcW w:w="821" w:type="pct"/>
            <w:vAlign w:val="center"/>
          </w:tcPr>
          <w:p w14:paraId="33576A54" w14:textId="77777777" w:rsidR="0048516D" w:rsidRPr="0085018D" w:rsidRDefault="0048516D" w:rsidP="0039635C">
            <w:pPr>
              <w:pStyle w:val="COMTabletext"/>
              <w:keepLines/>
            </w:pPr>
            <w:r w:rsidRPr="0085018D">
              <w:t>Health states</w:t>
            </w:r>
          </w:p>
        </w:tc>
        <w:tc>
          <w:tcPr>
            <w:tcW w:w="4179" w:type="pct"/>
            <w:vAlign w:val="center"/>
          </w:tcPr>
          <w:p w14:paraId="3B96E445" w14:textId="77777777" w:rsidR="0048516D" w:rsidRPr="0085018D" w:rsidRDefault="0048516D" w:rsidP="0039635C">
            <w:pPr>
              <w:pStyle w:val="COMTabletext"/>
              <w:keepLines/>
            </w:pPr>
            <w:r w:rsidRPr="0085018D">
              <w:t>Progression-free survival, post-progression survival and dead</w:t>
            </w:r>
          </w:p>
        </w:tc>
      </w:tr>
      <w:tr w:rsidR="0048516D" w:rsidRPr="0085018D" w14:paraId="26E035AA" w14:textId="77777777" w:rsidTr="001A3E3F">
        <w:tc>
          <w:tcPr>
            <w:tcW w:w="821" w:type="pct"/>
            <w:vAlign w:val="center"/>
          </w:tcPr>
          <w:p w14:paraId="2D7541E1" w14:textId="77777777" w:rsidR="0048516D" w:rsidRPr="0085018D" w:rsidRDefault="0048516D" w:rsidP="0039635C">
            <w:pPr>
              <w:pStyle w:val="COMTabletext"/>
              <w:keepLines/>
            </w:pPr>
            <w:r w:rsidRPr="0085018D">
              <w:t>Health state distribution</w:t>
            </w:r>
          </w:p>
        </w:tc>
        <w:tc>
          <w:tcPr>
            <w:tcW w:w="4179" w:type="pct"/>
            <w:vAlign w:val="center"/>
          </w:tcPr>
          <w:p w14:paraId="066D2943" w14:textId="78975152" w:rsidR="0048516D" w:rsidRPr="0085018D" w:rsidRDefault="0048516D" w:rsidP="0039635C">
            <w:pPr>
              <w:pStyle w:val="COMTabletext"/>
              <w:keepLines/>
            </w:pPr>
            <w:r w:rsidRPr="0085018D">
              <w:t>The proportions of patients who were progression-free, post-progression and dead were informed by modelled overall survival</w:t>
            </w:r>
            <w:r w:rsidR="007714F0" w:rsidRPr="0085018D">
              <w:t xml:space="preserve"> (OS)</w:t>
            </w:r>
            <w:r w:rsidRPr="0085018D">
              <w:t xml:space="preserve"> and </w:t>
            </w:r>
            <w:r w:rsidR="00B66F73" w:rsidRPr="0085018D">
              <w:t xml:space="preserve">modified </w:t>
            </w:r>
            <w:r w:rsidRPr="0085018D">
              <w:t>progression-free survival</w:t>
            </w:r>
            <w:r w:rsidR="007714F0" w:rsidRPr="0085018D">
              <w:t xml:space="preserve"> (</w:t>
            </w:r>
            <w:proofErr w:type="spellStart"/>
            <w:r w:rsidR="00B66F73" w:rsidRPr="0085018D">
              <w:t>m</w:t>
            </w:r>
            <w:r w:rsidR="007714F0" w:rsidRPr="0085018D">
              <w:t>PFS</w:t>
            </w:r>
            <w:proofErr w:type="spellEnd"/>
            <w:r w:rsidR="007714F0" w:rsidRPr="0085018D">
              <w:t>)</w:t>
            </w:r>
            <w:r w:rsidRPr="0085018D">
              <w:t xml:space="preserve"> curves. </w:t>
            </w:r>
          </w:p>
          <w:p w14:paraId="24D49E9F" w14:textId="77777777" w:rsidR="0048516D" w:rsidRPr="0085018D" w:rsidRDefault="0048516D" w:rsidP="0039635C">
            <w:pPr>
              <w:pStyle w:val="COMTabletext"/>
              <w:keepLines/>
            </w:pPr>
          </w:p>
          <w:p w14:paraId="0BD604D8" w14:textId="242C82F4" w:rsidR="0048516D" w:rsidRPr="0085018D" w:rsidRDefault="0048516D" w:rsidP="0039635C">
            <w:pPr>
              <w:pStyle w:val="COMTabletext"/>
              <w:keepLines/>
            </w:pPr>
            <w:r w:rsidRPr="0085018D">
              <w:t xml:space="preserve">Kaplan-Meier estimates for OS and </w:t>
            </w:r>
            <w:proofErr w:type="spellStart"/>
            <w:r w:rsidR="00B66F73" w:rsidRPr="0085018D">
              <w:t>mPFS</w:t>
            </w:r>
            <w:proofErr w:type="spellEnd"/>
            <w:r w:rsidRPr="0085018D">
              <w:t xml:space="preserve"> were derived from ECHELON-1 and were used directly in the model up to extrapolation points of between 6.5-6.8 years. Mixture cure models (weighted curves based on statistically cured and uncured fractions) were used to extrapolate OS and </w:t>
            </w:r>
            <w:proofErr w:type="spellStart"/>
            <w:r w:rsidRPr="0085018D">
              <w:t>mPFS</w:t>
            </w:r>
            <w:proofErr w:type="spellEnd"/>
            <w:r w:rsidRPr="0085018D">
              <w:t xml:space="preserve"> until the end of the model. During the extrapolated period, the model used an additional adjustment that attributed the risk of death based on the overall survival curve to patients who were progression-free. </w:t>
            </w:r>
          </w:p>
          <w:p w14:paraId="2C848619" w14:textId="77777777" w:rsidR="0048516D" w:rsidRPr="0085018D" w:rsidRDefault="0048516D" w:rsidP="0039635C">
            <w:pPr>
              <w:pStyle w:val="COMTabletext"/>
              <w:keepLines/>
            </w:pPr>
          </w:p>
          <w:p w14:paraId="73192653" w14:textId="77777777" w:rsidR="0048516D" w:rsidRPr="0085018D" w:rsidRDefault="0048516D" w:rsidP="0039635C">
            <w:pPr>
              <w:pStyle w:val="COMTabletext"/>
              <w:keepLines/>
            </w:pPr>
            <w:r w:rsidRPr="0085018D">
              <w:t xml:space="preserve">Background mortality was informed by age- and gender-specific general population mortality estimates from the Australian Life Tables 2019-2021, adjusted for excess mortality due to long-term treatment-related complications using a published standardised mortality ratio of 2.87 (Nunez-Garcia 2023). The adjusted mortality estimate was used to generate the mixture cure model parameters for overall survival and as a survival cap in the model. </w:t>
            </w:r>
          </w:p>
        </w:tc>
      </w:tr>
      <w:tr w:rsidR="0048516D" w:rsidRPr="0085018D" w14:paraId="61F89DBF" w14:textId="77777777" w:rsidTr="001A3E3F">
        <w:tc>
          <w:tcPr>
            <w:tcW w:w="821" w:type="pct"/>
            <w:vAlign w:val="center"/>
          </w:tcPr>
          <w:p w14:paraId="027789D0" w14:textId="77777777" w:rsidR="0048516D" w:rsidRPr="0085018D" w:rsidRDefault="0048516D" w:rsidP="0039635C">
            <w:pPr>
              <w:pStyle w:val="COMTabletext"/>
              <w:keepLines/>
            </w:pPr>
            <w:r w:rsidRPr="0085018D">
              <w:t>Adverse events</w:t>
            </w:r>
          </w:p>
        </w:tc>
        <w:tc>
          <w:tcPr>
            <w:tcW w:w="4179" w:type="pct"/>
            <w:vAlign w:val="center"/>
          </w:tcPr>
          <w:p w14:paraId="3EEE95E1" w14:textId="77777777" w:rsidR="0048516D" w:rsidRPr="0085018D" w:rsidRDefault="0048516D" w:rsidP="0039635C">
            <w:pPr>
              <w:pStyle w:val="COMTabletext"/>
              <w:keepLines/>
            </w:pPr>
            <w:r w:rsidRPr="0085018D">
              <w:t>Modelled using trial-based incidence of adverse events in ECHELON-1.</w:t>
            </w:r>
          </w:p>
        </w:tc>
      </w:tr>
      <w:tr w:rsidR="0048516D" w:rsidRPr="0085018D" w14:paraId="551A3C8E" w14:textId="77777777" w:rsidTr="001A3E3F">
        <w:tc>
          <w:tcPr>
            <w:tcW w:w="821" w:type="pct"/>
            <w:vAlign w:val="center"/>
          </w:tcPr>
          <w:p w14:paraId="19C8A465" w14:textId="77777777" w:rsidR="0048516D" w:rsidRPr="0085018D" w:rsidRDefault="0048516D" w:rsidP="0039635C">
            <w:pPr>
              <w:pStyle w:val="COMTabletext"/>
              <w:keepLines/>
            </w:pPr>
            <w:r w:rsidRPr="0085018D">
              <w:t>Utilities</w:t>
            </w:r>
          </w:p>
        </w:tc>
        <w:tc>
          <w:tcPr>
            <w:tcW w:w="4179" w:type="pct"/>
            <w:vAlign w:val="center"/>
          </w:tcPr>
          <w:p w14:paraId="415781C5" w14:textId="77777777" w:rsidR="0048516D" w:rsidRPr="0085018D" w:rsidRDefault="0048516D" w:rsidP="0039635C">
            <w:pPr>
              <w:pStyle w:val="COMTabletext"/>
              <w:keepLines/>
            </w:pPr>
            <w:r w:rsidRPr="0085018D">
              <w:t>A+AVD on-treatment progression-free: 0.7525, ABVD on-treatment progression-free: 0.8056; off-treatment progression-free: 0.8429 and post-progression: 0.8037. Based on a regression model using individual patient EQ-5D-3L data in ECHELON-1 (converted to utilities using an Australian value set). An age-adjusted utility cap was implemented using Australian general population utility estimates (Clemens 2014).</w:t>
            </w:r>
          </w:p>
        </w:tc>
      </w:tr>
      <w:tr w:rsidR="0048516D" w:rsidRPr="0085018D" w14:paraId="2F324A0A" w14:textId="77777777" w:rsidTr="001A3E3F">
        <w:tc>
          <w:tcPr>
            <w:tcW w:w="821" w:type="pct"/>
            <w:vAlign w:val="center"/>
          </w:tcPr>
          <w:p w14:paraId="6A91F331" w14:textId="77777777" w:rsidR="0048516D" w:rsidRPr="0085018D" w:rsidRDefault="0048516D" w:rsidP="0039635C">
            <w:pPr>
              <w:pStyle w:val="COMTabletext"/>
              <w:keepLines/>
            </w:pPr>
            <w:r w:rsidRPr="0085018D">
              <w:t>Costs</w:t>
            </w:r>
          </w:p>
        </w:tc>
        <w:tc>
          <w:tcPr>
            <w:tcW w:w="4179" w:type="pct"/>
            <w:vAlign w:val="center"/>
          </w:tcPr>
          <w:p w14:paraId="7C2B964F" w14:textId="56E310A5" w:rsidR="0048516D" w:rsidRPr="0085018D" w:rsidRDefault="0048516D" w:rsidP="0039635C">
            <w:pPr>
              <w:pStyle w:val="COMTabletext"/>
              <w:keepLines/>
            </w:pPr>
            <w:r w:rsidRPr="0085018D">
              <w:t xml:space="preserve">First line drug costs </w:t>
            </w:r>
            <w:r w:rsidR="00585EAA" w:rsidRPr="0085018D">
              <w:t xml:space="preserve">were </w:t>
            </w:r>
            <w:r w:rsidRPr="0085018D">
              <w:t xml:space="preserve">based on trial-based circumstances of use of A+AVD and ABVD and assuming all patients treated with ABVD received supportive treatments. Subsequent anti-cancer treatment costs were based on the recorded use of multiple treatment modalities (chemotherapy, stem cell transplant, </w:t>
            </w:r>
            <w:proofErr w:type="gramStart"/>
            <w:r w:rsidRPr="0085018D">
              <w:t>immunotherapy</w:t>
            </w:r>
            <w:proofErr w:type="gramEnd"/>
            <w:r w:rsidRPr="0085018D">
              <w:t xml:space="preserve"> and radiation) in the ECHELON-1 trial. Chemotherapy administration costs were based on the MBS item fee. The costs of monitoring and follow-up in progression-free and post-progression patients were based on expert advice and relevant MBS item fees. Adverse event costs were based on the modelled incidence of adverse events and hospitalisation costs using relevant AR-DRGs (Round 25 NHCDC Cost Weights 2020-2021 Public Sector report). </w:t>
            </w:r>
          </w:p>
        </w:tc>
      </w:tr>
      <w:tr w:rsidR="0048516D" w:rsidRPr="0085018D" w14:paraId="6135C27E" w14:textId="77777777" w:rsidTr="001A3E3F">
        <w:tc>
          <w:tcPr>
            <w:tcW w:w="821" w:type="pct"/>
            <w:vAlign w:val="center"/>
          </w:tcPr>
          <w:p w14:paraId="374F267E" w14:textId="77777777" w:rsidR="0048516D" w:rsidRPr="0085018D" w:rsidRDefault="0048516D" w:rsidP="0039635C">
            <w:pPr>
              <w:pStyle w:val="COMTabletext"/>
              <w:keepLines/>
            </w:pPr>
            <w:r w:rsidRPr="0085018D">
              <w:t>Discounting</w:t>
            </w:r>
          </w:p>
        </w:tc>
        <w:tc>
          <w:tcPr>
            <w:tcW w:w="4179" w:type="pct"/>
            <w:vAlign w:val="center"/>
          </w:tcPr>
          <w:p w14:paraId="728486D6" w14:textId="77777777" w:rsidR="0048516D" w:rsidRPr="0085018D" w:rsidRDefault="0048516D" w:rsidP="0039635C">
            <w:pPr>
              <w:pStyle w:val="COMTabletext"/>
              <w:keepLines/>
            </w:pPr>
            <w:r w:rsidRPr="0085018D">
              <w:t>5% per year applied to costs and outcomes</w:t>
            </w:r>
          </w:p>
        </w:tc>
      </w:tr>
      <w:tr w:rsidR="0048516D" w:rsidRPr="0085018D" w14:paraId="250E1C1D" w14:textId="77777777" w:rsidTr="001A3E3F">
        <w:tc>
          <w:tcPr>
            <w:tcW w:w="821" w:type="pct"/>
            <w:vAlign w:val="center"/>
          </w:tcPr>
          <w:p w14:paraId="66733443" w14:textId="77777777" w:rsidR="0048516D" w:rsidRPr="0085018D" w:rsidRDefault="0048516D" w:rsidP="0039635C">
            <w:pPr>
              <w:pStyle w:val="COMTabletext"/>
              <w:keepLines/>
            </w:pPr>
            <w:r w:rsidRPr="0085018D">
              <w:t>Software package</w:t>
            </w:r>
          </w:p>
        </w:tc>
        <w:tc>
          <w:tcPr>
            <w:tcW w:w="4179" w:type="pct"/>
            <w:vAlign w:val="center"/>
          </w:tcPr>
          <w:p w14:paraId="6CA8DC08" w14:textId="77777777" w:rsidR="0048516D" w:rsidRPr="0085018D" w:rsidRDefault="0048516D" w:rsidP="0039635C">
            <w:pPr>
              <w:pStyle w:val="COMTabletext"/>
              <w:keepLines/>
            </w:pPr>
            <w:r w:rsidRPr="0085018D">
              <w:t>Microsoft Excel</w:t>
            </w:r>
          </w:p>
        </w:tc>
      </w:tr>
    </w:tbl>
    <w:p w14:paraId="53F45C18" w14:textId="77777777" w:rsidR="0048516D" w:rsidRPr="0085018D" w:rsidRDefault="0048516D" w:rsidP="0039635C">
      <w:pPr>
        <w:pStyle w:val="COMTablefooter"/>
        <w:keepNext/>
        <w:keepLines/>
      </w:pPr>
      <w:r w:rsidRPr="0085018D">
        <w:t>Source: Table 3.1-1, p180 of the submission</w:t>
      </w:r>
    </w:p>
    <w:p w14:paraId="667B4357" w14:textId="607DDFAE" w:rsidR="0048516D" w:rsidRPr="0085018D" w:rsidRDefault="0048516D" w:rsidP="0048516D">
      <w:pPr>
        <w:pStyle w:val="COMTablefooter"/>
      </w:pPr>
      <w:r w:rsidRPr="0085018D">
        <w:t xml:space="preserve">Abbreviations: A+AVD, brentuximab </w:t>
      </w:r>
      <w:proofErr w:type="spellStart"/>
      <w:r w:rsidRPr="0085018D">
        <w:t>vedotin</w:t>
      </w:r>
      <w:proofErr w:type="spellEnd"/>
      <w:r w:rsidRPr="0085018D">
        <w:t>, doxorubicin, vinblastine, and dacarbazine: ABVD, doxorubicin, bleomycin, vinblastine, and dacarbazine; AR-DRG, Australian Refined Diagnosis Related Groups; NHCDC, National Hospital Cost Data Collection</w:t>
      </w:r>
    </w:p>
    <w:p w14:paraId="4D997915" w14:textId="6C708558" w:rsidR="00E36CA0" w:rsidRPr="0085018D" w:rsidRDefault="00291E6E" w:rsidP="00A255CE">
      <w:pPr>
        <w:pStyle w:val="COMexecsumnumberedpara"/>
      </w:pPr>
      <w:bookmarkStart w:id="41" w:name="_Ref163748309"/>
      <w:r w:rsidRPr="0085018D">
        <w:t>The economic model utilised a partitioned survival analysis with three mutually exclusive health states of progression-free, post-progression and dead.</w:t>
      </w:r>
      <w:r w:rsidR="00472C81" w:rsidRPr="0085018D">
        <w:t xml:space="preserve"> </w:t>
      </w:r>
      <w:r w:rsidR="00E36CA0" w:rsidRPr="0085018D">
        <w:t>The selected model structure</w:t>
      </w:r>
      <w:r w:rsidR="00A255CE" w:rsidRPr="0085018D">
        <w:t xml:space="preserve"> relies on a fundamental structural assumption that the survival endpoints (progression-free survival and overall survival) are independent. This has implications for extrapolations beyond the trial period as the extrapolations are dependent on within-trial trends of mortality and disease status that may not be reflective of future trends (</w:t>
      </w:r>
      <w:proofErr w:type="gramStart"/>
      <w:r w:rsidR="00A255CE" w:rsidRPr="0085018D">
        <w:t>e.g.</w:t>
      </w:r>
      <w:proofErr w:type="gramEnd"/>
      <w:r w:rsidR="00A255CE" w:rsidRPr="0085018D">
        <w:t xml:space="preserve"> late complications, competing risks of mortality). The lack of an explicit link between clinical endpoints also limits the degree to which the clinical plausibility of extrapolations can be </w:t>
      </w:r>
      <w:r w:rsidR="00E30AA5" w:rsidRPr="0085018D">
        <w:t>validated</w:t>
      </w:r>
      <w:r w:rsidR="00F92AD0" w:rsidRPr="0085018D">
        <w:t xml:space="preserve"> and limited the ability to quantify any uncertainties through sensitivity analyses.</w:t>
      </w:r>
      <w:bookmarkEnd w:id="41"/>
    </w:p>
    <w:p w14:paraId="3F35074F" w14:textId="0D94FE35" w:rsidR="007E2BCE" w:rsidRPr="0085018D" w:rsidRDefault="007E2BCE" w:rsidP="007E2BCE">
      <w:pPr>
        <w:pStyle w:val="COMexecsumnumberedpara"/>
      </w:pPr>
      <w:bookmarkStart w:id="42" w:name="_Ref163748322"/>
      <w:r w:rsidRPr="0085018D">
        <w:t xml:space="preserve">The model structure also limited the ability to appropriately incorporate costs and consequences associated with the utilisation of subsequent anti-cancer treatments. The attribution of costs required assumptions that lacked face validity (see </w:t>
      </w:r>
      <w:r w:rsidR="007F55A7" w:rsidRPr="0085018D">
        <w:fldChar w:fldCharType="begin"/>
      </w:r>
      <w:r w:rsidR="007F55A7" w:rsidRPr="0085018D">
        <w:instrText xml:space="preserve"> REF _Ref104805122 \h  \* MERGEFORMAT </w:instrText>
      </w:r>
      <w:r w:rsidR="007F55A7" w:rsidRPr="0085018D">
        <w:fldChar w:fldCharType="separate"/>
      </w:r>
      <w:r w:rsidR="007F55A7" w:rsidRPr="0085018D">
        <w:t xml:space="preserve">Table </w:t>
      </w:r>
      <w:r w:rsidR="007F55A7" w:rsidRPr="00B23B25">
        <w:t>8</w:t>
      </w:r>
      <w:r w:rsidR="007F55A7" w:rsidRPr="0085018D">
        <w:fldChar w:fldCharType="end"/>
      </w:r>
      <w:r w:rsidR="007F55A7" w:rsidRPr="0085018D">
        <w:t xml:space="preserve"> </w:t>
      </w:r>
      <w:r w:rsidRPr="0085018D">
        <w:t xml:space="preserve">below) and there was no transparency </w:t>
      </w:r>
      <w:proofErr w:type="gramStart"/>
      <w:r w:rsidRPr="0085018D">
        <w:t>in regard to</w:t>
      </w:r>
      <w:proofErr w:type="gramEnd"/>
      <w:r w:rsidRPr="0085018D">
        <w:t xml:space="preserve"> likely changes in disease trajectory that would have impacts on both survival and quality of life.</w:t>
      </w:r>
      <w:bookmarkEnd w:id="42"/>
    </w:p>
    <w:p w14:paraId="64B834A3" w14:textId="093F721D" w:rsidR="00B8511A" w:rsidRPr="0085018D" w:rsidRDefault="00190F18" w:rsidP="00B8511A">
      <w:pPr>
        <w:pStyle w:val="COMexecsumnumberedpara"/>
      </w:pPr>
      <w:r w:rsidRPr="0085018D">
        <w:t xml:space="preserve">Overall, the </w:t>
      </w:r>
      <w:r w:rsidR="000E61F4" w:rsidRPr="0085018D">
        <w:t xml:space="preserve">evaluation considered the </w:t>
      </w:r>
      <w:r w:rsidR="001320E6" w:rsidRPr="0085018D">
        <w:t xml:space="preserve">use of the partitioned survival analysis was inadequately justified given multiple structural limitations. </w:t>
      </w:r>
      <w:r w:rsidR="007E2BCE" w:rsidRPr="0085018D">
        <w:t>P</w:t>
      </w:r>
      <w:r w:rsidR="00E36CA0" w:rsidRPr="0085018D">
        <w:t xml:space="preserve">ublished economic </w:t>
      </w:r>
      <w:r w:rsidR="007E2BCE" w:rsidRPr="0085018D">
        <w:t>evaluations</w:t>
      </w:r>
      <w:r w:rsidR="00E36CA0" w:rsidRPr="0085018D">
        <w:t xml:space="preserve"> </w:t>
      </w:r>
      <w:r w:rsidR="007E2BCE" w:rsidRPr="0085018D">
        <w:t xml:space="preserve">identified in the submission were </w:t>
      </w:r>
      <w:r w:rsidR="00E36CA0" w:rsidRPr="0085018D">
        <w:t>based on Markov state transition and microsimulation models that incorporated additional health states which captured changes in disease status (relapse/remission) and risk of mortality after subsequent therapies.</w:t>
      </w:r>
      <w:r w:rsidR="00B8511A" w:rsidRPr="0085018D">
        <w:t xml:space="preserve"> The PSCR argued that the simplest approach to capture the benefits of A+AVD versus ABVD based on the goals of treatment and the available data from ECHELON-1 was a partitioned survival analysis. The ESC advised that a Markov model structure would provide a more flexible and transparent approach to modelling longer term outcomes. </w:t>
      </w:r>
      <w:r w:rsidR="000124F7" w:rsidRPr="0085018D">
        <w:t xml:space="preserve">The PBAC noted the pre-PBAC response </w:t>
      </w:r>
      <w:r w:rsidR="00C74DAF" w:rsidRPr="0085018D">
        <w:t>highlighted</w:t>
      </w:r>
      <w:r w:rsidR="000124F7" w:rsidRPr="0085018D">
        <w:t xml:space="preserve"> that the impact of subsequent treatments in the relapsed/refractory setting was not captured in the ECHELON-1 trial and hence assumptions around this would need to be sourced from other trials and/or published literature which</w:t>
      </w:r>
      <w:r w:rsidR="00C74DAF" w:rsidRPr="0085018D">
        <w:t xml:space="preserve"> the response argued</w:t>
      </w:r>
      <w:r w:rsidR="000124F7" w:rsidRPr="0085018D">
        <w:t xml:space="preserve"> would increase the complexity of the model and uncertainty. </w:t>
      </w:r>
    </w:p>
    <w:p w14:paraId="5A9632E3" w14:textId="128E0AB6" w:rsidR="00730290" w:rsidRPr="0085018D" w:rsidRDefault="003504A3" w:rsidP="00291E6E">
      <w:pPr>
        <w:pStyle w:val="COMexecsumnumberedpara"/>
      </w:pPr>
      <w:r w:rsidRPr="0085018D">
        <w:t xml:space="preserve">The modelled proportion of patients who were post-progression was based on modified progression-free survival in the key trial, which incorporated events of disease progression, </w:t>
      </w:r>
      <w:proofErr w:type="gramStart"/>
      <w:r w:rsidRPr="0085018D">
        <w:t>death</w:t>
      </w:r>
      <w:proofErr w:type="gramEnd"/>
      <w:r w:rsidRPr="0085018D">
        <w:t xml:space="preserve"> and the initiation of subsequent anti-cancer treatment in patients with incomplete response at the end of frontline chemotherapy. </w:t>
      </w:r>
      <w:r w:rsidR="00B8511A" w:rsidRPr="0085018D">
        <w:t>The ESC agreed with the evaluation that t</w:t>
      </w:r>
      <w:r w:rsidRPr="0085018D">
        <w:t>his mix of events introduced added uncertainty in determining the validity of costs and consequences attributed to patients in the post-progression health state in the model.</w:t>
      </w:r>
    </w:p>
    <w:p w14:paraId="20EE9510" w14:textId="49B21D3D" w:rsidR="001D604F" w:rsidRPr="0085018D" w:rsidRDefault="001D604F" w:rsidP="001D604F">
      <w:pPr>
        <w:pStyle w:val="COMexecsumnumberedpara"/>
      </w:pPr>
      <w:r w:rsidRPr="0085018D">
        <w:t xml:space="preserve">Key drivers of the economic model are summarised in </w:t>
      </w:r>
      <w:r w:rsidR="007F55A7" w:rsidRPr="0085018D">
        <w:fldChar w:fldCharType="begin"/>
      </w:r>
      <w:r w:rsidR="007F55A7" w:rsidRPr="0085018D">
        <w:instrText xml:space="preserve"> REF _Ref104805122 \h </w:instrText>
      </w:r>
      <w:r w:rsidR="007F55A7" w:rsidRPr="0085018D">
        <w:fldChar w:fldCharType="separate"/>
      </w:r>
      <w:r w:rsidR="007F55A7" w:rsidRPr="0085018D">
        <w:t xml:space="preserve">Table </w:t>
      </w:r>
      <w:r w:rsidR="007F55A7" w:rsidRPr="00B23B25">
        <w:t>8</w:t>
      </w:r>
      <w:r w:rsidR="007F55A7" w:rsidRPr="0085018D">
        <w:fldChar w:fldCharType="end"/>
      </w:r>
      <w:r w:rsidRPr="0085018D">
        <w:t>.</w:t>
      </w:r>
    </w:p>
    <w:p w14:paraId="019BD46B" w14:textId="01CB20B9" w:rsidR="001D604F" w:rsidRPr="0085018D" w:rsidRDefault="001D604F" w:rsidP="00BF4CBC">
      <w:pPr>
        <w:pStyle w:val="COMtablefigcaption"/>
        <w:keepNext w:val="0"/>
        <w:widowControl w:val="0"/>
      </w:pPr>
      <w:bookmarkStart w:id="43" w:name="_Ref104805122"/>
      <w:r w:rsidRPr="0085018D">
        <w:t xml:space="preserve">Table </w:t>
      </w:r>
      <w:fldSimple w:instr=" SEQ Table \* ARABIC ">
        <w:r w:rsidR="001F14E4" w:rsidRPr="00B23B25">
          <w:t>8</w:t>
        </w:r>
      </w:fldSimple>
      <w:bookmarkEnd w:id="43"/>
      <w:r w:rsidRPr="0085018D">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Key drivers of the model"/>
      </w:tblPr>
      <w:tblGrid>
        <w:gridCol w:w="1129"/>
        <w:gridCol w:w="6831"/>
        <w:gridCol w:w="1057"/>
      </w:tblGrid>
      <w:tr w:rsidR="001D604F" w:rsidRPr="0085018D" w14:paraId="0C60669B" w14:textId="77777777" w:rsidTr="00C95E2F">
        <w:trPr>
          <w:cantSplit/>
          <w:tblHeader/>
        </w:trPr>
        <w:tc>
          <w:tcPr>
            <w:tcW w:w="626" w:type="pct"/>
            <w:shd w:val="clear" w:color="auto" w:fill="auto"/>
            <w:vAlign w:val="center"/>
          </w:tcPr>
          <w:p w14:paraId="5230BC4D" w14:textId="77777777" w:rsidR="001D604F" w:rsidRPr="0085018D" w:rsidRDefault="001D604F" w:rsidP="00BF4CBC">
            <w:pPr>
              <w:pStyle w:val="COMTableheadingrow"/>
              <w:keepNext w:val="0"/>
              <w:widowControl w:val="0"/>
              <w:jc w:val="center"/>
              <w:rPr>
                <w:lang w:val="en-AU"/>
              </w:rPr>
            </w:pPr>
            <w:r w:rsidRPr="0085018D">
              <w:rPr>
                <w:lang w:val="en-AU"/>
              </w:rPr>
              <w:t>Description</w:t>
            </w:r>
          </w:p>
        </w:tc>
        <w:tc>
          <w:tcPr>
            <w:tcW w:w="3788" w:type="pct"/>
            <w:shd w:val="clear" w:color="auto" w:fill="auto"/>
            <w:vAlign w:val="center"/>
          </w:tcPr>
          <w:p w14:paraId="32B4AEFD" w14:textId="77777777" w:rsidR="001D604F" w:rsidRPr="0085018D" w:rsidRDefault="001D604F" w:rsidP="00BF4CBC">
            <w:pPr>
              <w:pStyle w:val="COMTableheadingrow"/>
              <w:keepNext w:val="0"/>
              <w:widowControl w:val="0"/>
              <w:jc w:val="center"/>
              <w:rPr>
                <w:lang w:val="en-AU"/>
              </w:rPr>
            </w:pPr>
            <w:r w:rsidRPr="0085018D">
              <w:rPr>
                <w:lang w:val="en-AU"/>
              </w:rPr>
              <w:t>Method/Value</w:t>
            </w:r>
          </w:p>
        </w:tc>
        <w:tc>
          <w:tcPr>
            <w:tcW w:w="586" w:type="pct"/>
            <w:shd w:val="clear" w:color="auto" w:fill="auto"/>
            <w:vAlign w:val="center"/>
          </w:tcPr>
          <w:p w14:paraId="58A9FD1F" w14:textId="77777777" w:rsidR="001D604F" w:rsidRPr="0085018D" w:rsidRDefault="001D604F" w:rsidP="00BF4CBC">
            <w:pPr>
              <w:pStyle w:val="COMTableheadingrow"/>
              <w:keepNext w:val="0"/>
              <w:widowControl w:val="0"/>
              <w:jc w:val="center"/>
              <w:rPr>
                <w:lang w:val="en-AU"/>
              </w:rPr>
            </w:pPr>
            <w:r w:rsidRPr="0085018D">
              <w:rPr>
                <w:lang w:val="en-AU"/>
              </w:rPr>
              <w:t>Impact</w:t>
            </w:r>
          </w:p>
        </w:tc>
      </w:tr>
      <w:tr w:rsidR="0035708D" w:rsidRPr="0085018D" w14:paraId="6A1584CF" w14:textId="77777777" w:rsidTr="00C95E2F">
        <w:trPr>
          <w:cantSplit/>
        </w:trPr>
        <w:tc>
          <w:tcPr>
            <w:tcW w:w="626" w:type="pct"/>
            <w:shd w:val="clear" w:color="auto" w:fill="auto"/>
            <w:vAlign w:val="center"/>
          </w:tcPr>
          <w:p w14:paraId="114D3CE7" w14:textId="0B04A1F2" w:rsidR="0035708D" w:rsidRPr="0085018D" w:rsidRDefault="0035708D" w:rsidP="00BF4CBC">
            <w:pPr>
              <w:pStyle w:val="COMTabletext"/>
              <w:keepNext w:val="0"/>
              <w:widowControl w:val="0"/>
            </w:pPr>
            <w:r w:rsidRPr="0085018D">
              <w:t>Model structure</w:t>
            </w:r>
          </w:p>
        </w:tc>
        <w:tc>
          <w:tcPr>
            <w:tcW w:w="3788" w:type="pct"/>
            <w:shd w:val="clear" w:color="auto" w:fill="auto"/>
            <w:vAlign w:val="center"/>
          </w:tcPr>
          <w:p w14:paraId="5B261779" w14:textId="46B4FA7B" w:rsidR="0035708D" w:rsidRPr="0085018D" w:rsidRDefault="008A3B73" w:rsidP="00BF4CBC">
            <w:pPr>
              <w:pStyle w:val="COMTabletext"/>
              <w:keepNext w:val="0"/>
              <w:widowControl w:val="0"/>
            </w:pPr>
            <w:r w:rsidRPr="0085018D">
              <w:t xml:space="preserve">The </w:t>
            </w:r>
            <w:r w:rsidR="000E2450" w:rsidRPr="0085018D">
              <w:t xml:space="preserve">partitioned survival analysis structure </w:t>
            </w:r>
            <w:r w:rsidR="00A1195D" w:rsidRPr="0085018D">
              <w:t xml:space="preserve">limited the ability to </w:t>
            </w:r>
            <w:r w:rsidR="005D330B" w:rsidRPr="0085018D">
              <w:t>determine the validity o</w:t>
            </w:r>
            <w:r w:rsidR="00B4081A" w:rsidRPr="0085018D">
              <w:t>f extrapolated</w:t>
            </w:r>
            <w:r w:rsidR="00733CAD" w:rsidRPr="0085018D">
              <w:t xml:space="preserve"> survival benefit</w:t>
            </w:r>
            <w:r w:rsidR="00B4081A" w:rsidRPr="0085018D">
              <w:t>s</w:t>
            </w:r>
            <w:r w:rsidR="00733CAD" w:rsidRPr="0085018D">
              <w:t>, which was a key driver of modelled outcomes</w:t>
            </w:r>
            <w:r w:rsidR="0085018D">
              <w:t xml:space="preserve">. </w:t>
            </w:r>
            <w:r w:rsidR="00DC0A24" w:rsidRPr="0085018D">
              <w:t xml:space="preserve">Any likely differences in mortality due to disease status </w:t>
            </w:r>
            <w:r w:rsidR="006E72A7" w:rsidRPr="0085018D">
              <w:t xml:space="preserve">could not be </w:t>
            </w:r>
            <w:r w:rsidR="00FB45BE" w:rsidRPr="0085018D">
              <w:t xml:space="preserve">quantified </w:t>
            </w:r>
            <w:r w:rsidR="001E3FF7" w:rsidRPr="0085018D">
              <w:t xml:space="preserve">as </w:t>
            </w:r>
            <w:r w:rsidR="00981016" w:rsidRPr="0085018D">
              <w:t xml:space="preserve">modelled </w:t>
            </w:r>
            <w:r w:rsidR="00522D99" w:rsidRPr="0085018D">
              <w:t xml:space="preserve">overall survival </w:t>
            </w:r>
            <w:r w:rsidR="001E3FF7" w:rsidRPr="0085018D">
              <w:t>and</w:t>
            </w:r>
            <w:r w:rsidR="00577B06" w:rsidRPr="0085018D">
              <w:t xml:space="preserve"> </w:t>
            </w:r>
            <w:r w:rsidR="00FB45BE" w:rsidRPr="0085018D">
              <w:t>modified progression-free survival</w:t>
            </w:r>
            <w:r w:rsidR="001E3FF7" w:rsidRPr="0085018D">
              <w:t xml:space="preserve"> are </w:t>
            </w:r>
            <w:r w:rsidR="00981016" w:rsidRPr="0085018D">
              <w:t>assumed to be independent</w:t>
            </w:r>
            <w:r w:rsidR="00FB45BE" w:rsidRPr="0085018D">
              <w:t xml:space="preserve">. </w:t>
            </w:r>
            <w:r w:rsidR="00D40584" w:rsidRPr="0085018D">
              <w:t>T</w:t>
            </w:r>
            <w:r w:rsidR="00B4081A" w:rsidRPr="0085018D">
              <w:t xml:space="preserve">he </w:t>
            </w:r>
            <w:r w:rsidR="0029563A" w:rsidRPr="0085018D">
              <w:t xml:space="preserve">model was </w:t>
            </w:r>
            <w:r w:rsidR="00D40584" w:rsidRPr="0085018D">
              <w:t xml:space="preserve">also </w:t>
            </w:r>
            <w:r w:rsidR="0029563A" w:rsidRPr="0085018D">
              <w:t>unable to capture</w:t>
            </w:r>
            <w:r w:rsidR="00E31762" w:rsidRPr="0085018D">
              <w:t xml:space="preserve"> the</w:t>
            </w:r>
            <w:r w:rsidR="0029563A" w:rsidRPr="0085018D">
              <w:t xml:space="preserve"> </w:t>
            </w:r>
            <w:r w:rsidR="00DA1630" w:rsidRPr="0085018D">
              <w:t>impact</w:t>
            </w:r>
            <w:r w:rsidR="00B4081A" w:rsidRPr="0085018D">
              <w:t xml:space="preserve"> of subsequent treatments </w:t>
            </w:r>
            <w:r w:rsidR="00157CB6" w:rsidRPr="0085018D">
              <w:t>on</w:t>
            </w:r>
            <w:r w:rsidR="00FD34F3" w:rsidRPr="0085018D">
              <w:t xml:space="preserve"> </w:t>
            </w:r>
            <w:r w:rsidR="005E4674" w:rsidRPr="0085018D">
              <w:t>patient outcomes,</w:t>
            </w:r>
            <w:r w:rsidR="00E31762" w:rsidRPr="0085018D">
              <w:t xml:space="preserve"> with associated c</w:t>
            </w:r>
            <w:r w:rsidR="00DA1630" w:rsidRPr="0085018D">
              <w:t>hanges to mortality</w:t>
            </w:r>
            <w:r w:rsidR="005E4674" w:rsidRPr="0085018D">
              <w:t xml:space="preserve"> risk</w:t>
            </w:r>
            <w:r w:rsidR="00DA1630" w:rsidRPr="0085018D">
              <w:t xml:space="preserve"> and quality of life. </w:t>
            </w:r>
          </w:p>
        </w:tc>
        <w:tc>
          <w:tcPr>
            <w:tcW w:w="586" w:type="pct"/>
            <w:shd w:val="clear" w:color="auto" w:fill="auto"/>
            <w:vAlign w:val="center"/>
          </w:tcPr>
          <w:p w14:paraId="5F5F6794" w14:textId="4F09A350" w:rsidR="0035708D" w:rsidRPr="0085018D" w:rsidRDefault="00FA4F5D" w:rsidP="00BF4CBC">
            <w:pPr>
              <w:pStyle w:val="COMTabletext"/>
              <w:keepNext w:val="0"/>
              <w:widowControl w:val="0"/>
              <w:jc w:val="center"/>
            </w:pPr>
            <w:r w:rsidRPr="0085018D">
              <w:t>Unclear</w:t>
            </w:r>
          </w:p>
        </w:tc>
      </w:tr>
      <w:tr w:rsidR="00362ED8" w:rsidRPr="0085018D" w14:paraId="473698E7" w14:textId="77777777" w:rsidTr="00C95E2F">
        <w:trPr>
          <w:cantSplit/>
        </w:trPr>
        <w:tc>
          <w:tcPr>
            <w:tcW w:w="626" w:type="pct"/>
            <w:shd w:val="clear" w:color="auto" w:fill="auto"/>
            <w:vAlign w:val="center"/>
          </w:tcPr>
          <w:p w14:paraId="1ABE6368" w14:textId="51639D09" w:rsidR="00362ED8" w:rsidRPr="0085018D" w:rsidRDefault="00362ED8" w:rsidP="00BF4CBC">
            <w:pPr>
              <w:pStyle w:val="COMTabletext"/>
              <w:keepNext w:val="0"/>
              <w:widowControl w:val="0"/>
            </w:pPr>
            <w:r w:rsidRPr="0085018D">
              <w:t>Time horizon</w:t>
            </w:r>
          </w:p>
        </w:tc>
        <w:tc>
          <w:tcPr>
            <w:tcW w:w="3788" w:type="pct"/>
            <w:shd w:val="clear" w:color="auto" w:fill="auto"/>
            <w:vAlign w:val="center"/>
          </w:tcPr>
          <w:p w14:paraId="14F84DD2" w14:textId="1B02C792" w:rsidR="00362ED8" w:rsidRPr="0085018D" w:rsidRDefault="007E1506" w:rsidP="00BF4CBC">
            <w:pPr>
              <w:widowControl w:val="0"/>
              <w:rPr>
                <w:rFonts w:ascii="Arial Narrow" w:eastAsiaTheme="majorEastAsia" w:hAnsi="Arial Narrow" w:cstheme="majorBidi"/>
                <w:bCs/>
                <w:sz w:val="20"/>
              </w:rPr>
            </w:pPr>
            <w:r w:rsidRPr="0085018D">
              <w:rPr>
                <w:rFonts w:ascii="Arial Narrow" w:eastAsiaTheme="majorEastAsia" w:hAnsi="Arial Narrow" w:cstheme="majorBidi"/>
                <w:bCs/>
                <w:sz w:val="20"/>
              </w:rPr>
              <w:t xml:space="preserve">The </w:t>
            </w:r>
            <w:r w:rsidR="00B8511A" w:rsidRPr="0085018D">
              <w:rPr>
                <w:rFonts w:ascii="Arial Narrow" w:eastAsiaTheme="majorEastAsia" w:hAnsi="Arial Narrow" w:cstheme="majorBidi"/>
                <w:bCs/>
                <w:sz w:val="20"/>
              </w:rPr>
              <w:t>ESC considered</w:t>
            </w:r>
            <w:r w:rsidRPr="0085018D">
              <w:rPr>
                <w:rFonts w:ascii="Arial Narrow" w:eastAsiaTheme="majorEastAsia" w:hAnsi="Arial Narrow" w:cstheme="majorBidi"/>
                <w:bCs/>
                <w:sz w:val="20"/>
              </w:rPr>
              <w:t xml:space="preserve"> the</w:t>
            </w:r>
            <w:r w:rsidR="002D79D1" w:rsidRPr="0085018D">
              <w:rPr>
                <w:rFonts w:ascii="Arial Narrow" w:eastAsiaTheme="majorEastAsia" w:hAnsi="Arial Narrow" w:cstheme="majorBidi"/>
                <w:bCs/>
                <w:sz w:val="20"/>
              </w:rPr>
              <w:t xml:space="preserve"> 65-year </w:t>
            </w:r>
            <w:r w:rsidRPr="0085018D">
              <w:rPr>
                <w:rFonts w:ascii="Arial Narrow" w:eastAsiaTheme="majorEastAsia" w:hAnsi="Arial Narrow" w:cstheme="majorBidi"/>
                <w:bCs/>
                <w:sz w:val="20"/>
              </w:rPr>
              <w:t xml:space="preserve">time horizon </w:t>
            </w:r>
            <w:r w:rsidR="00B8511A" w:rsidRPr="0085018D">
              <w:rPr>
                <w:rFonts w:ascii="Arial Narrow" w:eastAsiaTheme="majorEastAsia" w:hAnsi="Arial Narrow" w:cstheme="majorBidi"/>
                <w:bCs/>
                <w:sz w:val="20"/>
              </w:rPr>
              <w:t xml:space="preserve">may be </w:t>
            </w:r>
            <w:r w:rsidRPr="0085018D">
              <w:rPr>
                <w:rFonts w:ascii="Arial Narrow" w:eastAsiaTheme="majorEastAsia" w:hAnsi="Arial Narrow" w:cstheme="majorBidi"/>
                <w:bCs/>
                <w:sz w:val="20"/>
              </w:rPr>
              <w:t xml:space="preserve">reasonable given the potential for cure with initial and subsequent treatments </w:t>
            </w:r>
            <w:r w:rsidR="000469E7" w:rsidRPr="0085018D">
              <w:rPr>
                <w:rFonts w:ascii="Arial Narrow" w:eastAsiaTheme="majorEastAsia" w:hAnsi="Arial Narrow" w:cstheme="majorBidi"/>
                <w:bCs/>
                <w:sz w:val="20"/>
              </w:rPr>
              <w:t>and the bimodal age distribution evident in this disease area</w:t>
            </w:r>
            <w:r w:rsidRPr="0085018D">
              <w:rPr>
                <w:rFonts w:ascii="Arial Narrow" w:eastAsiaTheme="majorEastAsia" w:hAnsi="Arial Narrow" w:cstheme="majorBidi"/>
                <w:bCs/>
                <w:sz w:val="20"/>
              </w:rPr>
              <w:t>.</w:t>
            </w:r>
            <w:r w:rsidR="00111933" w:rsidRPr="0085018D">
              <w:rPr>
                <w:rFonts w:ascii="Arial Narrow" w:eastAsiaTheme="majorEastAsia" w:hAnsi="Arial Narrow" w:cstheme="majorBidi"/>
                <w:bCs/>
                <w:sz w:val="20"/>
              </w:rPr>
              <w:t xml:space="preserve"> However</w:t>
            </w:r>
            <w:r w:rsidRPr="0085018D">
              <w:rPr>
                <w:rFonts w:ascii="Arial Narrow" w:eastAsiaTheme="majorEastAsia" w:hAnsi="Arial Narrow" w:cstheme="majorBidi"/>
                <w:bCs/>
                <w:sz w:val="20"/>
              </w:rPr>
              <w:t xml:space="preserve">, </w:t>
            </w:r>
            <w:r w:rsidR="00111933" w:rsidRPr="0085018D">
              <w:rPr>
                <w:rFonts w:ascii="Arial Narrow" w:eastAsiaTheme="majorEastAsia" w:hAnsi="Arial Narrow" w:cstheme="majorBidi"/>
                <w:bCs/>
                <w:sz w:val="20"/>
              </w:rPr>
              <w:t xml:space="preserve">the ESC considered </w:t>
            </w:r>
            <w:r w:rsidRPr="0085018D">
              <w:rPr>
                <w:rFonts w:ascii="Arial Narrow" w:eastAsiaTheme="majorEastAsia" w:hAnsi="Arial Narrow" w:cstheme="majorBidi"/>
                <w:bCs/>
                <w:sz w:val="20"/>
              </w:rPr>
              <w:t>the model was unable to adequately capture the impact of subsequent treatments</w:t>
            </w:r>
            <w:r w:rsidR="00E42DEE" w:rsidRPr="0085018D">
              <w:rPr>
                <w:rFonts w:ascii="Arial Narrow" w:eastAsiaTheme="majorEastAsia" w:hAnsi="Arial Narrow" w:cstheme="majorBidi"/>
                <w:bCs/>
                <w:sz w:val="20"/>
              </w:rPr>
              <w:t xml:space="preserve"> that are likely to alter disease trajectories</w:t>
            </w:r>
            <w:r w:rsidRPr="0085018D">
              <w:rPr>
                <w:rFonts w:ascii="Arial Narrow" w:eastAsiaTheme="majorEastAsia" w:hAnsi="Arial Narrow" w:cstheme="majorBidi"/>
                <w:bCs/>
                <w:sz w:val="20"/>
              </w:rPr>
              <w:t xml:space="preserve">. </w:t>
            </w:r>
          </w:p>
        </w:tc>
        <w:tc>
          <w:tcPr>
            <w:tcW w:w="586" w:type="pct"/>
            <w:shd w:val="clear" w:color="auto" w:fill="auto"/>
            <w:vAlign w:val="center"/>
          </w:tcPr>
          <w:p w14:paraId="14CE3E3E" w14:textId="534C2545" w:rsidR="00362ED8" w:rsidRPr="0085018D" w:rsidRDefault="002D79D1" w:rsidP="00BF4CBC">
            <w:pPr>
              <w:pStyle w:val="COMTabletext"/>
              <w:keepNext w:val="0"/>
              <w:widowControl w:val="0"/>
              <w:jc w:val="center"/>
            </w:pPr>
            <w:r w:rsidRPr="0085018D">
              <w:t>High, favours A+AVD</w:t>
            </w:r>
          </w:p>
        </w:tc>
      </w:tr>
      <w:tr w:rsidR="001D604F" w:rsidRPr="0085018D" w14:paraId="65B54FB2" w14:textId="77777777" w:rsidTr="00C95E2F">
        <w:trPr>
          <w:cantSplit/>
        </w:trPr>
        <w:tc>
          <w:tcPr>
            <w:tcW w:w="626" w:type="pct"/>
            <w:shd w:val="clear" w:color="auto" w:fill="auto"/>
            <w:vAlign w:val="center"/>
          </w:tcPr>
          <w:p w14:paraId="694D01B4" w14:textId="77777777" w:rsidR="001D604F" w:rsidRPr="0085018D" w:rsidRDefault="001D604F" w:rsidP="00BF4CBC">
            <w:pPr>
              <w:pStyle w:val="COMTabletext"/>
              <w:keepNext w:val="0"/>
              <w:widowControl w:val="0"/>
            </w:pPr>
            <w:r w:rsidRPr="0085018D">
              <w:t>Extrapolation</w:t>
            </w:r>
          </w:p>
        </w:tc>
        <w:tc>
          <w:tcPr>
            <w:tcW w:w="3788" w:type="pct"/>
            <w:shd w:val="clear" w:color="auto" w:fill="auto"/>
            <w:vAlign w:val="center"/>
          </w:tcPr>
          <w:p w14:paraId="009AEE8C" w14:textId="47D3279B" w:rsidR="00EF1656" w:rsidRPr="0085018D" w:rsidRDefault="00687F95" w:rsidP="00BF4CBC">
            <w:pPr>
              <w:pStyle w:val="COMTabletext"/>
              <w:keepNext w:val="0"/>
              <w:widowControl w:val="0"/>
            </w:pPr>
            <w:r w:rsidRPr="0085018D">
              <w:t xml:space="preserve">The validity of </w:t>
            </w:r>
            <w:r w:rsidR="0045464C" w:rsidRPr="0085018D">
              <w:t xml:space="preserve">extrapolated survival outcomes based on mixture cure models could not be determined </w:t>
            </w:r>
            <w:r w:rsidR="008D64B3" w:rsidRPr="0085018D">
              <w:t>given the underlying assumptions appear clinically implausible (</w:t>
            </w:r>
            <w:proofErr w:type="gramStart"/>
            <w:r w:rsidR="008D64B3" w:rsidRPr="0085018D">
              <w:t>e.g.</w:t>
            </w:r>
            <w:proofErr w:type="gramEnd"/>
            <w:r w:rsidR="008D64B3" w:rsidRPr="0085018D">
              <w:t xml:space="preserve"> patients are cured/uncured at time of diagnosis before any treatment is administered).</w:t>
            </w:r>
            <w:r w:rsidR="00983C50" w:rsidRPr="0085018D">
              <w:t xml:space="preserve"> </w:t>
            </w:r>
            <w:r w:rsidR="008D64B3" w:rsidRPr="0085018D">
              <w:t>Additionally, model outputs such as statistical cure fractions and predicted estimates in uncured patients only serve as mathematical functions to achieve goodness of fit to observed data.</w:t>
            </w:r>
            <w:r w:rsidR="009B61FF" w:rsidRPr="0085018D">
              <w:t xml:space="preserve"> The validity of extrapolated sur</w:t>
            </w:r>
            <w:r w:rsidR="001B6C49" w:rsidRPr="0085018D">
              <w:t xml:space="preserve">vival benefits </w:t>
            </w:r>
            <w:r w:rsidR="0047105E" w:rsidRPr="0085018D">
              <w:t>is</w:t>
            </w:r>
            <w:r w:rsidR="001B6C49" w:rsidRPr="0085018D">
              <w:t xml:space="preserve"> discussed further under </w:t>
            </w:r>
            <w:r w:rsidR="007F55A7" w:rsidRPr="0085018D">
              <w:fldChar w:fldCharType="begin"/>
            </w:r>
            <w:r w:rsidR="007F55A7" w:rsidRPr="0085018D">
              <w:instrText xml:space="preserve"> REF _Ref155361212 \h  \* MERGEFORMAT </w:instrText>
            </w:r>
            <w:r w:rsidR="007F55A7" w:rsidRPr="0085018D">
              <w:fldChar w:fldCharType="separate"/>
            </w:r>
            <w:r w:rsidR="007F55A7" w:rsidRPr="0085018D">
              <w:t>Figure 3</w:t>
            </w:r>
            <w:r w:rsidR="007F55A7" w:rsidRPr="0085018D">
              <w:fldChar w:fldCharType="end"/>
            </w:r>
            <w:r w:rsidR="007F55A7" w:rsidRPr="0085018D">
              <w:t xml:space="preserve"> </w:t>
            </w:r>
            <w:r w:rsidR="001B6C49" w:rsidRPr="0085018D">
              <w:t xml:space="preserve">below. </w:t>
            </w:r>
          </w:p>
        </w:tc>
        <w:tc>
          <w:tcPr>
            <w:tcW w:w="586" w:type="pct"/>
            <w:shd w:val="clear" w:color="auto" w:fill="auto"/>
            <w:vAlign w:val="center"/>
          </w:tcPr>
          <w:p w14:paraId="52BE32F2" w14:textId="170AAE54" w:rsidR="001D604F" w:rsidRPr="0085018D" w:rsidRDefault="00353ECD" w:rsidP="00BF4CBC">
            <w:pPr>
              <w:pStyle w:val="COMTabletext"/>
              <w:keepNext w:val="0"/>
              <w:widowControl w:val="0"/>
              <w:jc w:val="center"/>
            </w:pPr>
            <w:r w:rsidRPr="0085018D">
              <w:t>Unclear</w:t>
            </w:r>
          </w:p>
        </w:tc>
      </w:tr>
      <w:tr w:rsidR="001D604F" w:rsidRPr="0085018D" w14:paraId="4107A667" w14:textId="77777777" w:rsidTr="00C95E2F">
        <w:trPr>
          <w:cantSplit/>
        </w:trPr>
        <w:tc>
          <w:tcPr>
            <w:tcW w:w="626" w:type="pct"/>
            <w:shd w:val="clear" w:color="auto" w:fill="auto"/>
            <w:vAlign w:val="center"/>
          </w:tcPr>
          <w:p w14:paraId="77BF468A" w14:textId="7EE387BF" w:rsidR="001D604F" w:rsidRPr="0085018D" w:rsidRDefault="0036240A" w:rsidP="00BF4CBC">
            <w:pPr>
              <w:pStyle w:val="COMTabletext"/>
              <w:keepNext w:val="0"/>
              <w:widowControl w:val="0"/>
            </w:pPr>
            <w:r w:rsidRPr="0085018D">
              <w:t>Health state utilities</w:t>
            </w:r>
          </w:p>
        </w:tc>
        <w:tc>
          <w:tcPr>
            <w:tcW w:w="3788" w:type="pct"/>
            <w:shd w:val="clear" w:color="auto" w:fill="auto"/>
            <w:vAlign w:val="center"/>
          </w:tcPr>
          <w:p w14:paraId="00020509" w14:textId="77FEAF6A" w:rsidR="001D604F" w:rsidRPr="0085018D" w:rsidRDefault="00B51894" w:rsidP="00BF4CBC">
            <w:pPr>
              <w:pStyle w:val="COMTabletext"/>
              <w:keepNext w:val="0"/>
              <w:widowControl w:val="0"/>
            </w:pPr>
            <w:r w:rsidRPr="0085018D">
              <w:t xml:space="preserve">Health state utility values in the model were based on EQ-5D-3L data from the ECHELON-1 trial. </w:t>
            </w:r>
            <w:r w:rsidR="00922962" w:rsidRPr="0085018D">
              <w:t>The utility values were highly uncertain and difficult to validate due to poor documentation regarding the transformation of EQ-5D-3L data from the trial, choice of regression model and selected covariates. Modelled improvements in quality of life were also reliant on the assumption that, over time, surviving patients would have the same quality of life as the general population. This appeared optimistic given the potential for long term disease- and treatment-related complications</w:t>
            </w:r>
            <w:r w:rsidR="0085018D">
              <w:t xml:space="preserve">. </w:t>
            </w:r>
          </w:p>
        </w:tc>
        <w:tc>
          <w:tcPr>
            <w:tcW w:w="586" w:type="pct"/>
            <w:shd w:val="clear" w:color="auto" w:fill="auto"/>
            <w:vAlign w:val="center"/>
          </w:tcPr>
          <w:p w14:paraId="6887E922" w14:textId="045F009D" w:rsidR="001D604F" w:rsidRPr="0085018D" w:rsidRDefault="00531480" w:rsidP="00BF4CBC">
            <w:pPr>
              <w:pStyle w:val="COMTabletext"/>
              <w:keepNext w:val="0"/>
              <w:widowControl w:val="0"/>
              <w:jc w:val="center"/>
            </w:pPr>
            <w:r w:rsidRPr="0085018D">
              <w:t>High, favours A+AVD</w:t>
            </w:r>
          </w:p>
        </w:tc>
      </w:tr>
      <w:tr w:rsidR="001D604F" w:rsidRPr="0085018D" w14:paraId="7FAC321E" w14:textId="77777777" w:rsidTr="00C95E2F">
        <w:trPr>
          <w:cantSplit/>
        </w:trPr>
        <w:tc>
          <w:tcPr>
            <w:tcW w:w="626" w:type="pct"/>
            <w:shd w:val="clear" w:color="auto" w:fill="auto"/>
            <w:vAlign w:val="center"/>
          </w:tcPr>
          <w:p w14:paraId="5D879814" w14:textId="73DBA78B" w:rsidR="001D604F" w:rsidRPr="0085018D" w:rsidRDefault="0036240A" w:rsidP="00BF4CBC">
            <w:pPr>
              <w:pStyle w:val="COMTabletext"/>
              <w:keepNext w:val="0"/>
              <w:widowControl w:val="0"/>
            </w:pPr>
            <w:r w:rsidRPr="0085018D">
              <w:t>Subsequent treatment costs</w:t>
            </w:r>
          </w:p>
        </w:tc>
        <w:tc>
          <w:tcPr>
            <w:tcW w:w="3788" w:type="pct"/>
            <w:shd w:val="clear" w:color="auto" w:fill="auto"/>
            <w:vAlign w:val="center"/>
          </w:tcPr>
          <w:p w14:paraId="223A4136" w14:textId="671E040B" w:rsidR="00626B71" w:rsidRPr="0085018D" w:rsidRDefault="00EA4095" w:rsidP="00BF4CBC">
            <w:pPr>
              <w:pStyle w:val="COMTabletext"/>
              <w:keepNext w:val="0"/>
              <w:widowControl w:val="0"/>
            </w:pPr>
            <w:r w:rsidRPr="0085018D">
              <w:t>B</w:t>
            </w:r>
            <w:r w:rsidR="00325945" w:rsidRPr="0085018D">
              <w:t>ased on circumstances of use in</w:t>
            </w:r>
            <w:r w:rsidR="0082088C" w:rsidRPr="0085018D">
              <w:t xml:space="preserve"> the ECHELON-1 trial</w:t>
            </w:r>
            <w:r w:rsidR="00352984" w:rsidRPr="0085018D">
              <w:t xml:space="preserve">. </w:t>
            </w:r>
            <w:r w:rsidR="00626B71" w:rsidRPr="0085018D">
              <w:t xml:space="preserve">The </w:t>
            </w:r>
            <w:r w:rsidR="00352984" w:rsidRPr="0085018D">
              <w:t xml:space="preserve">estimated </w:t>
            </w:r>
            <w:r w:rsidR="00626B71" w:rsidRPr="0085018D">
              <w:t>cost of su</w:t>
            </w:r>
            <w:r w:rsidR="00016B96" w:rsidRPr="0085018D">
              <w:t>bsequent treatments was highly uncertain due to the following reasons:</w:t>
            </w:r>
          </w:p>
          <w:p w14:paraId="27BFD2FF" w14:textId="2F737880" w:rsidR="0051417E" w:rsidRPr="0085018D" w:rsidRDefault="00523BD3" w:rsidP="00F6377D">
            <w:pPr>
              <w:pStyle w:val="COMTabletext"/>
              <w:keepNext w:val="0"/>
              <w:widowControl w:val="0"/>
              <w:numPr>
                <w:ilvl w:val="0"/>
                <w:numId w:val="9"/>
              </w:numPr>
            </w:pPr>
            <w:r w:rsidRPr="0085018D">
              <w:t>T</w:t>
            </w:r>
            <w:r w:rsidR="00F5072F" w:rsidRPr="0085018D">
              <w:t>he</w:t>
            </w:r>
            <w:r w:rsidR="00CB2C94" w:rsidRPr="0085018D">
              <w:t xml:space="preserve"> </w:t>
            </w:r>
            <w:r w:rsidR="00C603B9" w:rsidRPr="0085018D">
              <w:t xml:space="preserve">assumption that patients treated with </w:t>
            </w:r>
            <w:r w:rsidR="006D0FF2" w:rsidRPr="0085018D">
              <w:t>nivolumab</w:t>
            </w:r>
            <w:r w:rsidRPr="0085018D">
              <w:t xml:space="preserve"> (not PBS-listed for relapsed or refractory Hodgkin lymphoma)</w:t>
            </w:r>
            <w:r w:rsidR="00F5072F" w:rsidRPr="0085018D">
              <w:t xml:space="preserve"> </w:t>
            </w:r>
            <w:r w:rsidR="00C603B9" w:rsidRPr="0085018D">
              <w:t>would otherwise</w:t>
            </w:r>
            <w:r w:rsidR="003F7BC3" w:rsidRPr="0085018D">
              <w:t xml:space="preserve"> </w:t>
            </w:r>
            <w:r w:rsidR="00C603B9" w:rsidRPr="0085018D">
              <w:t xml:space="preserve">receive </w:t>
            </w:r>
            <w:r w:rsidR="00CA13B8" w:rsidRPr="0085018D">
              <w:t>pembrolizumab</w:t>
            </w:r>
            <w:r w:rsidR="00C603B9" w:rsidRPr="0085018D">
              <w:t xml:space="preserve"> may not be reasonable given relatively</w:t>
            </w:r>
            <w:r w:rsidR="0025741E" w:rsidRPr="0085018D">
              <w:t xml:space="preserve"> low</w:t>
            </w:r>
            <w:r w:rsidR="009D1694" w:rsidRPr="0085018D">
              <w:t xml:space="preserve"> use of</w:t>
            </w:r>
            <w:r w:rsidR="00D11148" w:rsidRPr="0085018D">
              <w:t xml:space="preserve"> pembrolizumab </w:t>
            </w:r>
            <w:r w:rsidR="0040338E" w:rsidRPr="0085018D">
              <w:t>(&lt;</w:t>
            </w:r>
            <w:r w:rsidR="00733C3B" w:rsidRPr="0085018D">
              <w:t>3</w:t>
            </w:r>
            <w:r w:rsidR="0040338E" w:rsidRPr="0085018D">
              <w:t>%</w:t>
            </w:r>
            <w:r w:rsidR="00044142" w:rsidRPr="0085018D">
              <w:t>) compared to nivolumab (</w:t>
            </w:r>
            <w:r w:rsidR="0034551C" w:rsidRPr="0085018D">
              <w:t>13</w:t>
            </w:r>
            <w:r w:rsidR="0029284E" w:rsidRPr="0085018D">
              <w:t>%)</w:t>
            </w:r>
            <w:r w:rsidR="00C603B9" w:rsidRPr="0085018D">
              <w:t xml:space="preserve"> </w:t>
            </w:r>
            <w:r w:rsidR="00CB2C94" w:rsidRPr="0085018D">
              <w:t>among those who received subsequent treatments</w:t>
            </w:r>
            <w:r w:rsidR="000F33D6" w:rsidRPr="0085018D">
              <w:t>.</w:t>
            </w:r>
          </w:p>
          <w:p w14:paraId="1BB152C5" w14:textId="5272064C" w:rsidR="0012621C" w:rsidRPr="0085018D" w:rsidRDefault="0012621C" w:rsidP="00F6377D">
            <w:pPr>
              <w:pStyle w:val="COMTabletext"/>
              <w:keepNext w:val="0"/>
              <w:widowControl w:val="0"/>
              <w:numPr>
                <w:ilvl w:val="0"/>
                <w:numId w:val="9"/>
              </w:numPr>
            </w:pPr>
            <w:r w:rsidRPr="0085018D">
              <w:t xml:space="preserve">The weighted cost </w:t>
            </w:r>
            <w:r w:rsidR="00F46FA5" w:rsidRPr="0085018D">
              <w:t>was</w:t>
            </w:r>
            <w:r w:rsidRPr="0085018D">
              <w:t xml:space="preserve"> agnostic to lines of therapy</w:t>
            </w:r>
            <w:r w:rsidR="004E79E0" w:rsidRPr="0085018D">
              <w:t>, and effectively</w:t>
            </w:r>
            <w:r w:rsidRPr="0085018D">
              <w:t xml:space="preserve"> distribute</w:t>
            </w:r>
            <w:r w:rsidR="00F46FA5" w:rsidRPr="0085018D">
              <w:t>d</w:t>
            </w:r>
            <w:r w:rsidRPr="0085018D">
              <w:t xml:space="preserve"> the full cost of all treatments in a single model cycle irrespective of time on treatment or treatment modality. In this instance, the cost of subsequent </w:t>
            </w:r>
            <w:r w:rsidR="009D06D8" w:rsidRPr="0085018D">
              <w:t xml:space="preserve">treatment </w:t>
            </w:r>
            <w:r w:rsidRPr="0085018D">
              <w:t>is likely overestimated</w:t>
            </w:r>
            <w:r w:rsidR="00A06C28" w:rsidRPr="0085018D">
              <w:t xml:space="preserve"> </w:t>
            </w:r>
            <w:r w:rsidRPr="0085018D">
              <w:t xml:space="preserve">given </w:t>
            </w:r>
            <w:r w:rsidR="00A06C28" w:rsidRPr="0085018D">
              <w:t xml:space="preserve">the relatively high cost of </w:t>
            </w:r>
            <w:r w:rsidRPr="0085018D">
              <w:t xml:space="preserve">pembrolizumab </w:t>
            </w:r>
            <w:r w:rsidR="00247390" w:rsidRPr="0085018D">
              <w:t>based on the</w:t>
            </w:r>
            <w:r w:rsidRPr="0085018D">
              <w:t xml:space="preserve"> maximum length of treatment (</w:t>
            </w:r>
            <w:r w:rsidR="00247390" w:rsidRPr="0085018D">
              <w:t xml:space="preserve">$277,494 over </w:t>
            </w:r>
            <w:r w:rsidRPr="0085018D">
              <w:t>35 x 21-day cycles)</w:t>
            </w:r>
            <w:r w:rsidR="0085018D">
              <w:t xml:space="preserve">. </w:t>
            </w:r>
          </w:p>
          <w:p w14:paraId="6FEC2D39" w14:textId="13564825" w:rsidR="00093702" w:rsidRPr="0085018D" w:rsidRDefault="00BE6848" w:rsidP="00F6377D">
            <w:pPr>
              <w:pStyle w:val="COMTabletext"/>
              <w:keepNext w:val="0"/>
              <w:widowControl w:val="0"/>
              <w:numPr>
                <w:ilvl w:val="0"/>
                <w:numId w:val="9"/>
              </w:numPr>
            </w:pPr>
            <w:r w:rsidRPr="0085018D">
              <w:t>Due to limitations with the partitioned survival analysis, a</w:t>
            </w:r>
            <w:r w:rsidR="00AD1F92" w:rsidRPr="0085018D">
              <w:t xml:space="preserve">dditional assumptions were required to estimate the incidence of newly progressed disease </w:t>
            </w:r>
            <w:r w:rsidRPr="0085018D">
              <w:t>as a proxy</w:t>
            </w:r>
            <w:r w:rsidR="006E6BC2" w:rsidRPr="0085018D">
              <w:t xml:space="preserve"> for </w:t>
            </w:r>
            <w:r w:rsidR="009D06D8" w:rsidRPr="0085018D">
              <w:t xml:space="preserve">the </w:t>
            </w:r>
            <w:r w:rsidR="006E6BC2" w:rsidRPr="0085018D">
              <w:t xml:space="preserve">proportion of patients </w:t>
            </w:r>
            <w:r w:rsidRPr="0085018D">
              <w:t>initia</w:t>
            </w:r>
            <w:r w:rsidR="006E6BC2" w:rsidRPr="0085018D">
              <w:t>ting</w:t>
            </w:r>
            <w:r w:rsidRPr="0085018D">
              <w:t xml:space="preserve"> subsequent treatments. </w:t>
            </w:r>
            <w:r w:rsidR="006E6D3A" w:rsidRPr="0085018D">
              <w:t xml:space="preserve">Effectively, the approach assumed that all deaths are occurring in patients with progressed disease only. </w:t>
            </w:r>
            <w:r w:rsidR="0016135C" w:rsidRPr="0085018D">
              <w:t>T</w:t>
            </w:r>
            <w:r w:rsidR="006E6D3A" w:rsidRPr="0085018D">
              <w:t>he approach lack</w:t>
            </w:r>
            <w:r w:rsidR="00177C1D" w:rsidRPr="0085018D">
              <w:t>s</w:t>
            </w:r>
            <w:r w:rsidR="006E6D3A" w:rsidRPr="0085018D">
              <w:t xml:space="preserve"> face validity but may be necessary given the model is unable to track the occurrence of events and/or patient </w:t>
            </w:r>
            <w:r w:rsidR="00FF5427" w:rsidRPr="0085018D">
              <w:t>transitions</w:t>
            </w:r>
            <w:r w:rsidR="006E6D3A" w:rsidRPr="0085018D">
              <w:t xml:space="preserve"> at any given time.</w:t>
            </w:r>
          </w:p>
          <w:p w14:paraId="4215159E" w14:textId="0EA6532B" w:rsidR="003A0D98" w:rsidRPr="0085018D" w:rsidRDefault="0004730D" w:rsidP="00F6377D">
            <w:pPr>
              <w:pStyle w:val="COMTabletext"/>
              <w:keepNext w:val="0"/>
              <w:widowControl w:val="0"/>
              <w:numPr>
                <w:ilvl w:val="0"/>
                <w:numId w:val="9"/>
              </w:numPr>
            </w:pPr>
            <w:r w:rsidRPr="0085018D">
              <w:t>The PBS listing of pembrolizumab for relapsed/refractory disease is subject to a special pricing arrangement.</w:t>
            </w:r>
            <w:r w:rsidR="004C7F05" w:rsidRPr="0085018D">
              <w:t xml:space="preserve"> Costs of pembrolizumab in the model were based on published prices. </w:t>
            </w:r>
          </w:p>
          <w:p w14:paraId="039A5327" w14:textId="564D1EE5" w:rsidR="004C7F05" w:rsidRPr="0085018D" w:rsidRDefault="00704B02" w:rsidP="00F6377D">
            <w:pPr>
              <w:pStyle w:val="COMTabletext"/>
              <w:keepNext w:val="0"/>
              <w:widowControl w:val="0"/>
              <w:numPr>
                <w:ilvl w:val="0"/>
                <w:numId w:val="9"/>
              </w:numPr>
            </w:pPr>
            <w:r w:rsidRPr="0085018D">
              <w:t xml:space="preserve">The submission did not provide rationale for the use of the proposed effective price of brentuximab </w:t>
            </w:r>
            <w:proofErr w:type="spellStart"/>
            <w:r w:rsidRPr="0085018D">
              <w:t>vedotin</w:t>
            </w:r>
            <w:proofErr w:type="spellEnd"/>
            <w:r w:rsidRPr="0085018D">
              <w:t xml:space="preserve"> for first line treatment instead of the effective prices of brentuximab </w:t>
            </w:r>
            <w:proofErr w:type="spellStart"/>
            <w:r w:rsidRPr="0085018D">
              <w:t>vedotin</w:t>
            </w:r>
            <w:proofErr w:type="spellEnd"/>
            <w:r w:rsidRPr="0085018D">
              <w:t xml:space="preserve"> for its relapsed/refractory disease listings.</w:t>
            </w:r>
          </w:p>
          <w:p w14:paraId="35E22F3A" w14:textId="2310CE09" w:rsidR="00704B02" w:rsidRPr="0085018D" w:rsidRDefault="00704B02" w:rsidP="00BF4CBC">
            <w:pPr>
              <w:pStyle w:val="COMTabletext"/>
              <w:keepNext w:val="0"/>
              <w:widowControl w:val="0"/>
            </w:pPr>
            <w:r w:rsidRPr="0085018D">
              <w:t xml:space="preserve">Overall, the difference in subsequent treatment costs between arms was mainly driven by differences in the use of brentuximab </w:t>
            </w:r>
            <w:proofErr w:type="spellStart"/>
            <w:r w:rsidRPr="0085018D">
              <w:t>vedotin</w:t>
            </w:r>
            <w:proofErr w:type="spellEnd"/>
            <w:r w:rsidRPr="0085018D">
              <w:t xml:space="preserve">, pembrolizumab and allogeneic stem cell transplants. The degree to which these treatments are displaced </w:t>
            </w:r>
            <w:proofErr w:type="gramStart"/>
            <w:r w:rsidRPr="0085018D">
              <w:t>by the use of</w:t>
            </w:r>
            <w:proofErr w:type="gramEnd"/>
            <w:r w:rsidRPr="0085018D">
              <w:t xml:space="preserve"> A+AVD in the first-line setting is uncertain.</w:t>
            </w:r>
          </w:p>
        </w:tc>
        <w:tc>
          <w:tcPr>
            <w:tcW w:w="586" w:type="pct"/>
            <w:shd w:val="clear" w:color="auto" w:fill="auto"/>
            <w:vAlign w:val="center"/>
          </w:tcPr>
          <w:p w14:paraId="413A967E" w14:textId="4BA73929" w:rsidR="001D604F" w:rsidRPr="0085018D" w:rsidRDefault="00531480" w:rsidP="00BF4CBC">
            <w:pPr>
              <w:pStyle w:val="COMTabletext"/>
              <w:keepNext w:val="0"/>
              <w:widowControl w:val="0"/>
              <w:jc w:val="center"/>
            </w:pPr>
            <w:r w:rsidRPr="0085018D">
              <w:t>High, favours A+AVD</w:t>
            </w:r>
          </w:p>
        </w:tc>
      </w:tr>
    </w:tbl>
    <w:p w14:paraId="0C0B9AA5" w14:textId="488E5201" w:rsidR="001D604F" w:rsidRPr="0085018D" w:rsidRDefault="001D604F" w:rsidP="00BF4CBC">
      <w:pPr>
        <w:pStyle w:val="COMTablefooter"/>
        <w:widowControl w:val="0"/>
      </w:pPr>
      <w:r w:rsidRPr="0085018D">
        <w:t xml:space="preserve">Source: </w:t>
      </w:r>
      <w:r w:rsidR="00E17EE2" w:rsidRPr="0085018D">
        <w:t>constructed during the evaluation based on Section 3, pp</w:t>
      </w:r>
      <w:r w:rsidR="00FE176C" w:rsidRPr="0085018D">
        <w:t xml:space="preserve">174-243 and the brentuximab </w:t>
      </w:r>
      <w:proofErr w:type="spellStart"/>
      <w:r w:rsidR="00FE176C" w:rsidRPr="0085018D">
        <w:t>vedotin</w:t>
      </w:r>
      <w:proofErr w:type="spellEnd"/>
      <w:r w:rsidR="00FE176C" w:rsidRPr="0085018D">
        <w:t xml:space="preserve"> economic model of the submission</w:t>
      </w:r>
    </w:p>
    <w:p w14:paraId="175D8450" w14:textId="4E586363" w:rsidR="00FE176C" w:rsidRPr="0085018D" w:rsidRDefault="00FE176C" w:rsidP="00BF4CBC">
      <w:pPr>
        <w:pStyle w:val="COMTablefooter"/>
        <w:widowControl w:val="0"/>
      </w:pPr>
      <w:r w:rsidRPr="0085018D">
        <w:t xml:space="preserve">Abbreviation: A+AVD, brentuximab </w:t>
      </w:r>
      <w:proofErr w:type="spellStart"/>
      <w:r w:rsidRPr="0085018D">
        <w:t>vedotin</w:t>
      </w:r>
      <w:proofErr w:type="spellEnd"/>
      <w:r w:rsidRPr="0085018D">
        <w:t xml:space="preserve"> plus doxorubicin, vinblastine</w:t>
      </w:r>
      <w:r w:rsidR="00D62DBA" w:rsidRPr="0085018D">
        <w:t xml:space="preserve"> and</w:t>
      </w:r>
      <w:r w:rsidRPr="0085018D">
        <w:t xml:space="preserve"> dacarbazin</w:t>
      </w:r>
      <w:r w:rsidR="00D62DBA" w:rsidRPr="0085018D">
        <w:t>e</w:t>
      </w:r>
    </w:p>
    <w:p w14:paraId="3225A618" w14:textId="06BDAEA0" w:rsidR="00F27153" w:rsidRPr="0085018D" w:rsidRDefault="007F55A7" w:rsidP="0059705E">
      <w:pPr>
        <w:pStyle w:val="COMexecsumnumberedpara"/>
      </w:pPr>
      <w:r w:rsidRPr="0085018D">
        <w:fldChar w:fldCharType="begin"/>
      </w:r>
      <w:r w:rsidRPr="0085018D">
        <w:instrText xml:space="preserve"> REF _Ref155361212 \h </w:instrText>
      </w:r>
      <w:r w:rsidRPr="0085018D">
        <w:fldChar w:fldCharType="separate"/>
      </w:r>
      <w:r w:rsidRPr="0085018D">
        <w:t>Figure 3</w:t>
      </w:r>
      <w:r w:rsidRPr="0085018D">
        <w:fldChar w:fldCharType="end"/>
      </w:r>
      <w:r w:rsidRPr="0085018D">
        <w:t xml:space="preserve"> </w:t>
      </w:r>
      <w:r w:rsidR="00F27153" w:rsidRPr="0085018D">
        <w:t>presents the model traces for A+AVD and ABVD.</w:t>
      </w:r>
    </w:p>
    <w:p w14:paraId="2075175A" w14:textId="7AC9E2C8" w:rsidR="007F55A7" w:rsidRPr="0085018D" w:rsidRDefault="007F55A7" w:rsidP="007F55A7">
      <w:pPr>
        <w:pStyle w:val="COMtablefigcaption"/>
      </w:pPr>
      <w:bookmarkStart w:id="44" w:name="_Ref155361212"/>
      <w:r w:rsidRPr="0085018D">
        <w:t xml:space="preserve">Figure </w:t>
      </w:r>
      <w:fldSimple w:instr=" SEQ Figure \* ARABIC ">
        <w:r w:rsidRPr="0085018D">
          <w:t>3</w:t>
        </w:r>
      </w:fldSimple>
      <w:bookmarkEnd w:id="44"/>
      <w:r w:rsidRPr="0085018D">
        <w:t>: Model traces for A+AVD and ABVD</w:t>
      </w:r>
    </w:p>
    <w:p w14:paraId="24C7A0CB" w14:textId="266C5603" w:rsidR="00D62DBA" w:rsidRPr="0085018D" w:rsidRDefault="00D62DBA" w:rsidP="00D62DBA">
      <w:pPr>
        <w:pStyle w:val="COMTableheadingrow"/>
        <w:rPr>
          <w:lang w:val="en-AU"/>
        </w:rPr>
      </w:pPr>
      <w:r w:rsidRPr="005C7A9E">
        <w:rPr>
          <w:noProof/>
          <w:lang w:val="en-AU"/>
        </w:rPr>
        <w:drawing>
          <wp:inline distT="0" distB="0" distL="0" distR="0" wp14:anchorId="18CCC948" wp14:editId="5FB06F3A">
            <wp:extent cx="5706110" cy="3724910"/>
            <wp:effectExtent l="0" t="0" r="8890" b="8890"/>
            <wp:docPr id="1765567918" name="Picture 4" descr="Figure 3: Model traces for A+AVD and AB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67918" name="Picture 4" descr="Figure 3: Model traces for A+AVD and ABV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10" cy="3724910"/>
                    </a:xfrm>
                    <a:prstGeom prst="rect">
                      <a:avLst/>
                    </a:prstGeom>
                    <a:noFill/>
                  </pic:spPr>
                </pic:pic>
              </a:graphicData>
            </a:graphic>
          </wp:inline>
        </w:drawing>
      </w:r>
    </w:p>
    <w:p w14:paraId="563C4B3E" w14:textId="77777777" w:rsidR="00D62DBA" w:rsidRPr="0085018D" w:rsidRDefault="00D62DBA" w:rsidP="00D62DBA">
      <w:pPr>
        <w:pStyle w:val="COMTablefooter"/>
      </w:pPr>
      <w:r w:rsidRPr="0085018D">
        <w:t>Source: Figures 3.7-1 and 3.7-2, pp236-237 of the submission</w:t>
      </w:r>
    </w:p>
    <w:p w14:paraId="621F7B90" w14:textId="77777777" w:rsidR="00D62DBA" w:rsidRPr="0085018D" w:rsidRDefault="00D62DBA" w:rsidP="00D62DBA">
      <w:pPr>
        <w:pStyle w:val="COMTablefooter"/>
      </w:pPr>
      <w:r w:rsidRPr="0085018D">
        <w:t xml:space="preserve">Abbreviations: A+AVD, brentuximab </w:t>
      </w:r>
      <w:proofErr w:type="spellStart"/>
      <w:r w:rsidRPr="0085018D">
        <w:t>vedotin</w:t>
      </w:r>
      <w:proofErr w:type="spellEnd"/>
      <w:r w:rsidRPr="0085018D">
        <w:t xml:space="preserve"> plus doxorubicin, vinblastine, dacarbazine; ABVD, doxorubicin, bleomycin, vinblastine, and dacarbazine</w:t>
      </w:r>
    </w:p>
    <w:p w14:paraId="587E8CF6" w14:textId="77777777" w:rsidR="00F3216F" w:rsidRPr="0085018D" w:rsidRDefault="00747C85" w:rsidP="0059705E">
      <w:pPr>
        <w:pStyle w:val="COMexecsumnumberedpara"/>
      </w:pPr>
      <w:r w:rsidRPr="0085018D">
        <w:t xml:space="preserve">The model traces show a modelled survival benefit for A+AVD compared to ABVD that persists throughout the 65-year model duration. A difference in mortality is observed from around 6 months, corresponding to the end of the initial treatment period in the key trial. There is an increasing difference in mortality after this timepoint, peaking at around 6.3 years (5.2%) and then slowly converging over time. </w:t>
      </w:r>
    </w:p>
    <w:p w14:paraId="5366877C" w14:textId="62098525" w:rsidR="00D62DBA" w:rsidRPr="0085018D" w:rsidRDefault="00747C85" w:rsidP="0059705E">
      <w:pPr>
        <w:pStyle w:val="COMexecsumnumberedpara"/>
      </w:pPr>
      <w:r w:rsidRPr="0085018D">
        <w:t>The traces also show a difference in progression-free survival in favour of A+AVD compared to ABVD. The progression-free survival curves separate from around 6</w:t>
      </w:r>
      <w:r w:rsidR="00573ECD">
        <w:t> </w:t>
      </w:r>
      <w:r w:rsidRPr="0085018D">
        <w:t>months, with a peak difference at 6.8 years (7.7%), after which the curves slowly converge over time.</w:t>
      </w:r>
    </w:p>
    <w:p w14:paraId="58EF686D" w14:textId="6A2EFA24" w:rsidR="00224ECB" w:rsidRPr="0085018D" w:rsidRDefault="00F3216F" w:rsidP="0059705E">
      <w:pPr>
        <w:pStyle w:val="COMexecsumnumberedpara"/>
      </w:pPr>
      <w:r w:rsidRPr="0085018D">
        <w:t>The post-progression traces show a modelled benefit in favour of A+AVD, with fewer patients experiencing a progression event compared to ABVD.</w:t>
      </w:r>
      <w:r w:rsidR="00F40C5D" w:rsidRPr="0085018D">
        <w:t xml:space="preserve"> However, the predicted estimates show an unexpected pattern during the extrapolated period (from 6.5-6.</w:t>
      </w:r>
      <w:r w:rsidR="00573ECD" w:rsidRPr="0085018D">
        <w:t>8</w:t>
      </w:r>
      <w:r w:rsidR="00573ECD">
        <w:t> </w:t>
      </w:r>
      <w:r w:rsidR="00F40C5D" w:rsidRPr="0085018D">
        <w:t xml:space="preserve">years) where this group of patients experienced lower rates of mortality than patients who were progression-free. This appears clinically implausible </w:t>
      </w:r>
      <w:r w:rsidR="005E26D9" w:rsidRPr="0085018D">
        <w:t>and</w:t>
      </w:r>
      <w:r w:rsidR="00F40C5D" w:rsidRPr="0085018D">
        <w:t xml:space="preserve"> may be a consequence of an error in the generation of mixture cure models for progression-free survival that required a crude adjustment to incorporate the risk of death from the overall survival curve to all patients who are progression-free.</w:t>
      </w:r>
      <w:r w:rsidR="00BF5359" w:rsidRPr="0085018D">
        <w:t xml:space="preserve"> </w:t>
      </w:r>
      <w:r w:rsidR="00013CAE" w:rsidRPr="0085018D">
        <w:t xml:space="preserve">The PSCR argued that there was no error in the generation of the mixture cure models for progression free survival as background mortality was subsequently applied to the progression-free health states in both treatment arms of the model. The ESC </w:t>
      </w:r>
      <w:r w:rsidR="001B7B06" w:rsidRPr="0085018D">
        <w:t>advised</w:t>
      </w:r>
      <w:r w:rsidR="00013CAE" w:rsidRPr="0085018D">
        <w:t xml:space="preserve"> that the multi-step approach </w:t>
      </w:r>
      <w:r w:rsidR="001B7B06" w:rsidRPr="0085018D">
        <w:t>used in</w:t>
      </w:r>
      <w:r w:rsidR="00013CAE" w:rsidRPr="0085018D">
        <w:t xml:space="preserve"> the submission </w:t>
      </w:r>
      <w:r w:rsidR="001B7B06" w:rsidRPr="0085018D">
        <w:t xml:space="preserve">could be justified on a statistical basis. However, the ESC considered the approach used introduced greater uncertainty compared to one in which background mortality was incorporated during the model fitting stage. </w:t>
      </w:r>
    </w:p>
    <w:p w14:paraId="750A7BF2" w14:textId="273F2A9F" w:rsidR="008F3DED" w:rsidRPr="0085018D" w:rsidRDefault="008F3DED" w:rsidP="008F3DED">
      <w:pPr>
        <w:pStyle w:val="COMexecsumnumberedpara"/>
      </w:pPr>
      <w:r w:rsidRPr="0085018D">
        <w:t xml:space="preserve">The submission claimed the model traces correspond to observed Kaplan-Meier estimates for modified progression-free survival and overall survival up to the point of extrapolation (6.5-6.8 years). The modelled estimates were consistent with key trial data using the most recent data cut. However, modified progression-free survival in the model was assessed by investigators, which is at greater risk of bias compared to independently reviewed outcomes. This potentially overestimates the magnitude of benefit with A+AVD compared to ABVD. </w:t>
      </w:r>
      <w:r w:rsidR="001B7B06" w:rsidRPr="0085018D">
        <w:t xml:space="preserve">As outlined in paragraph </w:t>
      </w:r>
      <w:r w:rsidR="004505D0" w:rsidRPr="0085018D">
        <w:fldChar w:fldCharType="begin"/>
      </w:r>
      <w:r w:rsidR="004505D0" w:rsidRPr="0085018D">
        <w:instrText xml:space="preserve"> REF _Ref159425318 \r \h </w:instrText>
      </w:r>
      <w:r w:rsidR="00DE626F" w:rsidRPr="0085018D">
        <w:instrText xml:space="preserve"> \* MERGEFORMAT </w:instrText>
      </w:r>
      <w:r w:rsidR="004505D0" w:rsidRPr="0085018D">
        <w:fldChar w:fldCharType="separate"/>
      </w:r>
      <w:r w:rsidR="00EE192C">
        <w:t>6.15</w:t>
      </w:r>
      <w:r w:rsidR="004505D0" w:rsidRPr="0085018D">
        <w:fldChar w:fldCharType="end"/>
      </w:r>
      <w:r w:rsidR="001B7B06" w:rsidRPr="0085018D">
        <w:t>, the PSCR argued that there was minimal bias for the later results based only on modified progression-free survival by an unblinded investigator.</w:t>
      </w:r>
    </w:p>
    <w:p w14:paraId="69B5F6F5" w14:textId="3135B917" w:rsidR="001F51A0" w:rsidRPr="0085018D" w:rsidRDefault="006937ED" w:rsidP="006937ED">
      <w:pPr>
        <w:pStyle w:val="COMexecsumnumberedpara"/>
      </w:pPr>
      <w:r w:rsidRPr="0085018D">
        <w:t xml:space="preserve">The submission claimed that the plateaus at the tail-end of the Kaplan-Meier curves for modified progression-free survival and overall survival were indicative of high cure rates. There is known potential for cure with frontline chemotherapy treatment. However, the likely proportion who achieve cure based on the trial data is uncertain given the high degree of censoring with potential for confounding due to the use of subsequent therapies in a significant proportion of patients. </w:t>
      </w:r>
    </w:p>
    <w:p w14:paraId="58406F43" w14:textId="26BAC34A" w:rsidR="006937ED" w:rsidRPr="0085018D" w:rsidRDefault="006937ED" w:rsidP="006937ED">
      <w:pPr>
        <w:pStyle w:val="COMexecsumnumberedpara"/>
      </w:pPr>
      <w:r w:rsidRPr="0085018D">
        <w:t>The validity of modelled cure rates was not discussed in the submission.</w:t>
      </w:r>
      <w:r w:rsidR="00754769" w:rsidRPr="0085018D">
        <w:t xml:space="preserve"> During the evaluation, the probabilities of death in each arm were compared with background mortality in the model to determine the effective cure rates and cure timepoint applied in the model based on modelled overall survival</w:t>
      </w:r>
      <w:r w:rsidR="002F22C8" w:rsidRPr="0085018D">
        <w:t>. Beyond the extrapolation point</w:t>
      </w:r>
      <w:r w:rsidR="00B25923" w:rsidRPr="0085018D">
        <w:t xml:space="preserve"> (approximately 6.8 years)</w:t>
      </w:r>
      <w:r w:rsidR="002F22C8" w:rsidRPr="0085018D">
        <w:t xml:space="preserve">, the risk of death in the A+AVD arm was equal to background mortality while the risk of death in the ABVD arm remained marginally elevated although the difference was negligible (&lt;0.01% difference). Effectively, this assumes that all surviving patients at 6.8 years (93% A+AVD, 88% ABVD) had achieved cure. The </w:t>
      </w:r>
      <w:r w:rsidR="004505D0" w:rsidRPr="0085018D">
        <w:t>ESC considered the</w:t>
      </w:r>
      <w:r w:rsidR="004505D0" w:rsidRPr="0085018D">
        <w:rPr>
          <w:i/>
          <w:iCs/>
        </w:rPr>
        <w:t xml:space="preserve"> </w:t>
      </w:r>
      <w:r w:rsidR="002F22C8" w:rsidRPr="0085018D">
        <w:t>clinical plausibility of these cure rates is uncertain as it includes patients who are post-progression (15% A+AVD, 17% ABVD) in addition to those who are progression-free (78% A+AVD, 71% ABVD). This suggests that all surviving patients who have experienced a post-progression event also achieve cure (potentially due to subsequent therapies), or that the overall survival data may not be sufficiently mature to provide a robust estimate of cure.</w:t>
      </w:r>
    </w:p>
    <w:p w14:paraId="05512883" w14:textId="3D52CCAF" w:rsidR="00DE079A" w:rsidRPr="0085018D" w:rsidRDefault="00DE079A" w:rsidP="0059705E">
      <w:pPr>
        <w:pStyle w:val="COMexecsumnumberedpara"/>
      </w:pPr>
      <w:r w:rsidRPr="0085018D">
        <w:t xml:space="preserve">The submission presented a comparison of modelled outcomes with published estimates </w:t>
      </w:r>
      <w:r w:rsidR="004B1150" w:rsidRPr="0085018D">
        <w:t xml:space="preserve">from studies that reported survival in patients with advanced classical Hodgkin lymphoma. </w:t>
      </w:r>
      <w:r w:rsidR="00BF2329" w:rsidRPr="0085018D">
        <w:t xml:space="preserve">It was difficult to compare modelled </w:t>
      </w:r>
      <w:r w:rsidR="00C80C91" w:rsidRPr="0085018D">
        <w:t xml:space="preserve">modified progression-free survival </w:t>
      </w:r>
      <w:r w:rsidR="00BF2329" w:rsidRPr="0085018D">
        <w:t xml:space="preserve">estimates with </w:t>
      </w:r>
      <w:r w:rsidR="002611E0" w:rsidRPr="0085018D">
        <w:t>published estimates</w:t>
      </w:r>
      <w:r w:rsidR="00BF2329" w:rsidRPr="0085018D">
        <w:t xml:space="preserve"> </w:t>
      </w:r>
      <w:r w:rsidR="00C80C91" w:rsidRPr="0085018D">
        <w:t>as</w:t>
      </w:r>
      <w:r w:rsidR="00BF2329" w:rsidRPr="0085018D">
        <w:t xml:space="preserve"> the studies used </w:t>
      </w:r>
      <w:r w:rsidR="00975CFA" w:rsidRPr="0085018D">
        <w:t>a</w:t>
      </w:r>
      <w:r w:rsidR="00BF2329" w:rsidRPr="0085018D">
        <w:t xml:space="preserve"> more standard definition of </w:t>
      </w:r>
      <w:r w:rsidR="00C80C91" w:rsidRPr="0085018D">
        <w:t>progression-free survival (</w:t>
      </w:r>
      <w:proofErr w:type="gramStart"/>
      <w:r w:rsidR="00C80C91" w:rsidRPr="0085018D">
        <w:t>i.e.</w:t>
      </w:r>
      <w:proofErr w:type="gramEnd"/>
      <w:r w:rsidR="00C80C91" w:rsidRPr="0085018D">
        <w:t xml:space="preserve"> </w:t>
      </w:r>
      <w:r w:rsidR="00BF2329" w:rsidRPr="0085018D">
        <w:t>disease progression or death</w:t>
      </w:r>
      <w:r w:rsidR="00C80C91" w:rsidRPr="0085018D">
        <w:t xml:space="preserve"> only)</w:t>
      </w:r>
      <w:r w:rsidR="0085018D">
        <w:t xml:space="preserve">. </w:t>
      </w:r>
      <w:r w:rsidR="004A5E1E" w:rsidRPr="0085018D">
        <w:t>There were also</w:t>
      </w:r>
      <w:r w:rsidR="006A7EC8" w:rsidRPr="0085018D">
        <w:t xml:space="preserve"> concerns with the applicability of data from </w:t>
      </w:r>
      <w:r w:rsidR="00975CFA" w:rsidRPr="0085018D">
        <w:t xml:space="preserve">the </w:t>
      </w:r>
      <w:r w:rsidR="006A7EC8" w:rsidRPr="0085018D">
        <w:t>external sources</w:t>
      </w:r>
      <w:r w:rsidR="008F7C4F" w:rsidRPr="0085018D">
        <w:t xml:space="preserve"> due to differences in population and disease characteristics</w:t>
      </w:r>
      <w:r w:rsidR="006A7EC8" w:rsidRPr="0085018D">
        <w:t xml:space="preserve">. </w:t>
      </w:r>
      <w:r w:rsidR="008F7C4F" w:rsidRPr="0085018D">
        <w:t>Additionally</w:t>
      </w:r>
      <w:r w:rsidR="006A7EC8" w:rsidRPr="0085018D">
        <w:t xml:space="preserve">, survival outcomes in the model were extrapolated over a </w:t>
      </w:r>
      <w:r w:rsidR="00DE0D36" w:rsidRPr="0085018D">
        <w:t>65-year</w:t>
      </w:r>
      <w:r w:rsidR="006A7EC8" w:rsidRPr="0085018D">
        <w:t xml:space="preserve"> horizon that exceeded follow-up times in all the identified </w:t>
      </w:r>
      <w:r w:rsidR="00DE0D36" w:rsidRPr="0085018D">
        <w:t>studie</w:t>
      </w:r>
      <w:r w:rsidR="006A7EC8" w:rsidRPr="0085018D">
        <w:t>s, most of which had median follow-up times of up to 10</w:t>
      </w:r>
      <w:r w:rsidR="00573ECD">
        <w:t> </w:t>
      </w:r>
      <w:r w:rsidR="006A7EC8" w:rsidRPr="0085018D">
        <w:t>years.</w:t>
      </w:r>
      <w:r w:rsidR="004E0708" w:rsidRPr="0085018D">
        <w:t xml:space="preserve"> Overall, the external validity of extrapolated outcomes in the model </w:t>
      </w:r>
      <w:r w:rsidR="002228DC" w:rsidRPr="0085018D">
        <w:t>was uncertain.</w:t>
      </w:r>
      <w:r w:rsidR="004E0708" w:rsidRPr="0085018D">
        <w:t xml:space="preserve"> </w:t>
      </w:r>
    </w:p>
    <w:p w14:paraId="17ADCA06" w14:textId="59A2BE2C" w:rsidR="0059705E" w:rsidRPr="0085018D" w:rsidRDefault="001D604F" w:rsidP="0059705E">
      <w:pPr>
        <w:pStyle w:val="COMexecsumnumberedpara"/>
      </w:pPr>
      <w:r w:rsidRPr="0085018D">
        <w:t xml:space="preserve">The submission presented results of the stepped economic evaluation based on modelled PET-adapted ABVD costs in the comparator arm as the base case. Estimates in some of the steps could not be reproduced during the evaluation due to poor documentation in the submission. </w:t>
      </w:r>
    </w:p>
    <w:p w14:paraId="34B24530" w14:textId="1307D481" w:rsidR="00EB5A78" w:rsidRPr="0085018D" w:rsidRDefault="00EB5A78" w:rsidP="00EB5A78">
      <w:pPr>
        <w:pStyle w:val="COMexecsumnumberedpara"/>
      </w:pPr>
      <w:bookmarkStart w:id="45" w:name="_Ref155598276"/>
      <w:r w:rsidRPr="0085018D">
        <w:t>The following errors were identified during the evaluation and corrected in the revised base case:</w:t>
      </w:r>
      <w:bookmarkEnd w:id="45"/>
    </w:p>
    <w:p w14:paraId="36151FF3" w14:textId="2C8334E2" w:rsidR="00EB5A78" w:rsidRPr="0085018D" w:rsidRDefault="00EB5A78" w:rsidP="00573ECD">
      <w:pPr>
        <w:pStyle w:val="COMexecsummbulletlist"/>
        <w:ind w:left="1134"/>
      </w:pPr>
      <w:r w:rsidRPr="0085018D">
        <w:t>The submission used an estimated AEMP of $</w:t>
      </w:r>
      <w:r w:rsidRPr="002F0CE0">
        <w:t>14.67</w:t>
      </w:r>
      <w:r w:rsidRPr="0085018D">
        <w:t xml:space="preserve"> instead of $73.34 for 2 x 10</w:t>
      </w:r>
      <w:r w:rsidR="00573ECD">
        <w:t> </w:t>
      </w:r>
      <w:r w:rsidRPr="0085018D">
        <w:t xml:space="preserve">mg vials per administration of the vinblastine component of A+AVD and ABVD regimens (and the AVD regimen as part of PET-adapted ABVD in sensitivity analyses). </w:t>
      </w:r>
    </w:p>
    <w:p w14:paraId="63777B20" w14:textId="77777777" w:rsidR="00EB5A78" w:rsidRPr="0085018D" w:rsidRDefault="00EB5A78" w:rsidP="002F0CE0">
      <w:pPr>
        <w:pStyle w:val="COMexecsummbulletlist"/>
        <w:ind w:left="1134"/>
      </w:pPr>
      <w:r w:rsidRPr="0085018D">
        <w:t xml:space="preserve">There were no administration costs for the first 2 cycles of treatment in the ABVD arm. </w:t>
      </w:r>
    </w:p>
    <w:p w14:paraId="60066940" w14:textId="1C34126A" w:rsidR="00EB5A78" w:rsidRPr="0085018D" w:rsidRDefault="00EB5A78" w:rsidP="002F0CE0">
      <w:pPr>
        <w:pStyle w:val="COMexecsummbulletlist"/>
        <w:ind w:left="1134"/>
      </w:pPr>
      <w:r w:rsidRPr="0085018D">
        <w:t xml:space="preserve">The attribution of progression-free utility values in both treatment arms included a switch that resulted in occasional attribution of the off-treatment progression-free utility value despite the value being higher than the age-adjusted utility value for the general population. </w:t>
      </w:r>
    </w:p>
    <w:p w14:paraId="07EEE3DD" w14:textId="077F016E" w:rsidR="007D666B" w:rsidRPr="0085018D" w:rsidRDefault="00F264E7" w:rsidP="00EB5A78">
      <w:pPr>
        <w:pStyle w:val="COMexecsumnumberedpara"/>
      </w:pPr>
      <w:bookmarkStart w:id="46" w:name="_Ref155598279"/>
      <w:r w:rsidRPr="0085018D">
        <w:t xml:space="preserve">The following errors were also corrected for </w:t>
      </w:r>
      <w:r w:rsidR="006D597E" w:rsidRPr="0085018D">
        <w:t xml:space="preserve">in the </w:t>
      </w:r>
      <w:r w:rsidRPr="0085018D">
        <w:t xml:space="preserve">sensitivity analyses </w:t>
      </w:r>
      <w:r w:rsidR="006D597E" w:rsidRPr="0085018D">
        <w:t xml:space="preserve">conducted </w:t>
      </w:r>
      <w:r w:rsidRPr="0085018D">
        <w:t>during the evaluation:</w:t>
      </w:r>
      <w:bookmarkEnd w:id="46"/>
    </w:p>
    <w:p w14:paraId="00EF291D" w14:textId="767341F4" w:rsidR="00BF111E" w:rsidRPr="0085018D" w:rsidRDefault="00BF111E" w:rsidP="002F0CE0">
      <w:pPr>
        <w:pStyle w:val="COMexecsummbulletlist"/>
        <w:ind w:left="1134"/>
      </w:pPr>
      <w:r w:rsidRPr="0085018D">
        <w:t xml:space="preserve">Changes to the time horizon affected the calculation of </w:t>
      </w:r>
      <w:r w:rsidR="000A220D">
        <w:t>quality-adjusted life years</w:t>
      </w:r>
      <w:r w:rsidR="000A220D" w:rsidRPr="0085018D">
        <w:t xml:space="preserve"> </w:t>
      </w:r>
      <w:r w:rsidR="000A220D">
        <w:t>(</w:t>
      </w:r>
      <w:r w:rsidRPr="0085018D">
        <w:t>QALYs</w:t>
      </w:r>
      <w:r w:rsidR="000A220D">
        <w:t>)</w:t>
      </w:r>
      <w:r w:rsidRPr="0085018D">
        <w:t xml:space="preserve"> but not costs (remained based on the base case time horizon). </w:t>
      </w:r>
    </w:p>
    <w:p w14:paraId="3B0518CF" w14:textId="006F29C8" w:rsidR="006D597E" w:rsidRPr="0085018D" w:rsidRDefault="00C93FA8" w:rsidP="002F0CE0">
      <w:pPr>
        <w:pStyle w:val="COMexecsummbulletlist"/>
        <w:ind w:left="1134"/>
      </w:pPr>
      <w:r w:rsidRPr="0085018D">
        <w:t>For PET-adapted ABVD, on-treatment progression-free utility values were only applied for 2 treatment cycles (</w:t>
      </w:r>
      <w:proofErr w:type="gramStart"/>
      <w:r w:rsidRPr="0085018D">
        <w:t>i.e.</w:t>
      </w:r>
      <w:proofErr w:type="gramEnd"/>
      <w:r w:rsidRPr="0085018D">
        <w:t xml:space="preserve"> 8 weeks) rather than 6 treatment cycles as per treatment costs in the submission. </w:t>
      </w:r>
    </w:p>
    <w:p w14:paraId="0C44CCE0" w14:textId="07CE1456" w:rsidR="00EB5A78" w:rsidRPr="0085018D" w:rsidRDefault="00EB5A78" w:rsidP="00EB5A78">
      <w:pPr>
        <w:pStyle w:val="COMexecsumnumberedpara"/>
      </w:pPr>
      <w:r w:rsidRPr="0085018D">
        <w:t xml:space="preserve">During the evaluation, a stepped analysis was conducted with ABVD as the comparator in the revised base case (see </w:t>
      </w:r>
      <w:r w:rsidR="008951DE" w:rsidRPr="0085018D">
        <w:fldChar w:fldCharType="begin"/>
      </w:r>
      <w:r w:rsidR="008951DE" w:rsidRPr="0085018D">
        <w:instrText xml:space="preserve"> REF _Ref104805160 \h  \* MERGEFORMAT </w:instrText>
      </w:r>
      <w:r w:rsidR="008951DE" w:rsidRPr="0085018D">
        <w:fldChar w:fldCharType="separate"/>
      </w:r>
      <w:r w:rsidR="008951DE" w:rsidRPr="0085018D">
        <w:t xml:space="preserve">Table </w:t>
      </w:r>
      <w:r w:rsidR="008951DE" w:rsidRPr="00B23B25">
        <w:t>9</w:t>
      </w:r>
      <w:r w:rsidR="008951DE" w:rsidRPr="0085018D">
        <w:fldChar w:fldCharType="end"/>
      </w:r>
      <w:r w:rsidR="008951DE" w:rsidRPr="0085018D">
        <w:t xml:space="preserve"> </w:t>
      </w:r>
      <w:r w:rsidRPr="0085018D">
        <w:t>below).</w:t>
      </w:r>
    </w:p>
    <w:p w14:paraId="63D487B8" w14:textId="5B4F916F" w:rsidR="00D110BD" w:rsidRPr="0085018D" w:rsidRDefault="00E16AD8" w:rsidP="002F0CE0">
      <w:pPr>
        <w:pStyle w:val="COMtablefigcaption"/>
      </w:pPr>
      <w:bookmarkStart w:id="47" w:name="_Ref104805160"/>
      <w:r w:rsidRPr="0085018D">
        <w:t xml:space="preserve">Table </w:t>
      </w:r>
      <w:fldSimple w:instr=" SEQ Table \* ARABIC ">
        <w:r w:rsidR="001F14E4" w:rsidRPr="00B23B25">
          <w:t>9</w:t>
        </w:r>
      </w:fldSimple>
      <w:bookmarkEnd w:id="47"/>
      <w:r w:rsidRPr="0085018D">
        <w:t>:</w:t>
      </w:r>
      <w:r w:rsidR="005A373D" w:rsidRPr="0085018D">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9: Results of the stepped economic evaluation"/>
      </w:tblPr>
      <w:tblGrid>
        <w:gridCol w:w="2783"/>
        <w:gridCol w:w="2442"/>
        <w:gridCol w:w="2290"/>
        <w:gridCol w:w="1502"/>
      </w:tblGrid>
      <w:tr w:rsidR="001726C7" w:rsidRPr="0085018D" w14:paraId="3E3F880F" w14:textId="77777777" w:rsidTr="0047164D">
        <w:trPr>
          <w:tblHeader/>
        </w:trPr>
        <w:tc>
          <w:tcPr>
            <w:tcW w:w="1543" w:type="pct"/>
            <w:vAlign w:val="center"/>
          </w:tcPr>
          <w:p w14:paraId="0E037334" w14:textId="77777777" w:rsidR="001726C7" w:rsidRPr="0085018D" w:rsidRDefault="001726C7" w:rsidP="002F0CE0">
            <w:pPr>
              <w:pStyle w:val="COMTableheadingrow"/>
              <w:rPr>
                <w:lang w:val="en-AU"/>
              </w:rPr>
            </w:pPr>
            <w:r w:rsidRPr="0085018D">
              <w:rPr>
                <w:lang w:val="en-AU"/>
              </w:rPr>
              <w:t>Step and component</w:t>
            </w:r>
          </w:p>
        </w:tc>
        <w:tc>
          <w:tcPr>
            <w:tcW w:w="1354" w:type="pct"/>
            <w:vAlign w:val="center"/>
          </w:tcPr>
          <w:p w14:paraId="356745F7" w14:textId="77777777" w:rsidR="001726C7" w:rsidRPr="0085018D" w:rsidRDefault="001726C7" w:rsidP="002F0CE0">
            <w:pPr>
              <w:pStyle w:val="COMTableheadingrow"/>
              <w:jc w:val="center"/>
              <w:rPr>
                <w:lang w:val="en-AU"/>
              </w:rPr>
            </w:pPr>
            <w:r w:rsidRPr="0085018D">
              <w:rPr>
                <w:lang w:val="en-AU"/>
              </w:rPr>
              <w:t>A+AVD</w:t>
            </w:r>
          </w:p>
        </w:tc>
        <w:tc>
          <w:tcPr>
            <w:tcW w:w="1270" w:type="pct"/>
            <w:vAlign w:val="center"/>
          </w:tcPr>
          <w:p w14:paraId="55F3F7C9" w14:textId="77777777" w:rsidR="001726C7" w:rsidRPr="0085018D" w:rsidRDefault="001726C7" w:rsidP="002F0CE0">
            <w:pPr>
              <w:pStyle w:val="COMTableheadingrow"/>
              <w:jc w:val="center"/>
              <w:rPr>
                <w:lang w:val="en-AU"/>
              </w:rPr>
            </w:pPr>
            <w:r w:rsidRPr="0085018D">
              <w:rPr>
                <w:lang w:val="en-AU"/>
              </w:rPr>
              <w:t>ABVD</w:t>
            </w:r>
          </w:p>
        </w:tc>
        <w:tc>
          <w:tcPr>
            <w:tcW w:w="833" w:type="pct"/>
            <w:vAlign w:val="center"/>
          </w:tcPr>
          <w:p w14:paraId="0B75B8CF" w14:textId="77777777" w:rsidR="001726C7" w:rsidRPr="0085018D" w:rsidRDefault="001726C7" w:rsidP="002F0CE0">
            <w:pPr>
              <w:pStyle w:val="COMTableheadingrow"/>
              <w:jc w:val="center"/>
              <w:rPr>
                <w:lang w:val="en-AU"/>
              </w:rPr>
            </w:pPr>
            <w:r w:rsidRPr="0085018D">
              <w:rPr>
                <w:lang w:val="en-AU"/>
              </w:rPr>
              <w:t>Increment</w:t>
            </w:r>
          </w:p>
        </w:tc>
      </w:tr>
      <w:tr w:rsidR="001726C7" w:rsidRPr="0085018D" w14:paraId="6BFE4C47" w14:textId="77777777" w:rsidTr="0047164D">
        <w:tc>
          <w:tcPr>
            <w:tcW w:w="5000" w:type="pct"/>
            <w:gridSpan w:val="4"/>
            <w:vAlign w:val="center"/>
          </w:tcPr>
          <w:p w14:paraId="26537D65" w14:textId="77777777" w:rsidR="001726C7" w:rsidRPr="0085018D" w:rsidRDefault="001726C7" w:rsidP="002F0CE0">
            <w:pPr>
              <w:pStyle w:val="COMTableheadingrow"/>
              <w:rPr>
                <w:lang w:val="en-AU"/>
              </w:rPr>
            </w:pPr>
            <w:r w:rsidRPr="0085018D">
              <w:rPr>
                <w:lang w:val="en-AU"/>
              </w:rPr>
              <w:t xml:space="preserve">Step 1a: time horizon of 8.1 years (maximum trial follow-up), include costs of drug acquisition, supportive </w:t>
            </w:r>
            <w:proofErr w:type="gramStart"/>
            <w:r w:rsidRPr="0085018D">
              <w:rPr>
                <w:lang w:val="en-AU"/>
              </w:rPr>
              <w:t>therapies</w:t>
            </w:r>
            <w:proofErr w:type="gramEnd"/>
            <w:r w:rsidRPr="0085018D">
              <w:rPr>
                <w:lang w:val="en-AU"/>
              </w:rPr>
              <w:t xml:space="preserve"> and treatment administration</w:t>
            </w:r>
          </w:p>
        </w:tc>
      </w:tr>
      <w:tr w:rsidR="001726C7" w:rsidRPr="0085018D" w14:paraId="698E10A4" w14:textId="77777777" w:rsidTr="0047164D">
        <w:tc>
          <w:tcPr>
            <w:tcW w:w="1543" w:type="pct"/>
            <w:vAlign w:val="center"/>
          </w:tcPr>
          <w:p w14:paraId="15C12FAA" w14:textId="77777777" w:rsidR="001726C7" w:rsidRPr="0085018D" w:rsidRDefault="001726C7" w:rsidP="002F0CE0">
            <w:pPr>
              <w:pStyle w:val="COMTabletext"/>
              <w:rPr>
                <w:rFonts w:ascii="Times" w:hAnsi="Times"/>
              </w:rPr>
            </w:pPr>
            <w:r w:rsidRPr="0085018D">
              <w:t>Costs</w:t>
            </w:r>
          </w:p>
        </w:tc>
        <w:tc>
          <w:tcPr>
            <w:tcW w:w="1354" w:type="pct"/>
            <w:vAlign w:val="center"/>
          </w:tcPr>
          <w:p w14:paraId="2F4E4794" w14:textId="572B75A6"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691CC2CB" w14:textId="3C8CCA9E"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0F69D145" w14:textId="12CA74A9"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20DFC259" w14:textId="77777777" w:rsidTr="0047164D">
        <w:tc>
          <w:tcPr>
            <w:tcW w:w="1543" w:type="pct"/>
            <w:vAlign w:val="center"/>
          </w:tcPr>
          <w:p w14:paraId="0A2155D9" w14:textId="77777777" w:rsidR="001726C7" w:rsidRPr="0085018D" w:rsidRDefault="001726C7" w:rsidP="002F0CE0">
            <w:pPr>
              <w:pStyle w:val="COMTabletext"/>
              <w:rPr>
                <w:rFonts w:ascii="Times" w:hAnsi="Times"/>
              </w:rPr>
            </w:pPr>
            <w:r w:rsidRPr="0085018D">
              <w:t>Life years gained</w:t>
            </w:r>
          </w:p>
        </w:tc>
        <w:tc>
          <w:tcPr>
            <w:tcW w:w="1354" w:type="pct"/>
            <w:vAlign w:val="center"/>
          </w:tcPr>
          <w:p w14:paraId="3BE71962" w14:textId="77777777" w:rsidR="001726C7" w:rsidRPr="002F0CE0" w:rsidRDefault="001726C7" w:rsidP="002F0CE0">
            <w:pPr>
              <w:pStyle w:val="COMTabletext"/>
              <w:jc w:val="center"/>
            </w:pPr>
            <w:r w:rsidRPr="002F0CE0">
              <w:t>7.68</w:t>
            </w:r>
          </w:p>
        </w:tc>
        <w:tc>
          <w:tcPr>
            <w:tcW w:w="1270" w:type="pct"/>
            <w:vAlign w:val="center"/>
          </w:tcPr>
          <w:p w14:paraId="2BC59D3E" w14:textId="77777777" w:rsidR="001726C7" w:rsidRPr="002F0CE0" w:rsidRDefault="001726C7" w:rsidP="002F0CE0">
            <w:pPr>
              <w:pStyle w:val="COMTabletext"/>
              <w:jc w:val="center"/>
            </w:pPr>
            <w:r w:rsidRPr="002F0CE0">
              <w:t>7.45</w:t>
            </w:r>
          </w:p>
        </w:tc>
        <w:tc>
          <w:tcPr>
            <w:tcW w:w="833" w:type="pct"/>
            <w:vAlign w:val="center"/>
          </w:tcPr>
          <w:p w14:paraId="572E28CA" w14:textId="77777777" w:rsidR="001726C7" w:rsidRPr="002F0CE0" w:rsidRDefault="001726C7" w:rsidP="002F0CE0">
            <w:pPr>
              <w:pStyle w:val="COMTabletext"/>
              <w:jc w:val="center"/>
            </w:pPr>
            <w:r w:rsidRPr="002F0CE0">
              <w:t>0.23</w:t>
            </w:r>
          </w:p>
        </w:tc>
      </w:tr>
      <w:tr w:rsidR="001726C7" w:rsidRPr="0085018D" w14:paraId="5F14711D" w14:textId="77777777" w:rsidTr="0047164D">
        <w:tc>
          <w:tcPr>
            <w:tcW w:w="4167" w:type="pct"/>
            <w:gridSpan w:val="3"/>
            <w:vAlign w:val="center"/>
          </w:tcPr>
          <w:p w14:paraId="432F9890" w14:textId="77777777" w:rsidR="001726C7" w:rsidRPr="0085018D" w:rsidRDefault="001726C7" w:rsidP="002F0CE0">
            <w:pPr>
              <w:pStyle w:val="COMTabletext"/>
              <w:rPr>
                <w:rFonts w:ascii="Times" w:hAnsi="Times"/>
              </w:rPr>
            </w:pPr>
            <w:r w:rsidRPr="0085018D">
              <w:rPr>
                <w:b/>
                <w:bCs w:val="0"/>
              </w:rPr>
              <w:t>Incremental cost per life year gained</w:t>
            </w:r>
          </w:p>
        </w:tc>
        <w:tc>
          <w:tcPr>
            <w:tcW w:w="833" w:type="pct"/>
            <w:vAlign w:val="center"/>
          </w:tcPr>
          <w:p w14:paraId="13FCAA0D" w14:textId="1CCDD805" w:rsidR="001726C7" w:rsidRPr="0085018D" w:rsidRDefault="001726C7" w:rsidP="002F0CE0">
            <w:pPr>
              <w:pStyle w:val="COMTabletext"/>
              <w:jc w:val="center"/>
              <w:rPr>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1</w:t>
            </w:r>
          </w:p>
        </w:tc>
      </w:tr>
      <w:tr w:rsidR="001726C7" w:rsidRPr="0085018D" w14:paraId="0D903CE9" w14:textId="77777777" w:rsidTr="0047164D">
        <w:tc>
          <w:tcPr>
            <w:tcW w:w="5000" w:type="pct"/>
            <w:gridSpan w:val="4"/>
            <w:vAlign w:val="center"/>
          </w:tcPr>
          <w:p w14:paraId="2E444ED0" w14:textId="77777777" w:rsidR="001726C7" w:rsidRPr="0085018D" w:rsidRDefault="001726C7" w:rsidP="002F0CE0">
            <w:pPr>
              <w:pStyle w:val="COMTableheadingrow"/>
              <w:rPr>
                <w:lang w:val="en-AU"/>
              </w:rPr>
            </w:pPr>
            <w:r w:rsidRPr="0085018D">
              <w:rPr>
                <w:lang w:val="en-AU"/>
              </w:rPr>
              <w:t>Step 1b: add costs of subsequent therapies</w:t>
            </w:r>
          </w:p>
        </w:tc>
      </w:tr>
      <w:tr w:rsidR="001726C7" w:rsidRPr="0085018D" w14:paraId="781D8C16" w14:textId="77777777" w:rsidTr="0047164D">
        <w:tc>
          <w:tcPr>
            <w:tcW w:w="1543" w:type="pct"/>
            <w:vAlign w:val="center"/>
          </w:tcPr>
          <w:p w14:paraId="717D64B9" w14:textId="77777777" w:rsidR="001726C7" w:rsidRPr="0085018D" w:rsidRDefault="001726C7" w:rsidP="002F0CE0">
            <w:pPr>
              <w:pStyle w:val="COMTabletext"/>
              <w:rPr>
                <w:rFonts w:ascii="Times" w:hAnsi="Times"/>
              </w:rPr>
            </w:pPr>
            <w:r w:rsidRPr="0085018D">
              <w:t>Costs</w:t>
            </w:r>
          </w:p>
        </w:tc>
        <w:tc>
          <w:tcPr>
            <w:tcW w:w="1354" w:type="pct"/>
            <w:vAlign w:val="center"/>
          </w:tcPr>
          <w:p w14:paraId="728E023E" w14:textId="22B03AAE"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4CF8FA3C" w14:textId="7600EC6C"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06A4B76D" w14:textId="24F89B22"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1BA175CA" w14:textId="77777777" w:rsidTr="0047164D">
        <w:tc>
          <w:tcPr>
            <w:tcW w:w="1543" w:type="pct"/>
            <w:vAlign w:val="center"/>
          </w:tcPr>
          <w:p w14:paraId="209430BD" w14:textId="77777777" w:rsidR="001726C7" w:rsidRPr="0085018D" w:rsidRDefault="001726C7" w:rsidP="002F0CE0">
            <w:pPr>
              <w:pStyle w:val="COMTabletext"/>
              <w:rPr>
                <w:rFonts w:ascii="Times" w:hAnsi="Times"/>
              </w:rPr>
            </w:pPr>
            <w:r w:rsidRPr="0085018D">
              <w:t>Life years gained</w:t>
            </w:r>
          </w:p>
        </w:tc>
        <w:tc>
          <w:tcPr>
            <w:tcW w:w="1354" w:type="pct"/>
            <w:vAlign w:val="center"/>
          </w:tcPr>
          <w:p w14:paraId="701E892A" w14:textId="77777777" w:rsidR="001726C7" w:rsidRPr="002F0CE0" w:rsidRDefault="001726C7" w:rsidP="002F0CE0">
            <w:pPr>
              <w:pStyle w:val="COMTabletext"/>
              <w:jc w:val="center"/>
            </w:pPr>
            <w:r w:rsidRPr="002F0CE0">
              <w:t>7.68</w:t>
            </w:r>
          </w:p>
        </w:tc>
        <w:tc>
          <w:tcPr>
            <w:tcW w:w="1270" w:type="pct"/>
            <w:vAlign w:val="center"/>
          </w:tcPr>
          <w:p w14:paraId="5E810D89" w14:textId="77777777" w:rsidR="001726C7" w:rsidRPr="002F0CE0" w:rsidRDefault="001726C7" w:rsidP="002F0CE0">
            <w:pPr>
              <w:pStyle w:val="COMTabletext"/>
              <w:jc w:val="center"/>
            </w:pPr>
            <w:r w:rsidRPr="002F0CE0">
              <w:t>7.45</w:t>
            </w:r>
          </w:p>
        </w:tc>
        <w:tc>
          <w:tcPr>
            <w:tcW w:w="833" w:type="pct"/>
            <w:vAlign w:val="center"/>
          </w:tcPr>
          <w:p w14:paraId="17F13596" w14:textId="77777777" w:rsidR="001726C7" w:rsidRPr="002F0CE0" w:rsidRDefault="001726C7" w:rsidP="002F0CE0">
            <w:pPr>
              <w:pStyle w:val="COMTabletext"/>
              <w:jc w:val="center"/>
            </w:pPr>
            <w:r w:rsidRPr="002F0CE0">
              <w:t>0.23</w:t>
            </w:r>
          </w:p>
        </w:tc>
      </w:tr>
      <w:tr w:rsidR="001726C7" w:rsidRPr="0085018D" w14:paraId="418EA8E5" w14:textId="77777777" w:rsidTr="0047164D">
        <w:tc>
          <w:tcPr>
            <w:tcW w:w="4167" w:type="pct"/>
            <w:gridSpan w:val="3"/>
            <w:vAlign w:val="center"/>
          </w:tcPr>
          <w:p w14:paraId="1C308600" w14:textId="77777777" w:rsidR="001726C7" w:rsidRPr="0085018D" w:rsidRDefault="001726C7" w:rsidP="002F0CE0">
            <w:pPr>
              <w:pStyle w:val="COMTabletext"/>
              <w:rPr>
                <w:rFonts w:ascii="Times" w:hAnsi="Times"/>
              </w:rPr>
            </w:pPr>
            <w:r w:rsidRPr="0085018D">
              <w:rPr>
                <w:b/>
                <w:bCs w:val="0"/>
              </w:rPr>
              <w:t>Incremental cost per life year gained</w:t>
            </w:r>
          </w:p>
        </w:tc>
        <w:tc>
          <w:tcPr>
            <w:tcW w:w="833" w:type="pct"/>
            <w:vAlign w:val="center"/>
          </w:tcPr>
          <w:p w14:paraId="0C9169A5" w14:textId="38BA8891" w:rsidR="001726C7" w:rsidRPr="0085018D" w:rsidRDefault="001726C7" w:rsidP="002F0CE0">
            <w:pPr>
              <w:pStyle w:val="COMTabletext"/>
              <w:jc w:val="center"/>
              <w:rPr>
                <w:rFonts w:ascii="Times" w:hAnsi="Times"/>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2</w:t>
            </w:r>
          </w:p>
        </w:tc>
      </w:tr>
      <w:tr w:rsidR="001726C7" w:rsidRPr="0085018D" w14:paraId="20379916" w14:textId="77777777" w:rsidTr="0047164D">
        <w:tc>
          <w:tcPr>
            <w:tcW w:w="5000" w:type="pct"/>
            <w:gridSpan w:val="4"/>
            <w:vAlign w:val="center"/>
          </w:tcPr>
          <w:p w14:paraId="18F23DBF" w14:textId="77777777" w:rsidR="001726C7" w:rsidRPr="0085018D" w:rsidRDefault="001726C7" w:rsidP="002F0CE0">
            <w:pPr>
              <w:pStyle w:val="COMTableheadingrow"/>
              <w:rPr>
                <w:lang w:val="en-AU"/>
              </w:rPr>
            </w:pPr>
            <w:r w:rsidRPr="0085018D">
              <w:rPr>
                <w:lang w:val="en-AU"/>
              </w:rPr>
              <w:t xml:space="preserve">Step 1c: add costs of monitoring and follow-up </w:t>
            </w:r>
          </w:p>
        </w:tc>
      </w:tr>
      <w:tr w:rsidR="001726C7" w:rsidRPr="0085018D" w14:paraId="08AFDA1E" w14:textId="77777777" w:rsidTr="0047164D">
        <w:tc>
          <w:tcPr>
            <w:tcW w:w="1543" w:type="pct"/>
            <w:vAlign w:val="center"/>
          </w:tcPr>
          <w:p w14:paraId="0FF8AC86" w14:textId="77777777" w:rsidR="001726C7" w:rsidRPr="0085018D" w:rsidRDefault="001726C7" w:rsidP="002F0CE0">
            <w:pPr>
              <w:pStyle w:val="COMTabletext"/>
              <w:rPr>
                <w:rFonts w:ascii="Times" w:hAnsi="Times"/>
              </w:rPr>
            </w:pPr>
            <w:r w:rsidRPr="0085018D">
              <w:t>Costs</w:t>
            </w:r>
          </w:p>
        </w:tc>
        <w:tc>
          <w:tcPr>
            <w:tcW w:w="1354" w:type="pct"/>
            <w:vAlign w:val="center"/>
          </w:tcPr>
          <w:p w14:paraId="51FF47C0" w14:textId="50AF2AE4"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49707DFF" w14:textId="52D61F25"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7B9E7307" w14:textId="6A1A27F0"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7C6977DF" w14:textId="77777777" w:rsidTr="0047164D">
        <w:tc>
          <w:tcPr>
            <w:tcW w:w="1543" w:type="pct"/>
            <w:vAlign w:val="center"/>
          </w:tcPr>
          <w:p w14:paraId="5D4F6D10" w14:textId="77777777" w:rsidR="001726C7" w:rsidRPr="0085018D" w:rsidRDefault="001726C7" w:rsidP="002F0CE0">
            <w:pPr>
              <w:pStyle w:val="COMTabletext"/>
              <w:rPr>
                <w:rFonts w:ascii="Times" w:hAnsi="Times"/>
              </w:rPr>
            </w:pPr>
            <w:r w:rsidRPr="0085018D">
              <w:t>Life years gained</w:t>
            </w:r>
          </w:p>
        </w:tc>
        <w:tc>
          <w:tcPr>
            <w:tcW w:w="1354" w:type="pct"/>
            <w:vAlign w:val="center"/>
          </w:tcPr>
          <w:p w14:paraId="4B17F98B" w14:textId="77777777" w:rsidR="001726C7" w:rsidRPr="002F0CE0" w:rsidRDefault="001726C7" w:rsidP="002F0CE0">
            <w:pPr>
              <w:pStyle w:val="COMTabletext"/>
              <w:jc w:val="center"/>
            </w:pPr>
            <w:r w:rsidRPr="002F0CE0">
              <w:t>7.68</w:t>
            </w:r>
          </w:p>
        </w:tc>
        <w:tc>
          <w:tcPr>
            <w:tcW w:w="1270" w:type="pct"/>
            <w:vAlign w:val="center"/>
          </w:tcPr>
          <w:p w14:paraId="71CD3790" w14:textId="77777777" w:rsidR="001726C7" w:rsidRPr="002F0CE0" w:rsidRDefault="001726C7" w:rsidP="002F0CE0">
            <w:pPr>
              <w:pStyle w:val="COMTabletext"/>
              <w:jc w:val="center"/>
            </w:pPr>
            <w:r w:rsidRPr="002F0CE0">
              <w:t>7.45</w:t>
            </w:r>
          </w:p>
        </w:tc>
        <w:tc>
          <w:tcPr>
            <w:tcW w:w="833" w:type="pct"/>
            <w:vAlign w:val="center"/>
          </w:tcPr>
          <w:p w14:paraId="68D988FE" w14:textId="77777777" w:rsidR="001726C7" w:rsidRPr="002F0CE0" w:rsidRDefault="001726C7" w:rsidP="002F0CE0">
            <w:pPr>
              <w:pStyle w:val="COMTabletext"/>
              <w:jc w:val="center"/>
            </w:pPr>
            <w:r w:rsidRPr="002F0CE0">
              <w:t>0.23</w:t>
            </w:r>
          </w:p>
        </w:tc>
      </w:tr>
      <w:tr w:rsidR="001726C7" w:rsidRPr="0085018D" w14:paraId="148D242E" w14:textId="77777777" w:rsidTr="0047164D">
        <w:tc>
          <w:tcPr>
            <w:tcW w:w="4167" w:type="pct"/>
            <w:gridSpan w:val="3"/>
            <w:vAlign w:val="center"/>
          </w:tcPr>
          <w:p w14:paraId="7528B306" w14:textId="77777777" w:rsidR="001726C7" w:rsidRPr="0085018D" w:rsidRDefault="001726C7" w:rsidP="002F0CE0">
            <w:pPr>
              <w:pStyle w:val="COMTabletext"/>
              <w:rPr>
                <w:rFonts w:ascii="Times" w:hAnsi="Times"/>
              </w:rPr>
            </w:pPr>
            <w:r w:rsidRPr="0085018D">
              <w:rPr>
                <w:b/>
                <w:bCs w:val="0"/>
              </w:rPr>
              <w:t>Incremental cost per life year gained</w:t>
            </w:r>
          </w:p>
        </w:tc>
        <w:tc>
          <w:tcPr>
            <w:tcW w:w="833" w:type="pct"/>
            <w:vAlign w:val="center"/>
          </w:tcPr>
          <w:p w14:paraId="3568E7B0" w14:textId="1A391AAB" w:rsidR="001726C7" w:rsidRPr="0085018D" w:rsidRDefault="001726C7" w:rsidP="002F0CE0">
            <w:pPr>
              <w:pStyle w:val="COMTabletext"/>
              <w:jc w:val="center"/>
              <w:rPr>
                <w:rFonts w:ascii="Times" w:hAnsi="Times"/>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2</w:t>
            </w:r>
          </w:p>
        </w:tc>
      </w:tr>
      <w:tr w:rsidR="001726C7" w:rsidRPr="0085018D" w14:paraId="0E1308FF" w14:textId="77777777" w:rsidTr="0047164D">
        <w:tc>
          <w:tcPr>
            <w:tcW w:w="5000" w:type="pct"/>
            <w:gridSpan w:val="4"/>
            <w:vAlign w:val="center"/>
          </w:tcPr>
          <w:p w14:paraId="05B1B901" w14:textId="77777777" w:rsidR="001726C7" w:rsidRPr="0085018D" w:rsidRDefault="001726C7" w:rsidP="002F0CE0">
            <w:pPr>
              <w:pStyle w:val="COMTableheadingrow"/>
              <w:rPr>
                <w:lang w:val="en-AU"/>
              </w:rPr>
            </w:pPr>
            <w:r w:rsidRPr="0085018D">
              <w:rPr>
                <w:lang w:val="en-AU"/>
              </w:rPr>
              <w:t>Step 1d: add costs of adverse events</w:t>
            </w:r>
          </w:p>
        </w:tc>
      </w:tr>
      <w:tr w:rsidR="001726C7" w:rsidRPr="0085018D" w14:paraId="01E03359" w14:textId="77777777" w:rsidTr="0047164D">
        <w:tc>
          <w:tcPr>
            <w:tcW w:w="1543" w:type="pct"/>
            <w:vAlign w:val="center"/>
          </w:tcPr>
          <w:p w14:paraId="0B4CE9DE" w14:textId="77777777" w:rsidR="001726C7" w:rsidRPr="0085018D" w:rsidRDefault="001726C7" w:rsidP="002F0CE0">
            <w:pPr>
              <w:pStyle w:val="COMTabletext"/>
              <w:rPr>
                <w:rFonts w:ascii="Times" w:hAnsi="Times"/>
              </w:rPr>
            </w:pPr>
            <w:r w:rsidRPr="0085018D">
              <w:t>Costs</w:t>
            </w:r>
          </w:p>
        </w:tc>
        <w:tc>
          <w:tcPr>
            <w:tcW w:w="1354" w:type="pct"/>
            <w:vAlign w:val="center"/>
          </w:tcPr>
          <w:p w14:paraId="20B4AB37" w14:textId="5689C29D"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4E190DFC" w14:textId="04299202"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323A4E72" w14:textId="45D3D2F0"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06FE53FA" w14:textId="77777777" w:rsidTr="0047164D">
        <w:tc>
          <w:tcPr>
            <w:tcW w:w="1543" w:type="pct"/>
            <w:vAlign w:val="center"/>
          </w:tcPr>
          <w:p w14:paraId="111E9F32" w14:textId="77777777" w:rsidR="001726C7" w:rsidRPr="0085018D" w:rsidRDefault="001726C7" w:rsidP="002F0CE0">
            <w:pPr>
              <w:pStyle w:val="COMTabletext"/>
              <w:rPr>
                <w:rFonts w:ascii="Times" w:hAnsi="Times"/>
              </w:rPr>
            </w:pPr>
            <w:r w:rsidRPr="0085018D">
              <w:t>Life years gained</w:t>
            </w:r>
          </w:p>
        </w:tc>
        <w:tc>
          <w:tcPr>
            <w:tcW w:w="1354" w:type="pct"/>
            <w:vAlign w:val="center"/>
          </w:tcPr>
          <w:p w14:paraId="5ECE0E0B" w14:textId="77777777" w:rsidR="001726C7" w:rsidRPr="002F0CE0" w:rsidRDefault="001726C7" w:rsidP="002F0CE0">
            <w:pPr>
              <w:pStyle w:val="COMTabletext"/>
              <w:jc w:val="center"/>
            </w:pPr>
            <w:r w:rsidRPr="002F0CE0">
              <w:t>7.68</w:t>
            </w:r>
          </w:p>
        </w:tc>
        <w:tc>
          <w:tcPr>
            <w:tcW w:w="1270" w:type="pct"/>
            <w:vAlign w:val="center"/>
          </w:tcPr>
          <w:p w14:paraId="21FD946A" w14:textId="77777777" w:rsidR="001726C7" w:rsidRPr="002F0CE0" w:rsidRDefault="001726C7" w:rsidP="002F0CE0">
            <w:pPr>
              <w:pStyle w:val="COMTabletext"/>
              <w:jc w:val="center"/>
            </w:pPr>
            <w:r w:rsidRPr="002F0CE0">
              <w:t>7.45</w:t>
            </w:r>
          </w:p>
        </w:tc>
        <w:tc>
          <w:tcPr>
            <w:tcW w:w="833" w:type="pct"/>
            <w:vAlign w:val="center"/>
          </w:tcPr>
          <w:p w14:paraId="183366E0" w14:textId="77777777" w:rsidR="001726C7" w:rsidRPr="002F0CE0" w:rsidRDefault="001726C7" w:rsidP="002F0CE0">
            <w:pPr>
              <w:pStyle w:val="COMTabletext"/>
              <w:jc w:val="center"/>
            </w:pPr>
            <w:r w:rsidRPr="002F0CE0">
              <w:t>0.23</w:t>
            </w:r>
          </w:p>
        </w:tc>
      </w:tr>
      <w:tr w:rsidR="001726C7" w:rsidRPr="0085018D" w14:paraId="5D05DCE6" w14:textId="77777777" w:rsidTr="0047164D">
        <w:tc>
          <w:tcPr>
            <w:tcW w:w="4167" w:type="pct"/>
            <w:gridSpan w:val="3"/>
            <w:vAlign w:val="center"/>
          </w:tcPr>
          <w:p w14:paraId="65E864ED" w14:textId="77777777" w:rsidR="001726C7" w:rsidRPr="0085018D" w:rsidRDefault="001726C7" w:rsidP="002F0CE0">
            <w:pPr>
              <w:pStyle w:val="COMTabletext"/>
              <w:rPr>
                <w:rFonts w:ascii="Times" w:hAnsi="Times"/>
              </w:rPr>
            </w:pPr>
            <w:r w:rsidRPr="0085018D">
              <w:rPr>
                <w:b/>
                <w:bCs w:val="0"/>
              </w:rPr>
              <w:t>Incremental cost per life year gained</w:t>
            </w:r>
          </w:p>
        </w:tc>
        <w:tc>
          <w:tcPr>
            <w:tcW w:w="833" w:type="pct"/>
            <w:vAlign w:val="center"/>
          </w:tcPr>
          <w:p w14:paraId="1F74C066" w14:textId="0E5A876E" w:rsidR="001726C7" w:rsidRPr="0085018D" w:rsidRDefault="001726C7" w:rsidP="002F0CE0">
            <w:pPr>
              <w:pStyle w:val="COMTabletext"/>
              <w:jc w:val="center"/>
              <w:rPr>
                <w:rFonts w:ascii="Times" w:hAnsi="Times"/>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2</w:t>
            </w:r>
          </w:p>
        </w:tc>
      </w:tr>
      <w:tr w:rsidR="001726C7" w:rsidRPr="0085018D" w14:paraId="03D0AC6D" w14:textId="77777777" w:rsidTr="0047164D">
        <w:tc>
          <w:tcPr>
            <w:tcW w:w="5000" w:type="pct"/>
            <w:gridSpan w:val="4"/>
            <w:vAlign w:val="center"/>
          </w:tcPr>
          <w:p w14:paraId="44F84736" w14:textId="77777777" w:rsidR="001726C7" w:rsidRPr="0085018D" w:rsidRDefault="001726C7" w:rsidP="002F0CE0">
            <w:pPr>
              <w:pStyle w:val="COMTableheadingrow"/>
              <w:rPr>
                <w:lang w:val="en-AU"/>
              </w:rPr>
            </w:pPr>
            <w:r w:rsidRPr="0085018D">
              <w:rPr>
                <w:lang w:val="en-AU"/>
              </w:rPr>
              <w:t>Step 2: extrapolate to 65 years</w:t>
            </w:r>
          </w:p>
        </w:tc>
      </w:tr>
      <w:tr w:rsidR="001726C7" w:rsidRPr="0085018D" w14:paraId="6550D53B" w14:textId="77777777" w:rsidTr="0047164D">
        <w:tc>
          <w:tcPr>
            <w:tcW w:w="1543" w:type="pct"/>
            <w:vAlign w:val="center"/>
          </w:tcPr>
          <w:p w14:paraId="777381D9" w14:textId="77777777" w:rsidR="001726C7" w:rsidRPr="0085018D" w:rsidRDefault="001726C7" w:rsidP="002F0CE0">
            <w:pPr>
              <w:pStyle w:val="COMTabletext"/>
              <w:rPr>
                <w:rFonts w:ascii="Times" w:hAnsi="Times"/>
              </w:rPr>
            </w:pPr>
            <w:r w:rsidRPr="0085018D">
              <w:t>Costs</w:t>
            </w:r>
          </w:p>
        </w:tc>
        <w:tc>
          <w:tcPr>
            <w:tcW w:w="1354" w:type="pct"/>
            <w:vAlign w:val="center"/>
          </w:tcPr>
          <w:p w14:paraId="25496123" w14:textId="00510C06"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0B204692" w14:textId="7846167A"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7040141F" w14:textId="7DFE8AFC"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255FC2F4" w14:textId="77777777" w:rsidTr="0047164D">
        <w:tc>
          <w:tcPr>
            <w:tcW w:w="1543" w:type="pct"/>
            <w:vAlign w:val="center"/>
          </w:tcPr>
          <w:p w14:paraId="69112EE5" w14:textId="77777777" w:rsidR="001726C7" w:rsidRPr="0085018D" w:rsidRDefault="001726C7" w:rsidP="002F0CE0">
            <w:pPr>
              <w:pStyle w:val="COMTabletext"/>
              <w:rPr>
                <w:rFonts w:ascii="Times" w:hAnsi="Times"/>
              </w:rPr>
            </w:pPr>
            <w:r w:rsidRPr="0085018D">
              <w:t>Life years gained</w:t>
            </w:r>
          </w:p>
        </w:tc>
        <w:tc>
          <w:tcPr>
            <w:tcW w:w="1354" w:type="pct"/>
            <w:vAlign w:val="center"/>
          </w:tcPr>
          <w:p w14:paraId="5340E7B3" w14:textId="77777777" w:rsidR="001726C7" w:rsidRPr="002F0CE0" w:rsidRDefault="001726C7" w:rsidP="002F0CE0">
            <w:pPr>
              <w:pStyle w:val="COMTabletext"/>
              <w:jc w:val="center"/>
            </w:pPr>
            <w:r w:rsidRPr="002F0CE0">
              <w:t>28.80</w:t>
            </w:r>
          </w:p>
        </w:tc>
        <w:tc>
          <w:tcPr>
            <w:tcW w:w="1270" w:type="pct"/>
            <w:vAlign w:val="center"/>
          </w:tcPr>
          <w:p w14:paraId="7C059611" w14:textId="77777777" w:rsidR="001726C7" w:rsidRPr="002F0CE0" w:rsidRDefault="001726C7" w:rsidP="002F0CE0">
            <w:pPr>
              <w:pStyle w:val="COMTabletext"/>
              <w:jc w:val="center"/>
            </w:pPr>
            <w:r w:rsidRPr="002F0CE0">
              <w:t>27.32</w:t>
            </w:r>
          </w:p>
        </w:tc>
        <w:tc>
          <w:tcPr>
            <w:tcW w:w="833" w:type="pct"/>
            <w:vAlign w:val="center"/>
          </w:tcPr>
          <w:p w14:paraId="7D5AF46C" w14:textId="77777777" w:rsidR="001726C7" w:rsidRPr="002F0CE0" w:rsidRDefault="001726C7" w:rsidP="002F0CE0">
            <w:pPr>
              <w:pStyle w:val="COMTabletext"/>
              <w:jc w:val="center"/>
            </w:pPr>
            <w:r w:rsidRPr="002F0CE0">
              <w:t>1.48</w:t>
            </w:r>
          </w:p>
        </w:tc>
      </w:tr>
      <w:tr w:rsidR="001726C7" w:rsidRPr="0085018D" w14:paraId="0C3D5A13" w14:textId="77777777" w:rsidTr="0047164D">
        <w:tc>
          <w:tcPr>
            <w:tcW w:w="4167" w:type="pct"/>
            <w:gridSpan w:val="3"/>
            <w:vAlign w:val="center"/>
          </w:tcPr>
          <w:p w14:paraId="65C6DDE2" w14:textId="77777777" w:rsidR="001726C7" w:rsidRPr="0085018D" w:rsidRDefault="001726C7" w:rsidP="002F0CE0">
            <w:pPr>
              <w:pStyle w:val="COMTabletext"/>
              <w:rPr>
                <w:rFonts w:ascii="Times" w:hAnsi="Times"/>
              </w:rPr>
            </w:pPr>
            <w:r w:rsidRPr="0085018D">
              <w:rPr>
                <w:b/>
                <w:bCs w:val="0"/>
              </w:rPr>
              <w:t>Incremental cost per life year gained</w:t>
            </w:r>
          </w:p>
        </w:tc>
        <w:tc>
          <w:tcPr>
            <w:tcW w:w="833" w:type="pct"/>
            <w:vAlign w:val="center"/>
          </w:tcPr>
          <w:p w14:paraId="193B1FBD" w14:textId="6E25140D" w:rsidR="001726C7" w:rsidRPr="0085018D" w:rsidRDefault="001726C7" w:rsidP="002F0CE0">
            <w:pPr>
              <w:pStyle w:val="COMTabletext"/>
              <w:jc w:val="center"/>
              <w:rPr>
                <w:rFonts w:ascii="Times" w:hAnsi="Times"/>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3</w:t>
            </w:r>
          </w:p>
        </w:tc>
      </w:tr>
      <w:tr w:rsidR="001726C7" w:rsidRPr="0085018D" w14:paraId="4B384BA5" w14:textId="77777777" w:rsidTr="0047164D">
        <w:tc>
          <w:tcPr>
            <w:tcW w:w="5000" w:type="pct"/>
            <w:gridSpan w:val="4"/>
            <w:vAlign w:val="center"/>
          </w:tcPr>
          <w:p w14:paraId="28B53829" w14:textId="77777777" w:rsidR="001726C7" w:rsidRPr="0085018D" w:rsidRDefault="001726C7" w:rsidP="002F0CE0">
            <w:pPr>
              <w:pStyle w:val="COMTableheadingrow"/>
              <w:rPr>
                <w:lang w:val="en-AU"/>
              </w:rPr>
            </w:pPr>
            <w:r w:rsidRPr="0085018D">
              <w:rPr>
                <w:lang w:val="en-AU"/>
              </w:rPr>
              <w:t>Step 3: add utilities</w:t>
            </w:r>
          </w:p>
        </w:tc>
      </w:tr>
      <w:tr w:rsidR="001726C7" w:rsidRPr="0085018D" w14:paraId="34DFA2E6" w14:textId="77777777" w:rsidTr="0047164D">
        <w:tc>
          <w:tcPr>
            <w:tcW w:w="1543" w:type="pct"/>
            <w:vAlign w:val="center"/>
          </w:tcPr>
          <w:p w14:paraId="49BACF1C" w14:textId="77777777" w:rsidR="001726C7" w:rsidRPr="0085018D" w:rsidRDefault="001726C7" w:rsidP="002F0CE0">
            <w:pPr>
              <w:pStyle w:val="COMTabletext"/>
              <w:rPr>
                <w:rFonts w:ascii="Times" w:hAnsi="Times"/>
              </w:rPr>
            </w:pPr>
            <w:r w:rsidRPr="0085018D">
              <w:t>Costs</w:t>
            </w:r>
          </w:p>
        </w:tc>
        <w:tc>
          <w:tcPr>
            <w:tcW w:w="1354" w:type="pct"/>
            <w:vAlign w:val="center"/>
          </w:tcPr>
          <w:p w14:paraId="1EA83AAB" w14:textId="2951E359"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36DF6F43" w14:textId="6B34BD85"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34BC3F92" w14:textId="06A57BBC"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6E765555" w14:textId="77777777" w:rsidTr="0047164D">
        <w:tc>
          <w:tcPr>
            <w:tcW w:w="1543" w:type="pct"/>
            <w:vAlign w:val="center"/>
          </w:tcPr>
          <w:p w14:paraId="027929C0" w14:textId="77777777" w:rsidR="001726C7" w:rsidRPr="0085018D" w:rsidRDefault="001726C7" w:rsidP="002F0CE0">
            <w:pPr>
              <w:pStyle w:val="COMTabletext"/>
              <w:rPr>
                <w:rFonts w:ascii="Times" w:hAnsi="Times"/>
              </w:rPr>
            </w:pPr>
            <w:r w:rsidRPr="0085018D">
              <w:t>QALYs</w:t>
            </w:r>
          </w:p>
        </w:tc>
        <w:tc>
          <w:tcPr>
            <w:tcW w:w="1354" w:type="pct"/>
            <w:vAlign w:val="center"/>
          </w:tcPr>
          <w:p w14:paraId="7D435634" w14:textId="77777777" w:rsidR="001726C7" w:rsidRPr="002F0CE0" w:rsidRDefault="001726C7" w:rsidP="002F0CE0">
            <w:pPr>
              <w:pStyle w:val="COMTabletext"/>
              <w:jc w:val="center"/>
            </w:pPr>
            <w:r w:rsidRPr="002F0CE0">
              <w:t>23.84</w:t>
            </w:r>
          </w:p>
        </w:tc>
        <w:tc>
          <w:tcPr>
            <w:tcW w:w="1270" w:type="pct"/>
            <w:vAlign w:val="center"/>
          </w:tcPr>
          <w:p w14:paraId="1B4F1696" w14:textId="77777777" w:rsidR="001726C7" w:rsidRPr="002F0CE0" w:rsidRDefault="001726C7" w:rsidP="002F0CE0">
            <w:pPr>
              <w:pStyle w:val="COMTabletext"/>
              <w:jc w:val="center"/>
            </w:pPr>
            <w:r w:rsidRPr="002F0CE0">
              <w:t>22.61</w:t>
            </w:r>
          </w:p>
        </w:tc>
        <w:tc>
          <w:tcPr>
            <w:tcW w:w="833" w:type="pct"/>
            <w:vAlign w:val="center"/>
          </w:tcPr>
          <w:p w14:paraId="44222F1D" w14:textId="77777777" w:rsidR="001726C7" w:rsidRPr="002F0CE0" w:rsidRDefault="001726C7" w:rsidP="002F0CE0">
            <w:pPr>
              <w:pStyle w:val="COMTabletext"/>
              <w:jc w:val="center"/>
            </w:pPr>
            <w:r w:rsidRPr="002F0CE0">
              <w:t>1.23</w:t>
            </w:r>
          </w:p>
        </w:tc>
      </w:tr>
      <w:tr w:rsidR="001726C7" w:rsidRPr="0085018D" w14:paraId="51513189" w14:textId="77777777" w:rsidTr="0047164D">
        <w:tc>
          <w:tcPr>
            <w:tcW w:w="4167" w:type="pct"/>
            <w:gridSpan w:val="3"/>
            <w:vAlign w:val="center"/>
          </w:tcPr>
          <w:p w14:paraId="4CB48A00" w14:textId="77777777" w:rsidR="001726C7" w:rsidRPr="0085018D" w:rsidRDefault="001726C7" w:rsidP="002F0CE0">
            <w:pPr>
              <w:pStyle w:val="COMTabletext"/>
              <w:rPr>
                <w:rFonts w:ascii="Times" w:hAnsi="Times"/>
              </w:rPr>
            </w:pPr>
            <w:r w:rsidRPr="0085018D">
              <w:rPr>
                <w:b/>
              </w:rPr>
              <w:t>Incremental cost per QALY gained</w:t>
            </w:r>
          </w:p>
        </w:tc>
        <w:tc>
          <w:tcPr>
            <w:tcW w:w="833" w:type="pct"/>
            <w:vAlign w:val="center"/>
          </w:tcPr>
          <w:p w14:paraId="451F0009" w14:textId="654D49DC" w:rsidR="001726C7" w:rsidRPr="0085018D" w:rsidRDefault="001726C7" w:rsidP="002F0CE0">
            <w:pPr>
              <w:pStyle w:val="COMTabletext"/>
              <w:jc w:val="center"/>
              <w:rPr>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4</w:t>
            </w:r>
          </w:p>
        </w:tc>
      </w:tr>
      <w:tr w:rsidR="001726C7" w:rsidRPr="0085018D" w14:paraId="436EAA28" w14:textId="77777777" w:rsidTr="0047164D">
        <w:tc>
          <w:tcPr>
            <w:tcW w:w="5000" w:type="pct"/>
            <w:gridSpan w:val="4"/>
            <w:vAlign w:val="center"/>
          </w:tcPr>
          <w:p w14:paraId="32E62D90" w14:textId="77777777" w:rsidR="001726C7" w:rsidRPr="0085018D" w:rsidRDefault="001726C7" w:rsidP="002F0CE0">
            <w:pPr>
              <w:pStyle w:val="COMTableheadingrow"/>
              <w:rPr>
                <w:lang w:val="en-AU"/>
              </w:rPr>
            </w:pPr>
            <w:r w:rsidRPr="0085018D">
              <w:rPr>
                <w:lang w:val="en-AU"/>
              </w:rPr>
              <w:t>Step 4: discounting 5% to costs and outcomes</w:t>
            </w:r>
          </w:p>
        </w:tc>
      </w:tr>
      <w:tr w:rsidR="001726C7" w:rsidRPr="0085018D" w14:paraId="7615D351" w14:textId="77777777" w:rsidTr="0047164D">
        <w:tc>
          <w:tcPr>
            <w:tcW w:w="1543" w:type="pct"/>
            <w:vAlign w:val="center"/>
          </w:tcPr>
          <w:p w14:paraId="078286E5" w14:textId="77777777" w:rsidR="001726C7" w:rsidRPr="0085018D" w:rsidRDefault="001726C7" w:rsidP="002F0CE0">
            <w:pPr>
              <w:pStyle w:val="COMTabletext"/>
              <w:rPr>
                <w:rFonts w:ascii="Times" w:hAnsi="Times"/>
              </w:rPr>
            </w:pPr>
            <w:r w:rsidRPr="0085018D">
              <w:t>Costs</w:t>
            </w:r>
          </w:p>
        </w:tc>
        <w:tc>
          <w:tcPr>
            <w:tcW w:w="1354" w:type="pct"/>
            <w:vAlign w:val="center"/>
          </w:tcPr>
          <w:p w14:paraId="357DA1CF" w14:textId="2E02ECF1"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1270" w:type="pct"/>
            <w:vAlign w:val="center"/>
          </w:tcPr>
          <w:p w14:paraId="2FB558E4" w14:textId="7E2B4CED"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833" w:type="pct"/>
            <w:vAlign w:val="center"/>
          </w:tcPr>
          <w:p w14:paraId="5B2002BC" w14:textId="66B0C5E5" w:rsidR="001726C7" w:rsidRPr="0085018D" w:rsidRDefault="001726C7" w:rsidP="002F0CE0">
            <w:pPr>
              <w:pStyle w:val="COMTabletext"/>
              <w:jc w:val="center"/>
            </w:pPr>
            <w:r w:rsidRPr="0085018D">
              <w:t>$</w:t>
            </w:r>
            <w:r w:rsidR="00AC76C1" w:rsidRPr="00AC76C1">
              <w:rPr>
                <w:color w:val="000000"/>
                <w:shd w:val="solid" w:color="000000" w:fill="000000"/>
                <w14:textFill>
                  <w14:solidFill>
                    <w14:srgbClr w14:val="000000">
                      <w14:alpha w14:val="100000"/>
                    </w14:srgbClr>
                  </w14:solidFill>
                </w14:textFill>
              </w:rPr>
              <w:t>|</w:t>
            </w:r>
          </w:p>
        </w:tc>
      </w:tr>
      <w:tr w:rsidR="001726C7" w:rsidRPr="0085018D" w14:paraId="1043D1AE" w14:textId="77777777" w:rsidTr="0047164D">
        <w:tc>
          <w:tcPr>
            <w:tcW w:w="1543" w:type="pct"/>
            <w:vAlign w:val="center"/>
          </w:tcPr>
          <w:p w14:paraId="3E58AF48" w14:textId="77777777" w:rsidR="001726C7" w:rsidRPr="0085018D" w:rsidRDefault="001726C7" w:rsidP="002F0CE0">
            <w:pPr>
              <w:pStyle w:val="COMTabletext"/>
              <w:rPr>
                <w:rFonts w:ascii="Times" w:hAnsi="Times"/>
              </w:rPr>
            </w:pPr>
            <w:r w:rsidRPr="0085018D">
              <w:t>QALYs</w:t>
            </w:r>
          </w:p>
        </w:tc>
        <w:tc>
          <w:tcPr>
            <w:tcW w:w="1354" w:type="pct"/>
            <w:vAlign w:val="center"/>
          </w:tcPr>
          <w:p w14:paraId="6B492383" w14:textId="77777777" w:rsidR="001726C7" w:rsidRPr="002F0CE0" w:rsidRDefault="001726C7" w:rsidP="002F0CE0">
            <w:pPr>
              <w:pStyle w:val="COMTabletext"/>
              <w:jc w:val="center"/>
            </w:pPr>
            <w:r w:rsidRPr="002F0CE0">
              <w:t>11.66</w:t>
            </w:r>
          </w:p>
        </w:tc>
        <w:tc>
          <w:tcPr>
            <w:tcW w:w="1270" w:type="pct"/>
            <w:vAlign w:val="center"/>
          </w:tcPr>
          <w:p w14:paraId="6FE447EE" w14:textId="77777777" w:rsidR="001726C7" w:rsidRPr="002F0CE0" w:rsidRDefault="001726C7" w:rsidP="002F0CE0">
            <w:pPr>
              <w:pStyle w:val="COMTabletext"/>
              <w:jc w:val="center"/>
            </w:pPr>
            <w:r w:rsidRPr="002F0CE0">
              <w:t>11.14</w:t>
            </w:r>
          </w:p>
        </w:tc>
        <w:tc>
          <w:tcPr>
            <w:tcW w:w="833" w:type="pct"/>
            <w:vAlign w:val="center"/>
          </w:tcPr>
          <w:p w14:paraId="23A872AB" w14:textId="77777777" w:rsidR="001726C7" w:rsidRPr="002F0CE0" w:rsidRDefault="001726C7" w:rsidP="002F0CE0">
            <w:pPr>
              <w:pStyle w:val="COMTabletext"/>
              <w:jc w:val="center"/>
            </w:pPr>
            <w:r w:rsidRPr="002F0CE0">
              <w:t>0.52</w:t>
            </w:r>
          </w:p>
        </w:tc>
      </w:tr>
      <w:tr w:rsidR="001726C7" w:rsidRPr="0085018D" w14:paraId="789E6DED" w14:textId="77777777" w:rsidTr="0047164D">
        <w:tc>
          <w:tcPr>
            <w:tcW w:w="4167" w:type="pct"/>
            <w:gridSpan w:val="3"/>
            <w:vAlign w:val="center"/>
          </w:tcPr>
          <w:p w14:paraId="14CFC599" w14:textId="77777777" w:rsidR="001726C7" w:rsidRPr="0085018D" w:rsidRDefault="001726C7" w:rsidP="002F0CE0">
            <w:pPr>
              <w:pStyle w:val="COMTabletext"/>
              <w:rPr>
                <w:rFonts w:ascii="Times" w:hAnsi="Times"/>
                <w:b/>
              </w:rPr>
            </w:pPr>
            <w:r w:rsidRPr="0085018D">
              <w:rPr>
                <w:b/>
              </w:rPr>
              <w:t>Incremental cost per QALY gained (revised base case)</w:t>
            </w:r>
          </w:p>
        </w:tc>
        <w:tc>
          <w:tcPr>
            <w:tcW w:w="833" w:type="pct"/>
            <w:vAlign w:val="center"/>
          </w:tcPr>
          <w:p w14:paraId="01DC39B4" w14:textId="7E88224E" w:rsidR="001726C7" w:rsidRPr="0085018D" w:rsidRDefault="001726C7" w:rsidP="002F0CE0">
            <w:pPr>
              <w:pStyle w:val="COMTabletext"/>
              <w:jc w:val="center"/>
              <w:rPr>
                <w:rFonts w:ascii="Times" w:hAnsi="Times"/>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r w:rsidR="00B57155" w:rsidRPr="00B57155">
              <w:rPr>
                <w:vertAlign w:val="superscript"/>
              </w:rPr>
              <w:t>5</w:t>
            </w:r>
          </w:p>
        </w:tc>
      </w:tr>
    </w:tbl>
    <w:p w14:paraId="10B5DE78" w14:textId="77777777" w:rsidR="001726C7" w:rsidRPr="0085018D" w:rsidRDefault="001726C7" w:rsidP="002F0CE0">
      <w:pPr>
        <w:pStyle w:val="COMTablefooter"/>
        <w:keepNext/>
      </w:pPr>
      <w:r w:rsidRPr="0085018D">
        <w:t xml:space="preserve">Source: constructed during the evaluation using the brentuximab </w:t>
      </w:r>
      <w:proofErr w:type="spellStart"/>
      <w:r w:rsidRPr="0085018D">
        <w:t>vedotin</w:t>
      </w:r>
      <w:proofErr w:type="spellEnd"/>
      <w:r w:rsidRPr="0085018D">
        <w:t xml:space="preserve"> economic model of the submission</w:t>
      </w:r>
    </w:p>
    <w:p w14:paraId="7EC7CE54" w14:textId="2C244B55" w:rsidR="001726C7" w:rsidRDefault="001726C7" w:rsidP="002F0CE0">
      <w:pPr>
        <w:pStyle w:val="COMTablefooter"/>
        <w:keepNext/>
        <w:spacing w:after="0"/>
      </w:pPr>
      <w:r w:rsidRPr="0085018D">
        <w:t xml:space="preserve">Abbreviations: A+AVD, brentuximab </w:t>
      </w:r>
      <w:proofErr w:type="spellStart"/>
      <w:r w:rsidRPr="0085018D">
        <w:t>vedotin</w:t>
      </w:r>
      <w:proofErr w:type="spellEnd"/>
      <w:r w:rsidRPr="0085018D">
        <w:t xml:space="preserve"> plus doxorubicin, vinblastine, dacarbazine; ABVD, doxorubicin, bleomycin, vinblastine, and dacarbazine; QALY, quality adjusted life year</w:t>
      </w:r>
    </w:p>
    <w:p w14:paraId="686E8B08" w14:textId="77777777" w:rsidR="00352C8D" w:rsidRPr="009A6D58" w:rsidRDefault="00352C8D" w:rsidP="002F0CE0">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C2F3BF6" w14:textId="77777777" w:rsidR="00B57155" w:rsidRDefault="00352C8D" w:rsidP="002F0CE0">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B57155" w:rsidRPr="00B57155">
        <w:rPr>
          <w:rFonts w:ascii="Arial Narrow" w:hAnsi="Arial Narrow"/>
          <w:i/>
          <w:sz w:val="18"/>
          <w:szCs w:val="18"/>
        </w:rPr>
        <w:t>$155,000 to &lt; $255,000</w:t>
      </w:r>
    </w:p>
    <w:p w14:paraId="5A9D54B2" w14:textId="4049F4B9" w:rsidR="00352C8D" w:rsidRPr="009A6D58" w:rsidRDefault="00352C8D" w:rsidP="002F0CE0">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57155" w:rsidRPr="00B57155">
        <w:rPr>
          <w:rFonts w:ascii="Arial Narrow" w:hAnsi="Arial Narrow"/>
          <w:i/>
          <w:sz w:val="18"/>
          <w:szCs w:val="18"/>
        </w:rPr>
        <w:t>$95,000 to &lt; $115,000</w:t>
      </w:r>
    </w:p>
    <w:p w14:paraId="60C724BA" w14:textId="7702391A" w:rsidR="00352C8D" w:rsidRDefault="00352C8D" w:rsidP="002F0CE0">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57155" w:rsidRPr="00B57155">
        <w:rPr>
          <w:rFonts w:ascii="Arial Narrow" w:hAnsi="Arial Narrow"/>
          <w:i/>
          <w:sz w:val="18"/>
          <w:szCs w:val="18"/>
        </w:rPr>
        <w:t>$5,000 to &lt; $15,000</w:t>
      </w:r>
    </w:p>
    <w:p w14:paraId="73C0FA50" w14:textId="77777777" w:rsidR="0041772E" w:rsidRDefault="00352C8D" w:rsidP="003A272F">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B57155" w:rsidRPr="00B57155">
        <w:rPr>
          <w:rFonts w:ascii="Arial Narrow" w:hAnsi="Arial Narrow"/>
          <w:i/>
          <w:sz w:val="18"/>
          <w:szCs w:val="18"/>
        </w:rPr>
        <w:t>$15,000 to &lt; $25,000</w:t>
      </w:r>
    </w:p>
    <w:p w14:paraId="40348DA2" w14:textId="359F142D" w:rsidR="0041772E" w:rsidRDefault="00352C8D" w:rsidP="003A272F">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B57155" w:rsidRPr="00B57155">
        <w:rPr>
          <w:rFonts w:ascii="Arial Narrow" w:hAnsi="Arial Narrow"/>
          <w:i/>
          <w:sz w:val="18"/>
          <w:szCs w:val="18"/>
        </w:rPr>
        <w:t>$45,000 to &lt; $55,000</w:t>
      </w:r>
    </w:p>
    <w:p w14:paraId="74731D21" w14:textId="4E2594DF" w:rsidR="005A373D" w:rsidRPr="0085018D" w:rsidRDefault="001726C7" w:rsidP="0041772E">
      <w:pPr>
        <w:pStyle w:val="COMexecsumnumberedpara"/>
      </w:pPr>
      <w:r w:rsidRPr="0085018D">
        <w:t xml:space="preserve">Based on the economic model, treatment with A+AVD was associated with an incremental cost per QALY gained of </w:t>
      </w:r>
      <w:r w:rsidR="00D16E23" w:rsidRPr="00D16E23">
        <w:t>$45,000 to &lt; $55,000</w:t>
      </w:r>
      <w:r w:rsidRPr="0085018D">
        <w:t xml:space="preserve"> compared to ABVD.</w:t>
      </w:r>
      <w:r w:rsidR="006D597E" w:rsidRPr="0085018D">
        <w:t xml:space="preserve"> </w:t>
      </w:r>
      <w:r w:rsidR="00187644" w:rsidRPr="0085018D">
        <w:t xml:space="preserve">The PSCR provided a revised economic model that corrected for the errors identified by the evaluation (see paragraph </w:t>
      </w:r>
      <w:r w:rsidR="00187644" w:rsidRPr="0085018D">
        <w:fldChar w:fldCharType="begin"/>
      </w:r>
      <w:r w:rsidR="00187644" w:rsidRPr="0085018D">
        <w:instrText xml:space="preserve"> REF _Ref155598276 \r \h </w:instrText>
      </w:r>
      <w:r w:rsidR="00DE626F" w:rsidRPr="0085018D">
        <w:instrText xml:space="preserve"> \* MERGEFORMAT </w:instrText>
      </w:r>
      <w:r w:rsidR="00187644" w:rsidRPr="0085018D">
        <w:fldChar w:fldCharType="separate"/>
      </w:r>
      <w:r w:rsidR="00EE192C">
        <w:t>6.72</w:t>
      </w:r>
      <w:r w:rsidR="00187644" w:rsidRPr="0085018D">
        <w:fldChar w:fldCharType="end"/>
      </w:r>
      <w:r w:rsidR="00187644" w:rsidRPr="0085018D">
        <w:t xml:space="preserve">) and produced the same </w:t>
      </w:r>
      <w:r w:rsidR="000A220D" w:rsidRPr="000A220D">
        <w:t xml:space="preserve">incremental cost-effectiveness ratio </w:t>
      </w:r>
      <w:r w:rsidR="000A220D">
        <w:t>(</w:t>
      </w:r>
      <w:r w:rsidR="00187644" w:rsidRPr="0085018D">
        <w:t>ICER</w:t>
      </w:r>
      <w:r w:rsidR="000A220D">
        <w:t>)</w:t>
      </w:r>
      <w:r w:rsidR="00187644" w:rsidRPr="0085018D">
        <w:t xml:space="preserve"> as the revised base case.</w:t>
      </w:r>
      <w:r w:rsidR="00187644" w:rsidRPr="003A272F">
        <w:t xml:space="preserve"> </w:t>
      </w:r>
    </w:p>
    <w:p w14:paraId="70A4D1CF" w14:textId="3FE7D8C0" w:rsidR="001726C7" w:rsidRPr="0085018D" w:rsidRDefault="001726C7" w:rsidP="00BB732D">
      <w:pPr>
        <w:pStyle w:val="COMexecsumnumberedpara"/>
      </w:pPr>
      <w:r w:rsidRPr="0085018D">
        <w:t>The inclusion of costs of subsequent therapies and extrapolation of survival benefits to 65 years had the largest impacts on the economic analysis. In the model, 73% of incremental QALYs were accrued in the extrapolated period beyond 8.1 years. The incremental cost reduced by 3% during the extrapolated period due to higher post-progression monitoring and follow-up costs in the comparator arm of the model.</w:t>
      </w:r>
      <w:r w:rsidR="00670FBC" w:rsidRPr="0085018D">
        <w:t xml:space="preserve"> </w:t>
      </w:r>
    </w:p>
    <w:p w14:paraId="5361B9AB" w14:textId="77777777" w:rsidR="001726C7" w:rsidRPr="0085018D" w:rsidRDefault="001726C7" w:rsidP="001726C7">
      <w:pPr>
        <w:pStyle w:val="COMexecsumnumberedpara"/>
      </w:pPr>
      <w:r w:rsidRPr="0085018D">
        <w:t>For every patient treated with A+AVD versus ABVD and followed up for 65 years, the economic model (without discounting) estimated that there would be:</w:t>
      </w:r>
    </w:p>
    <w:p w14:paraId="671CBACC" w14:textId="25283E25" w:rsidR="001726C7" w:rsidRPr="0085018D" w:rsidRDefault="001726C7" w:rsidP="000629E9">
      <w:pPr>
        <w:pStyle w:val="COMexecsummbulletlist"/>
        <w:ind w:left="1134"/>
      </w:pPr>
      <w:r w:rsidRPr="0085018D">
        <w:t>Additional treatment costs (drug acquisition, supportive therapies, administration) of $</w:t>
      </w:r>
      <w:proofErr w:type="gramStart"/>
      <w:r w:rsidR="00AC76C1" w:rsidRPr="00A45ED5">
        <w:rPr>
          <w:color w:val="000000"/>
          <w:w w:val="15"/>
          <w:shd w:val="solid" w:color="000000" w:fill="000000"/>
          <w:fitText w:val="-20" w:id="-961819388"/>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388"/>
          <w14:textFill>
            <w14:solidFill>
              <w14:srgbClr w14:val="000000">
                <w14:alpha w14:val="100000"/>
              </w14:srgbClr>
            </w14:solidFill>
          </w14:textFill>
        </w:rPr>
        <w:t>|</w:t>
      </w:r>
      <w:proofErr w:type="gramEnd"/>
      <w:r w:rsidR="00AC76C1" w:rsidRPr="00AC76C1">
        <w:t xml:space="preserve"> </w:t>
      </w:r>
      <w:r w:rsidRPr="0085018D">
        <w:t xml:space="preserve">and additional adverse event management costs of </w:t>
      </w:r>
      <w:r w:rsidRPr="003A272F">
        <w:t>$1,559.</w:t>
      </w:r>
    </w:p>
    <w:p w14:paraId="5437109B" w14:textId="0AAAC503" w:rsidR="001726C7" w:rsidRPr="0085018D" w:rsidRDefault="001726C7" w:rsidP="000629E9">
      <w:pPr>
        <w:pStyle w:val="COMexecsummbulletlist"/>
        <w:ind w:left="1134"/>
      </w:pPr>
      <w:r w:rsidRPr="0085018D">
        <w:t>Reduced costs of subsequent therapies of $</w:t>
      </w:r>
      <w:proofErr w:type="gramStart"/>
      <w:r w:rsidR="00AC76C1" w:rsidRPr="00A45ED5">
        <w:rPr>
          <w:color w:val="000000"/>
          <w:w w:val="15"/>
          <w:shd w:val="solid" w:color="000000" w:fill="000000"/>
          <w:fitText w:val="-20" w:id="-961819387"/>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387"/>
          <w14:textFill>
            <w14:solidFill>
              <w14:srgbClr w14:val="000000">
                <w14:alpha w14:val="100000"/>
              </w14:srgbClr>
            </w14:solidFill>
          </w14:textFill>
        </w:rPr>
        <w:t>|</w:t>
      </w:r>
      <w:proofErr w:type="gramEnd"/>
      <w:r w:rsidR="00AC76C1" w:rsidRPr="00AC76C1">
        <w:t xml:space="preserve"> </w:t>
      </w:r>
      <w:r w:rsidRPr="0085018D">
        <w:t xml:space="preserve">and reduced monitoring and follow-up costs of </w:t>
      </w:r>
      <w:r w:rsidRPr="003A272F">
        <w:t>$3,198.</w:t>
      </w:r>
    </w:p>
    <w:p w14:paraId="5F84E4BF" w14:textId="77777777" w:rsidR="001726C7" w:rsidRPr="0085018D" w:rsidRDefault="001726C7" w:rsidP="000629E9">
      <w:pPr>
        <w:pStyle w:val="COMexecsummbulletlist"/>
        <w:ind w:left="1134"/>
      </w:pPr>
      <w:r w:rsidRPr="0085018D">
        <w:t>An additional 1.48 years of life lived and an additional 1.23 quality-adjusted life years.</w:t>
      </w:r>
    </w:p>
    <w:p w14:paraId="08485672" w14:textId="77777777" w:rsidR="001726C7" w:rsidRPr="0085018D" w:rsidRDefault="001726C7" w:rsidP="000629E9">
      <w:pPr>
        <w:pStyle w:val="COMexecsummbulletlist"/>
        <w:ind w:left="1134"/>
        <w:rPr>
          <w:i/>
          <w:iCs/>
        </w:rPr>
      </w:pPr>
      <w:r w:rsidRPr="0085018D">
        <w:t>No difference in long-term treatment- or disease-related complications</w:t>
      </w:r>
      <w:r w:rsidRPr="0085018D">
        <w:rPr>
          <w:i/>
          <w:iCs/>
        </w:rPr>
        <w:t>.</w:t>
      </w:r>
    </w:p>
    <w:p w14:paraId="1BAC1159" w14:textId="479B3D9E" w:rsidR="00A86E8B" w:rsidRPr="0085018D" w:rsidRDefault="00AD72C2" w:rsidP="00BB732D">
      <w:pPr>
        <w:pStyle w:val="COMexecsumnumberedpara"/>
      </w:pPr>
      <w:r w:rsidRPr="0085018D">
        <w:t xml:space="preserve">The submission presented results of sensitivity analyses based on PET-adapted ABVD as the comparator arm in the base case. During the evaluation, sensitivity analyses were conducted with ABVD as the comparator in </w:t>
      </w:r>
      <w:r w:rsidR="00E92774" w:rsidRPr="0085018D">
        <w:t>the</w:t>
      </w:r>
      <w:r w:rsidRPr="0085018D">
        <w:t xml:space="preserve"> revised base case</w:t>
      </w:r>
      <w:r w:rsidR="007907CB" w:rsidRPr="0085018D">
        <w:t xml:space="preserve"> (summarised in </w:t>
      </w:r>
      <w:r w:rsidR="008D5EEA" w:rsidRPr="0085018D">
        <w:fldChar w:fldCharType="begin"/>
      </w:r>
      <w:r w:rsidR="008D5EEA" w:rsidRPr="0085018D">
        <w:instrText xml:space="preserve"> REF _Ref104804865 \h  \* MERGEFORMAT </w:instrText>
      </w:r>
      <w:r w:rsidR="008D5EEA" w:rsidRPr="0085018D">
        <w:fldChar w:fldCharType="separate"/>
      </w:r>
      <w:r w:rsidR="008D5EEA" w:rsidRPr="0085018D">
        <w:t xml:space="preserve">Table </w:t>
      </w:r>
      <w:r w:rsidR="008D5EEA" w:rsidRPr="00B23B25">
        <w:t>10</w:t>
      </w:r>
      <w:r w:rsidR="008D5EEA" w:rsidRPr="0085018D">
        <w:fldChar w:fldCharType="end"/>
      </w:r>
      <w:r w:rsidR="007907CB" w:rsidRPr="0085018D">
        <w:t>)</w:t>
      </w:r>
      <w:r w:rsidRPr="0085018D">
        <w:t>. The analyses include corrections to multiple errors identified in the submission’s model (see</w:t>
      </w:r>
      <w:r w:rsidR="002C3402" w:rsidRPr="0085018D">
        <w:t xml:space="preserve"> </w:t>
      </w:r>
      <w:r w:rsidR="005613DD" w:rsidRPr="0085018D">
        <w:t>para</w:t>
      </w:r>
      <w:r w:rsidR="00041553" w:rsidRPr="0085018D">
        <w:t>graphs</w:t>
      </w:r>
      <w:r w:rsidR="005613DD" w:rsidRPr="0085018D">
        <w:t xml:space="preserve"> </w:t>
      </w:r>
      <w:r w:rsidR="002C3402" w:rsidRPr="0085018D">
        <w:fldChar w:fldCharType="begin"/>
      </w:r>
      <w:r w:rsidR="002C3402" w:rsidRPr="0085018D">
        <w:instrText xml:space="preserve"> REF _Ref155598276 \r \h </w:instrText>
      </w:r>
      <w:r w:rsidR="00A27E0D" w:rsidRPr="0085018D">
        <w:instrText xml:space="preserve"> \* MERGEFORMAT </w:instrText>
      </w:r>
      <w:r w:rsidR="002C3402" w:rsidRPr="0085018D">
        <w:fldChar w:fldCharType="separate"/>
      </w:r>
      <w:r w:rsidR="00EE192C">
        <w:t>6.72</w:t>
      </w:r>
      <w:r w:rsidR="002C3402" w:rsidRPr="0085018D">
        <w:fldChar w:fldCharType="end"/>
      </w:r>
      <w:r w:rsidR="005613DD" w:rsidRPr="0085018D">
        <w:t xml:space="preserve"> and </w:t>
      </w:r>
      <w:r w:rsidR="002C3402" w:rsidRPr="0085018D">
        <w:fldChar w:fldCharType="begin"/>
      </w:r>
      <w:r w:rsidR="002C3402" w:rsidRPr="0085018D">
        <w:instrText xml:space="preserve"> REF _Ref155598279 \r \h </w:instrText>
      </w:r>
      <w:r w:rsidR="00A27E0D" w:rsidRPr="0085018D">
        <w:instrText xml:space="preserve"> \* MERGEFORMAT </w:instrText>
      </w:r>
      <w:r w:rsidR="002C3402" w:rsidRPr="0085018D">
        <w:fldChar w:fldCharType="separate"/>
      </w:r>
      <w:r w:rsidR="00EE192C">
        <w:t>6.73</w:t>
      </w:r>
      <w:r w:rsidR="002C3402" w:rsidRPr="0085018D">
        <w:fldChar w:fldCharType="end"/>
      </w:r>
      <w:r w:rsidR="005613DD" w:rsidRPr="0085018D">
        <w:t xml:space="preserve"> above</w:t>
      </w:r>
      <w:r w:rsidRPr="0085018D">
        <w:t xml:space="preserve">). </w:t>
      </w:r>
    </w:p>
    <w:p w14:paraId="3A64F4E7" w14:textId="022F7296" w:rsidR="00D23D11" w:rsidRPr="0085018D" w:rsidRDefault="00E16AD8" w:rsidP="00FD4ED6">
      <w:pPr>
        <w:pStyle w:val="COMtablefigcaption"/>
      </w:pPr>
      <w:bookmarkStart w:id="48" w:name="_Ref104804865"/>
      <w:r w:rsidRPr="0085018D">
        <w:t xml:space="preserve">Table </w:t>
      </w:r>
      <w:fldSimple w:instr=" SEQ Table \* ARABIC ">
        <w:r w:rsidR="001F14E4" w:rsidRPr="00B23B25">
          <w:t>10</w:t>
        </w:r>
      </w:fldSimple>
      <w:bookmarkEnd w:id="48"/>
      <w:r w:rsidRPr="0085018D">
        <w:t>:</w:t>
      </w:r>
      <w:r w:rsidR="00354F64" w:rsidRPr="0085018D">
        <w:t xml:space="preserve"> </w:t>
      </w:r>
      <w:r w:rsidR="00D15314" w:rsidRPr="0085018D">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Sensitivity analyses"/>
      </w:tblPr>
      <w:tblGrid>
        <w:gridCol w:w="3845"/>
        <w:gridCol w:w="1329"/>
        <w:gridCol w:w="1253"/>
        <w:gridCol w:w="1295"/>
        <w:gridCol w:w="1295"/>
      </w:tblGrid>
      <w:tr w:rsidR="007907CB" w:rsidRPr="0085018D" w14:paraId="5F66938C" w14:textId="77777777" w:rsidTr="001A3E3F">
        <w:trPr>
          <w:cantSplit/>
          <w:tblHeader/>
        </w:trPr>
        <w:tc>
          <w:tcPr>
            <w:tcW w:w="2132" w:type="pct"/>
            <w:vAlign w:val="center"/>
          </w:tcPr>
          <w:p w14:paraId="686BA9C4" w14:textId="77777777" w:rsidR="007907CB" w:rsidRPr="0085018D" w:rsidRDefault="007907CB" w:rsidP="001A3E3F">
            <w:pPr>
              <w:pStyle w:val="COMTableheadingrow"/>
              <w:keepNext w:val="0"/>
              <w:rPr>
                <w:lang w:val="en-AU"/>
              </w:rPr>
            </w:pPr>
            <w:r w:rsidRPr="0085018D">
              <w:rPr>
                <w:lang w:val="en-AU"/>
              </w:rPr>
              <w:t>Analysis</w:t>
            </w:r>
          </w:p>
        </w:tc>
        <w:tc>
          <w:tcPr>
            <w:tcW w:w="737" w:type="pct"/>
            <w:vAlign w:val="center"/>
          </w:tcPr>
          <w:p w14:paraId="055CBD4B" w14:textId="77777777" w:rsidR="007907CB" w:rsidRPr="0085018D" w:rsidRDefault="007907CB" w:rsidP="001A3E3F">
            <w:pPr>
              <w:pStyle w:val="COMTableheadingrow"/>
              <w:keepNext w:val="0"/>
              <w:jc w:val="center"/>
              <w:rPr>
                <w:lang w:val="en-AU"/>
              </w:rPr>
            </w:pPr>
            <w:r w:rsidRPr="0085018D">
              <w:rPr>
                <w:lang w:val="en-AU"/>
              </w:rPr>
              <w:t>Incremental cost</w:t>
            </w:r>
          </w:p>
        </w:tc>
        <w:tc>
          <w:tcPr>
            <w:tcW w:w="695" w:type="pct"/>
            <w:vAlign w:val="center"/>
          </w:tcPr>
          <w:p w14:paraId="51D687BD" w14:textId="77777777" w:rsidR="007907CB" w:rsidRPr="0085018D" w:rsidRDefault="007907CB" w:rsidP="001A3E3F">
            <w:pPr>
              <w:pStyle w:val="COMTableheadingrow"/>
              <w:keepNext w:val="0"/>
              <w:jc w:val="center"/>
              <w:rPr>
                <w:lang w:val="en-AU"/>
              </w:rPr>
            </w:pPr>
            <w:r w:rsidRPr="0085018D">
              <w:rPr>
                <w:lang w:val="en-AU"/>
              </w:rPr>
              <w:t>Incremental QALY</w:t>
            </w:r>
          </w:p>
        </w:tc>
        <w:tc>
          <w:tcPr>
            <w:tcW w:w="718" w:type="pct"/>
            <w:vAlign w:val="center"/>
          </w:tcPr>
          <w:p w14:paraId="2E223EEB" w14:textId="77777777" w:rsidR="007907CB" w:rsidRPr="0085018D" w:rsidRDefault="007907CB" w:rsidP="001A3E3F">
            <w:pPr>
              <w:pStyle w:val="COMTableheadingrow"/>
              <w:keepNext w:val="0"/>
              <w:jc w:val="center"/>
              <w:rPr>
                <w:lang w:val="en-AU"/>
              </w:rPr>
            </w:pPr>
            <w:r w:rsidRPr="0085018D">
              <w:rPr>
                <w:lang w:val="en-AU"/>
              </w:rPr>
              <w:t>ICER</w:t>
            </w:r>
          </w:p>
        </w:tc>
        <w:tc>
          <w:tcPr>
            <w:tcW w:w="718" w:type="pct"/>
            <w:vAlign w:val="center"/>
          </w:tcPr>
          <w:p w14:paraId="72D48E5E" w14:textId="77777777" w:rsidR="007907CB" w:rsidRPr="0085018D" w:rsidRDefault="007907CB" w:rsidP="001A3E3F">
            <w:pPr>
              <w:pStyle w:val="COMTableheadingrow"/>
              <w:keepNext w:val="0"/>
              <w:jc w:val="center"/>
              <w:rPr>
                <w:lang w:val="en-AU"/>
              </w:rPr>
            </w:pPr>
            <w:r w:rsidRPr="0085018D">
              <w:rPr>
                <w:lang w:val="en-AU"/>
              </w:rPr>
              <w:t>% change</w:t>
            </w:r>
          </w:p>
        </w:tc>
      </w:tr>
      <w:tr w:rsidR="007907CB" w:rsidRPr="0085018D" w14:paraId="0E6EEA0F" w14:textId="77777777" w:rsidTr="001A3E3F">
        <w:trPr>
          <w:cantSplit/>
        </w:trPr>
        <w:tc>
          <w:tcPr>
            <w:tcW w:w="2132" w:type="pct"/>
            <w:vAlign w:val="center"/>
          </w:tcPr>
          <w:p w14:paraId="7D37552C" w14:textId="77777777" w:rsidR="007907CB" w:rsidRPr="0085018D" w:rsidRDefault="007907CB" w:rsidP="001A3E3F">
            <w:pPr>
              <w:pStyle w:val="COMTabletext"/>
              <w:keepNext w:val="0"/>
              <w:rPr>
                <w:b/>
                <w:bCs w:val="0"/>
              </w:rPr>
            </w:pPr>
            <w:r w:rsidRPr="0085018D">
              <w:rPr>
                <w:b/>
                <w:bCs w:val="0"/>
              </w:rPr>
              <w:t>Revised base case</w:t>
            </w:r>
          </w:p>
        </w:tc>
        <w:tc>
          <w:tcPr>
            <w:tcW w:w="737" w:type="pct"/>
            <w:vAlign w:val="center"/>
          </w:tcPr>
          <w:p w14:paraId="4ECB67BA" w14:textId="3B51E6D3" w:rsidR="007907CB" w:rsidRPr="0085018D" w:rsidRDefault="007907CB" w:rsidP="001A3E3F">
            <w:pPr>
              <w:pStyle w:val="COMTabletext"/>
              <w:keepNext w:val="0"/>
              <w:jc w:val="center"/>
              <w:rPr>
                <w:b/>
                <w:bCs w:val="0"/>
              </w:rPr>
            </w:pPr>
            <w:r w:rsidRPr="0085018D">
              <w:rPr>
                <w:b/>
                <w:bCs w:val="0"/>
              </w:rPr>
              <w:t>$</w:t>
            </w:r>
            <w:r w:rsidR="00AC76C1" w:rsidRPr="00AC76C1">
              <w:rPr>
                <w:b/>
                <w:bCs w:val="0"/>
                <w:color w:val="000000"/>
                <w:shd w:val="solid" w:color="000000" w:fill="000000"/>
                <w14:textFill>
                  <w14:solidFill>
                    <w14:srgbClr w14:val="000000">
                      <w14:alpha w14:val="100000"/>
                    </w14:srgbClr>
                  </w14:solidFill>
                </w14:textFill>
              </w:rPr>
              <w:t>|</w:t>
            </w:r>
          </w:p>
        </w:tc>
        <w:tc>
          <w:tcPr>
            <w:tcW w:w="695" w:type="pct"/>
            <w:vAlign w:val="center"/>
          </w:tcPr>
          <w:p w14:paraId="6C573664" w14:textId="77777777" w:rsidR="007907CB" w:rsidRPr="0085018D" w:rsidRDefault="007907CB" w:rsidP="001A3E3F">
            <w:pPr>
              <w:pStyle w:val="COMTabletext"/>
              <w:keepNext w:val="0"/>
              <w:jc w:val="center"/>
              <w:rPr>
                <w:b/>
                <w:bCs w:val="0"/>
              </w:rPr>
            </w:pPr>
            <w:r w:rsidRPr="0085018D">
              <w:rPr>
                <w:b/>
                <w:bCs w:val="0"/>
              </w:rPr>
              <w:t>0.52</w:t>
            </w:r>
          </w:p>
        </w:tc>
        <w:tc>
          <w:tcPr>
            <w:tcW w:w="718" w:type="pct"/>
            <w:vAlign w:val="center"/>
          </w:tcPr>
          <w:p w14:paraId="68CE82C7" w14:textId="3065AD46" w:rsidR="007907CB" w:rsidRPr="0085018D" w:rsidRDefault="007907CB" w:rsidP="001A3E3F">
            <w:pPr>
              <w:pStyle w:val="COMTabletext"/>
              <w:keepNext w:val="0"/>
              <w:jc w:val="center"/>
              <w:rPr>
                <w:b/>
                <w:bCs w:val="0"/>
              </w:rPr>
            </w:pPr>
            <w:r w:rsidRPr="0085018D">
              <w:rPr>
                <w:b/>
                <w:bCs w:val="0"/>
              </w:rPr>
              <w:t>$</w:t>
            </w:r>
            <w:r w:rsidR="00AC76C1" w:rsidRPr="00AC76C1">
              <w:rPr>
                <w:rFonts w:hint="eastAsia"/>
                <w:b/>
                <w:bCs w:val="0"/>
                <w:color w:val="000000"/>
                <w:w w:val="15"/>
                <w:shd w:val="solid" w:color="000000" w:fill="000000"/>
                <w:fitText w:val="50" w:id="-961819386"/>
                <w14:textFill>
                  <w14:solidFill>
                    <w14:srgbClr w14:val="000000">
                      <w14:alpha w14:val="100000"/>
                    </w14:srgbClr>
                  </w14:solidFill>
                </w14:textFill>
              </w:rPr>
              <w:t xml:space="preserve">　</w:t>
            </w:r>
            <w:r w:rsidR="00AC76C1" w:rsidRPr="00AC76C1">
              <w:rPr>
                <w:b/>
                <w:bCs w:val="0"/>
                <w:color w:val="000000"/>
                <w:w w:val="15"/>
                <w:shd w:val="solid" w:color="000000" w:fill="000000"/>
                <w:fitText w:val="50" w:id="-961819386"/>
                <w14:textFill>
                  <w14:solidFill>
                    <w14:srgbClr w14:val="000000">
                      <w14:alpha w14:val="100000"/>
                    </w14:srgbClr>
                  </w14:solidFill>
                </w14:textFill>
              </w:rPr>
              <w:t>|</w:t>
            </w:r>
            <w:r w:rsidR="00AC76C1" w:rsidRPr="00AC76C1">
              <w:rPr>
                <w:rFonts w:hint="eastAsia"/>
                <w:b/>
                <w:bCs w:val="0"/>
                <w:color w:val="000000"/>
                <w:spacing w:val="-16"/>
                <w:w w:val="15"/>
                <w:shd w:val="solid" w:color="000000" w:fill="000000"/>
                <w:fitText w:val="50" w:id="-961819386"/>
                <w14:textFill>
                  <w14:solidFill>
                    <w14:srgbClr w14:val="000000">
                      <w14:alpha w14:val="100000"/>
                    </w14:srgbClr>
                  </w14:solidFill>
                </w14:textFill>
              </w:rPr>
              <w:t xml:space="preserve">　</w:t>
            </w:r>
            <w:r w:rsidR="000629E9" w:rsidRPr="000629E9">
              <w:rPr>
                <w:vertAlign w:val="superscript"/>
              </w:rPr>
              <w:t>1</w:t>
            </w:r>
          </w:p>
        </w:tc>
        <w:tc>
          <w:tcPr>
            <w:tcW w:w="718" w:type="pct"/>
          </w:tcPr>
          <w:p w14:paraId="557BEE39" w14:textId="77777777" w:rsidR="007907CB" w:rsidRPr="0085018D" w:rsidRDefault="007907CB" w:rsidP="001A3E3F">
            <w:pPr>
              <w:pStyle w:val="COMTabletext"/>
              <w:keepNext w:val="0"/>
              <w:jc w:val="center"/>
              <w:rPr>
                <w:b/>
                <w:bCs w:val="0"/>
              </w:rPr>
            </w:pPr>
            <w:r w:rsidRPr="0085018D">
              <w:rPr>
                <w:b/>
                <w:bCs w:val="0"/>
              </w:rPr>
              <w:t>-</w:t>
            </w:r>
          </w:p>
        </w:tc>
      </w:tr>
      <w:tr w:rsidR="007907CB" w:rsidRPr="0085018D" w14:paraId="3501E9C8" w14:textId="77777777" w:rsidTr="001C1CE0">
        <w:trPr>
          <w:cantSplit/>
        </w:trPr>
        <w:tc>
          <w:tcPr>
            <w:tcW w:w="2132" w:type="pct"/>
            <w:vAlign w:val="center"/>
          </w:tcPr>
          <w:p w14:paraId="501603C3" w14:textId="0CF2AFB3" w:rsidR="007907CB" w:rsidRPr="0085018D" w:rsidRDefault="007907CB" w:rsidP="001A3E3F">
            <w:pPr>
              <w:pStyle w:val="COMTabletext"/>
              <w:keepNext w:val="0"/>
            </w:pPr>
            <w:r w:rsidRPr="0085018D">
              <w:t>Submission’s base case</w:t>
            </w:r>
            <w:r w:rsidR="0012054B" w:rsidRPr="0085018D">
              <w:t xml:space="preserve"> (PET-adapted ABVD</w:t>
            </w:r>
            <w:r w:rsidR="00793861" w:rsidRPr="0085018D">
              <w:t xml:space="preserve"> </w:t>
            </w:r>
            <w:r w:rsidR="00793861" w:rsidRPr="0085018D">
              <w:rPr>
                <w:vertAlign w:val="superscript"/>
              </w:rPr>
              <w:t>a</w:t>
            </w:r>
            <w:r w:rsidR="0012054B" w:rsidRPr="0085018D">
              <w:t xml:space="preserve"> as</w:t>
            </w:r>
            <w:r w:rsidR="00793861" w:rsidRPr="0085018D">
              <w:t xml:space="preserve"> the </w:t>
            </w:r>
            <w:r w:rsidR="0012054B" w:rsidRPr="0085018D">
              <w:t xml:space="preserve">comparator without </w:t>
            </w:r>
            <w:r w:rsidR="001C1CE0" w:rsidRPr="0085018D">
              <w:t>corrections for errors)</w:t>
            </w:r>
          </w:p>
        </w:tc>
        <w:tc>
          <w:tcPr>
            <w:tcW w:w="737" w:type="pct"/>
            <w:vAlign w:val="center"/>
          </w:tcPr>
          <w:p w14:paraId="779B2029" w14:textId="49868573" w:rsidR="007907CB" w:rsidRPr="0085018D" w:rsidRDefault="007907CB" w:rsidP="001C1CE0">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152DBA4F" w14:textId="77777777" w:rsidR="007907CB" w:rsidRPr="0085018D" w:rsidRDefault="007907CB" w:rsidP="001C1CE0">
            <w:pPr>
              <w:pStyle w:val="COMTabletext"/>
              <w:keepNext w:val="0"/>
              <w:jc w:val="center"/>
            </w:pPr>
            <w:r w:rsidRPr="0085018D">
              <w:t>0.50</w:t>
            </w:r>
          </w:p>
        </w:tc>
        <w:tc>
          <w:tcPr>
            <w:tcW w:w="718" w:type="pct"/>
            <w:vAlign w:val="center"/>
          </w:tcPr>
          <w:p w14:paraId="16513474" w14:textId="0DE1DA67" w:rsidR="007907CB" w:rsidRPr="0085018D" w:rsidRDefault="007907CB" w:rsidP="001C1CE0">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0629E9" w:rsidRPr="000629E9">
              <w:rPr>
                <w:vertAlign w:val="superscript"/>
              </w:rPr>
              <w:t>1</w:t>
            </w:r>
          </w:p>
        </w:tc>
        <w:tc>
          <w:tcPr>
            <w:tcW w:w="718" w:type="pct"/>
            <w:vAlign w:val="center"/>
          </w:tcPr>
          <w:p w14:paraId="4456121E" w14:textId="35DB5908" w:rsidR="007907CB" w:rsidRPr="0085018D" w:rsidRDefault="007907CB" w:rsidP="001C1CE0">
            <w:pPr>
              <w:pStyle w:val="COMTabletext"/>
              <w:keepNext w:val="0"/>
              <w:jc w:val="center"/>
            </w:pPr>
            <w:r w:rsidRPr="0085018D">
              <w:t>+</w:t>
            </w:r>
            <w:r w:rsidR="00AC76C1" w:rsidRPr="00AC76C1">
              <w:rPr>
                <w:rFonts w:hint="eastAsia"/>
                <w:color w:val="000000"/>
                <w:w w:val="15"/>
                <w:shd w:val="solid" w:color="000000" w:fill="000000"/>
                <w:fitText w:val="50" w:id="-961819385"/>
                <w14:textFill>
                  <w14:solidFill>
                    <w14:srgbClr w14:val="000000">
                      <w14:alpha w14:val="100000"/>
                    </w14:srgbClr>
                  </w14:solidFill>
                </w14:textFill>
              </w:rPr>
              <w:t xml:space="preserve">　</w:t>
            </w:r>
            <w:r w:rsidR="00AC76C1" w:rsidRPr="00AC76C1">
              <w:rPr>
                <w:color w:val="000000"/>
                <w:w w:val="15"/>
                <w:shd w:val="solid" w:color="000000" w:fill="000000"/>
                <w:fitText w:val="50" w:id="-961819385"/>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385"/>
                <w14:textFill>
                  <w14:solidFill>
                    <w14:srgbClr w14:val="000000">
                      <w14:alpha w14:val="100000"/>
                    </w14:srgbClr>
                  </w14:solidFill>
                </w14:textFill>
              </w:rPr>
              <w:t xml:space="preserve">　</w:t>
            </w:r>
            <w:r w:rsidRPr="0085018D">
              <w:t>%</w:t>
            </w:r>
          </w:p>
        </w:tc>
      </w:tr>
      <w:tr w:rsidR="007907CB" w:rsidRPr="0085018D" w14:paraId="3292FDFE" w14:textId="77777777" w:rsidTr="001A3E3F">
        <w:trPr>
          <w:cantSplit/>
        </w:trPr>
        <w:tc>
          <w:tcPr>
            <w:tcW w:w="5000" w:type="pct"/>
            <w:gridSpan w:val="5"/>
            <w:vAlign w:val="center"/>
          </w:tcPr>
          <w:p w14:paraId="2572722D" w14:textId="77777777" w:rsidR="007907CB" w:rsidRPr="0085018D" w:rsidRDefault="007907CB" w:rsidP="001A3E3F">
            <w:pPr>
              <w:pStyle w:val="COMTabletext"/>
              <w:keepNext w:val="0"/>
              <w:rPr>
                <w:b/>
                <w:bCs w:val="0"/>
              </w:rPr>
            </w:pPr>
            <w:r w:rsidRPr="0085018D">
              <w:rPr>
                <w:b/>
                <w:bCs w:val="0"/>
              </w:rPr>
              <w:t>Discount rate (base case 5% costs and outcomes)</w:t>
            </w:r>
          </w:p>
        </w:tc>
      </w:tr>
      <w:tr w:rsidR="007907CB" w:rsidRPr="0085018D" w14:paraId="045B41D4" w14:textId="77777777" w:rsidTr="001A3E3F">
        <w:trPr>
          <w:cantSplit/>
        </w:trPr>
        <w:tc>
          <w:tcPr>
            <w:tcW w:w="2132" w:type="pct"/>
          </w:tcPr>
          <w:p w14:paraId="4C26C45A" w14:textId="77777777" w:rsidR="007907CB" w:rsidRPr="0085018D" w:rsidRDefault="007907CB" w:rsidP="001A3E3F">
            <w:pPr>
              <w:pStyle w:val="COMTabletext"/>
              <w:keepNext w:val="0"/>
            </w:pPr>
            <w:r w:rsidRPr="0085018D">
              <w:t>0%</w:t>
            </w:r>
          </w:p>
        </w:tc>
        <w:tc>
          <w:tcPr>
            <w:tcW w:w="737" w:type="pct"/>
          </w:tcPr>
          <w:p w14:paraId="06478AB0" w14:textId="3C9BE001"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tcPr>
          <w:p w14:paraId="01A03B30" w14:textId="77777777" w:rsidR="007907CB" w:rsidRPr="0085018D" w:rsidRDefault="007907CB" w:rsidP="001A3E3F">
            <w:pPr>
              <w:pStyle w:val="COMTabletext"/>
              <w:keepNext w:val="0"/>
              <w:jc w:val="center"/>
            </w:pPr>
            <w:r w:rsidRPr="0085018D">
              <w:t>1.23</w:t>
            </w:r>
          </w:p>
        </w:tc>
        <w:tc>
          <w:tcPr>
            <w:tcW w:w="718" w:type="pct"/>
          </w:tcPr>
          <w:p w14:paraId="7B0B4B38" w14:textId="02DAB009"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0629E9" w:rsidRPr="000629E9">
              <w:rPr>
                <w:vertAlign w:val="superscript"/>
              </w:rPr>
              <w:t>2</w:t>
            </w:r>
          </w:p>
        </w:tc>
        <w:tc>
          <w:tcPr>
            <w:tcW w:w="718" w:type="pct"/>
          </w:tcPr>
          <w:p w14:paraId="7B5198AE" w14:textId="5FE05650" w:rsidR="007907CB" w:rsidRPr="0085018D" w:rsidRDefault="007907CB" w:rsidP="001A3E3F">
            <w:pPr>
              <w:pStyle w:val="COMTabletext"/>
              <w:keepNext w:val="0"/>
              <w:jc w:val="center"/>
            </w:pPr>
            <w:r w:rsidRPr="0085018D">
              <w:t>-</w:t>
            </w:r>
            <w:r w:rsidR="00AC76C1" w:rsidRPr="00A45ED5">
              <w:rPr>
                <w:rFonts w:hint="eastAsia"/>
                <w:color w:val="000000"/>
                <w:w w:val="15"/>
                <w:shd w:val="solid" w:color="000000" w:fill="000000"/>
                <w:fitText w:val="25" w:id="-961819384"/>
                <w14:textFill>
                  <w14:solidFill>
                    <w14:srgbClr w14:val="000000">
                      <w14:alpha w14:val="100000"/>
                    </w14:srgbClr>
                  </w14:solidFill>
                </w14:textFill>
              </w:rPr>
              <w:t xml:space="preserve">　</w:t>
            </w:r>
            <w:r w:rsidR="00AC76C1" w:rsidRPr="00A45ED5">
              <w:rPr>
                <w:color w:val="000000"/>
                <w:w w:val="15"/>
                <w:shd w:val="solid" w:color="000000" w:fill="000000"/>
                <w:fitText w:val="25" w:id="-961819384"/>
                <w14:textFill>
                  <w14:solidFill>
                    <w14:srgbClr w14:val="000000">
                      <w14:alpha w14:val="100000"/>
                    </w14:srgbClr>
                  </w14:solidFill>
                </w14:textFill>
              </w:rPr>
              <w:t>|</w:t>
            </w:r>
            <w:r w:rsidR="00AC76C1" w:rsidRPr="00A45ED5">
              <w:rPr>
                <w:rFonts w:hint="eastAsia"/>
                <w:color w:val="000000"/>
                <w:spacing w:val="-41"/>
                <w:w w:val="15"/>
                <w:shd w:val="solid" w:color="000000" w:fill="000000"/>
                <w:fitText w:val="25" w:id="-961819384"/>
                <w14:textFill>
                  <w14:solidFill>
                    <w14:srgbClr w14:val="000000">
                      <w14:alpha w14:val="100000"/>
                    </w14:srgbClr>
                  </w14:solidFill>
                </w14:textFill>
              </w:rPr>
              <w:t xml:space="preserve">　</w:t>
            </w:r>
            <w:r w:rsidRPr="0085018D">
              <w:t>%</w:t>
            </w:r>
          </w:p>
        </w:tc>
      </w:tr>
      <w:tr w:rsidR="007907CB" w:rsidRPr="0085018D" w14:paraId="2A1BB4BC" w14:textId="77777777" w:rsidTr="001A3E3F">
        <w:trPr>
          <w:cantSplit/>
        </w:trPr>
        <w:tc>
          <w:tcPr>
            <w:tcW w:w="2132" w:type="pct"/>
          </w:tcPr>
          <w:p w14:paraId="3BF903CF" w14:textId="77777777" w:rsidR="007907CB" w:rsidRPr="0085018D" w:rsidRDefault="007907CB" w:rsidP="001A3E3F">
            <w:pPr>
              <w:pStyle w:val="COMTabletext"/>
              <w:keepNext w:val="0"/>
            </w:pPr>
            <w:r w:rsidRPr="0085018D">
              <w:t>3.5%</w:t>
            </w:r>
          </w:p>
        </w:tc>
        <w:tc>
          <w:tcPr>
            <w:tcW w:w="737" w:type="pct"/>
          </w:tcPr>
          <w:p w14:paraId="5B13F2F7" w14:textId="3AB2D572"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tcPr>
          <w:p w14:paraId="275CD49C" w14:textId="77777777" w:rsidR="007907CB" w:rsidRPr="0085018D" w:rsidRDefault="007907CB" w:rsidP="001A3E3F">
            <w:pPr>
              <w:pStyle w:val="COMTabletext"/>
              <w:keepNext w:val="0"/>
              <w:jc w:val="center"/>
            </w:pPr>
            <w:r w:rsidRPr="0085018D">
              <w:t>0.65</w:t>
            </w:r>
          </w:p>
        </w:tc>
        <w:tc>
          <w:tcPr>
            <w:tcW w:w="718" w:type="pct"/>
          </w:tcPr>
          <w:p w14:paraId="2F552736" w14:textId="161FB8B0"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0629E9" w:rsidRPr="000629E9">
              <w:rPr>
                <w:vertAlign w:val="superscript"/>
              </w:rPr>
              <w:t>3</w:t>
            </w:r>
          </w:p>
        </w:tc>
        <w:tc>
          <w:tcPr>
            <w:tcW w:w="718" w:type="pct"/>
          </w:tcPr>
          <w:p w14:paraId="70CE017B" w14:textId="7B21927E" w:rsidR="007907CB" w:rsidRPr="0085018D" w:rsidRDefault="007907CB" w:rsidP="001A3E3F">
            <w:pPr>
              <w:pStyle w:val="COMTabletext"/>
              <w:keepNext w:val="0"/>
              <w:jc w:val="center"/>
            </w:pPr>
            <w:r w:rsidRPr="0085018D">
              <w:t>-</w:t>
            </w:r>
            <w:r w:rsidR="00AC76C1" w:rsidRPr="00A45ED5">
              <w:rPr>
                <w:rFonts w:hint="eastAsia"/>
                <w:color w:val="000000"/>
                <w:w w:val="15"/>
                <w:shd w:val="solid" w:color="000000" w:fill="000000"/>
                <w:fitText w:val="25" w:id="-961819136"/>
                <w14:textFill>
                  <w14:solidFill>
                    <w14:srgbClr w14:val="000000">
                      <w14:alpha w14:val="100000"/>
                    </w14:srgbClr>
                  </w14:solidFill>
                </w14:textFill>
              </w:rPr>
              <w:t xml:space="preserve">　</w:t>
            </w:r>
            <w:r w:rsidR="00AC76C1" w:rsidRPr="00A45ED5">
              <w:rPr>
                <w:color w:val="000000"/>
                <w:w w:val="15"/>
                <w:shd w:val="solid" w:color="000000" w:fill="000000"/>
                <w:fitText w:val="25" w:id="-961819136"/>
                <w14:textFill>
                  <w14:solidFill>
                    <w14:srgbClr w14:val="000000">
                      <w14:alpha w14:val="100000"/>
                    </w14:srgbClr>
                  </w14:solidFill>
                </w14:textFill>
              </w:rPr>
              <w:t>|</w:t>
            </w:r>
            <w:r w:rsidR="00AC76C1" w:rsidRPr="00A45ED5">
              <w:rPr>
                <w:rFonts w:hint="eastAsia"/>
                <w:color w:val="000000"/>
                <w:spacing w:val="-41"/>
                <w:w w:val="15"/>
                <w:shd w:val="solid" w:color="000000" w:fill="000000"/>
                <w:fitText w:val="25" w:id="-961819136"/>
                <w14:textFill>
                  <w14:solidFill>
                    <w14:srgbClr w14:val="000000">
                      <w14:alpha w14:val="100000"/>
                    </w14:srgbClr>
                  </w14:solidFill>
                </w14:textFill>
              </w:rPr>
              <w:t xml:space="preserve">　</w:t>
            </w:r>
            <w:r w:rsidRPr="0085018D">
              <w:t>%</w:t>
            </w:r>
          </w:p>
        </w:tc>
      </w:tr>
      <w:tr w:rsidR="007907CB" w:rsidRPr="0085018D" w14:paraId="5D9328A1" w14:textId="77777777" w:rsidTr="001A3E3F">
        <w:trPr>
          <w:cantSplit/>
        </w:trPr>
        <w:tc>
          <w:tcPr>
            <w:tcW w:w="5000" w:type="pct"/>
            <w:gridSpan w:val="5"/>
            <w:vAlign w:val="center"/>
          </w:tcPr>
          <w:p w14:paraId="03F15D41" w14:textId="77777777" w:rsidR="007907CB" w:rsidRPr="0085018D" w:rsidRDefault="007907CB" w:rsidP="001A3E3F">
            <w:pPr>
              <w:pStyle w:val="COMTableheadingrow"/>
              <w:keepNext w:val="0"/>
              <w:rPr>
                <w:lang w:val="en-AU"/>
              </w:rPr>
            </w:pPr>
            <w:r w:rsidRPr="0085018D">
              <w:rPr>
                <w:lang w:val="en-AU"/>
              </w:rPr>
              <w:t>Time horizon (base case 65 years)</w:t>
            </w:r>
          </w:p>
        </w:tc>
      </w:tr>
      <w:tr w:rsidR="007907CB" w:rsidRPr="0085018D" w14:paraId="58BCEA65" w14:textId="77777777" w:rsidTr="001A3E3F">
        <w:trPr>
          <w:cantSplit/>
        </w:trPr>
        <w:tc>
          <w:tcPr>
            <w:tcW w:w="2132" w:type="pct"/>
          </w:tcPr>
          <w:p w14:paraId="718A9428" w14:textId="77777777" w:rsidR="007907CB" w:rsidRPr="0085018D" w:rsidRDefault="007907CB" w:rsidP="001A3E3F">
            <w:pPr>
              <w:pStyle w:val="COMTabletext"/>
              <w:keepNext w:val="0"/>
            </w:pPr>
            <w:r w:rsidRPr="0085018D">
              <w:t>8.1 years</w:t>
            </w:r>
          </w:p>
        </w:tc>
        <w:tc>
          <w:tcPr>
            <w:tcW w:w="737" w:type="pct"/>
            <w:vAlign w:val="center"/>
          </w:tcPr>
          <w:p w14:paraId="6C62C368" w14:textId="4CDE1E9A"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23EF56CF" w14:textId="77777777" w:rsidR="007907CB" w:rsidRPr="0085018D" w:rsidRDefault="007907CB" w:rsidP="001A3E3F">
            <w:pPr>
              <w:pStyle w:val="COMTabletext"/>
              <w:keepNext w:val="0"/>
              <w:jc w:val="center"/>
            </w:pPr>
            <w:r w:rsidRPr="0085018D">
              <w:t>0.14</w:t>
            </w:r>
          </w:p>
        </w:tc>
        <w:tc>
          <w:tcPr>
            <w:tcW w:w="718" w:type="pct"/>
            <w:vAlign w:val="center"/>
          </w:tcPr>
          <w:p w14:paraId="2FE1F793" w14:textId="27B8B5A2"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0629E9" w:rsidRPr="000629E9">
              <w:rPr>
                <w:vertAlign w:val="superscript"/>
              </w:rPr>
              <w:t>4</w:t>
            </w:r>
          </w:p>
        </w:tc>
        <w:tc>
          <w:tcPr>
            <w:tcW w:w="718" w:type="pct"/>
          </w:tcPr>
          <w:p w14:paraId="0AE39AF9" w14:textId="20D3020C"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35"/>
                <w14:textFill>
                  <w14:solidFill>
                    <w14:srgbClr w14:val="000000">
                      <w14:alpha w14:val="100000"/>
                    </w14:srgbClr>
                  </w14:solidFill>
                </w14:textFill>
              </w:rPr>
              <w:t xml:space="preserve">　</w:t>
            </w:r>
            <w:r w:rsidR="00AC76C1" w:rsidRPr="00AC76C1">
              <w:rPr>
                <w:color w:val="000000"/>
                <w:w w:val="15"/>
                <w:shd w:val="solid" w:color="000000" w:fill="000000"/>
                <w:fitText w:val="50" w:id="-961819135"/>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5"/>
                <w14:textFill>
                  <w14:solidFill>
                    <w14:srgbClr w14:val="000000">
                      <w14:alpha w14:val="100000"/>
                    </w14:srgbClr>
                  </w14:solidFill>
                </w14:textFill>
              </w:rPr>
              <w:t xml:space="preserve">　</w:t>
            </w:r>
            <w:r w:rsidRPr="0085018D">
              <w:t>%</w:t>
            </w:r>
          </w:p>
        </w:tc>
      </w:tr>
      <w:tr w:rsidR="007907CB" w:rsidRPr="0085018D" w14:paraId="0CC8A4CD" w14:textId="77777777" w:rsidTr="001A3E3F">
        <w:trPr>
          <w:cantSplit/>
        </w:trPr>
        <w:tc>
          <w:tcPr>
            <w:tcW w:w="2132" w:type="pct"/>
          </w:tcPr>
          <w:p w14:paraId="6278F769" w14:textId="77777777" w:rsidR="007907CB" w:rsidRPr="0085018D" w:rsidRDefault="007907CB" w:rsidP="001A3E3F">
            <w:pPr>
              <w:pStyle w:val="COMTabletext"/>
              <w:keepNext w:val="0"/>
            </w:pPr>
            <w:r w:rsidRPr="0085018D">
              <w:t>10 years</w:t>
            </w:r>
          </w:p>
        </w:tc>
        <w:tc>
          <w:tcPr>
            <w:tcW w:w="737" w:type="pct"/>
            <w:vAlign w:val="center"/>
          </w:tcPr>
          <w:p w14:paraId="55B8655D" w14:textId="56D75BF8"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1E15820B" w14:textId="77777777" w:rsidR="007907CB" w:rsidRPr="0085018D" w:rsidRDefault="007907CB" w:rsidP="001A3E3F">
            <w:pPr>
              <w:pStyle w:val="COMTabletext"/>
              <w:keepNext w:val="0"/>
              <w:jc w:val="center"/>
            </w:pPr>
            <w:r w:rsidRPr="0085018D">
              <w:t>0.19</w:t>
            </w:r>
          </w:p>
        </w:tc>
        <w:tc>
          <w:tcPr>
            <w:tcW w:w="718" w:type="pct"/>
            <w:vAlign w:val="center"/>
          </w:tcPr>
          <w:p w14:paraId="3A2AB0FF" w14:textId="51753AB8"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9A1605">
              <w:rPr>
                <w:vertAlign w:val="superscript"/>
              </w:rPr>
              <w:t>5</w:t>
            </w:r>
          </w:p>
        </w:tc>
        <w:tc>
          <w:tcPr>
            <w:tcW w:w="718" w:type="pct"/>
          </w:tcPr>
          <w:p w14:paraId="12D4E7AD" w14:textId="3DC0F228"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34"/>
                <w14:textFill>
                  <w14:solidFill>
                    <w14:srgbClr w14:val="000000">
                      <w14:alpha w14:val="100000"/>
                    </w14:srgbClr>
                  </w14:solidFill>
                </w14:textFill>
              </w:rPr>
              <w:t xml:space="preserve">　</w:t>
            </w:r>
            <w:r w:rsidR="00AC76C1" w:rsidRPr="00AC76C1">
              <w:rPr>
                <w:color w:val="000000"/>
                <w:w w:val="15"/>
                <w:shd w:val="solid" w:color="000000" w:fill="000000"/>
                <w:fitText w:val="50" w:id="-961819134"/>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4"/>
                <w14:textFill>
                  <w14:solidFill>
                    <w14:srgbClr w14:val="000000">
                      <w14:alpha w14:val="100000"/>
                    </w14:srgbClr>
                  </w14:solidFill>
                </w14:textFill>
              </w:rPr>
              <w:t xml:space="preserve">　</w:t>
            </w:r>
            <w:r w:rsidRPr="0085018D">
              <w:t>%</w:t>
            </w:r>
          </w:p>
        </w:tc>
      </w:tr>
      <w:tr w:rsidR="007907CB" w:rsidRPr="0085018D" w14:paraId="5A4A47DD" w14:textId="77777777" w:rsidTr="001A3E3F">
        <w:trPr>
          <w:cantSplit/>
        </w:trPr>
        <w:tc>
          <w:tcPr>
            <w:tcW w:w="2132" w:type="pct"/>
          </w:tcPr>
          <w:p w14:paraId="086714DB" w14:textId="77777777" w:rsidR="007907CB" w:rsidRPr="0085018D" w:rsidRDefault="007907CB" w:rsidP="001A3E3F">
            <w:pPr>
              <w:pStyle w:val="COMTabletext"/>
              <w:keepNext w:val="0"/>
            </w:pPr>
            <w:r w:rsidRPr="0085018D">
              <w:t>15 years</w:t>
            </w:r>
          </w:p>
        </w:tc>
        <w:tc>
          <w:tcPr>
            <w:tcW w:w="737" w:type="pct"/>
            <w:vAlign w:val="center"/>
          </w:tcPr>
          <w:p w14:paraId="7597DADD" w14:textId="1DB5F73D"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5DB45129" w14:textId="77777777" w:rsidR="007907CB" w:rsidRPr="0085018D" w:rsidRDefault="007907CB" w:rsidP="001A3E3F">
            <w:pPr>
              <w:pStyle w:val="COMTabletext"/>
              <w:keepNext w:val="0"/>
              <w:jc w:val="center"/>
            </w:pPr>
            <w:r w:rsidRPr="0085018D">
              <w:t>0.31</w:t>
            </w:r>
          </w:p>
        </w:tc>
        <w:tc>
          <w:tcPr>
            <w:tcW w:w="718" w:type="pct"/>
            <w:vAlign w:val="center"/>
          </w:tcPr>
          <w:p w14:paraId="699A7BEA" w14:textId="6E92630B"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9A1605">
              <w:rPr>
                <w:vertAlign w:val="superscript"/>
              </w:rPr>
              <w:t>6</w:t>
            </w:r>
          </w:p>
        </w:tc>
        <w:tc>
          <w:tcPr>
            <w:tcW w:w="718" w:type="pct"/>
          </w:tcPr>
          <w:p w14:paraId="6690C108" w14:textId="3A0C528C"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33"/>
                <w14:textFill>
                  <w14:solidFill>
                    <w14:srgbClr w14:val="000000">
                      <w14:alpha w14:val="100000"/>
                    </w14:srgbClr>
                  </w14:solidFill>
                </w14:textFill>
              </w:rPr>
              <w:t xml:space="preserve">　</w:t>
            </w:r>
            <w:r w:rsidR="00AC76C1" w:rsidRPr="00AC76C1">
              <w:rPr>
                <w:color w:val="000000"/>
                <w:w w:val="15"/>
                <w:shd w:val="solid" w:color="000000" w:fill="000000"/>
                <w:fitText w:val="50" w:id="-961819133"/>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3"/>
                <w14:textFill>
                  <w14:solidFill>
                    <w14:srgbClr w14:val="000000">
                      <w14:alpha w14:val="100000"/>
                    </w14:srgbClr>
                  </w14:solidFill>
                </w14:textFill>
              </w:rPr>
              <w:t xml:space="preserve">　</w:t>
            </w:r>
            <w:r w:rsidRPr="0085018D">
              <w:t>%</w:t>
            </w:r>
          </w:p>
        </w:tc>
      </w:tr>
      <w:tr w:rsidR="007907CB" w:rsidRPr="0085018D" w14:paraId="6D195A31" w14:textId="77777777" w:rsidTr="001A3E3F">
        <w:trPr>
          <w:cantSplit/>
        </w:trPr>
        <w:tc>
          <w:tcPr>
            <w:tcW w:w="2132" w:type="pct"/>
          </w:tcPr>
          <w:p w14:paraId="6EB3E211" w14:textId="77777777" w:rsidR="007907CB" w:rsidRPr="0085018D" w:rsidRDefault="007907CB" w:rsidP="001A3E3F">
            <w:pPr>
              <w:pStyle w:val="COMTabletext"/>
              <w:keepNext w:val="0"/>
            </w:pPr>
            <w:r w:rsidRPr="0085018D">
              <w:t>20 years</w:t>
            </w:r>
          </w:p>
        </w:tc>
        <w:tc>
          <w:tcPr>
            <w:tcW w:w="737" w:type="pct"/>
          </w:tcPr>
          <w:p w14:paraId="05F49EE4" w14:textId="19B363E5"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tcPr>
          <w:p w14:paraId="148035EC" w14:textId="77777777" w:rsidR="007907CB" w:rsidRPr="0085018D" w:rsidRDefault="007907CB" w:rsidP="001A3E3F">
            <w:pPr>
              <w:pStyle w:val="COMTabletext"/>
              <w:keepNext w:val="0"/>
              <w:jc w:val="center"/>
            </w:pPr>
            <w:r w:rsidRPr="0085018D">
              <w:t>0.39</w:t>
            </w:r>
          </w:p>
        </w:tc>
        <w:tc>
          <w:tcPr>
            <w:tcW w:w="718" w:type="pct"/>
          </w:tcPr>
          <w:p w14:paraId="15A14ED7" w14:textId="143400D4"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9A1605">
              <w:rPr>
                <w:vertAlign w:val="superscript"/>
              </w:rPr>
              <w:t>7</w:t>
            </w:r>
          </w:p>
        </w:tc>
        <w:tc>
          <w:tcPr>
            <w:tcW w:w="718" w:type="pct"/>
          </w:tcPr>
          <w:p w14:paraId="685A591B" w14:textId="2EF1A60F"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32"/>
                <w14:textFill>
                  <w14:solidFill>
                    <w14:srgbClr w14:val="000000">
                      <w14:alpha w14:val="100000"/>
                    </w14:srgbClr>
                  </w14:solidFill>
                </w14:textFill>
              </w:rPr>
              <w:t xml:space="preserve">　</w:t>
            </w:r>
            <w:r w:rsidR="00AC76C1" w:rsidRPr="00AC76C1">
              <w:rPr>
                <w:color w:val="000000"/>
                <w:w w:val="15"/>
                <w:shd w:val="solid" w:color="000000" w:fill="000000"/>
                <w:fitText w:val="50" w:id="-961819132"/>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2"/>
                <w14:textFill>
                  <w14:solidFill>
                    <w14:srgbClr w14:val="000000">
                      <w14:alpha w14:val="100000"/>
                    </w14:srgbClr>
                  </w14:solidFill>
                </w14:textFill>
              </w:rPr>
              <w:t xml:space="preserve">　</w:t>
            </w:r>
            <w:r w:rsidRPr="0085018D">
              <w:t>%</w:t>
            </w:r>
          </w:p>
        </w:tc>
      </w:tr>
      <w:tr w:rsidR="007907CB" w:rsidRPr="0085018D" w14:paraId="594B2E03" w14:textId="77777777" w:rsidTr="001A3E3F">
        <w:trPr>
          <w:cantSplit/>
        </w:trPr>
        <w:tc>
          <w:tcPr>
            <w:tcW w:w="2132" w:type="pct"/>
          </w:tcPr>
          <w:p w14:paraId="00A5ED89" w14:textId="77777777" w:rsidR="007907CB" w:rsidRPr="0085018D" w:rsidRDefault="007907CB" w:rsidP="001A3E3F">
            <w:pPr>
              <w:pStyle w:val="COMTabletext"/>
              <w:keepNext w:val="0"/>
            </w:pPr>
            <w:r w:rsidRPr="0085018D">
              <w:t>30 years</w:t>
            </w:r>
          </w:p>
        </w:tc>
        <w:tc>
          <w:tcPr>
            <w:tcW w:w="737" w:type="pct"/>
          </w:tcPr>
          <w:p w14:paraId="78964B40" w14:textId="6B722723"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tcPr>
          <w:p w14:paraId="38D1D614" w14:textId="77777777" w:rsidR="007907CB" w:rsidRPr="0085018D" w:rsidRDefault="007907CB" w:rsidP="001A3E3F">
            <w:pPr>
              <w:pStyle w:val="COMTabletext"/>
              <w:keepNext w:val="0"/>
              <w:jc w:val="center"/>
            </w:pPr>
            <w:r w:rsidRPr="0085018D">
              <w:t>0.48</w:t>
            </w:r>
          </w:p>
        </w:tc>
        <w:tc>
          <w:tcPr>
            <w:tcW w:w="718" w:type="pct"/>
          </w:tcPr>
          <w:p w14:paraId="650E9DFF" w14:textId="75A6D1DD"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0629E9">
              <w:rPr>
                <w:vertAlign w:val="superscript"/>
              </w:rPr>
              <w:t>1</w:t>
            </w:r>
          </w:p>
        </w:tc>
        <w:tc>
          <w:tcPr>
            <w:tcW w:w="718" w:type="pct"/>
          </w:tcPr>
          <w:p w14:paraId="7CD02C94" w14:textId="00FCD583"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31"/>
                <w14:textFill>
                  <w14:solidFill>
                    <w14:srgbClr w14:val="000000">
                      <w14:alpha w14:val="100000"/>
                    </w14:srgbClr>
                  </w14:solidFill>
                </w14:textFill>
              </w:rPr>
              <w:t xml:space="preserve">　</w:t>
            </w:r>
            <w:r w:rsidR="00AC76C1" w:rsidRPr="00AC76C1">
              <w:rPr>
                <w:color w:val="000000"/>
                <w:w w:val="15"/>
                <w:shd w:val="solid" w:color="000000" w:fill="000000"/>
                <w:fitText w:val="50" w:id="-961819131"/>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1"/>
                <w14:textFill>
                  <w14:solidFill>
                    <w14:srgbClr w14:val="000000">
                      <w14:alpha w14:val="100000"/>
                    </w14:srgbClr>
                  </w14:solidFill>
                </w14:textFill>
              </w:rPr>
              <w:t xml:space="preserve">　</w:t>
            </w:r>
            <w:r w:rsidRPr="0085018D">
              <w:t>%</w:t>
            </w:r>
          </w:p>
        </w:tc>
      </w:tr>
      <w:tr w:rsidR="007907CB" w:rsidRPr="0085018D" w14:paraId="22E26CB7" w14:textId="77777777" w:rsidTr="001A3E3F">
        <w:trPr>
          <w:cantSplit/>
        </w:trPr>
        <w:tc>
          <w:tcPr>
            <w:tcW w:w="2132" w:type="pct"/>
          </w:tcPr>
          <w:p w14:paraId="343119DC" w14:textId="77777777" w:rsidR="007907CB" w:rsidRPr="0085018D" w:rsidRDefault="007907CB" w:rsidP="001A3E3F">
            <w:pPr>
              <w:pStyle w:val="COMTabletext"/>
              <w:keepNext w:val="0"/>
            </w:pPr>
            <w:r w:rsidRPr="0085018D">
              <w:t>50 years</w:t>
            </w:r>
          </w:p>
        </w:tc>
        <w:tc>
          <w:tcPr>
            <w:tcW w:w="737" w:type="pct"/>
          </w:tcPr>
          <w:p w14:paraId="5AB9CE8F" w14:textId="6D9D90C9"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tcPr>
          <w:p w14:paraId="25362249" w14:textId="77777777" w:rsidR="007907CB" w:rsidRPr="0085018D" w:rsidRDefault="007907CB" w:rsidP="001A3E3F">
            <w:pPr>
              <w:pStyle w:val="COMTabletext"/>
              <w:keepNext w:val="0"/>
              <w:jc w:val="center"/>
            </w:pPr>
            <w:r w:rsidRPr="0085018D">
              <w:t>0.52</w:t>
            </w:r>
          </w:p>
        </w:tc>
        <w:tc>
          <w:tcPr>
            <w:tcW w:w="718" w:type="pct"/>
          </w:tcPr>
          <w:p w14:paraId="28CE184C" w14:textId="7126DDF3"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0629E9">
              <w:rPr>
                <w:vertAlign w:val="superscript"/>
              </w:rPr>
              <w:t>1</w:t>
            </w:r>
          </w:p>
        </w:tc>
        <w:tc>
          <w:tcPr>
            <w:tcW w:w="718" w:type="pct"/>
          </w:tcPr>
          <w:p w14:paraId="0586E3EB" w14:textId="6CC56233" w:rsidR="007907CB" w:rsidRPr="0085018D" w:rsidRDefault="007907CB" w:rsidP="001A3E3F">
            <w:pPr>
              <w:pStyle w:val="COMTabletext"/>
              <w:keepNext w:val="0"/>
              <w:jc w:val="center"/>
            </w:pPr>
            <w:r w:rsidRPr="0085018D">
              <w:t>&lt;</w:t>
            </w:r>
            <w:r w:rsidR="00AC76C1" w:rsidRPr="00AC76C1">
              <w:rPr>
                <w:rFonts w:hint="eastAsia"/>
                <w:color w:val="000000"/>
                <w:w w:val="15"/>
                <w:shd w:val="solid" w:color="000000" w:fill="000000"/>
                <w:fitText w:val="50" w:id="-961819130"/>
                <w14:textFill>
                  <w14:solidFill>
                    <w14:srgbClr w14:val="000000">
                      <w14:alpha w14:val="100000"/>
                    </w14:srgbClr>
                  </w14:solidFill>
                </w14:textFill>
              </w:rPr>
              <w:t xml:space="preserve">　</w:t>
            </w:r>
            <w:r w:rsidR="00AC76C1" w:rsidRPr="00AC76C1">
              <w:rPr>
                <w:color w:val="000000"/>
                <w:w w:val="15"/>
                <w:shd w:val="solid" w:color="000000" w:fill="000000"/>
                <w:fitText w:val="50" w:id="-961819130"/>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0"/>
                <w14:textFill>
                  <w14:solidFill>
                    <w14:srgbClr w14:val="000000">
                      <w14:alpha w14:val="100000"/>
                    </w14:srgbClr>
                  </w14:solidFill>
                </w14:textFill>
              </w:rPr>
              <w:t xml:space="preserve">　</w:t>
            </w:r>
            <w:r w:rsidRPr="0085018D">
              <w:t>%</w:t>
            </w:r>
          </w:p>
        </w:tc>
      </w:tr>
      <w:tr w:rsidR="007907CB" w:rsidRPr="0085018D" w14:paraId="095620F4" w14:textId="77777777" w:rsidTr="001A3E3F">
        <w:trPr>
          <w:cantSplit/>
        </w:trPr>
        <w:tc>
          <w:tcPr>
            <w:tcW w:w="5000" w:type="pct"/>
            <w:gridSpan w:val="5"/>
          </w:tcPr>
          <w:p w14:paraId="0D9ADE7D" w14:textId="77777777" w:rsidR="007907CB" w:rsidRPr="00B23B25" w:rsidRDefault="007907CB" w:rsidP="001A3E3F">
            <w:pPr>
              <w:pStyle w:val="COMTableheadingrow"/>
              <w:rPr>
                <w:lang w:val="en-AU"/>
              </w:rPr>
            </w:pPr>
            <w:r w:rsidRPr="00B23B25">
              <w:rPr>
                <w:lang w:val="en-AU"/>
              </w:rPr>
              <w:t>Overall survival extrapolation (base case exponential dependent MCM, statistical cure fraction 97% A+AVD, 92% ABVD)</w:t>
            </w:r>
          </w:p>
        </w:tc>
      </w:tr>
      <w:tr w:rsidR="007907CB" w:rsidRPr="0085018D" w14:paraId="01185FF3" w14:textId="77777777" w:rsidTr="001A3E3F">
        <w:trPr>
          <w:cantSplit/>
        </w:trPr>
        <w:tc>
          <w:tcPr>
            <w:tcW w:w="2132" w:type="pct"/>
          </w:tcPr>
          <w:p w14:paraId="2FCDB1A6" w14:textId="77777777" w:rsidR="007907CB" w:rsidRPr="0085018D" w:rsidRDefault="007907CB" w:rsidP="001A3E3F">
            <w:pPr>
              <w:pStyle w:val="COMTabletext"/>
              <w:keepNext w:val="0"/>
            </w:pPr>
            <w:r w:rsidRPr="0085018D">
              <w:t>Gompertz dependent MCM, statistical cure fraction 97% A+AVD, 19% ABVD</w:t>
            </w:r>
          </w:p>
        </w:tc>
        <w:tc>
          <w:tcPr>
            <w:tcW w:w="737" w:type="pct"/>
            <w:vAlign w:val="center"/>
          </w:tcPr>
          <w:p w14:paraId="0124F4A4" w14:textId="26F5C77B"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01C9E810" w14:textId="77777777" w:rsidR="007907CB" w:rsidRPr="0085018D" w:rsidRDefault="007907CB" w:rsidP="001A3E3F">
            <w:pPr>
              <w:pStyle w:val="COMTabletext"/>
              <w:keepNext w:val="0"/>
              <w:jc w:val="center"/>
            </w:pPr>
            <w:r w:rsidRPr="0085018D">
              <w:t>0.75</w:t>
            </w:r>
          </w:p>
        </w:tc>
        <w:tc>
          <w:tcPr>
            <w:tcW w:w="718" w:type="pct"/>
            <w:vAlign w:val="center"/>
          </w:tcPr>
          <w:p w14:paraId="39D84EEF" w14:textId="4B3A41E8"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9A1605">
              <w:rPr>
                <w:vertAlign w:val="superscript"/>
              </w:rPr>
              <w:t>8</w:t>
            </w:r>
          </w:p>
        </w:tc>
        <w:tc>
          <w:tcPr>
            <w:tcW w:w="718" w:type="pct"/>
            <w:vAlign w:val="center"/>
          </w:tcPr>
          <w:p w14:paraId="3A58F0BD" w14:textId="6FDE5C0B" w:rsidR="007907CB" w:rsidRPr="0085018D" w:rsidRDefault="007907CB" w:rsidP="001A3E3F">
            <w:pPr>
              <w:pStyle w:val="COMTabletext"/>
              <w:keepNext w:val="0"/>
              <w:jc w:val="center"/>
            </w:pPr>
            <w:r w:rsidRPr="0085018D">
              <w:t>-</w:t>
            </w:r>
            <w:r w:rsidR="00AC76C1" w:rsidRPr="00A45ED5">
              <w:rPr>
                <w:rFonts w:hint="eastAsia"/>
                <w:color w:val="000000"/>
                <w:w w:val="15"/>
                <w:shd w:val="solid" w:color="000000" w:fill="000000"/>
                <w:fitText w:val="25" w:id="-961819129"/>
                <w14:textFill>
                  <w14:solidFill>
                    <w14:srgbClr w14:val="000000">
                      <w14:alpha w14:val="100000"/>
                    </w14:srgbClr>
                  </w14:solidFill>
                </w14:textFill>
              </w:rPr>
              <w:t xml:space="preserve">　</w:t>
            </w:r>
            <w:r w:rsidR="00AC76C1" w:rsidRPr="00A45ED5">
              <w:rPr>
                <w:color w:val="000000"/>
                <w:w w:val="15"/>
                <w:shd w:val="solid" w:color="000000" w:fill="000000"/>
                <w:fitText w:val="25" w:id="-961819129"/>
                <w14:textFill>
                  <w14:solidFill>
                    <w14:srgbClr w14:val="000000">
                      <w14:alpha w14:val="100000"/>
                    </w14:srgbClr>
                  </w14:solidFill>
                </w14:textFill>
              </w:rPr>
              <w:t>|</w:t>
            </w:r>
            <w:r w:rsidR="00AC76C1" w:rsidRPr="00A45ED5">
              <w:rPr>
                <w:rFonts w:hint="eastAsia"/>
                <w:color w:val="000000"/>
                <w:spacing w:val="-41"/>
                <w:w w:val="15"/>
                <w:shd w:val="solid" w:color="000000" w:fill="000000"/>
                <w:fitText w:val="25" w:id="-961819129"/>
                <w14:textFill>
                  <w14:solidFill>
                    <w14:srgbClr w14:val="000000">
                      <w14:alpha w14:val="100000"/>
                    </w14:srgbClr>
                  </w14:solidFill>
                </w14:textFill>
              </w:rPr>
              <w:t xml:space="preserve">　</w:t>
            </w:r>
            <w:r w:rsidRPr="0085018D">
              <w:t>%</w:t>
            </w:r>
          </w:p>
        </w:tc>
      </w:tr>
      <w:tr w:rsidR="007907CB" w:rsidRPr="0085018D" w14:paraId="4C174749" w14:textId="77777777" w:rsidTr="001A3E3F">
        <w:trPr>
          <w:cantSplit/>
        </w:trPr>
        <w:tc>
          <w:tcPr>
            <w:tcW w:w="2132" w:type="pct"/>
          </w:tcPr>
          <w:p w14:paraId="35162EB1" w14:textId="77777777" w:rsidR="007907CB" w:rsidRPr="0085018D" w:rsidRDefault="007907CB" w:rsidP="001A3E3F">
            <w:pPr>
              <w:pStyle w:val="COMTabletext"/>
              <w:keepNext w:val="0"/>
            </w:pPr>
            <w:r w:rsidRPr="0085018D">
              <w:t>Generalised gamma independent MCM, statistical cure fraction 90% A+AVD, 82% ABVD</w:t>
            </w:r>
          </w:p>
        </w:tc>
        <w:tc>
          <w:tcPr>
            <w:tcW w:w="737" w:type="pct"/>
            <w:vAlign w:val="center"/>
          </w:tcPr>
          <w:p w14:paraId="2F0A0D73" w14:textId="7496DFB1"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2FB2C3C1" w14:textId="77777777" w:rsidR="007907CB" w:rsidRPr="0085018D" w:rsidRDefault="007907CB" w:rsidP="001A3E3F">
            <w:pPr>
              <w:pStyle w:val="COMTabletext"/>
              <w:keepNext w:val="0"/>
              <w:jc w:val="center"/>
            </w:pPr>
            <w:r w:rsidRPr="0085018D">
              <w:t>0.43</w:t>
            </w:r>
          </w:p>
        </w:tc>
        <w:tc>
          <w:tcPr>
            <w:tcW w:w="718" w:type="pct"/>
            <w:vAlign w:val="center"/>
          </w:tcPr>
          <w:p w14:paraId="780C87D2" w14:textId="4C5BC733"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9A1605">
              <w:rPr>
                <w:vertAlign w:val="superscript"/>
              </w:rPr>
              <w:t>1</w:t>
            </w:r>
          </w:p>
        </w:tc>
        <w:tc>
          <w:tcPr>
            <w:tcW w:w="718" w:type="pct"/>
            <w:vAlign w:val="center"/>
          </w:tcPr>
          <w:p w14:paraId="13C372C9" w14:textId="609202C4"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28"/>
                <w14:textFill>
                  <w14:solidFill>
                    <w14:srgbClr w14:val="000000">
                      <w14:alpha w14:val="100000"/>
                    </w14:srgbClr>
                  </w14:solidFill>
                </w14:textFill>
              </w:rPr>
              <w:t xml:space="preserve">　</w:t>
            </w:r>
            <w:r w:rsidR="00AC76C1" w:rsidRPr="00AC76C1">
              <w:rPr>
                <w:color w:val="000000"/>
                <w:w w:val="15"/>
                <w:shd w:val="solid" w:color="000000" w:fill="000000"/>
                <w:fitText w:val="50" w:id="-961819128"/>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8"/>
                <w14:textFill>
                  <w14:solidFill>
                    <w14:srgbClr w14:val="000000">
                      <w14:alpha w14:val="100000"/>
                    </w14:srgbClr>
                  </w14:solidFill>
                </w14:textFill>
              </w:rPr>
              <w:t xml:space="preserve">　</w:t>
            </w:r>
            <w:r w:rsidRPr="0085018D">
              <w:t>%</w:t>
            </w:r>
          </w:p>
        </w:tc>
      </w:tr>
      <w:tr w:rsidR="007907CB" w:rsidRPr="0085018D" w14:paraId="61195FD8" w14:textId="77777777" w:rsidTr="001A3E3F">
        <w:trPr>
          <w:cantSplit/>
        </w:trPr>
        <w:tc>
          <w:tcPr>
            <w:tcW w:w="5000" w:type="pct"/>
            <w:gridSpan w:val="5"/>
          </w:tcPr>
          <w:p w14:paraId="34169330" w14:textId="77777777" w:rsidR="007907CB" w:rsidRPr="00B23B25" w:rsidRDefault="007907CB" w:rsidP="001A3E3F">
            <w:pPr>
              <w:pStyle w:val="COMTableheadingrow"/>
              <w:rPr>
                <w:lang w:val="en-AU"/>
              </w:rPr>
            </w:pPr>
            <w:r w:rsidRPr="00B23B25">
              <w:rPr>
                <w:lang w:val="en-AU"/>
              </w:rPr>
              <w:t>Health state utilities (base case progression-free on-treatment A+AVD 0.7525, ABVD 0.8056; progression-free off</w:t>
            </w:r>
            <w:r w:rsidRPr="00B23B25">
              <w:rPr>
                <w:lang w:val="en-AU"/>
              </w:rPr>
              <w:noBreakHyphen/>
              <w:t>treatment 0.8429; and post</w:t>
            </w:r>
            <w:r w:rsidRPr="00B23B25">
              <w:rPr>
                <w:lang w:val="en-AU"/>
              </w:rPr>
              <w:noBreakHyphen/>
              <w:t>progression 0.8037)</w:t>
            </w:r>
          </w:p>
        </w:tc>
      </w:tr>
      <w:tr w:rsidR="007907CB" w:rsidRPr="0085018D" w14:paraId="011E1B0F" w14:textId="77777777" w:rsidTr="001A3E3F">
        <w:trPr>
          <w:cantSplit/>
        </w:trPr>
        <w:tc>
          <w:tcPr>
            <w:tcW w:w="2132" w:type="pct"/>
          </w:tcPr>
          <w:p w14:paraId="257EBF48" w14:textId="77777777" w:rsidR="007907CB" w:rsidRPr="0085018D" w:rsidRDefault="007907CB" w:rsidP="001A3E3F">
            <w:pPr>
              <w:pStyle w:val="COMTabletext"/>
              <w:keepNext w:val="0"/>
            </w:pPr>
            <w:r w:rsidRPr="0085018D">
              <w:t>Different off-treatment utilities between arms (A+AVD 0.8429, ABVD 0.8665)</w:t>
            </w:r>
          </w:p>
        </w:tc>
        <w:tc>
          <w:tcPr>
            <w:tcW w:w="737" w:type="pct"/>
            <w:vAlign w:val="center"/>
          </w:tcPr>
          <w:p w14:paraId="0A7CF085" w14:textId="267AB5BA"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7623DD1A" w14:textId="77777777" w:rsidR="007907CB" w:rsidRPr="0085018D" w:rsidRDefault="007907CB" w:rsidP="001A3E3F">
            <w:pPr>
              <w:pStyle w:val="COMTabletext"/>
              <w:keepNext w:val="0"/>
              <w:jc w:val="center"/>
            </w:pPr>
            <w:r w:rsidRPr="0085018D">
              <w:t>0.40</w:t>
            </w:r>
          </w:p>
        </w:tc>
        <w:tc>
          <w:tcPr>
            <w:tcW w:w="718" w:type="pct"/>
            <w:vAlign w:val="center"/>
          </w:tcPr>
          <w:p w14:paraId="58E636E3" w14:textId="75095895"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sidRPr="009A1605">
              <w:rPr>
                <w:vertAlign w:val="superscript"/>
              </w:rPr>
              <w:t>7</w:t>
            </w:r>
          </w:p>
        </w:tc>
        <w:tc>
          <w:tcPr>
            <w:tcW w:w="718" w:type="pct"/>
            <w:vAlign w:val="center"/>
          </w:tcPr>
          <w:p w14:paraId="12D499D4" w14:textId="0315A448"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27"/>
                <w14:textFill>
                  <w14:solidFill>
                    <w14:srgbClr w14:val="000000">
                      <w14:alpha w14:val="100000"/>
                    </w14:srgbClr>
                  </w14:solidFill>
                </w14:textFill>
              </w:rPr>
              <w:t xml:space="preserve">　</w:t>
            </w:r>
            <w:r w:rsidR="00AC76C1" w:rsidRPr="00AC76C1">
              <w:rPr>
                <w:color w:val="000000"/>
                <w:w w:val="15"/>
                <w:shd w:val="solid" w:color="000000" w:fill="000000"/>
                <w:fitText w:val="50" w:id="-961819127"/>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7"/>
                <w14:textFill>
                  <w14:solidFill>
                    <w14:srgbClr w14:val="000000">
                      <w14:alpha w14:val="100000"/>
                    </w14:srgbClr>
                  </w14:solidFill>
                </w14:textFill>
              </w:rPr>
              <w:t xml:space="preserve">　</w:t>
            </w:r>
            <w:r w:rsidRPr="0085018D">
              <w:t>%</w:t>
            </w:r>
          </w:p>
        </w:tc>
      </w:tr>
      <w:tr w:rsidR="007907CB" w:rsidRPr="0085018D" w14:paraId="1EC2D4BC" w14:textId="77777777" w:rsidTr="001A3E3F">
        <w:trPr>
          <w:cantSplit/>
        </w:trPr>
        <w:tc>
          <w:tcPr>
            <w:tcW w:w="2132" w:type="pct"/>
          </w:tcPr>
          <w:p w14:paraId="7B00B509" w14:textId="77777777" w:rsidR="007907CB" w:rsidRPr="0085018D" w:rsidRDefault="007907CB" w:rsidP="001A3E3F">
            <w:pPr>
              <w:pStyle w:val="COMTabletext"/>
              <w:keepNext w:val="0"/>
            </w:pPr>
            <w:r w:rsidRPr="0085018D">
              <w:t xml:space="preserve">Based on alternative regression model with time since randomisation as a covariate: progression-free on-treatment (A+AVD 0.7356, ABVD 0.7887), progression-free off-treatment (A+AVD 0.8121, ABVD 0.8358) and post-progression (0.7729)  </w:t>
            </w:r>
          </w:p>
        </w:tc>
        <w:tc>
          <w:tcPr>
            <w:tcW w:w="737" w:type="pct"/>
            <w:vAlign w:val="center"/>
          </w:tcPr>
          <w:p w14:paraId="652E0903" w14:textId="6F8D3916"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321CAF4D" w14:textId="77777777" w:rsidR="007907CB" w:rsidRPr="0085018D" w:rsidRDefault="007907CB" w:rsidP="001A3E3F">
            <w:pPr>
              <w:pStyle w:val="COMTabletext"/>
              <w:keepNext w:val="0"/>
              <w:jc w:val="center"/>
            </w:pPr>
            <w:r w:rsidRPr="0085018D">
              <w:t>0.28</w:t>
            </w:r>
          </w:p>
        </w:tc>
        <w:tc>
          <w:tcPr>
            <w:tcW w:w="718" w:type="pct"/>
            <w:vAlign w:val="center"/>
          </w:tcPr>
          <w:p w14:paraId="117DF671" w14:textId="06561517"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6</w:t>
            </w:r>
          </w:p>
        </w:tc>
        <w:tc>
          <w:tcPr>
            <w:tcW w:w="718" w:type="pct"/>
            <w:vAlign w:val="center"/>
          </w:tcPr>
          <w:p w14:paraId="2863FBE2" w14:textId="17F7BF45"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26"/>
                <w14:textFill>
                  <w14:solidFill>
                    <w14:srgbClr w14:val="000000">
                      <w14:alpha w14:val="100000"/>
                    </w14:srgbClr>
                  </w14:solidFill>
                </w14:textFill>
              </w:rPr>
              <w:t xml:space="preserve">　</w:t>
            </w:r>
            <w:r w:rsidR="00AC76C1" w:rsidRPr="00AC76C1">
              <w:rPr>
                <w:color w:val="000000"/>
                <w:w w:val="15"/>
                <w:shd w:val="solid" w:color="000000" w:fill="000000"/>
                <w:fitText w:val="50" w:id="-961819126"/>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6"/>
                <w14:textFill>
                  <w14:solidFill>
                    <w14:srgbClr w14:val="000000">
                      <w14:alpha w14:val="100000"/>
                    </w14:srgbClr>
                  </w14:solidFill>
                </w14:textFill>
              </w:rPr>
              <w:t xml:space="preserve">　</w:t>
            </w:r>
            <w:r w:rsidRPr="0085018D">
              <w:t>%</w:t>
            </w:r>
          </w:p>
        </w:tc>
      </w:tr>
      <w:tr w:rsidR="00A756A7" w:rsidRPr="0085018D" w14:paraId="605C5CA1" w14:textId="77777777" w:rsidTr="009A7837">
        <w:trPr>
          <w:cantSplit/>
        </w:trPr>
        <w:tc>
          <w:tcPr>
            <w:tcW w:w="5000" w:type="pct"/>
            <w:gridSpan w:val="5"/>
            <w:vAlign w:val="center"/>
          </w:tcPr>
          <w:p w14:paraId="337D135B" w14:textId="77777777" w:rsidR="00A756A7" w:rsidRPr="0085018D" w:rsidRDefault="00A756A7" w:rsidP="0047164D">
            <w:pPr>
              <w:pStyle w:val="COMTableheadingrow"/>
              <w:keepLines/>
              <w:rPr>
                <w:lang w:val="en-AU"/>
              </w:rPr>
            </w:pPr>
            <w:r w:rsidRPr="0085018D">
              <w:rPr>
                <w:lang w:val="en-AU"/>
              </w:rPr>
              <w:t>First line drug costs (base case A+AVD for 5.6 cycles and ABVD for 5.7 cycles)</w:t>
            </w:r>
          </w:p>
        </w:tc>
      </w:tr>
      <w:tr w:rsidR="00A756A7" w:rsidRPr="0085018D" w14:paraId="1FEB44C4" w14:textId="77777777" w:rsidTr="009A7837">
        <w:trPr>
          <w:cantSplit/>
        </w:trPr>
        <w:tc>
          <w:tcPr>
            <w:tcW w:w="2132" w:type="pct"/>
          </w:tcPr>
          <w:p w14:paraId="525A6CC5" w14:textId="77777777" w:rsidR="00A756A7" w:rsidRPr="0085018D" w:rsidRDefault="00A756A7" w:rsidP="0047164D">
            <w:pPr>
              <w:pStyle w:val="COMTabletext"/>
              <w:keepLines/>
              <w:rPr>
                <w:vertAlign w:val="superscript"/>
              </w:rPr>
            </w:pPr>
            <w:r w:rsidRPr="0085018D">
              <w:t xml:space="preserve">A+AVD for 5.6 cycles and PET-adapted ABVD for 6 cycles </w:t>
            </w:r>
            <w:r w:rsidRPr="0085018D">
              <w:rPr>
                <w:vertAlign w:val="superscript"/>
              </w:rPr>
              <w:t>a</w:t>
            </w:r>
          </w:p>
        </w:tc>
        <w:tc>
          <w:tcPr>
            <w:tcW w:w="737" w:type="pct"/>
            <w:vAlign w:val="center"/>
          </w:tcPr>
          <w:p w14:paraId="720BAB10" w14:textId="7167266F" w:rsidR="00A756A7" w:rsidRPr="0085018D" w:rsidRDefault="00A756A7" w:rsidP="0047164D">
            <w:pPr>
              <w:pStyle w:val="COMTabletext"/>
              <w:keepLines/>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44AE7B6D" w14:textId="77777777" w:rsidR="00A756A7" w:rsidRPr="0085018D" w:rsidRDefault="00A756A7" w:rsidP="0047164D">
            <w:pPr>
              <w:pStyle w:val="COMTabletext"/>
              <w:keepLines/>
              <w:jc w:val="center"/>
            </w:pPr>
            <w:r w:rsidRPr="0085018D">
              <w:t>0.52</w:t>
            </w:r>
          </w:p>
        </w:tc>
        <w:tc>
          <w:tcPr>
            <w:tcW w:w="718" w:type="pct"/>
            <w:vAlign w:val="center"/>
          </w:tcPr>
          <w:p w14:paraId="74C1CCC0" w14:textId="52E1AECB" w:rsidR="00A756A7" w:rsidRPr="0085018D" w:rsidRDefault="00A756A7" w:rsidP="0047164D">
            <w:pPr>
              <w:pStyle w:val="COMTabletext"/>
              <w:keepLines/>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1</w:t>
            </w:r>
          </w:p>
        </w:tc>
        <w:tc>
          <w:tcPr>
            <w:tcW w:w="718" w:type="pct"/>
            <w:vAlign w:val="center"/>
          </w:tcPr>
          <w:p w14:paraId="49D8DEE1" w14:textId="351AFA4C" w:rsidR="00A756A7" w:rsidRPr="0085018D" w:rsidRDefault="00A756A7" w:rsidP="0047164D">
            <w:pPr>
              <w:pStyle w:val="COMTabletext"/>
              <w:keepLines/>
              <w:jc w:val="center"/>
            </w:pPr>
            <w:r w:rsidRPr="0085018D">
              <w:t>+</w:t>
            </w:r>
            <w:r w:rsidR="00AC76C1" w:rsidRPr="00AC76C1">
              <w:rPr>
                <w:rFonts w:hint="eastAsia"/>
                <w:color w:val="000000"/>
                <w:w w:val="15"/>
                <w:shd w:val="solid" w:color="000000" w:fill="000000"/>
                <w:fitText w:val="50" w:id="-961819125"/>
                <w14:textFill>
                  <w14:solidFill>
                    <w14:srgbClr w14:val="000000">
                      <w14:alpha w14:val="100000"/>
                    </w14:srgbClr>
                  </w14:solidFill>
                </w14:textFill>
              </w:rPr>
              <w:t xml:space="preserve">　</w:t>
            </w:r>
            <w:r w:rsidR="00AC76C1" w:rsidRPr="00AC76C1">
              <w:rPr>
                <w:color w:val="000000"/>
                <w:w w:val="15"/>
                <w:shd w:val="solid" w:color="000000" w:fill="000000"/>
                <w:fitText w:val="50" w:id="-961819125"/>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5"/>
                <w14:textFill>
                  <w14:solidFill>
                    <w14:srgbClr w14:val="000000">
                      <w14:alpha w14:val="100000"/>
                    </w14:srgbClr>
                  </w14:solidFill>
                </w14:textFill>
              </w:rPr>
              <w:t xml:space="preserve">　</w:t>
            </w:r>
            <w:r w:rsidRPr="0085018D">
              <w:t>%</w:t>
            </w:r>
          </w:p>
        </w:tc>
      </w:tr>
      <w:tr w:rsidR="00A756A7" w:rsidRPr="0085018D" w14:paraId="551BD108" w14:textId="77777777" w:rsidTr="009A7837">
        <w:trPr>
          <w:cantSplit/>
        </w:trPr>
        <w:tc>
          <w:tcPr>
            <w:tcW w:w="2132" w:type="pct"/>
          </w:tcPr>
          <w:p w14:paraId="1FB9E3AE" w14:textId="77777777" w:rsidR="00A756A7" w:rsidRPr="0085018D" w:rsidRDefault="00A756A7" w:rsidP="009A7837">
            <w:pPr>
              <w:pStyle w:val="COMTabletext"/>
              <w:keepNext w:val="0"/>
            </w:pPr>
            <w:r w:rsidRPr="0085018D">
              <w:t xml:space="preserve">A+AVD for 6 cycles and PET-adapted ABVD for 6 cycles </w:t>
            </w:r>
            <w:r w:rsidRPr="0085018D">
              <w:rPr>
                <w:vertAlign w:val="superscript"/>
              </w:rPr>
              <w:t>a</w:t>
            </w:r>
          </w:p>
        </w:tc>
        <w:tc>
          <w:tcPr>
            <w:tcW w:w="737" w:type="pct"/>
            <w:vAlign w:val="center"/>
          </w:tcPr>
          <w:p w14:paraId="396040D6" w14:textId="0E4241C8" w:rsidR="00A756A7" w:rsidRPr="0085018D" w:rsidRDefault="00A756A7" w:rsidP="009A7837">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3CA4152E" w14:textId="77777777" w:rsidR="00A756A7" w:rsidRPr="0085018D" w:rsidRDefault="00A756A7" w:rsidP="009A7837">
            <w:pPr>
              <w:pStyle w:val="COMTabletext"/>
              <w:keepNext w:val="0"/>
              <w:jc w:val="center"/>
            </w:pPr>
            <w:r w:rsidRPr="0085018D">
              <w:t>0.52</w:t>
            </w:r>
          </w:p>
        </w:tc>
        <w:tc>
          <w:tcPr>
            <w:tcW w:w="718" w:type="pct"/>
            <w:vAlign w:val="center"/>
          </w:tcPr>
          <w:p w14:paraId="7DCD4B77" w14:textId="68AFCDD3" w:rsidR="00A756A7" w:rsidRPr="0085018D" w:rsidRDefault="00A756A7" w:rsidP="009A7837">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1</w:t>
            </w:r>
          </w:p>
        </w:tc>
        <w:tc>
          <w:tcPr>
            <w:tcW w:w="718" w:type="pct"/>
            <w:vAlign w:val="center"/>
          </w:tcPr>
          <w:p w14:paraId="47D5188E" w14:textId="541EED86" w:rsidR="00A756A7" w:rsidRPr="0085018D" w:rsidRDefault="00A756A7" w:rsidP="009A7837">
            <w:pPr>
              <w:pStyle w:val="COMTabletext"/>
              <w:keepNext w:val="0"/>
              <w:jc w:val="center"/>
            </w:pPr>
            <w:r w:rsidRPr="0085018D">
              <w:t>+</w:t>
            </w:r>
            <w:r w:rsidR="00AC76C1" w:rsidRPr="00AC76C1">
              <w:rPr>
                <w:rFonts w:hint="eastAsia"/>
                <w:color w:val="000000"/>
                <w:w w:val="15"/>
                <w:shd w:val="solid" w:color="000000" w:fill="000000"/>
                <w:fitText w:val="50" w:id="-961819124"/>
                <w14:textFill>
                  <w14:solidFill>
                    <w14:srgbClr w14:val="000000">
                      <w14:alpha w14:val="100000"/>
                    </w14:srgbClr>
                  </w14:solidFill>
                </w14:textFill>
              </w:rPr>
              <w:t xml:space="preserve">　</w:t>
            </w:r>
            <w:r w:rsidR="00AC76C1" w:rsidRPr="00AC76C1">
              <w:rPr>
                <w:color w:val="000000"/>
                <w:w w:val="15"/>
                <w:shd w:val="solid" w:color="000000" w:fill="000000"/>
                <w:fitText w:val="50" w:id="-961819124"/>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4"/>
                <w14:textFill>
                  <w14:solidFill>
                    <w14:srgbClr w14:val="000000">
                      <w14:alpha w14:val="100000"/>
                    </w14:srgbClr>
                  </w14:solidFill>
                </w14:textFill>
              </w:rPr>
              <w:t xml:space="preserve">　</w:t>
            </w:r>
            <w:r w:rsidRPr="0085018D">
              <w:t>%</w:t>
            </w:r>
          </w:p>
        </w:tc>
      </w:tr>
      <w:tr w:rsidR="007907CB" w:rsidRPr="0085018D" w14:paraId="138D2E77" w14:textId="77777777" w:rsidTr="001A3E3F">
        <w:trPr>
          <w:cantSplit/>
        </w:trPr>
        <w:tc>
          <w:tcPr>
            <w:tcW w:w="5000" w:type="pct"/>
            <w:gridSpan w:val="5"/>
            <w:vAlign w:val="center"/>
          </w:tcPr>
          <w:p w14:paraId="44D0A66B" w14:textId="62DB81E7" w:rsidR="007907CB" w:rsidRPr="0085018D" w:rsidRDefault="007907CB" w:rsidP="00786058">
            <w:pPr>
              <w:pStyle w:val="COMTabletext"/>
              <w:rPr>
                <w:b/>
                <w:bCs w:val="0"/>
              </w:rPr>
            </w:pPr>
            <w:r w:rsidRPr="0085018D">
              <w:rPr>
                <w:b/>
                <w:bCs w:val="0"/>
              </w:rPr>
              <w:t>Subsequent treatment costs (base case weighted cost $</w:t>
            </w:r>
            <w:r w:rsidR="00AC76C1" w:rsidRPr="00AC76C1">
              <w:rPr>
                <w:b/>
                <w:bCs w:val="0"/>
                <w:color w:val="000000"/>
                <w:spacing w:val="55"/>
                <w:shd w:val="solid" w:color="000000" w:fill="000000"/>
                <w:fitText w:val="351" w:id="-961819123"/>
                <w14:textFill>
                  <w14:solidFill>
                    <w14:srgbClr w14:val="000000">
                      <w14:alpha w14:val="100000"/>
                    </w14:srgbClr>
                  </w14:solidFill>
                </w14:textFill>
              </w:rPr>
              <w:t>|||</w:t>
            </w:r>
            <w:r w:rsidR="00AC76C1" w:rsidRPr="00AC76C1">
              <w:rPr>
                <w:b/>
                <w:bCs w:val="0"/>
                <w:color w:val="000000"/>
                <w:spacing w:val="3"/>
                <w:shd w:val="solid" w:color="000000" w:fill="000000"/>
                <w:fitText w:val="351" w:id="-961819123"/>
                <w14:textFill>
                  <w14:solidFill>
                    <w14:srgbClr w14:val="000000">
                      <w14:alpha w14:val="100000"/>
                    </w14:srgbClr>
                  </w14:solidFill>
                </w14:textFill>
              </w:rPr>
              <w:t>|</w:t>
            </w:r>
            <w:r w:rsidRPr="0085018D">
              <w:rPr>
                <w:b/>
                <w:bCs w:val="0"/>
              </w:rPr>
              <w:t xml:space="preserve"> in A+AVD arm and $</w:t>
            </w:r>
            <w:r w:rsidR="00AC76C1" w:rsidRPr="00AC76C1">
              <w:rPr>
                <w:b/>
                <w:bCs w:val="0"/>
                <w:color w:val="000000"/>
                <w:spacing w:val="59"/>
                <w:shd w:val="solid" w:color="000000" w:fill="000000"/>
                <w:fitText w:val="363" w:id="-961819122"/>
                <w14:textFill>
                  <w14:solidFill>
                    <w14:srgbClr w14:val="000000">
                      <w14:alpha w14:val="100000"/>
                    </w14:srgbClr>
                  </w14:solidFill>
                </w14:textFill>
              </w:rPr>
              <w:t>|||</w:t>
            </w:r>
            <w:r w:rsidR="00AC76C1" w:rsidRPr="00AC76C1">
              <w:rPr>
                <w:b/>
                <w:bCs w:val="0"/>
                <w:color w:val="000000"/>
                <w:spacing w:val="3"/>
                <w:shd w:val="solid" w:color="000000" w:fill="000000"/>
                <w:fitText w:val="363" w:id="-961819122"/>
                <w14:textFill>
                  <w14:solidFill>
                    <w14:srgbClr w14:val="000000">
                      <w14:alpha w14:val="100000"/>
                    </w14:srgbClr>
                  </w14:solidFill>
                </w14:textFill>
              </w:rPr>
              <w:t>|</w:t>
            </w:r>
            <w:r w:rsidRPr="0085018D">
              <w:rPr>
                <w:b/>
                <w:bCs w:val="0"/>
              </w:rPr>
              <w:t xml:space="preserve"> in ABVD </w:t>
            </w:r>
            <w:proofErr w:type="gramStart"/>
            <w:r w:rsidRPr="0085018D">
              <w:rPr>
                <w:b/>
                <w:bCs w:val="0"/>
              </w:rPr>
              <w:t>arm)</w:t>
            </w:r>
            <w:r w:rsidRPr="0085018D">
              <w:rPr>
                <w:b/>
                <w:bCs w:val="0"/>
                <w:vertAlign w:val="superscript"/>
              </w:rPr>
              <w:t>b</w:t>
            </w:r>
            <w:proofErr w:type="gramEnd"/>
            <w:r w:rsidRPr="0085018D">
              <w:rPr>
                <w:b/>
                <w:bCs w:val="0"/>
              </w:rPr>
              <w:t xml:space="preserve"> </w:t>
            </w:r>
          </w:p>
        </w:tc>
      </w:tr>
      <w:tr w:rsidR="007907CB" w:rsidRPr="0085018D" w14:paraId="36502563" w14:textId="77777777" w:rsidTr="001A3E3F">
        <w:trPr>
          <w:cantSplit/>
        </w:trPr>
        <w:tc>
          <w:tcPr>
            <w:tcW w:w="2132" w:type="pct"/>
          </w:tcPr>
          <w:p w14:paraId="2A3C4BAC" w14:textId="77777777" w:rsidR="007907CB" w:rsidRPr="0085018D" w:rsidRDefault="007907CB" w:rsidP="001A3E3F">
            <w:pPr>
              <w:pStyle w:val="COMTabletext"/>
              <w:keepNext w:val="0"/>
            </w:pPr>
            <w:r w:rsidRPr="0085018D">
              <w:t>Pembrolizumab costs halved assuming patients are treated for half the maximum duration</w:t>
            </w:r>
          </w:p>
        </w:tc>
        <w:tc>
          <w:tcPr>
            <w:tcW w:w="737" w:type="pct"/>
            <w:vAlign w:val="center"/>
          </w:tcPr>
          <w:p w14:paraId="662FC10D" w14:textId="32C3C286"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510DF912" w14:textId="77777777" w:rsidR="007907CB" w:rsidRPr="0085018D" w:rsidRDefault="007907CB" w:rsidP="001A3E3F">
            <w:pPr>
              <w:pStyle w:val="COMTabletext"/>
              <w:keepNext w:val="0"/>
              <w:jc w:val="center"/>
            </w:pPr>
            <w:r w:rsidRPr="0085018D">
              <w:t>0.52</w:t>
            </w:r>
          </w:p>
        </w:tc>
        <w:tc>
          <w:tcPr>
            <w:tcW w:w="718" w:type="pct"/>
            <w:vAlign w:val="center"/>
          </w:tcPr>
          <w:p w14:paraId="20191037" w14:textId="404DE7CC"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1</w:t>
            </w:r>
          </w:p>
        </w:tc>
        <w:tc>
          <w:tcPr>
            <w:tcW w:w="718" w:type="pct"/>
            <w:vAlign w:val="center"/>
          </w:tcPr>
          <w:p w14:paraId="7C8FDE4D" w14:textId="0599D6CF"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21"/>
                <w14:textFill>
                  <w14:solidFill>
                    <w14:srgbClr w14:val="000000">
                      <w14:alpha w14:val="100000"/>
                    </w14:srgbClr>
                  </w14:solidFill>
                </w14:textFill>
              </w:rPr>
              <w:t xml:space="preserve">　</w:t>
            </w:r>
            <w:r w:rsidR="00AC76C1" w:rsidRPr="00AC76C1">
              <w:rPr>
                <w:color w:val="000000"/>
                <w:w w:val="15"/>
                <w:shd w:val="solid" w:color="000000" w:fill="000000"/>
                <w:fitText w:val="50" w:id="-961819121"/>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1"/>
                <w14:textFill>
                  <w14:solidFill>
                    <w14:srgbClr w14:val="000000">
                      <w14:alpha w14:val="100000"/>
                    </w14:srgbClr>
                  </w14:solidFill>
                </w14:textFill>
              </w:rPr>
              <w:t xml:space="preserve">　</w:t>
            </w:r>
            <w:r w:rsidRPr="0085018D">
              <w:t>%</w:t>
            </w:r>
          </w:p>
        </w:tc>
      </w:tr>
      <w:tr w:rsidR="007907CB" w:rsidRPr="0085018D" w14:paraId="7F30C310" w14:textId="77777777" w:rsidTr="001A3E3F">
        <w:trPr>
          <w:cantSplit/>
        </w:trPr>
        <w:tc>
          <w:tcPr>
            <w:tcW w:w="2132" w:type="pct"/>
          </w:tcPr>
          <w:p w14:paraId="3BB712B8" w14:textId="77777777" w:rsidR="007907CB" w:rsidRPr="0085018D" w:rsidRDefault="007907CB" w:rsidP="001A3E3F">
            <w:pPr>
              <w:pStyle w:val="COMTabletext"/>
              <w:keepNext w:val="0"/>
            </w:pPr>
            <w:r w:rsidRPr="0085018D">
              <w:t xml:space="preserve">Assume the treatment duration for pembrolizumab is the same as brentuximab </w:t>
            </w:r>
            <w:proofErr w:type="spellStart"/>
            <w:r w:rsidRPr="0085018D">
              <w:t>vedotin</w:t>
            </w:r>
            <w:proofErr w:type="spellEnd"/>
            <w:r w:rsidRPr="0085018D">
              <w:t xml:space="preserve"> (6.81 cycles)</w:t>
            </w:r>
          </w:p>
        </w:tc>
        <w:tc>
          <w:tcPr>
            <w:tcW w:w="737" w:type="pct"/>
            <w:vAlign w:val="center"/>
          </w:tcPr>
          <w:p w14:paraId="7955E8D1" w14:textId="345D2142"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6FD1A12B" w14:textId="77777777" w:rsidR="007907CB" w:rsidRPr="0085018D" w:rsidRDefault="007907CB" w:rsidP="001A3E3F">
            <w:pPr>
              <w:pStyle w:val="COMTabletext"/>
              <w:keepNext w:val="0"/>
              <w:jc w:val="center"/>
            </w:pPr>
            <w:r w:rsidRPr="0085018D">
              <w:t>0.52</w:t>
            </w:r>
          </w:p>
        </w:tc>
        <w:tc>
          <w:tcPr>
            <w:tcW w:w="718" w:type="pct"/>
            <w:vAlign w:val="center"/>
          </w:tcPr>
          <w:p w14:paraId="5820E994" w14:textId="62295BC6"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7</w:t>
            </w:r>
          </w:p>
        </w:tc>
        <w:tc>
          <w:tcPr>
            <w:tcW w:w="718" w:type="pct"/>
            <w:vAlign w:val="center"/>
          </w:tcPr>
          <w:p w14:paraId="01ADAF75" w14:textId="19C1EE36"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20"/>
                <w14:textFill>
                  <w14:solidFill>
                    <w14:srgbClr w14:val="000000">
                      <w14:alpha w14:val="100000"/>
                    </w14:srgbClr>
                  </w14:solidFill>
                </w14:textFill>
              </w:rPr>
              <w:t xml:space="preserve">　</w:t>
            </w:r>
            <w:r w:rsidR="00AC76C1" w:rsidRPr="00AC76C1">
              <w:rPr>
                <w:color w:val="000000"/>
                <w:w w:val="15"/>
                <w:shd w:val="solid" w:color="000000" w:fill="000000"/>
                <w:fitText w:val="50" w:id="-961819120"/>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20"/>
                <w14:textFill>
                  <w14:solidFill>
                    <w14:srgbClr w14:val="000000">
                      <w14:alpha w14:val="100000"/>
                    </w14:srgbClr>
                  </w14:solidFill>
                </w14:textFill>
              </w:rPr>
              <w:t xml:space="preserve">　</w:t>
            </w:r>
            <w:r w:rsidRPr="0085018D">
              <w:t>%</w:t>
            </w:r>
          </w:p>
        </w:tc>
      </w:tr>
      <w:tr w:rsidR="007907CB" w:rsidRPr="0085018D" w14:paraId="4D291C7B" w14:textId="77777777" w:rsidTr="001A3E3F">
        <w:trPr>
          <w:cantSplit/>
        </w:trPr>
        <w:tc>
          <w:tcPr>
            <w:tcW w:w="2132" w:type="pct"/>
          </w:tcPr>
          <w:p w14:paraId="0CB8396D" w14:textId="6D7E9679" w:rsidR="007907CB" w:rsidRPr="0085018D" w:rsidRDefault="007907CB" w:rsidP="001A3E3F">
            <w:pPr>
              <w:pStyle w:val="COMTabletext"/>
              <w:keepNext w:val="0"/>
            </w:pPr>
            <w:r w:rsidRPr="0085018D">
              <w:t xml:space="preserve">Brentuximab </w:t>
            </w:r>
            <w:proofErr w:type="spellStart"/>
            <w:r w:rsidRPr="0085018D">
              <w:t>vedotin</w:t>
            </w:r>
            <w:proofErr w:type="spellEnd"/>
            <w:r w:rsidRPr="0085018D">
              <w:t xml:space="preserve"> based on the effective price for ASCT-naïve relapsed/refractory patients (AEMP $</w:t>
            </w:r>
            <w:r w:rsidR="00AC76C1" w:rsidRPr="00AC76C1">
              <w:rPr>
                <w:color w:val="000000"/>
                <w:spacing w:val="51"/>
                <w:shd w:val="solid" w:color="000000" w:fill="000000"/>
                <w:fitText w:val="325" w:id="-961819136"/>
                <w14:textFill>
                  <w14:solidFill>
                    <w14:srgbClr w14:val="000000">
                      <w14:alpha w14:val="100000"/>
                    </w14:srgbClr>
                  </w14:solidFill>
                </w14:textFill>
              </w:rPr>
              <w:t>|||</w:t>
            </w:r>
            <w:r w:rsidR="00AC76C1" w:rsidRPr="00AC76C1">
              <w:rPr>
                <w:color w:val="000000"/>
                <w:spacing w:val="2"/>
                <w:shd w:val="solid" w:color="000000" w:fill="000000"/>
                <w:fitText w:val="325" w:id="-961819136"/>
                <w14:textFill>
                  <w14:solidFill>
                    <w14:srgbClr w14:val="000000">
                      <w14:alpha w14:val="100000"/>
                    </w14:srgbClr>
                  </w14:solidFill>
                </w14:textFill>
              </w:rPr>
              <w:t>|</w:t>
            </w:r>
            <w:r w:rsidRPr="0085018D">
              <w:t>)</w:t>
            </w:r>
          </w:p>
        </w:tc>
        <w:tc>
          <w:tcPr>
            <w:tcW w:w="737" w:type="pct"/>
            <w:vAlign w:val="center"/>
          </w:tcPr>
          <w:p w14:paraId="127FB157" w14:textId="2245AEAF"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47C3068F" w14:textId="77777777" w:rsidR="007907CB" w:rsidRPr="0085018D" w:rsidRDefault="007907CB" w:rsidP="001A3E3F">
            <w:pPr>
              <w:pStyle w:val="COMTabletext"/>
              <w:keepNext w:val="0"/>
              <w:jc w:val="center"/>
            </w:pPr>
            <w:r w:rsidRPr="0085018D">
              <w:t>0.52</w:t>
            </w:r>
          </w:p>
        </w:tc>
        <w:tc>
          <w:tcPr>
            <w:tcW w:w="718" w:type="pct"/>
            <w:vAlign w:val="center"/>
          </w:tcPr>
          <w:p w14:paraId="1FDF7F62" w14:textId="7FA3DF66"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3</w:t>
            </w:r>
          </w:p>
        </w:tc>
        <w:tc>
          <w:tcPr>
            <w:tcW w:w="718" w:type="pct"/>
            <w:vAlign w:val="center"/>
          </w:tcPr>
          <w:p w14:paraId="5C268780" w14:textId="07C16D71" w:rsidR="007907CB" w:rsidRPr="0085018D" w:rsidRDefault="007907CB" w:rsidP="001A3E3F">
            <w:pPr>
              <w:pStyle w:val="COMTabletext"/>
              <w:keepNext w:val="0"/>
              <w:jc w:val="center"/>
            </w:pPr>
            <w:r w:rsidRPr="0085018D">
              <w:t>-</w:t>
            </w:r>
            <w:r w:rsidR="00AC76C1" w:rsidRPr="00A45ED5">
              <w:rPr>
                <w:rFonts w:hint="eastAsia"/>
                <w:color w:val="000000"/>
                <w:w w:val="15"/>
                <w:shd w:val="solid" w:color="000000" w:fill="000000"/>
                <w:fitText w:val="25" w:id="-961819135"/>
                <w14:textFill>
                  <w14:solidFill>
                    <w14:srgbClr w14:val="000000">
                      <w14:alpha w14:val="100000"/>
                    </w14:srgbClr>
                  </w14:solidFill>
                </w14:textFill>
              </w:rPr>
              <w:t xml:space="preserve">　</w:t>
            </w:r>
            <w:r w:rsidR="00AC76C1" w:rsidRPr="00A45ED5">
              <w:rPr>
                <w:color w:val="000000"/>
                <w:w w:val="15"/>
                <w:shd w:val="solid" w:color="000000" w:fill="000000"/>
                <w:fitText w:val="25" w:id="-961819135"/>
                <w14:textFill>
                  <w14:solidFill>
                    <w14:srgbClr w14:val="000000">
                      <w14:alpha w14:val="100000"/>
                    </w14:srgbClr>
                  </w14:solidFill>
                </w14:textFill>
              </w:rPr>
              <w:t>|</w:t>
            </w:r>
            <w:r w:rsidR="00AC76C1" w:rsidRPr="00A45ED5">
              <w:rPr>
                <w:rFonts w:hint="eastAsia"/>
                <w:color w:val="000000"/>
                <w:spacing w:val="-41"/>
                <w:w w:val="15"/>
                <w:shd w:val="solid" w:color="000000" w:fill="000000"/>
                <w:fitText w:val="25" w:id="-961819135"/>
                <w14:textFill>
                  <w14:solidFill>
                    <w14:srgbClr w14:val="000000">
                      <w14:alpha w14:val="100000"/>
                    </w14:srgbClr>
                  </w14:solidFill>
                </w14:textFill>
              </w:rPr>
              <w:t xml:space="preserve">　</w:t>
            </w:r>
            <w:r w:rsidRPr="0085018D">
              <w:t>%</w:t>
            </w:r>
          </w:p>
        </w:tc>
      </w:tr>
      <w:tr w:rsidR="007907CB" w:rsidRPr="0085018D" w14:paraId="7930025D" w14:textId="77777777" w:rsidTr="001A3E3F">
        <w:trPr>
          <w:cantSplit/>
        </w:trPr>
        <w:tc>
          <w:tcPr>
            <w:tcW w:w="2132" w:type="pct"/>
          </w:tcPr>
          <w:p w14:paraId="3D367280" w14:textId="0F506C09" w:rsidR="007907CB" w:rsidRPr="0085018D" w:rsidRDefault="007907CB" w:rsidP="001A3E3F">
            <w:pPr>
              <w:pStyle w:val="COMTabletext"/>
              <w:keepNext w:val="0"/>
            </w:pPr>
            <w:r w:rsidRPr="0085018D">
              <w:t xml:space="preserve">Brentuximab </w:t>
            </w:r>
            <w:proofErr w:type="spellStart"/>
            <w:r w:rsidRPr="0085018D">
              <w:t>vedotin</w:t>
            </w:r>
            <w:proofErr w:type="spellEnd"/>
            <w:r w:rsidRPr="0085018D">
              <w:t xml:space="preserve"> based on the effective price for relapse</w:t>
            </w:r>
            <w:r w:rsidR="00086BEA" w:rsidRPr="0085018D">
              <w:t>d</w:t>
            </w:r>
            <w:r w:rsidRPr="0085018D">
              <w:t>/refractory post-ASCT patients (AEMP $</w:t>
            </w:r>
            <w:r w:rsidR="00AC76C1" w:rsidRPr="00AC76C1">
              <w:rPr>
                <w:color w:val="000000"/>
                <w:spacing w:val="51"/>
                <w:shd w:val="solid" w:color="000000" w:fill="000000"/>
                <w:fitText w:val="325" w:id="-961819134"/>
                <w14:textFill>
                  <w14:solidFill>
                    <w14:srgbClr w14:val="000000">
                      <w14:alpha w14:val="100000"/>
                    </w14:srgbClr>
                  </w14:solidFill>
                </w14:textFill>
              </w:rPr>
              <w:t>|||</w:t>
            </w:r>
            <w:r w:rsidR="00AC76C1" w:rsidRPr="00AC76C1">
              <w:rPr>
                <w:color w:val="000000"/>
                <w:spacing w:val="2"/>
                <w:shd w:val="solid" w:color="000000" w:fill="000000"/>
                <w:fitText w:val="325" w:id="-961819134"/>
                <w14:textFill>
                  <w14:solidFill>
                    <w14:srgbClr w14:val="000000">
                      <w14:alpha w14:val="100000"/>
                    </w14:srgbClr>
                  </w14:solidFill>
                </w14:textFill>
              </w:rPr>
              <w:t>|</w:t>
            </w:r>
            <w:r w:rsidRPr="0085018D">
              <w:t>)</w:t>
            </w:r>
          </w:p>
        </w:tc>
        <w:tc>
          <w:tcPr>
            <w:tcW w:w="737" w:type="pct"/>
            <w:vAlign w:val="center"/>
          </w:tcPr>
          <w:p w14:paraId="6CD36DD7" w14:textId="7C9631D1"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0629CD0A" w14:textId="77777777" w:rsidR="007907CB" w:rsidRPr="0085018D" w:rsidRDefault="007907CB" w:rsidP="001A3E3F">
            <w:pPr>
              <w:pStyle w:val="COMTabletext"/>
              <w:keepNext w:val="0"/>
              <w:jc w:val="center"/>
            </w:pPr>
            <w:r w:rsidRPr="0085018D">
              <w:t>0.52</w:t>
            </w:r>
          </w:p>
        </w:tc>
        <w:tc>
          <w:tcPr>
            <w:tcW w:w="718" w:type="pct"/>
            <w:vAlign w:val="center"/>
          </w:tcPr>
          <w:p w14:paraId="0CABBCE5" w14:textId="1B3B140E"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3</w:t>
            </w:r>
          </w:p>
        </w:tc>
        <w:tc>
          <w:tcPr>
            <w:tcW w:w="718" w:type="pct"/>
            <w:vAlign w:val="center"/>
          </w:tcPr>
          <w:p w14:paraId="337A62E0" w14:textId="70DA538E" w:rsidR="007907CB" w:rsidRPr="0085018D" w:rsidRDefault="007907CB" w:rsidP="001A3E3F">
            <w:pPr>
              <w:pStyle w:val="COMTabletext"/>
              <w:keepNext w:val="0"/>
              <w:jc w:val="center"/>
            </w:pPr>
            <w:r w:rsidRPr="0085018D">
              <w:t>-</w:t>
            </w:r>
            <w:r w:rsidR="00AC76C1" w:rsidRPr="00A45ED5">
              <w:rPr>
                <w:rFonts w:hint="eastAsia"/>
                <w:color w:val="000000"/>
                <w:w w:val="15"/>
                <w:shd w:val="solid" w:color="000000" w:fill="000000"/>
                <w:fitText w:val="25" w:id="-961819133"/>
                <w14:textFill>
                  <w14:solidFill>
                    <w14:srgbClr w14:val="000000">
                      <w14:alpha w14:val="100000"/>
                    </w14:srgbClr>
                  </w14:solidFill>
                </w14:textFill>
              </w:rPr>
              <w:t xml:space="preserve">　</w:t>
            </w:r>
            <w:r w:rsidR="00AC76C1" w:rsidRPr="00A45ED5">
              <w:rPr>
                <w:color w:val="000000"/>
                <w:w w:val="15"/>
                <w:shd w:val="solid" w:color="000000" w:fill="000000"/>
                <w:fitText w:val="25" w:id="-961819133"/>
                <w14:textFill>
                  <w14:solidFill>
                    <w14:srgbClr w14:val="000000">
                      <w14:alpha w14:val="100000"/>
                    </w14:srgbClr>
                  </w14:solidFill>
                </w14:textFill>
              </w:rPr>
              <w:t>|</w:t>
            </w:r>
            <w:r w:rsidR="00AC76C1" w:rsidRPr="00A45ED5">
              <w:rPr>
                <w:rFonts w:hint="eastAsia"/>
                <w:color w:val="000000"/>
                <w:spacing w:val="-41"/>
                <w:w w:val="15"/>
                <w:shd w:val="solid" w:color="000000" w:fill="000000"/>
                <w:fitText w:val="25" w:id="-961819133"/>
                <w14:textFill>
                  <w14:solidFill>
                    <w14:srgbClr w14:val="000000">
                      <w14:alpha w14:val="100000"/>
                    </w14:srgbClr>
                  </w14:solidFill>
                </w14:textFill>
              </w:rPr>
              <w:t xml:space="preserve">　</w:t>
            </w:r>
            <w:r w:rsidRPr="0085018D">
              <w:t>%</w:t>
            </w:r>
          </w:p>
        </w:tc>
      </w:tr>
      <w:tr w:rsidR="007907CB" w:rsidRPr="0085018D" w14:paraId="4A3EB4BF" w14:textId="77777777" w:rsidTr="001A3E3F">
        <w:trPr>
          <w:cantSplit/>
        </w:trPr>
        <w:tc>
          <w:tcPr>
            <w:tcW w:w="2132" w:type="pct"/>
          </w:tcPr>
          <w:p w14:paraId="41D7A591" w14:textId="77777777" w:rsidR="007907CB" w:rsidRPr="0085018D" w:rsidRDefault="007907CB" w:rsidP="001A3E3F">
            <w:pPr>
              <w:pStyle w:val="COMTabletext"/>
              <w:keepNext w:val="0"/>
            </w:pPr>
            <w:r w:rsidRPr="0085018D">
              <w:t>No subsequent treatment costs</w:t>
            </w:r>
          </w:p>
        </w:tc>
        <w:tc>
          <w:tcPr>
            <w:tcW w:w="737" w:type="pct"/>
            <w:vAlign w:val="center"/>
          </w:tcPr>
          <w:p w14:paraId="08F78837" w14:textId="1E1D3D54"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p>
        </w:tc>
        <w:tc>
          <w:tcPr>
            <w:tcW w:w="695" w:type="pct"/>
            <w:vAlign w:val="center"/>
          </w:tcPr>
          <w:p w14:paraId="1B3165F9" w14:textId="77777777" w:rsidR="007907CB" w:rsidRPr="0085018D" w:rsidRDefault="007907CB" w:rsidP="001A3E3F">
            <w:pPr>
              <w:pStyle w:val="COMTabletext"/>
              <w:keepNext w:val="0"/>
              <w:jc w:val="center"/>
            </w:pPr>
            <w:r w:rsidRPr="0085018D">
              <w:t>0.52</w:t>
            </w:r>
          </w:p>
        </w:tc>
        <w:tc>
          <w:tcPr>
            <w:tcW w:w="718" w:type="pct"/>
            <w:vAlign w:val="center"/>
          </w:tcPr>
          <w:p w14:paraId="5121B994" w14:textId="6E0BCA9A" w:rsidR="007907CB" w:rsidRPr="0085018D" w:rsidRDefault="007907CB" w:rsidP="001A3E3F">
            <w:pPr>
              <w:pStyle w:val="COMTabletext"/>
              <w:keepNext w:val="0"/>
              <w:jc w:val="center"/>
            </w:pPr>
            <w:r w:rsidRPr="0085018D">
              <w:t>$</w:t>
            </w:r>
            <w:r w:rsidR="00AC76C1" w:rsidRPr="00AC76C1">
              <w:rPr>
                <w:color w:val="000000"/>
                <w:shd w:val="solid" w:color="000000" w:fill="000000"/>
                <w14:textFill>
                  <w14:solidFill>
                    <w14:srgbClr w14:val="000000">
                      <w14:alpha w14:val="100000"/>
                    </w14:srgbClr>
                  </w14:solidFill>
                </w14:textFill>
              </w:rPr>
              <w:t>|</w:t>
            </w:r>
            <w:r w:rsidR="009A1605">
              <w:rPr>
                <w:vertAlign w:val="superscript"/>
              </w:rPr>
              <w:t>7</w:t>
            </w:r>
          </w:p>
        </w:tc>
        <w:tc>
          <w:tcPr>
            <w:tcW w:w="718" w:type="pct"/>
            <w:vAlign w:val="center"/>
          </w:tcPr>
          <w:p w14:paraId="15D93E7B" w14:textId="502475A6" w:rsidR="007907CB" w:rsidRPr="0085018D" w:rsidRDefault="007907CB" w:rsidP="001A3E3F">
            <w:pPr>
              <w:pStyle w:val="COMTabletext"/>
              <w:keepNext w:val="0"/>
              <w:jc w:val="center"/>
            </w:pPr>
            <w:r w:rsidRPr="0085018D">
              <w:t>+</w:t>
            </w:r>
            <w:r w:rsidR="00AC76C1" w:rsidRPr="00AC76C1">
              <w:rPr>
                <w:rFonts w:hint="eastAsia"/>
                <w:color w:val="000000"/>
                <w:w w:val="15"/>
                <w:shd w:val="solid" w:color="000000" w:fill="000000"/>
                <w:fitText w:val="50" w:id="-961819132"/>
                <w14:textFill>
                  <w14:solidFill>
                    <w14:srgbClr w14:val="000000">
                      <w14:alpha w14:val="100000"/>
                    </w14:srgbClr>
                  </w14:solidFill>
                </w14:textFill>
              </w:rPr>
              <w:t xml:space="preserve">　</w:t>
            </w:r>
            <w:r w:rsidR="00AC76C1" w:rsidRPr="00AC76C1">
              <w:rPr>
                <w:color w:val="000000"/>
                <w:w w:val="15"/>
                <w:shd w:val="solid" w:color="000000" w:fill="000000"/>
                <w:fitText w:val="50" w:id="-961819132"/>
                <w14:textFill>
                  <w14:solidFill>
                    <w14:srgbClr w14:val="000000">
                      <w14:alpha w14:val="100000"/>
                    </w14:srgbClr>
                  </w14:solidFill>
                </w14:textFill>
              </w:rPr>
              <w:t>|</w:t>
            </w:r>
            <w:r w:rsidR="00AC76C1" w:rsidRPr="00AC76C1">
              <w:rPr>
                <w:rFonts w:hint="eastAsia"/>
                <w:color w:val="000000"/>
                <w:spacing w:val="-15"/>
                <w:w w:val="15"/>
                <w:shd w:val="solid" w:color="000000" w:fill="000000"/>
                <w:fitText w:val="50" w:id="-961819132"/>
                <w14:textFill>
                  <w14:solidFill>
                    <w14:srgbClr w14:val="000000">
                      <w14:alpha w14:val="100000"/>
                    </w14:srgbClr>
                  </w14:solidFill>
                </w14:textFill>
              </w:rPr>
              <w:t xml:space="preserve">　</w:t>
            </w:r>
            <w:r w:rsidRPr="0085018D">
              <w:t>%</w:t>
            </w:r>
          </w:p>
        </w:tc>
      </w:tr>
    </w:tbl>
    <w:p w14:paraId="75B4711D" w14:textId="77777777" w:rsidR="007907CB" w:rsidRPr="0085018D" w:rsidRDefault="007907CB" w:rsidP="007907CB">
      <w:pPr>
        <w:pStyle w:val="COMTablefooter"/>
      </w:pPr>
      <w:r w:rsidRPr="0085018D">
        <w:t xml:space="preserve">Source: constructed during the evaluation using the brentuximab </w:t>
      </w:r>
      <w:proofErr w:type="spellStart"/>
      <w:r w:rsidRPr="0085018D">
        <w:t>vedotin</w:t>
      </w:r>
      <w:proofErr w:type="spellEnd"/>
      <w:r w:rsidRPr="0085018D">
        <w:t xml:space="preserve"> economic model of the submission</w:t>
      </w:r>
    </w:p>
    <w:p w14:paraId="6C855BFD" w14:textId="60FA13E7" w:rsidR="00C044B8" w:rsidRPr="0085018D" w:rsidRDefault="00C044B8" w:rsidP="00C044B8">
      <w:pPr>
        <w:pStyle w:val="COMTablefooter"/>
      </w:pPr>
      <w:r w:rsidRPr="0085018D">
        <w:t xml:space="preserve">Abbreviations: A+AVD, brentuximab </w:t>
      </w:r>
      <w:proofErr w:type="spellStart"/>
      <w:r w:rsidRPr="0085018D">
        <w:t>vedotin</w:t>
      </w:r>
      <w:proofErr w:type="spellEnd"/>
      <w:r w:rsidRPr="0085018D">
        <w:t xml:space="preserve"> plus doxorubicin, vinblastine, dacarbazine; ABVD, doxorubicin, bleomycin, vinblastine, and dacarbazine; AEMP, approved ex-manufacturer price; ASCT, autologous stem cell transplant; </w:t>
      </w:r>
      <w:r w:rsidR="00633B45" w:rsidRPr="0085018D">
        <w:t xml:space="preserve">PET, </w:t>
      </w:r>
      <w:r w:rsidR="003D135E" w:rsidRPr="0085018D">
        <w:t>positron emission tomography</w:t>
      </w:r>
      <w:r w:rsidR="00635AFC" w:rsidRPr="0085018D">
        <w:t xml:space="preserve">; </w:t>
      </w:r>
      <w:r w:rsidRPr="0085018D">
        <w:t>MCM, mixture cure model</w:t>
      </w:r>
    </w:p>
    <w:p w14:paraId="2F328B56" w14:textId="74CB1FE5" w:rsidR="00C97846" w:rsidRPr="0085018D" w:rsidRDefault="00C97846" w:rsidP="00C97846">
      <w:pPr>
        <w:pStyle w:val="COMTablefooter"/>
      </w:pPr>
      <w:proofErr w:type="gramStart"/>
      <w:r w:rsidRPr="0085018D">
        <w:rPr>
          <w:vertAlign w:val="superscript"/>
        </w:rPr>
        <w:t>a</w:t>
      </w:r>
      <w:r w:rsidRPr="0085018D">
        <w:t xml:space="preserve"> 2 cycles</w:t>
      </w:r>
      <w:proofErr w:type="gramEnd"/>
      <w:r w:rsidRPr="0085018D">
        <w:t xml:space="preserve"> of ABVD followed by 4 cycles of AVD in 91.3% of patients and 4 cycles of </w:t>
      </w:r>
      <w:proofErr w:type="spellStart"/>
      <w:r w:rsidRPr="0085018D">
        <w:t>eBEACOPP</w:t>
      </w:r>
      <w:proofErr w:type="spellEnd"/>
      <w:r w:rsidRPr="0085018D">
        <w:t xml:space="preserve"> in 8.7% of patients </w:t>
      </w:r>
    </w:p>
    <w:p w14:paraId="14F1102C" w14:textId="69D2857C" w:rsidR="00C044B8" w:rsidRDefault="00C044B8" w:rsidP="00BB25FC">
      <w:pPr>
        <w:pStyle w:val="COMTablefooter"/>
        <w:spacing w:after="0"/>
      </w:pPr>
      <w:r w:rsidRPr="0085018D">
        <w:rPr>
          <w:vertAlign w:val="superscript"/>
        </w:rPr>
        <w:t>b</w:t>
      </w:r>
      <w:r w:rsidRPr="0085018D">
        <w:t xml:space="preserve"> Based on costs of chemotherapy, stem cell transplant, pembrolizumab (published PBS price for relapsed/refractory disease), brentuximab </w:t>
      </w:r>
      <w:proofErr w:type="spellStart"/>
      <w:r w:rsidRPr="0085018D">
        <w:t>vedotin</w:t>
      </w:r>
      <w:proofErr w:type="spellEnd"/>
      <w:r w:rsidRPr="0085018D">
        <w:t xml:space="preserve"> (proposed effective AEMP $</w:t>
      </w:r>
      <w:r w:rsidR="00AC76C1" w:rsidRPr="00AC76C1">
        <w:rPr>
          <w:color w:val="000000"/>
          <w:spacing w:val="9"/>
          <w:shd w:val="solid" w:color="000000" w:fill="000000"/>
          <w:fitText w:val="281" w:id="-961819131"/>
          <w14:textFill>
            <w14:solidFill>
              <w14:srgbClr w14:val="000000">
                <w14:alpha w14:val="100000"/>
              </w14:srgbClr>
            </w14:solidFill>
          </w14:textFill>
        </w:rPr>
        <w:t>|</w:t>
      </w:r>
      <w:proofErr w:type="gramStart"/>
      <w:r w:rsidR="00AC76C1" w:rsidRPr="00AC76C1">
        <w:rPr>
          <w:color w:val="000000"/>
          <w:spacing w:val="9"/>
          <w:shd w:val="solid" w:color="000000" w:fill="000000"/>
          <w:fitText w:val="281" w:id="-961819131"/>
          <w14:textFill>
            <w14:solidFill>
              <w14:srgbClr w14:val="000000">
                <w14:alpha w14:val="100000"/>
              </w14:srgbClr>
            </w14:solidFill>
          </w14:textFill>
        </w:rPr>
        <w:t>|  |</w:t>
      </w:r>
      <w:proofErr w:type="gramEnd"/>
      <w:r w:rsidR="00AC76C1" w:rsidRPr="00AC76C1">
        <w:rPr>
          <w:color w:val="000000"/>
          <w:spacing w:val="1"/>
          <w:shd w:val="solid" w:color="000000" w:fill="000000"/>
          <w:fitText w:val="281" w:id="-961819131"/>
          <w14:textFill>
            <w14:solidFill>
              <w14:srgbClr w14:val="000000">
                <w14:alpha w14:val="100000"/>
              </w14:srgbClr>
            </w14:solidFill>
          </w14:textFill>
        </w:rPr>
        <w:t>|</w:t>
      </w:r>
      <w:r w:rsidRPr="0085018D">
        <w:t xml:space="preserve"> for first line treatment) and radiotherapy</w:t>
      </w:r>
    </w:p>
    <w:p w14:paraId="5E36A3DE" w14:textId="77777777" w:rsidR="00BB25FC" w:rsidRPr="009A6D58" w:rsidRDefault="00BB25FC" w:rsidP="00BB25FC">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1395E07" w14:textId="6648813C" w:rsidR="00BB25FC" w:rsidRPr="009A6D58" w:rsidRDefault="00BB25FC" w:rsidP="000629E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0629E9" w:rsidRPr="000629E9">
        <w:rPr>
          <w:rFonts w:ascii="Arial Narrow" w:hAnsi="Arial Narrow"/>
          <w:i/>
          <w:sz w:val="18"/>
          <w:szCs w:val="18"/>
        </w:rPr>
        <w:t>$45,000 to &lt; $55,000</w:t>
      </w:r>
    </w:p>
    <w:p w14:paraId="40D91F57" w14:textId="7B33BF7D" w:rsidR="00BB25FC" w:rsidRPr="009A6D58" w:rsidRDefault="00BB25FC" w:rsidP="000629E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0629E9" w:rsidRPr="000629E9">
        <w:rPr>
          <w:rFonts w:ascii="Arial Narrow" w:hAnsi="Arial Narrow"/>
          <w:i/>
          <w:sz w:val="18"/>
          <w:szCs w:val="18"/>
        </w:rPr>
        <w:t>$15,000 to &lt; $25,000</w:t>
      </w:r>
    </w:p>
    <w:p w14:paraId="64941C8D" w14:textId="1C4DF60B" w:rsidR="00BB25FC" w:rsidRDefault="00BB25FC" w:rsidP="000629E9">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0629E9" w:rsidRPr="000629E9">
        <w:rPr>
          <w:rFonts w:ascii="Arial Narrow" w:hAnsi="Arial Narrow"/>
          <w:i/>
          <w:sz w:val="18"/>
          <w:szCs w:val="18"/>
        </w:rPr>
        <w:t>$35,000 to &lt; $45,000</w:t>
      </w:r>
    </w:p>
    <w:p w14:paraId="1D045444" w14:textId="12CD167E" w:rsidR="0041772E" w:rsidRDefault="00BB25FC" w:rsidP="000629E9">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0629E9" w:rsidRPr="000629E9">
        <w:rPr>
          <w:rFonts w:ascii="Arial Narrow" w:hAnsi="Arial Narrow"/>
          <w:i/>
          <w:sz w:val="18"/>
          <w:szCs w:val="18"/>
        </w:rPr>
        <w:t>$155,000 to &lt; $255,000</w:t>
      </w:r>
    </w:p>
    <w:p w14:paraId="0C300109" w14:textId="60E48D54" w:rsidR="0041772E" w:rsidRDefault="000629E9" w:rsidP="000629E9">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9A1605" w:rsidRPr="009A1605">
        <w:rPr>
          <w:rFonts w:ascii="Arial Narrow" w:hAnsi="Arial Narrow"/>
          <w:i/>
          <w:sz w:val="18"/>
          <w:szCs w:val="18"/>
        </w:rPr>
        <w:t>$115,000 to &lt; $135,000</w:t>
      </w:r>
    </w:p>
    <w:p w14:paraId="5816783D" w14:textId="0D59F334" w:rsidR="000629E9" w:rsidRDefault="000629E9" w:rsidP="000629E9">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9A1605" w:rsidRPr="009A1605">
        <w:rPr>
          <w:rFonts w:ascii="Arial Narrow" w:hAnsi="Arial Narrow"/>
          <w:i/>
          <w:sz w:val="18"/>
          <w:szCs w:val="18"/>
        </w:rPr>
        <w:t>$75,000 to &lt; $95,000</w:t>
      </w:r>
    </w:p>
    <w:p w14:paraId="710FAA9A" w14:textId="754B0AA2" w:rsidR="000629E9" w:rsidRPr="009A6D58" w:rsidRDefault="000629E9" w:rsidP="000629E9">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9A1605" w:rsidRPr="009A1605">
        <w:rPr>
          <w:rFonts w:ascii="Arial Narrow" w:hAnsi="Arial Narrow"/>
          <w:i/>
          <w:sz w:val="18"/>
          <w:szCs w:val="18"/>
        </w:rPr>
        <w:t>$55,000 to &lt; $75,000</w:t>
      </w:r>
    </w:p>
    <w:p w14:paraId="6BF57437" w14:textId="3B0EBA24" w:rsidR="00042D1B" w:rsidRPr="009A6D58" w:rsidRDefault="000629E9" w:rsidP="003A272F">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9A1605" w:rsidRPr="009A1605">
        <w:rPr>
          <w:rFonts w:ascii="Arial Narrow" w:hAnsi="Arial Narrow"/>
          <w:i/>
          <w:sz w:val="18"/>
          <w:szCs w:val="18"/>
        </w:rPr>
        <w:t>$25,000 to &lt; $35,000</w:t>
      </w:r>
    </w:p>
    <w:p w14:paraId="6107A2AA" w14:textId="581A15D5" w:rsidR="005F52DD" w:rsidRPr="0085018D" w:rsidRDefault="005F52DD" w:rsidP="005F52DD">
      <w:pPr>
        <w:pStyle w:val="COMexecsumnumberedpara"/>
      </w:pPr>
      <w:r w:rsidRPr="0085018D">
        <w:t xml:space="preserve">The model was most sensitive to time horizon, health state utilities, the discount rate and subsequent treatment costs. Due to the partitioned survival design, changes to subsequent treatments only affected modelled costs without affecting the modelled survival endpoints </w:t>
      </w:r>
      <w:r w:rsidR="001D2858" w:rsidRPr="0085018D">
        <w:t>or</w:t>
      </w:r>
      <w:r w:rsidRPr="0085018D">
        <w:t xml:space="preserve"> quality of life. There were additional uncertainties associated with the implementation of subsequent treatment costs that could not be quantified as the model structure is unable to track the occurrence of events and/or patient status at any given time.</w:t>
      </w:r>
    </w:p>
    <w:p w14:paraId="676D4583" w14:textId="7DBEAADD" w:rsidR="00C1624F" w:rsidRPr="0085018D" w:rsidRDefault="00670FBC" w:rsidP="00670FBC">
      <w:pPr>
        <w:pStyle w:val="COMexecsumnumberedpara"/>
      </w:pPr>
      <w:bookmarkStart w:id="49" w:name="_Ref159428557"/>
      <w:bookmarkStart w:id="50" w:name="_Hlk163745983"/>
      <w:r w:rsidRPr="0085018D">
        <w:t xml:space="preserve">The </w:t>
      </w:r>
      <w:r w:rsidR="00C1624F" w:rsidRPr="0085018D">
        <w:t xml:space="preserve">ESC advised that the use of a partitioned survival analysis was not justified and that a simple Markov model would provide a more flexible and transparent approach. </w:t>
      </w:r>
      <w:r w:rsidRPr="0085018D">
        <w:t>The ESC considered a</w:t>
      </w:r>
      <w:r w:rsidR="00C1624F" w:rsidRPr="0085018D">
        <w:t xml:space="preserve"> revised Markov model should consider inclusion of additional health states for relapse and subsequent treatments so that the impacts of assumptions around long term modelled outcomes may be appropriately tested and validated.</w:t>
      </w:r>
      <w:r w:rsidR="000469E7" w:rsidRPr="0085018D">
        <w:t xml:space="preserve"> In addition, the ESC considered that further information and justification </w:t>
      </w:r>
      <w:r w:rsidR="00E72528" w:rsidRPr="0085018D">
        <w:t>for</w:t>
      </w:r>
      <w:r w:rsidR="000469E7" w:rsidRPr="0085018D">
        <w:t xml:space="preserve"> the approach used in estimatin</w:t>
      </w:r>
      <w:r w:rsidR="00E72528" w:rsidRPr="0085018D">
        <w:t>g utility values was required.</w:t>
      </w:r>
      <w:bookmarkEnd w:id="49"/>
      <w:r w:rsidR="00E72528" w:rsidRPr="0085018D">
        <w:t xml:space="preserve"> </w:t>
      </w:r>
    </w:p>
    <w:p w14:paraId="472842D7" w14:textId="7AFCCEC7" w:rsidR="00C25D9C" w:rsidRPr="0085018D" w:rsidRDefault="00C25D9C" w:rsidP="00BB732D">
      <w:pPr>
        <w:pStyle w:val="COMH2-non-numbered"/>
      </w:pPr>
      <w:bookmarkStart w:id="51" w:name="_Toc22897646"/>
      <w:bookmarkStart w:id="52" w:name="_Toc156922252"/>
      <w:bookmarkEnd w:id="50"/>
      <w:r w:rsidRPr="0085018D">
        <w:t>Drug cost/patient/course</w:t>
      </w:r>
      <w:bookmarkEnd w:id="51"/>
      <w:bookmarkEnd w:id="52"/>
    </w:p>
    <w:p w14:paraId="51691BD3" w14:textId="562BD363" w:rsidR="00494207" w:rsidRPr="0085018D" w:rsidRDefault="00E16AD8" w:rsidP="00FD4ED6">
      <w:pPr>
        <w:pStyle w:val="COMtablefigcaption"/>
      </w:pPr>
      <w:bookmarkStart w:id="53" w:name="_Ref104805102"/>
      <w:r w:rsidRPr="0085018D">
        <w:t xml:space="preserve">Table </w:t>
      </w:r>
      <w:fldSimple w:instr=" SEQ Table \* ARABIC ">
        <w:r w:rsidR="001F14E4" w:rsidRPr="00B23B25">
          <w:t>11</w:t>
        </w:r>
      </w:fldSimple>
      <w:bookmarkEnd w:id="53"/>
      <w:r w:rsidRPr="0085018D">
        <w:t>:</w:t>
      </w:r>
      <w:r w:rsidR="00494207" w:rsidRPr="0085018D">
        <w:t xml:space="preserve"> Drug cost per patient for </w:t>
      </w:r>
      <w:r w:rsidR="00AD0199" w:rsidRPr="0085018D">
        <w:t>A+AVD, ABVD and PET-adapted ABVD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Drug cost per patient for A+AVD, ABVD and PET-adapted ABVD"/>
      </w:tblPr>
      <w:tblGrid>
        <w:gridCol w:w="1149"/>
        <w:gridCol w:w="983"/>
        <w:gridCol w:w="981"/>
        <w:gridCol w:w="983"/>
        <w:gridCol w:w="981"/>
        <w:gridCol w:w="985"/>
        <w:gridCol w:w="985"/>
        <w:gridCol w:w="985"/>
        <w:gridCol w:w="985"/>
      </w:tblGrid>
      <w:tr w:rsidR="00987F54" w:rsidRPr="0085018D" w14:paraId="21AC90BD" w14:textId="028A2D0C" w:rsidTr="00987F54">
        <w:trPr>
          <w:cantSplit/>
          <w:tblHeader/>
          <w:jc w:val="center"/>
        </w:trPr>
        <w:tc>
          <w:tcPr>
            <w:tcW w:w="637" w:type="pct"/>
            <w:vMerge w:val="restart"/>
            <w:shd w:val="clear" w:color="auto" w:fill="auto"/>
            <w:vAlign w:val="center"/>
          </w:tcPr>
          <w:p w14:paraId="485D48B1" w14:textId="77777777" w:rsidR="00987F54" w:rsidRPr="0085018D" w:rsidRDefault="00987F54" w:rsidP="00BB732D">
            <w:pPr>
              <w:pStyle w:val="COMTableheadingrow"/>
              <w:jc w:val="center"/>
              <w:rPr>
                <w:lang w:val="en-AU"/>
              </w:rPr>
            </w:pPr>
          </w:p>
        </w:tc>
        <w:tc>
          <w:tcPr>
            <w:tcW w:w="1634" w:type="pct"/>
            <w:gridSpan w:val="3"/>
            <w:shd w:val="clear" w:color="auto" w:fill="auto"/>
            <w:vAlign w:val="center"/>
          </w:tcPr>
          <w:p w14:paraId="44C76606" w14:textId="0D349DDF" w:rsidR="00987F54" w:rsidRPr="0085018D" w:rsidRDefault="00987F54" w:rsidP="00BB732D">
            <w:pPr>
              <w:pStyle w:val="COMTableheadingrow"/>
              <w:jc w:val="center"/>
              <w:rPr>
                <w:lang w:val="en-AU"/>
              </w:rPr>
            </w:pPr>
            <w:r w:rsidRPr="0085018D">
              <w:rPr>
                <w:lang w:val="en-AU"/>
              </w:rPr>
              <w:t>A+AVD</w:t>
            </w:r>
          </w:p>
        </w:tc>
        <w:tc>
          <w:tcPr>
            <w:tcW w:w="1636" w:type="pct"/>
            <w:gridSpan w:val="3"/>
            <w:shd w:val="clear" w:color="auto" w:fill="auto"/>
            <w:vAlign w:val="center"/>
          </w:tcPr>
          <w:p w14:paraId="709510A5" w14:textId="1B5B0862" w:rsidR="00987F54" w:rsidRPr="0085018D" w:rsidRDefault="00987F54" w:rsidP="00BB732D">
            <w:pPr>
              <w:pStyle w:val="COMTableheadingrow"/>
              <w:jc w:val="center"/>
              <w:rPr>
                <w:lang w:val="en-AU"/>
              </w:rPr>
            </w:pPr>
            <w:r w:rsidRPr="0085018D">
              <w:rPr>
                <w:lang w:val="en-AU"/>
              </w:rPr>
              <w:t>ABVD</w:t>
            </w:r>
          </w:p>
        </w:tc>
        <w:tc>
          <w:tcPr>
            <w:tcW w:w="1092" w:type="pct"/>
            <w:gridSpan w:val="2"/>
          </w:tcPr>
          <w:p w14:paraId="09EECF66" w14:textId="47D3FE67" w:rsidR="00987F54" w:rsidRPr="0085018D" w:rsidRDefault="00987F54" w:rsidP="00BB732D">
            <w:pPr>
              <w:pStyle w:val="COMTableheadingrow"/>
              <w:jc w:val="center"/>
              <w:rPr>
                <w:vertAlign w:val="superscript"/>
                <w:lang w:val="en-AU"/>
              </w:rPr>
            </w:pPr>
            <w:r w:rsidRPr="0085018D">
              <w:rPr>
                <w:lang w:val="en-AU"/>
              </w:rPr>
              <w:t>PET-adapted ABVD</w:t>
            </w:r>
            <w:r w:rsidR="00473492" w:rsidRPr="0085018D">
              <w:rPr>
                <w:lang w:val="en-AU"/>
              </w:rPr>
              <w:t xml:space="preserve"> </w:t>
            </w:r>
            <w:r w:rsidR="00473492" w:rsidRPr="0085018D">
              <w:rPr>
                <w:vertAlign w:val="superscript"/>
                <w:lang w:val="en-AU"/>
              </w:rPr>
              <w:t>a</w:t>
            </w:r>
          </w:p>
        </w:tc>
      </w:tr>
      <w:tr w:rsidR="00987F54" w:rsidRPr="0085018D" w14:paraId="5F25EA63" w14:textId="45834A8E" w:rsidTr="00987F54">
        <w:trPr>
          <w:cantSplit/>
          <w:tblHeader/>
          <w:jc w:val="center"/>
        </w:trPr>
        <w:tc>
          <w:tcPr>
            <w:tcW w:w="637" w:type="pct"/>
            <w:vMerge/>
            <w:shd w:val="clear" w:color="auto" w:fill="auto"/>
            <w:vAlign w:val="center"/>
          </w:tcPr>
          <w:p w14:paraId="30A3858B" w14:textId="77777777" w:rsidR="00987F54" w:rsidRPr="0085018D" w:rsidRDefault="00987F54" w:rsidP="00E23182">
            <w:pPr>
              <w:pStyle w:val="COMTableheadingrow"/>
              <w:jc w:val="center"/>
              <w:rPr>
                <w:lang w:val="en-AU"/>
              </w:rPr>
            </w:pPr>
          </w:p>
        </w:tc>
        <w:tc>
          <w:tcPr>
            <w:tcW w:w="545" w:type="pct"/>
            <w:shd w:val="clear" w:color="auto" w:fill="auto"/>
            <w:vAlign w:val="center"/>
          </w:tcPr>
          <w:p w14:paraId="0C46E962" w14:textId="6DFAEC0C" w:rsidR="00987F54" w:rsidRPr="0085018D" w:rsidRDefault="00987F54" w:rsidP="00E23182">
            <w:pPr>
              <w:pStyle w:val="COMTableheadingrow"/>
              <w:jc w:val="center"/>
              <w:rPr>
                <w:lang w:val="en-AU"/>
              </w:rPr>
            </w:pPr>
            <w:r w:rsidRPr="0085018D">
              <w:rPr>
                <w:lang w:val="en-AU"/>
              </w:rPr>
              <w:t>Trial</w:t>
            </w:r>
          </w:p>
        </w:tc>
        <w:tc>
          <w:tcPr>
            <w:tcW w:w="544" w:type="pct"/>
            <w:shd w:val="clear" w:color="auto" w:fill="auto"/>
            <w:vAlign w:val="center"/>
          </w:tcPr>
          <w:p w14:paraId="17741DCF" w14:textId="2CC57883" w:rsidR="00987F54" w:rsidRPr="0085018D" w:rsidRDefault="00987F54" w:rsidP="00E23182">
            <w:pPr>
              <w:pStyle w:val="COMTableheadingrow"/>
              <w:jc w:val="center"/>
              <w:rPr>
                <w:lang w:val="en-AU"/>
              </w:rPr>
            </w:pPr>
            <w:r w:rsidRPr="0085018D">
              <w:rPr>
                <w:lang w:val="en-AU"/>
              </w:rPr>
              <w:t>Economic model</w:t>
            </w:r>
          </w:p>
        </w:tc>
        <w:tc>
          <w:tcPr>
            <w:tcW w:w="545" w:type="pct"/>
            <w:shd w:val="clear" w:color="auto" w:fill="auto"/>
            <w:vAlign w:val="center"/>
          </w:tcPr>
          <w:p w14:paraId="5CA8536E" w14:textId="1D1685B6" w:rsidR="00987F54" w:rsidRPr="0085018D" w:rsidRDefault="00987F54" w:rsidP="00E23182">
            <w:pPr>
              <w:pStyle w:val="COMTableheadingrow"/>
              <w:jc w:val="center"/>
              <w:rPr>
                <w:lang w:val="en-AU"/>
              </w:rPr>
            </w:pPr>
            <w:r w:rsidRPr="0085018D">
              <w:rPr>
                <w:lang w:val="en-AU"/>
              </w:rPr>
              <w:t>Financial estimates</w:t>
            </w:r>
          </w:p>
        </w:tc>
        <w:tc>
          <w:tcPr>
            <w:tcW w:w="544" w:type="pct"/>
            <w:shd w:val="clear" w:color="auto" w:fill="auto"/>
            <w:vAlign w:val="center"/>
          </w:tcPr>
          <w:p w14:paraId="40959CDF" w14:textId="7F2158D1" w:rsidR="00987F54" w:rsidRPr="0085018D" w:rsidRDefault="00987F54" w:rsidP="00E23182">
            <w:pPr>
              <w:pStyle w:val="COMTableheadingrow"/>
              <w:jc w:val="center"/>
              <w:rPr>
                <w:lang w:val="en-AU"/>
              </w:rPr>
            </w:pPr>
            <w:r w:rsidRPr="0085018D">
              <w:rPr>
                <w:lang w:val="en-AU"/>
              </w:rPr>
              <w:t>Trial</w:t>
            </w:r>
          </w:p>
        </w:tc>
        <w:tc>
          <w:tcPr>
            <w:tcW w:w="546" w:type="pct"/>
            <w:shd w:val="clear" w:color="auto" w:fill="auto"/>
            <w:vAlign w:val="center"/>
          </w:tcPr>
          <w:p w14:paraId="46AFDECB" w14:textId="3D59500C" w:rsidR="00987F54" w:rsidRPr="0085018D" w:rsidRDefault="00987F54" w:rsidP="00E23182">
            <w:pPr>
              <w:pStyle w:val="COMTableheadingrow"/>
              <w:jc w:val="center"/>
              <w:rPr>
                <w:lang w:val="en-AU"/>
              </w:rPr>
            </w:pPr>
            <w:r w:rsidRPr="0085018D">
              <w:rPr>
                <w:lang w:val="en-AU"/>
              </w:rPr>
              <w:t>Economic model</w:t>
            </w:r>
          </w:p>
        </w:tc>
        <w:tc>
          <w:tcPr>
            <w:tcW w:w="546" w:type="pct"/>
            <w:vAlign w:val="center"/>
          </w:tcPr>
          <w:p w14:paraId="6402EC08" w14:textId="7D1A8D64" w:rsidR="00987F54" w:rsidRPr="0085018D" w:rsidRDefault="00987F54" w:rsidP="00E23182">
            <w:pPr>
              <w:pStyle w:val="COMTableheadingrow"/>
              <w:jc w:val="center"/>
              <w:rPr>
                <w:b w:val="0"/>
                <w:bCs/>
                <w:vertAlign w:val="superscript"/>
                <w:lang w:val="en-AU"/>
              </w:rPr>
            </w:pPr>
            <w:r w:rsidRPr="0085018D">
              <w:rPr>
                <w:lang w:val="en-AU"/>
              </w:rPr>
              <w:t>Financial estimates</w:t>
            </w:r>
            <w:r w:rsidR="00963CDF" w:rsidRPr="0085018D">
              <w:rPr>
                <w:lang w:val="en-AU"/>
              </w:rPr>
              <w:t xml:space="preserve"> </w:t>
            </w:r>
            <w:r w:rsidR="00963CDF" w:rsidRPr="0085018D">
              <w:rPr>
                <w:b w:val="0"/>
                <w:bCs/>
                <w:vertAlign w:val="superscript"/>
                <w:lang w:val="en-AU"/>
              </w:rPr>
              <w:t>b</w:t>
            </w:r>
          </w:p>
        </w:tc>
        <w:tc>
          <w:tcPr>
            <w:tcW w:w="546" w:type="pct"/>
          </w:tcPr>
          <w:p w14:paraId="35F59017" w14:textId="0ECE2968" w:rsidR="00987F54" w:rsidRPr="0085018D" w:rsidRDefault="00987F54" w:rsidP="00E23182">
            <w:pPr>
              <w:pStyle w:val="COMTableheadingrow"/>
              <w:jc w:val="center"/>
              <w:rPr>
                <w:lang w:val="en-AU"/>
              </w:rPr>
            </w:pPr>
            <w:r w:rsidRPr="0085018D">
              <w:rPr>
                <w:lang w:val="en-AU"/>
              </w:rPr>
              <w:t>Economic model</w:t>
            </w:r>
          </w:p>
        </w:tc>
        <w:tc>
          <w:tcPr>
            <w:tcW w:w="546" w:type="pct"/>
          </w:tcPr>
          <w:p w14:paraId="58CFFA18" w14:textId="1D499C0B" w:rsidR="00987F54" w:rsidRPr="0085018D" w:rsidRDefault="00987F54" w:rsidP="00E23182">
            <w:pPr>
              <w:pStyle w:val="COMTableheadingrow"/>
              <w:jc w:val="center"/>
              <w:rPr>
                <w:lang w:val="en-AU"/>
              </w:rPr>
            </w:pPr>
            <w:r w:rsidRPr="0085018D">
              <w:rPr>
                <w:lang w:val="en-AU"/>
              </w:rPr>
              <w:t>Financial estimates</w:t>
            </w:r>
          </w:p>
        </w:tc>
      </w:tr>
      <w:tr w:rsidR="00987F54" w:rsidRPr="0085018D" w14:paraId="745DAF0B" w14:textId="6047A86E" w:rsidTr="00A01959">
        <w:trPr>
          <w:cantSplit/>
          <w:jc w:val="center"/>
        </w:trPr>
        <w:tc>
          <w:tcPr>
            <w:tcW w:w="637" w:type="pct"/>
            <w:shd w:val="clear" w:color="auto" w:fill="auto"/>
            <w:vAlign w:val="center"/>
          </w:tcPr>
          <w:p w14:paraId="743973CE" w14:textId="0CAFE70F" w:rsidR="00987F54" w:rsidRPr="0085018D" w:rsidRDefault="00987F54" w:rsidP="00BB732D">
            <w:pPr>
              <w:pStyle w:val="COMTabletext"/>
            </w:pPr>
            <w:r w:rsidRPr="0085018D">
              <w:t>Mean cycles of treatment</w:t>
            </w:r>
          </w:p>
        </w:tc>
        <w:tc>
          <w:tcPr>
            <w:tcW w:w="545" w:type="pct"/>
            <w:shd w:val="clear" w:color="auto" w:fill="auto"/>
            <w:vAlign w:val="center"/>
          </w:tcPr>
          <w:p w14:paraId="5B1C9B2C" w14:textId="489E7564" w:rsidR="00987F54" w:rsidRPr="0085018D" w:rsidRDefault="00A01959" w:rsidP="00A01959">
            <w:pPr>
              <w:pStyle w:val="COMTabletext"/>
              <w:jc w:val="center"/>
            </w:pPr>
            <w:r w:rsidRPr="0085018D">
              <w:t>5.6</w:t>
            </w:r>
          </w:p>
        </w:tc>
        <w:tc>
          <w:tcPr>
            <w:tcW w:w="544" w:type="pct"/>
            <w:shd w:val="clear" w:color="auto" w:fill="auto"/>
            <w:vAlign w:val="center"/>
          </w:tcPr>
          <w:p w14:paraId="7379D234" w14:textId="703D9E5C" w:rsidR="00987F54" w:rsidRPr="0085018D" w:rsidRDefault="00A01959" w:rsidP="00A01959">
            <w:pPr>
              <w:pStyle w:val="COMTabletext"/>
              <w:jc w:val="center"/>
            </w:pPr>
            <w:r w:rsidRPr="0085018D">
              <w:t>5.6</w:t>
            </w:r>
          </w:p>
        </w:tc>
        <w:tc>
          <w:tcPr>
            <w:tcW w:w="545" w:type="pct"/>
            <w:shd w:val="clear" w:color="auto" w:fill="auto"/>
            <w:vAlign w:val="center"/>
          </w:tcPr>
          <w:p w14:paraId="23821253" w14:textId="2600C100" w:rsidR="00987F54" w:rsidRPr="0085018D" w:rsidRDefault="00785290" w:rsidP="00A01959">
            <w:pPr>
              <w:pStyle w:val="COMTabletext"/>
              <w:jc w:val="center"/>
            </w:pPr>
            <w:r w:rsidRPr="0085018D">
              <w:t>5.6</w:t>
            </w:r>
          </w:p>
        </w:tc>
        <w:tc>
          <w:tcPr>
            <w:tcW w:w="544" w:type="pct"/>
            <w:shd w:val="clear" w:color="auto" w:fill="auto"/>
            <w:vAlign w:val="center"/>
          </w:tcPr>
          <w:p w14:paraId="5005B053" w14:textId="0F5D3443" w:rsidR="00987F54" w:rsidRPr="0085018D" w:rsidRDefault="003E7C7A" w:rsidP="00A01959">
            <w:pPr>
              <w:pStyle w:val="COMTabletext"/>
              <w:jc w:val="center"/>
            </w:pPr>
            <w:r w:rsidRPr="0085018D">
              <w:t>5.7</w:t>
            </w:r>
          </w:p>
        </w:tc>
        <w:tc>
          <w:tcPr>
            <w:tcW w:w="546" w:type="pct"/>
            <w:shd w:val="clear" w:color="auto" w:fill="auto"/>
            <w:vAlign w:val="center"/>
          </w:tcPr>
          <w:p w14:paraId="054A4682" w14:textId="72A877B7" w:rsidR="00987F54" w:rsidRPr="0085018D" w:rsidRDefault="005100C3" w:rsidP="00A01959">
            <w:pPr>
              <w:pStyle w:val="COMTabletext"/>
              <w:jc w:val="center"/>
            </w:pPr>
            <w:r w:rsidRPr="0085018D">
              <w:t>5.7</w:t>
            </w:r>
          </w:p>
        </w:tc>
        <w:tc>
          <w:tcPr>
            <w:tcW w:w="546" w:type="pct"/>
            <w:vAlign w:val="center"/>
          </w:tcPr>
          <w:p w14:paraId="0D7FA15A" w14:textId="78734406" w:rsidR="00987F54" w:rsidRPr="0085018D" w:rsidRDefault="000061FB" w:rsidP="00A01959">
            <w:pPr>
              <w:pStyle w:val="COMTabletext"/>
              <w:jc w:val="center"/>
            </w:pPr>
            <w:r w:rsidRPr="0085018D">
              <w:t>-</w:t>
            </w:r>
          </w:p>
        </w:tc>
        <w:tc>
          <w:tcPr>
            <w:tcW w:w="546" w:type="pct"/>
            <w:vAlign w:val="center"/>
          </w:tcPr>
          <w:p w14:paraId="417A8AE7" w14:textId="4BBCD218" w:rsidR="00987F54" w:rsidRPr="0085018D" w:rsidRDefault="001B61B7" w:rsidP="00A01959">
            <w:pPr>
              <w:pStyle w:val="COMTabletext"/>
              <w:jc w:val="center"/>
            </w:pPr>
            <w:r w:rsidRPr="0085018D">
              <w:t>6.0</w:t>
            </w:r>
          </w:p>
        </w:tc>
        <w:tc>
          <w:tcPr>
            <w:tcW w:w="546" w:type="pct"/>
            <w:vAlign w:val="center"/>
          </w:tcPr>
          <w:p w14:paraId="38156059" w14:textId="5121117E" w:rsidR="00987F54" w:rsidRPr="0085018D" w:rsidRDefault="001A66B1" w:rsidP="00A01959">
            <w:pPr>
              <w:pStyle w:val="COMTabletext"/>
              <w:jc w:val="center"/>
            </w:pPr>
            <w:r w:rsidRPr="0085018D">
              <w:t>6.0</w:t>
            </w:r>
          </w:p>
        </w:tc>
      </w:tr>
      <w:tr w:rsidR="00D91579" w:rsidRPr="0085018D" w14:paraId="1294185D" w14:textId="77777777" w:rsidTr="00A01959">
        <w:trPr>
          <w:cantSplit/>
          <w:jc w:val="center"/>
        </w:trPr>
        <w:tc>
          <w:tcPr>
            <w:tcW w:w="637" w:type="pct"/>
            <w:shd w:val="clear" w:color="auto" w:fill="auto"/>
            <w:vAlign w:val="center"/>
          </w:tcPr>
          <w:p w14:paraId="3098B856" w14:textId="744CD05F" w:rsidR="00D91579" w:rsidRPr="0085018D" w:rsidRDefault="00D91579" w:rsidP="00BB732D">
            <w:pPr>
              <w:pStyle w:val="COMTabletext"/>
            </w:pPr>
            <w:r w:rsidRPr="0085018D">
              <w:t>Dose intensity</w:t>
            </w:r>
          </w:p>
        </w:tc>
        <w:tc>
          <w:tcPr>
            <w:tcW w:w="545" w:type="pct"/>
            <w:shd w:val="clear" w:color="auto" w:fill="auto"/>
            <w:vAlign w:val="center"/>
          </w:tcPr>
          <w:p w14:paraId="6DE4772F" w14:textId="6CE8479D" w:rsidR="00D91579" w:rsidRPr="0085018D" w:rsidRDefault="00CF1181" w:rsidP="00A01959">
            <w:pPr>
              <w:pStyle w:val="COMTabletext"/>
              <w:jc w:val="center"/>
              <w:rPr>
                <w:vertAlign w:val="superscript"/>
              </w:rPr>
            </w:pPr>
            <w:r w:rsidRPr="0085018D">
              <w:t xml:space="preserve">94-99% </w:t>
            </w:r>
            <w:r w:rsidR="00963CDF" w:rsidRPr="0085018D">
              <w:rPr>
                <w:vertAlign w:val="superscript"/>
              </w:rPr>
              <w:t>c</w:t>
            </w:r>
          </w:p>
        </w:tc>
        <w:tc>
          <w:tcPr>
            <w:tcW w:w="544" w:type="pct"/>
            <w:shd w:val="clear" w:color="auto" w:fill="auto"/>
            <w:vAlign w:val="center"/>
          </w:tcPr>
          <w:p w14:paraId="70BD2BE6" w14:textId="73374FAE" w:rsidR="00D91579" w:rsidRPr="0085018D" w:rsidRDefault="00785290" w:rsidP="00A01959">
            <w:pPr>
              <w:pStyle w:val="COMTabletext"/>
              <w:jc w:val="center"/>
            </w:pPr>
            <w:r w:rsidRPr="0085018D">
              <w:t>100%</w:t>
            </w:r>
          </w:p>
        </w:tc>
        <w:tc>
          <w:tcPr>
            <w:tcW w:w="545" w:type="pct"/>
            <w:shd w:val="clear" w:color="auto" w:fill="auto"/>
            <w:vAlign w:val="center"/>
          </w:tcPr>
          <w:p w14:paraId="244A1111" w14:textId="3834C74E" w:rsidR="00D91579" w:rsidRPr="0085018D" w:rsidRDefault="00785290" w:rsidP="00A01959">
            <w:pPr>
              <w:pStyle w:val="COMTabletext"/>
              <w:jc w:val="center"/>
            </w:pPr>
            <w:r w:rsidRPr="0085018D">
              <w:t>100%</w:t>
            </w:r>
          </w:p>
        </w:tc>
        <w:tc>
          <w:tcPr>
            <w:tcW w:w="544" w:type="pct"/>
            <w:shd w:val="clear" w:color="auto" w:fill="auto"/>
            <w:vAlign w:val="center"/>
          </w:tcPr>
          <w:p w14:paraId="487D6C0D" w14:textId="5A3E4AC5" w:rsidR="00D91579" w:rsidRPr="0085018D" w:rsidRDefault="005100C3" w:rsidP="00A01959">
            <w:pPr>
              <w:pStyle w:val="COMTabletext"/>
              <w:jc w:val="center"/>
              <w:rPr>
                <w:vertAlign w:val="superscript"/>
              </w:rPr>
            </w:pPr>
            <w:r w:rsidRPr="0085018D">
              <w:t>94-99%</w:t>
            </w:r>
            <w:r w:rsidR="00FA5A40" w:rsidRPr="0085018D">
              <w:t xml:space="preserve"> </w:t>
            </w:r>
            <w:r w:rsidR="00963CDF" w:rsidRPr="0085018D">
              <w:rPr>
                <w:vertAlign w:val="superscript"/>
              </w:rPr>
              <w:t>c</w:t>
            </w:r>
          </w:p>
        </w:tc>
        <w:tc>
          <w:tcPr>
            <w:tcW w:w="546" w:type="pct"/>
            <w:shd w:val="clear" w:color="auto" w:fill="auto"/>
            <w:vAlign w:val="center"/>
          </w:tcPr>
          <w:p w14:paraId="0EA71561" w14:textId="613DD8C7" w:rsidR="00D91579" w:rsidRPr="0085018D" w:rsidRDefault="000061FB" w:rsidP="00A01959">
            <w:pPr>
              <w:pStyle w:val="COMTabletext"/>
              <w:jc w:val="center"/>
            </w:pPr>
            <w:r w:rsidRPr="0085018D">
              <w:t>100%</w:t>
            </w:r>
          </w:p>
        </w:tc>
        <w:tc>
          <w:tcPr>
            <w:tcW w:w="546" w:type="pct"/>
            <w:vAlign w:val="center"/>
          </w:tcPr>
          <w:p w14:paraId="3AEBD7DF" w14:textId="78A2AE92" w:rsidR="00D91579" w:rsidRPr="0085018D" w:rsidRDefault="000061FB" w:rsidP="00A01959">
            <w:pPr>
              <w:pStyle w:val="COMTabletext"/>
              <w:jc w:val="center"/>
            </w:pPr>
            <w:r w:rsidRPr="0085018D">
              <w:t>-</w:t>
            </w:r>
          </w:p>
        </w:tc>
        <w:tc>
          <w:tcPr>
            <w:tcW w:w="546" w:type="pct"/>
            <w:vAlign w:val="center"/>
          </w:tcPr>
          <w:p w14:paraId="04C5513E" w14:textId="36F5779D" w:rsidR="00D91579" w:rsidRPr="0085018D" w:rsidRDefault="001B61B7" w:rsidP="00A01959">
            <w:pPr>
              <w:pStyle w:val="COMTabletext"/>
              <w:jc w:val="center"/>
            </w:pPr>
            <w:r w:rsidRPr="0085018D">
              <w:t>100%</w:t>
            </w:r>
          </w:p>
        </w:tc>
        <w:tc>
          <w:tcPr>
            <w:tcW w:w="546" w:type="pct"/>
            <w:vAlign w:val="center"/>
          </w:tcPr>
          <w:p w14:paraId="20CA7917" w14:textId="076F323F" w:rsidR="00D91579" w:rsidRPr="0085018D" w:rsidRDefault="001A66B1" w:rsidP="00A01959">
            <w:pPr>
              <w:pStyle w:val="COMTabletext"/>
              <w:jc w:val="center"/>
            </w:pPr>
            <w:r w:rsidRPr="0085018D">
              <w:t>100%</w:t>
            </w:r>
          </w:p>
        </w:tc>
      </w:tr>
      <w:tr w:rsidR="00987F54" w:rsidRPr="0085018D" w14:paraId="455F2922" w14:textId="2D7E8380" w:rsidTr="00A01959">
        <w:trPr>
          <w:cantSplit/>
          <w:jc w:val="center"/>
        </w:trPr>
        <w:tc>
          <w:tcPr>
            <w:tcW w:w="637" w:type="pct"/>
            <w:shd w:val="clear" w:color="auto" w:fill="auto"/>
            <w:vAlign w:val="center"/>
          </w:tcPr>
          <w:p w14:paraId="0818A7F9" w14:textId="3E65C6B5" w:rsidR="00987F54" w:rsidRPr="0085018D" w:rsidRDefault="00987F54" w:rsidP="00BB732D">
            <w:pPr>
              <w:pStyle w:val="COMTabletext"/>
              <w:rPr>
                <w:vertAlign w:val="superscript"/>
              </w:rPr>
            </w:pPr>
            <w:r w:rsidRPr="0085018D">
              <w:t>Cost/patient/</w:t>
            </w:r>
            <w:r w:rsidR="00A01959" w:rsidRPr="0085018D">
              <w:t xml:space="preserve"> course</w:t>
            </w:r>
            <w:r w:rsidR="00FB7429" w:rsidRPr="0085018D">
              <w:t xml:space="preserve"> </w:t>
            </w:r>
            <w:r w:rsidR="00963CDF" w:rsidRPr="0085018D">
              <w:rPr>
                <w:vertAlign w:val="superscript"/>
              </w:rPr>
              <w:t>d</w:t>
            </w:r>
          </w:p>
        </w:tc>
        <w:tc>
          <w:tcPr>
            <w:tcW w:w="545" w:type="pct"/>
            <w:shd w:val="clear" w:color="auto" w:fill="auto"/>
            <w:vAlign w:val="center"/>
          </w:tcPr>
          <w:p w14:paraId="34F0ACD6" w14:textId="72D0661E" w:rsidR="00987F54" w:rsidRPr="0085018D" w:rsidRDefault="00D91579" w:rsidP="00A01959">
            <w:pPr>
              <w:pStyle w:val="COMTabletext"/>
              <w:jc w:val="center"/>
            </w:pPr>
            <w:r w:rsidRPr="0085018D">
              <w:t>-</w:t>
            </w:r>
          </w:p>
        </w:tc>
        <w:tc>
          <w:tcPr>
            <w:tcW w:w="544" w:type="pct"/>
            <w:shd w:val="clear" w:color="auto" w:fill="auto"/>
            <w:vAlign w:val="center"/>
          </w:tcPr>
          <w:p w14:paraId="10235C1F" w14:textId="2A041957" w:rsidR="00987F54" w:rsidRPr="0085018D" w:rsidRDefault="00785290" w:rsidP="00A01959">
            <w:pPr>
              <w:pStyle w:val="COMTabletext"/>
              <w:jc w:val="center"/>
              <w:rPr>
                <w:vertAlign w:val="superscript"/>
              </w:rPr>
            </w:pPr>
            <w:r w:rsidRPr="0085018D">
              <w:t>$</w:t>
            </w:r>
            <w:r w:rsidR="00AC76C1" w:rsidRPr="00AC76C1">
              <w:rPr>
                <w:rFonts w:hint="eastAsia"/>
                <w:color w:val="000000"/>
                <w:w w:val="28"/>
                <w:shd w:val="solid" w:color="000000" w:fill="000000"/>
                <w:fitText w:val="125" w:id="-961819130"/>
                <w14:textFill>
                  <w14:solidFill>
                    <w14:srgbClr w14:val="000000">
                      <w14:alpha w14:val="100000"/>
                    </w14:srgbClr>
                  </w14:solidFill>
                </w14:textFill>
              </w:rPr>
              <w:t xml:space="preserve">　</w:t>
            </w:r>
            <w:r w:rsidR="00AC76C1" w:rsidRPr="00AC76C1">
              <w:rPr>
                <w:color w:val="000000"/>
                <w:w w:val="28"/>
                <w:shd w:val="solid" w:color="000000" w:fill="000000"/>
                <w:fitText w:val="125" w:id="-961819130"/>
                <w14:textFill>
                  <w14:solidFill>
                    <w14:srgbClr w14:val="000000">
                      <w14:alpha w14:val="100000"/>
                    </w14:srgbClr>
                  </w14:solidFill>
                </w14:textFill>
              </w:rPr>
              <w:t>|</w:t>
            </w:r>
            <w:r w:rsidR="00AC76C1" w:rsidRPr="00AC76C1">
              <w:rPr>
                <w:rFonts w:hint="eastAsia"/>
                <w:color w:val="000000"/>
                <w:spacing w:val="3"/>
                <w:w w:val="28"/>
                <w:shd w:val="solid" w:color="000000" w:fill="000000"/>
                <w:fitText w:val="125" w:id="-961819130"/>
                <w14:textFill>
                  <w14:solidFill>
                    <w14:srgbClr w14:val="000000">
                      <w14:alpha w14:val="100000"/>
                    </w14:srgbClr>
                  </w14:solidFill>
                </w14:textFill>
              </w:rPr>
              <w:t xml:space="preserve">　</w:t>
            </w:r>
          </w:p>
        </w:tc>
        <w:tc>
          <w:tcPr>
            <w:tcW w:w="545" w:type="pct"/>
            <w:shd w:val="clear" w:color="auto" w:fill="auto"/>
            <w:vAlign w:val="center"/>
          </w:tcPr>
          <w:p w14:paraId="3791C497" w14:textId="0F1BE2B8" w:rsidR="00987F54" w:rsidRPr="0085018D" w:rsidRDefault="00FB7429" w:rsidP="00A01959">
            <w:pPr>
              <w:pStyle w:val="COMTabletext"/>
              <w:jc w:val="center"/>
            </w:pPr>
            <w:r w:rsidRPr="0085018D">
              <w:t>$</w:t>
            </w:r>
            <w:r w:rsidR="00AC76C1" w:rsidRPr="00AC76C1">
              <w:rPr>
                <w:rFonts w:hint="eastAsia"/>
                <w:color w:val="000000"/>
                <w:w w:val="28"/>
                <w:shd w:val="solid" w:color="000000" w:fill="000000"/>
                <w:fitText w:val="125" w:id="-961819129"/>
                <w14:textFill>
                  <w14:solidFill>
                    <w14:srgbClr w14:val="000000">
                      <w14:alpha w14:val="100000"/>
                    </w14:srgbClr>
                  </w14:solidFill>
                </w14:textFill>
              </w:rPr>
              <w:t xml:space="preserve">　</w:t>
            </w:r>
            <w:r w:rsidR="00AC76C1" w:rsidRPr="00AC76C1">
              <w:rPr>
                <w:color w:val="000000"/>
                <w:w w:val="28"/>
                <w:shd w:val="solid" w:color="000000" w:fill="000000"/>
                <w:fitText w:val="125" w:id="-961819129"/>
                <w14:textFill>
                  <w14:solidFill>
                    <w14:srgbClr w14:val="000000">
                      <w14:alpha w14:val="100000"/>
                    </w14:srgbClr>
                  </w14:solidFill>
                </w14:textFill>
              </w:rPr>
              <w:t>|</w:t>
            </w:r>
            <w:r w:rsidR="00AC76C1" w:rsidRPr="00AC76C1">
              <w:rPr>
                <w:rFonts w:hint="eastAsia"/>
                <w:color w:val="000000"/>
                <w:spacing w:val="3"/>
                <w:w w:val="28"/>
                <w:shd w:val="solid" w:color="000000" w:fill="000000"/>
                <w:fitText w:val="125" w:id="-961819129"/>
                <w14:textFill>
                  <w14:solidFill>
                    <w14:srgbClr w14:val="000000">
                      <w14:alpha w14:val="100000"/>
                    </w14:srgbClr>
                  </w14:solidFill>
                </w14:textFill>
              </w:rPr>
              <w:t xml:space="preserve">　</w:t>
            </w:r>
            <w:r w:rsidR="00AC76C1" w:rsidRPr="00AC76C1">
              <w:t xml:space="preserve"> </w:t>
            </w:r>
          </w:p>
        </w:tc>
        <w:tc>
          <w:tcPr>
            <w:tcW w:w="544" w:type="pct"/>
            <w:shd w:val="clear" w:color="auto" w:fill="auto"/>
            <w:vAlign w:val="center"/>
          </w:tcPr>
          <w:p w14:paraId="6E2F9897" w14:textId="08662031" w:rsidR="00987F54" w:rsidRPr="0085018D" w:rsidRDefault="00904298" w:rsidP="00A01959">
            <w:pPr>
              <w:pStyle w:val="COMTabletext"/>
              <w:jc w:val="center"/>
            </w:pPr>
            <w:r w:rsidRPr="0085018D">
              <w:t>-</w:t>
            </w:r>
          </w:p>
        </w:tc>
        <w:tc>
          <w:tcPr>
            <w:tcW w:w="546" w:type="pct"/>
            <w:shd w:val="clear" w:color="auto" w:fill="auto"/>
            <w:vAlign w:val="center"/>
          </w:tcPr>
          <w:p w14:paraId="32FDBA7D" w14:textId="1CA7E2C0" w:rsidR="00987F54" w:rsidRPr="0085018D" w:rsidRDefault="00904298" w:rsidP="00A01959">
            <w:pPr>
              <w:pStyle w:val="COMTabletext"/>
              <w:jc w:val="center"/>
              <w:rPr>
                <w:vertAlign w:val="superscript"/>
              </w:rPr>
            </w:pPr>
            <w:r w:rsidRPr="0085018D">
              <w:t>$</w:t>
            </w:r>
            <w:r w:rsidR="00AC76C1" w:rsidRPr="00AC76C1">
              <w:rPr>
                <w:rFonts w:hint="eastAsia"/>
                <w:color w:val="000000"/>
                <w:w w:val="28"/>
                <w:shd w:val="solid" w:color="000000" w:fill="000000"/>
                <w:fitText w:val="125" w:id="-961819128"/>
                <w14:textFill>
                  <w14:solidFill>
                    <w14:srgbClr w14:val="000000">
                      <w14:alpha w14:val="100000"/>
                    </w14:srgbClr>
                  </w14:solidFill>
                </w14:textFill>
              </w:rPr>
              <w:t xml:space="preserve">　</w:t>
            </w:r>
            <w:r w:rsidR="00AC76C1" w:rsidRPr="00AC76C1">
              <w:rPr>
                <w:color w:val="000000"/>
                <w:w w:val="28"/>
                <w:shd w:val="solid" w:color="000000" w:fill="000000"/>
                <w:fitText w:val="125" w:id="-961819128"/>
                <w14:textFill>
                  <w14:solidFill>
                    <w14:srgbClr w14:val="000000">
                      <w14:alpha w14:val="100000"/>
                    </w14:srgbClr>
                  </w14:solidFill>
                </w14:textFill>
              </w:rPr>
              <w:t>|</w:t>
            </w:r>
            <w:r w:rsidR="00AC76C1" w:rsidRPr="00AC76C1">
              <w:rPr>
                <w:rFonts w:hint="eastAsia"/>
                <w:color w:val="000000"/>
                <w:spacing w:val="3"/>
                <w:w w:val="28"/>
                <w:shd w:val="solid" w:color="000000" w:fill="000000"/>
                <w:fitText w:val="125" w:id="-961819128"/>
                <w14:textFill>
                  <w14:solidFill>
                    <w14:srgbClr w14:val="000000">
                      <w14:alpha w14:val="100000"/>
                    </w14:srgbClr>
                  </w14:solidFill>
                </w14:textFill>
              </w:rPr>
              <w:t xml:space="preserve">　</w:t>
            </w:r>
          </w:p>
        </w:tc>
        <w:tc>
          <w:tcPr>
            <w:tcW w:w="546" w:type="pct"/>
            <w:vAlign w:val="center"/>
          </w:tcPr>
          <w:p w14:paraId="4AE81AF6" w14:textId="79059B6E" w:rsidR="00987F54" w:rsidRPr="0085018D" w:rsidRDefault="000061FB" w:rsidP="00A01959">
            <w:pPr>
              <w:pStyle w:val="COMTabletext"/>
              <w:jc w:val="center"/>
            </w:pPr>
            <w:r w:rsidRPr="0085018D">
              <w:t>-</w:t>
            </w:r>
          </w:p>
        </w:tc>
        <w:tc>
          <w:tcPr>
            <w:tcW w:w="546" w:type="pct"/>
            <w:vAlign w:val="center"/>
          </w:tcPr>
          <w:p w14:paraId="189708F3" w14:textId="07D3214E" w:rsidR="00987F54" w:rsidRPr="0085018D" w:rsidRDefault="001A66B1" w:rsidP="00A01959">
            <w:pPr>
              <w:pStyle w:val="COMTabletext"/>
              <w:jc w:val="center"/>
              <w:rPr>
                <w:vertAlign w:val="superscript"/>
              </w:rPr>
            </w:pPr>
            <w:r w:rsidRPr="0085018D">
              <w:t>$</w:t>
            </w:r>
            <w:r w:rsidR="00AC76C1" w:rsidRPr="00AC76C1">
              <w:rPr>
                <w:rFonts w:hint="eastAsia"/>
                <w:color w:val="000000"/>
                <w:w w:val="28"/>
                <w:shd w:val="solid" w:color="000000" w:fill="000000"/>
                <w:fitText w:val="126" w:id="-961819127"/>
                <w14:textFill>
                  <w14:solidFill>
                    <w14:srgbClr w14:val="000000">
                      <w14:alpha w14:val="100000"/>
                    </w14:srgbClr>
                  </w14:solidFill>
                </w14:textFill>
              </w:rPr>
              <w:t xml:space="preserve">　</w:t>
            </w:r>
            <w:r w:rsidR="00AC76C1" w:rsidRPr="00AC76C1">
              <w:rPr>
                <w:color w:val="000000"/>
                <w:w w:val="28"/>
                <w:shd w:val="solid" w:color="000000" w:fill="000000"/>
                <w:fitText w:val="126" w:id="-961819127"/>
                <w14:textFill>
                  <w14:solidFill>
                    <w14:srgbClr w14:val="000000">
                      <w14:alpha w14:val="100000"/>
                    </w14:srgbClr>
                  </w14:solidFill>
                </w14:textFill>
              </w:rPr>
              <w:t>|</w:t>
            </w:r>
            <w:r w:rsidR="00AC76C1" w:rsidRPr="00AC76C1">
              <w:rPr>
                <w:rFonts w:hint="eastAsia"/>
                <w:color w:val="000000"/>
                <w:spacing w:val="4"/>
                <w:w w:val="28"/>
                <w:shd w:val="solid" w:color="000000" w:fill="000000"/>
                <w:fitText w:val="126" w:id="-961819127"/>
                <w14:textFill>
                  <w14:solidFill>
                    <w14:srgbClr w14:val="000000">
                      <w14:alpha w14:val="100000"/>
                    </w14:srgbClr>
                  </w14:solidFill>
                </w14:textFill>
              </w:rPr>
              <w:t xml:space="preserve">　</w:t>
            </w:r>
          </w:p>
        </w:tc>
        <w:tc>
          <w:tcPr>
            <w:tcW w:w="546" w:type="pct"/>
            <w:vAlign w:val="center"/>
          </w:tcPr>
          <w:p w14:paraId="69878FC0" w14:textId="6912F5B6" w:rsidR="00987F54" w:rsidRPr="0085018D" w:rsidRDefault="00E22377" w:rsidP="00A01959">
            <w:pPr>
              <w:pStyle w:val="COMTabletext"/>
              <w:jc w:val="center"/>
            </w:pPr>
            <w:r w:rsidRPr="0085018D">
              <w:t>$</w:t>
            </w:r>
            <w:r w:rsidR="00AC76C1" w:rsidRPr="00AC76C1">
              <w:rPr>
                <w:color w:val="000000"/>
                <w:spacing w:val="89"/>
                <w:shd w:val="solid" w:color="000000" w:fill="000000"/>
                <w:fitText w:val="175" w:id="-961819126"/>
                <w14:textFill>
                  <w14:solidFill>
                    <w14:srgbClr w14:val="000000">
                      <w14:alpha w14:val="100000"/>
                    </w14:srgbClr>
                  </w14:solidFill>
                </w14:textFill>
              </w:rPr>
              <w:t>|</w:t>
            </w:r>
            <w:r w:rsidR="00AC76C1" w:rsidRPr="00AC76C1">
              <w:rPr>
                <w:color w:val="000000"/>
                <w:spacing w:val="1"/>
                <w:shd w:val="solid" w:color="000000" w:fill="000000"/>
                <w:fitText w:val="175" w:id="-961819126"/>
                <w14:textFill>
                  <w14:solidFill>
                    <w14:srgbClr w14:val="000000">
                      <w14:alpha w14:val="100000"/>
                    </w14:srgbClr>
                  </w14:solidFill>
                </w14:textFill>
              </w:rPr>
              <w:t>|</w:t>
            </w:r>
            <w:r w:rsidR="00AC76C1" w:rsidRPr="00AC76C1">
              <w:t xml:space="preserve"> </w:t>
            </w:r>
            <w:r w:rsidR="00963CDF" w:rsidRPr="0085018D">
              <w:rPr>
                <w:vertAlign w:val="superscript"/>
              </w:rPr>
              <w:t>e</w:t>
            </w:r>
          </w:p>
        </w:tc>
      </w:tr>
    </w:tbl>
    <w:p w14:paraId="717CADAF" w14:textId="4B26869E" w:rsidR="00494207" w:rsidRPr="0085018D" w:rsidRDefault="00494207" w:rsidP="00C94053">
      <w:pPr>
        <w:pStyle w:val="COMTablefooter"/>
      </w:pPr>
      <w:r w:rsidRPr="0085018D">
        <w:t xml:space="preserve">Source: </w:t>
      </w:r>
      <w:r w:rsidR="00D03F0D" w:rsidRPr="0085018D">
        <w:t>constructed during the evaluation using the economic model and financial estimates in the submission</w:t>
      </w:r>
    </w:p>
    <w:p w14:paraId="0443D7CC" w14:textId="5F626411" w:rsidR="00F41296" w:rsidRPr="0085018D" w:rsidRDefault="00F41296" w:rsidP="00F41296">
      <w:pPr>
        <w:pStyle w:val="COMTablefooter"/>
      </w:pPr>
      <w:r w:rsidRPr="0085018D">
        <w:t xml:space="preserve">Abbreviations: A+AVD, brentuximab </w:t>
      </w:r>
      <w:proofErr w:type="spellStart"/>
      <w:r w:rsidRPr="0085018D">
        <w:t>vedotin</w:t>
      </w:r>
      <w:proofErr w:type="spellEnd"/>
      <w:r w:rsidRPr="0085018D">
        <w:t xml:space="preserve"> plus doxorubicin, vinblastine, dacarbazine; ABVD, doxorubicin, bleomycin, vinblastine, and dacarbazine</w:t>
      </w:r>
      <w:r w:rsidR="00B653F4" w:rsidRPr="0085018D">
        <w:t xml:space="preserve">; </w:t>
      </w:r>
      <w:proofErr w:type="spellStart"/>
      <w:r w:rsidR="00B653F4" w:rsidRPr="0085018D">
        <w:t>eBEACOPP</w:t>
      </w:r>
      <w:proofErr w:type="spellEnd"/>
      <w:r w:rsidR="00B653F4" w:rsidRPr="0085018D">
        <w:t>, escalated bleomycin, etoposide, doxorubicin, cyclophosphamide, vincristine, procarbazine, and prednisolone</w:t>
      </w:r>
    </w:p>
    <w:p w14:paraId="106B1151" w14:textId="3654491A" w:rsidR="00473492" w:rsidRPr="0085018D" w:rsidRDefault="00473492" w:rsidP="00473492">
      <w:pPr>
        <w:pStyle w:val="COMTablefooter"/>
      </w:pPr>
      <w:proofErr w:type="gramStart"/>
      <w:r w:rsidRPr="0085018D">
        <w:rPr>
          <w:vertAlign w:val="superscript"/>
        </w:rPr>
        <w:t>a</w:t>
      </w:r>
      <w:r w:rsidRPr="0085018D">
        <w:t xml:space="preserve"> 2 cycles</w:t>
      </w:r>
      <w:proofErr w:type="gramEnd"/>
      <w:r w:rsidRPr="0085018D">
        <w:t xml:space="preserve"> of ABVD followed by 4 cycles of AVD in 91.3% of patients and 4 cycles of </w:t>
      </w:r>
      <w:proofErr w:type="spellStart"/>
      <w:r w:rsidRPr="0085018D">
        <w:t>eBEACOPP</w:t>
      </w:r>
      <w:proofErr w:type="spellEnd"/>
      <w:r w:rsidRPr="0085018D">
        <w:t xml:space="preserve"> in 8.7% of patients </w:t>
      </w:r>
    </w:p>
    <w:p w14:paraId="61554F9E" w14:textId="24AADCE0" w:rsidR="00B4361C" w:rsidRPr="0085018D" w:rsidRDefault="00963CDF" w:rsidP="00CF1181">
      <w:pPr>
        <w:pStyle w:val="COMTablefooter"/>
      </w:pPr>
      <w:r w:rsidRPr="0085018D">
        <w:rPr>
          <w:vertAlign w:val="superscript"/>
        </w:rPr>
        <w:t>b</w:t>
      </w:r>
      <w:r w:rsidR="00B4361C" w:rsidRPr="0085018D">
        <w:rPr>
          <w:vertAlign w:val="superscript"/>
        </w:rPr>
        <w:t xml:space="preserve"> </w:t>
      </w:r>
      <w:r w:rsidR="009F3DCE" w:rsidRPr="0085018D">
        <w:t xml:space="preserve">Cost offsets were estimated in the submission assuming </w:t>
      </w:r>
      <w:r w:rsidR="001B61B7" w:rsidRPr="0085018D">
        <w:t>A+AVD would only substitute for use of PET-adapted ABVD</w:t>
      </w:r>
    </w:p>
    <w:p w14:paraId="49D383E2" w14:textId="70753583" w:rsidR="00CF1181" w:rsidRPr="0085018D" w:rsidRDefault="00963CDF" w:rsidP="00CF1181">
      <w:pPr>
        <w:pStyle w:val="COMTablefooter"/>
      </w:pPr>
      <w:r w:rsidRPr="0085018D">
        <w:rPr>
          <w:vertAlign w:val="superscript"/>
        </w:rPr>
        <w:t>c</w:t>
      </w:r>
      <w:r w:rsidR="00CF1181" w:rsidRPr="0085018D">
        <w:t xml:space="preserve"> Reported relative dose intensities were lower for brentuximab </w:t>
      </w:r>
      <w:proofErr w:type="spellStart"/>
      <w:r w:rsidR="00CF1181" w:rsidRPr="0085018D">
        <w:t>vedotin</w:t>
      </w:r>
      <w:proofErr w:type="spellEnd"/>
      <w:r w:rsidR="00CF1181" w:rsidRPr="0085018D">
        <w:t xml:space="preserve"> (mean 94.0%) and bleomycin (mean 93.5%) compared to other components in the A+AVD and ABVD regimens of the trial (approximately 97-99%)</w:t>
      </w:r>
    </w:p>
    <w:p w14:paraId="6494F808" w14:textId="2D2496B8" w:rsidR="00D75E14" w:rsidRPr="0085018D" w:rsidRDefault="00963CDF" w:rsidP="00D75E14">
      <w:pPr>
        <w:pStyle w:val="COMTablefooter"/>
      </w:pPr>
      <w:r w:rsidRPr="0085018D">
        <w:rPr>
          <w:vertAlign w:val="superscript"/>
        </w:rPr>
        <w:t>d</w:t>
      </w:r>
      <w:r w:rsidR="00D75E14" w:rsidRPr="0085018D">
        <w:t xml:space="preserve"> Based on 51%/49% public/private hospital split for dispensing fees and mark-ups</w:t>
      </w:r>
    </w:p>
    <w:p w14:paraId="371D07B9" w14:textId="549B8CAC" w:rsidR="00E22377" w:rsidRPr="0085018D" w:rsidRDefault="00963CDF" w:rsidP="00E22377">
      <w:pPr>
        <w:pStyle w:val="COMTablefooter"/>
      </w:pPr>
      <w:r w:rsidRPr="0085018D">
        <w:rPr>
          <w:vertAlign w:val="superscript"/>
        </w:rPr>
        <w:t>e</w:t>
      </w:r>
      <w:r w:rsidR="00E22377" w:rsidRPr="0085018D">
        <w:t xml:space="preserve"> </w:t>
      </w:r>
      <w:proofErr w:type="gramStart"/>
      <w:r w:rsidR="00D21DB4" w:rsidRPr="0085018D">
        <w:t>The</w:t>
      </w:r>
      <w:proofErr w:type="gramEnd"/>
      <w:r w:rsidR="00D21DB4" w:rsidRPr="0085018D">
        <w:t xml:space="preserve"> difference in cost compared to the economic model was due to an error in the calculation of prednisolone scripts (included as part of the </w:t>
      </w:r>
      <w:proofErr w:type="spellStart"/>
      <w:r w:rsidR="00D21DB4" w:rsidRPr="0085018D">
        <w:t>eBEACOPP</w:t>
      </w:r>
      <w:proofErr w:type="spellEnd"/>
      <w:r w:rsidR="00D21DB4" w:rsidRPr="0085018D">
        <w:t xml:space="preserve"> regimen) in the financial estimates that was not corrected during the evaluation</w:t>
      </w:r>
    </w:p>
    <w:p w14:paraId="36D36610" w14:textId="09FA86FF" w:rsidR="00D75E14" w:rsidRPr="0085018D" w:rsidRDefault="00D75E14" w:rsidP="00D75E14">
      <w:pPr>
        <w:pStyle w:val="COMTablefooter"/>
      </w:pPr>
      <w:r w:rsidRPr="0085018D">
        <w:t xml:space="preserve">Note: </w:t>
      </w:r>
      <w:r w:rsidR="00D85B6B" w:rsidRPr="0085018D">
        <w:t xml:space="preserve">The submission did not include costs for the dacarbazine component of A+AVD and ABVD, or the costs of the procarbazine component of </w:t>
      </w:r>
      <w:proofErr w:type="spellStart"/>
      <w:r w:rsidR="00D85B6B" w:rsidRPr="0085018D">
        <w:t>eBEACOPP</w:t>
      </w:r>
      <w:proofErr w:type="spellEnd"/>
      <w:r w:rsidR="00D85B6B" w:rsidRPr="0085018D">
        <w:t xml:space="preserve"> as these drugs are not PBS-listed</w:t>
      </w:r>
    </w:p>
    <w:p w14:paraId="268768EF" w14:textId="223D5E48" w:rsidR="00B60939" w:rsidRPr="0085018D" w:rsidRDefault="00B60939" w:rsidP="002B05A1">
      <w:pPr>
        <w:pStyle w:val="COMH2-non-numbered"/>
      </w:pPr>
      <w:bookmarkStart w:id="54" w:name="_Toc22897647"/>
      <w:bookmarkStart w:id="55" w:name="_Toc156922253"/>
      <w:r w:rsidRPr="0085018D">
        <w:t>Estimated PBS usage &amp; financial implications</w:t>
      </w:r>
      <w:bookmarkEnd w:id="54"/>
      <w:bookmarkEnd w:id="55"/>
    </w:p>
    <w:p w14:paraId="77542CD9" w14:textId="450C15EB" w:rsidR="00896124" w:rsidRPr="0085018D" w:rsidRDefault="00896124" w:rsidP="00896124">
      <w:pPr>
        <w:pStyle w:val="COMexecsumnumberedpara"/>
      </w:pPr>
      <w:bookmarkStart w:id="56" w:name="_Toc22897648"/>
      <w:bookmarkStart w:id="57" w:name="_Toc156922254"/>
      <w:r w:rsidRPr="0085018D">
        <w:t>This submission w</w:t>
      </w:r>
      <w:r w:rsidR="00F6377D" w:rsidRPr="0085018D">
        <w:t>as</w:t>
      </w:r>
      <w:r w:rsidRPr="0085018D">
        <w:t xml:space="preserve"> considered by DUSC. The submission used an epidemiological approach to estimate the utilisation and financial impacts of listing brentuximab </w:t>
      </w:r>
      <w:proofErr w:type="spellStart"/>
      <w:r w:rsidRPr="0085018D">
        <w:t>vedotin</w:t>
      </w:r>
      <w:proofErr w:type="spellEnd"/>
      <w:r w:rsidRPr="0085018D">
        <w:t xml:space="preserve"> on the PBS/RPBS, for the first-line treatment of advanced (stage III or IV) classical Hodgkin lymphoma.</w:t>
      </w:r>
    </w:p>
    <w:p w14:paraId="734969A7" w14:textId="77777777" w:rsidR="00896124" w:rsidRPr="0085018D" w:rsidRDefault="00896124" w:rsidP="00896124">
      <w:pPr>
        <w:pStyle w:val="COMexecsumnumberedpara"/>
      </w:pPr>
      <w:r w:rsidRPr="0085018D">
        <w:t xml:space="preserve">The sources of data used to derive the financial estimates are presented in </w:t>
      </w:r>
      <w:r w:rsidRPr="0085018D">
        <w:fldChar w:fldCharType="begin"/>
      </w:r>
      <w:r w:rsidRPr="0085018D">
        <w:instrText xml:space="preserve"> REF _Ref104805262 \h </w:instrText>
      </w:r>
      <w:r w:rsidRPr="0085018D">
        <w:fldChar w:fldCharType="separate"/>
      </w:r>
      <w:r w:rsidRPr="0085018D">
        <w:t xml:space="preserve">Table </w:t>
      </w:r>
      <w:r w:rsidRPr="00B23B25">
        <w:t>12</w:t>
      </w:r>
      <w:r w:rsidRPr="0085018D">
        <w:fldChar w:fldCharType="end"/>
      </w:r>
      <w:r w:rsidRPr="0085018D">
        <w:t>.</w:t>
      </w:r>
    </w:p>
    <w:p w14:paraId="6267305D" w14:textId="77777777" w:rsidR="00896124" w:rsidRPr="0085018D" w:rsidRDefault="00896124" w:rsidP="00896124">
      <w:pPr>
        <w:pStyle w:val="COMtablefigcaption"/>
      </w:pPr>
      <w:bookmarkStart w:id="58" w:name="_Ref104805262"/>
      <w:r w:rsidRPr="0085018D">
        <w:t xml:space="preserve">Table </w:t>
      </w:r>
      <w:fldSimple w:instr=" SEQ Table \* ARABIC ">
        <w:r w:rsidRPr="00B23B25">
          <w:t>12</w:t>
        </w:r>
      </w:fldSimple>
      <w:bookmarkEnd w:id="58"/>
      <w:r w:rsidRPr="0085018D">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80" w:firstRow="0" w:lastRow="0" w:firstColumn="1" w:lastColumn="0" w:noHBand="0" w:noVBand="1"/>
        <w:tblCaption w:val="Table 12: Key inputs for financial estimates"/>
      </w:tblPr>
      <w:tblGrid>
        <w:gridCol w:w="1413"/>
        <w:gridCol w:w="2269"/>
        <w:gridCol w:w="2839"/>
        <w:gridCol w:w="2496"/>
      </w:tblGrid>
      <w:tr w:rsidR="00D94DC3" w:rsidRPr="0085018D" w14:paraId="5D94A319" w14:textId="4BB6B9BF" w:rsidTr="00D312DD">
        <w:trPr>
          <w:tblHeader/>
        </w:trPr>
        <w:tc>
          <w:tcPr>
            <w:tcW w:w="784" w:type="pct"/>
            <w:shd w:val="clear" w:color="auto" w:fill="auto"/>
            <w:vAlign w:val="center"/>
          </w:tcPr>
          <w:p w14:paraId="2BB75400" w14:textId="77777777" w:rsidR="00D94DC3" w:rsidRPr="00B23B25" w:rsidRDefault="00D94DC3" w:rsidP="00F32048">
            <w:pPr>
              <w:pStyle w:val="COMTableheadingrow"/>
              <w:keepNext w:val="0"/>
              <w:rPr>
                <w:lang w:val="en-AU"/>
              </w:rPr>
            </w:pPr>
            <w:r w:rsidRPr="00B23B25">
              <w:rPr>
                <w:lang w:val="en-AU"/>
              </w:rPr>
              <w:t>Parameter</w:t>
            </w:r>
          </w:p>
        </w:tc>
        <w:tc>
          <w:tcPr>
            <w:tcW w:w="1258" w:type="pct"/>
            <w:shd w:val="clear" w:color="auto" w:fill="auto"/>
            <w:vAlign w:val="center"/>
          </w:tcPr>
          <w:p w14:paraId="331E5346" w14:textId="77777777" w:rsidR="00D94DC3" w:rsidRPr="00B23B25" w:rsidRDefault="00D94DC3" w:rsidP="00F32048">
            <w:pPr>
              <w:pStyle w:val="COMTableheadingrow"/>
              <w:keepNext w:val="0"/>
              <w:jc w:val="center"/>
              <w:rPr>
                <w:lang w:val="en-AU"/>
              </w:rPr>
            </w:pPr>
            <w:r w:rsidRPr="00B23B25">
              <w:rPr>
                <w:lang w:val="en-AU"/>
              </w:rPr>
              <w:t>Value applied and source</w:t>
            </w:r>
          </w:p>
        </w:tc>
        <w:tc>
          <w:tcPr>
            <w:tcW w:w="1574" w:type="pct"/>
            <w:shd w:val="clear" w:color="auto" w:fill="auto"/>
            <w:vAlign w:val="center"/>
          </w:tcPr>
          <w:p w14:paraId="2D6D8504" w14:textId="3EE4C745" w:rsidR="00D94DC3" w:rsidRPr="00B23B25" w:rsidRDefault="00D94DC3" w:rsidP="00F32048">
            <w:pPr>
              <w:pStyle w:val="COMTableheadingrow"/>
              <w:keepNext w:val="0"/>
              <w:jc w:val="center"/>
              <w:rPr>
                <w:lang w:val="en-AU"/>
              </w:rPr>
            </w:pPr>
            <w:r w:rsidRPr="00B23B25">
              <w:rPr>
                <w:lang w:val="en-AU"/>
              </w:rPr>
              <w:t>Evaluation comments</w:t>
            </w:r>
          </w:p>
        </w:tc>
        <w:tc>
          <w:tcPr>
            <w:tcW w:w="1385" w:type="pct"/>
          </w:tcPr>
          <w:p w14:paraId="3C00AE30" w14:textId="725463E0" w:rsidR="00D94DC3" w:rsidRPr="00B23B25" w:rsidRDefault="00D94DC3" w:rsidP="00F32048">
            <w:pPr>
              <w:pStyle w:val="COMTableheadingrow"/>
              <w:keepNext w:val="0"/>
              <w:jc w:val="center"/>
              <w:rPr>
                <w:lang w:val="en-AU"/>
              </w:rPr>
            </w:pPr>
            <w:r w:rsidRPr="00B23B25">
              <w:rPr>
                <w:lang w:val="en-AU"/>
              </w:rPr>
              <w:t>DUSC comments</w:t>
            </w:r>
          </w:p>
        </w:tc>
      </w:tr>
      <w:tr w:rsidR="00D94DC3" w:rsidRPr="0085018D" w14:paraId="2CAB49A2" w14:textId="77777777" w:rsidTr="00D312DD">
        <w:tc>
          <w:tcPr>
            <w:tcW w:w="784" w:type="pct"/>
            <w:shd w:val="clear" w:color="auto" w:fill="auto"/>
            <w:vAlign w:val="center"/>
          </w:tcPr>
          <w:p w14:paraId="66D2B676" w14:textId="3F38A4A9" w:rsidR="00D94DC3" w:rsidRPr="0085018D" w:rsidRDefault="00D94DC3" w:rsidP="00D94DC3">
            <w:pPr>
              <w:pStyle w:val="COMTabletext"/>
              <w:keepNext w:val="0"/>
            </w:pPr>
            <w:r w:rsidRPr="0085018D">
              <w:t>Australian population</w:t>
            </w:r>
          </w:p>
        </w:tc>
        <w:tc>
          <w:tcPr>
            <w:tcW w:w="1258" w:type="pct"/>
            <w:shd w:val="clear" w:color="auto" w:fill="auto"/>
            <w:vAlign w:val="center"/>
          </w:tcPr>
          <w:p w14:paraId="1627EEF5" w14:textId="77777777" w:rsidR="00D94DC3" w:rsidRPr="0085018D" w:rsidRDefault="00D94DC3" w:rsidP="00D94DC3">
            <w:pPr>
              <w:pStyle w:val="COMTabletext"/>
              <w:keepNext w:val="0"/>
            </w:pPr>
            <w:proofErr w:type="spellStart"/>
            <w:r w:rsidRPr="0085018D">
              <w:t>Yr</w:t>
            </w:r>
            <w:proofErr w:type="spellEnd"/>
            <w:r w:rsidRPr="0085018D">
              <w:t xml:space="preserve"> 1: 27,562,195</w:t>
            </w:r>
          </w:p>
          <w:p w14:paraId="1506EDAC" w14:textId="77777777" w:rsidR="00D94DC3" w:rsidRPr="0085018D" w:rsidRDefault="00D94DC3" w:rsidP="00D94DC3">
            <w:pPr>
              <w:pStyle w:val="COMTabletext"/>
              <w:keepNext w:val="0"/>
            </w:pPr>
            <w:proofErr w:type="spellStart"/>
            <w:r w:rsidRPr="0085018D">
              <w:t>Yr</w:t>
            </w:r>
            <w:proofErr w:type="spellEnd"/>
            <w:r w:rsidRPr="0085018D">
              <w:t xml:space="preserve"> 2: 27,970,435</w:t>
            </w:r>
          </w:p>
          <w:p w14:paraId="45D88998" w14:textId="77777777" w:rsidR="00D94DC3" w:rsidRPr="0085018D" w:rsidRDefault="00D94DC3" w:rsidP="00D94DC3">
            <w:pPr>
              <w:pStyle w:val="COMTabletext"/>
              <w:keepNext w:val="0"/>
            </w:pPr>
            <w:proofErr w:type="spellStart"/>
            <w:r w:rsidRPr="0085018D">
              <w:t>Yr</w:t>
            </w:r>
            <w:proofErr w:type="spellEnd"/>
            <w:r w:rsidRPr="0085018D">
              <w:t xml:space="preserve"> 3: 28,372,315</w:t>
            </w:r>
          </w:p>
          <w:p w14:paraId="1F236935" w14:textId="77777777" w:rsidR="00D94DC3" w:rsidRPr="0085018D" w:rsidRDefault="00D94DC3" w:rsidP="00D94DC3">
            <w:pPr>
              <w:pStyle w:val="COMTabletext"/>
              <w:keepNext w:val="0"/>
            </w:pPr>
            <w:proofErr w:type="spellStart"/>
            <w:r w:rsidRPr="0085018D">
              <w:t>Yr</w:t>
            </w:r>
            <w:proofErr w:type="spellEnd"/>
            <w:r w:rsidRPr="0085018D">
              <w:t xml:space="preserve"> 4: 28,765,734</w:t>
            </w:r>
          </w:p>
          <w:p w14:paraId="2C87D9B1" w14:textId="77777777" w:rsidR="00D94DC3" w:rsidRPr="0085018D" w:rsidRDefault="00D94DC3" w:rsidP="00D94DC3">
            <w:pPr>
              <w:pStyle w:val="COMTabletext"/>
              <w:keepNext w:val="0"/>
            </w:pPr>
            <w:proofErr w:type="spellStart"/>
            <w:r w:rsidRPr="0085018D">
              <w:t>Yr</w:t>
            </w:r>
            <w:proofErr w:type="spellEnd"/>
            <w:r w:rsidRPr="0085018D">
              <w:t xml:space="preserve"> 5: 29,157,085</w:t>
            </w:r>
          </w:p>
          <w:p w14:paraId="6D04433A" w14:textId="77777777" w:rsidR="00D94DC3" w:rsidRPr="0085018D" w:rsidRDefault="00D94DC3" w:rsidP="00D94DC3">
            <w:pPr>
              <w:pStyle w:val="COMTabletext"/>
              <w:keepNext w:val="0"/>
            </w:pPr>
            <w:proofErr w:type="spellStart"/>
            <w:r w:rsidRPr="0085018D">
              <w:t>Yr</w:t>
            </w:r>
            <w:proofErr w:type="spellEnd"/>
            <w:r w:rsidRPr="0085018D">
              <w:t xml:space="preserve"> 6: 29,545,877</w:t>
            </w:r>
          </w:p>
          <w:p w14:paraId="3CAEB432" w14:textId="562A2533" w:rsidR="00D94DC3" w:rsidRPr="0085018D" w:rsidRDefault="00D94DC3" w:rsidP="00D94DC3">
            <w:pPr>
              <w:pStyle w:val="COMTabletext"/>
              <w:keepNext w:val="0"/>
            </w:pPr>
            <w:r w:rsidRPr="0085018D">
              <w:t xml:space="preserve">ABS population 3222.0, </w:t>
            </w:r>
            <w:r w:rsidRPr="0085018D">
              <w:br/>
              <w:t>Series B.</w:t>
            </w:r>
          </w:p>
        </w:tc>
        <w:tc>
          <w:tcPr>
            <w:tcW w:w="1574" w:type="pct"/>
            <w:shd w:val="clear" w:color="auto" w:fill="auto"/>
          </w:tcPr>
          <w:p w14:paraId="1543A826" w14:textId="7CF3AF51" w:rsidR="00D94DC3" w:rsidRPr="0085018D" w:rsidRDefault="00D94DC3" w:rsidP="00D94DC3">
            <w:pPr>
              <w:pStyle w:val="COMTabletext"/>
              <w:keepNext w:val="0"/>
            </w:pPr>
            <w:r w:rsidRPr="0085018D">
              <w:t>This was reasonable. The proposed restriction does not limit treatment to adults.</w:t>
            </w:r>
          </w:p>
        </w:tc>
        <w:tc>
          <w:tcPr>
            <w:tcW w:w="1385" w:type="pct"/>
          </w:tcPr>
          <w:p w14:paraId="5F96864E" w14:textId="707EB8EE" w:rsidR="00D94DC3" w:rsidRPr="0085018D" w:rsidRDefault="00D94DC3" w:rsidP="00D94DC3">
            <w:pPr>
              <w:pStyle w:val="COMTabletext"/>
              <w:keepNext w:val="0"/>
            </w:pPr>
            <w:r w:rsidRPr="0085018D">
              <w:t xml:space="preserve">DUSC considered this to be reasonable for an age agnostic listing however noted the evidence primarily supports use in the </w:t>
            </w:r>
            <w:proofErr w:type="gramStart"/>
            <w:r w:rsidRPr="0085018D">
              <w:t>18-60 year old</w:t>
            </w:r>
            <w:proofErr w:type="gramEnd"/>
            <w:r w:rsidRPr="0085018D">
              <w:t xml:space="preserve"> population.</w:t>
            </w:r>
          </w:p>
        </w:tc>
      </w:tr>
      <w:tr w:rsidR="00D94DC3" w:rsidRPr="0085018D" w14:paraId="204E0C77" w14:textId="012748D9" w:rsidTr="003A272F">
        <w:trPr>
          <w:cantSplit/>
        </w:trPr>
        <w:tc>
          <w:tcPr>
            <w:tcW w:w="784" w:type="pct"/>
            <w:shd w:val="clear" w:color="auto" w:fill="auto"/>
            <w:vAlign w:val="center"/>
          </w:tcPr>
          <w:p w14:paraId="2A41DC36" w14:textId="77777777" w:rsidR="00D94DC3" w:rsidRPr="00B23B25" w:rsidRDefault="00D94DC3" w:rsidP="00F32048">
            <w:pPr>
              <w:pStyle w:val="COMTabletext"/>
              <w:keepNext w:val="0"/>
            </w:pPr>
            <w:r w:rsidRPr="0085018D">
              <w:t>Incidence of Hodgkin lymphoma</w:t>
            </w:r>
          </w:p>
        </w:tc>
        <w:tc>
          <w:tcPr>
            <w:tcW w:w="1258" w:type="pct"/>
            <w:shd w:val="clear" w:color="auto" w:fill="auto"/>
            <w:vAlign w:val="center"/>
          </w:tcPr>
          <w:p w14:paraId="3BA9CD33" w14:textId="77777777" w:rsidR="00D94DC3" w:rsidRPr="00B23B25" w:rsidRDefault="00D94DC3" w:rsidP="00F32048">
            <w:pPr>
              <w:pStyle w:val="COMTabletext"/>
              <w:keepNext w:val="0"/>
            </w:pPr>
            <w:r w:rsidRPr="00B23B25">
              <w:t>2.64 per 100,000. The annual incidence of Hodgkin lymphoma (crude rate) from 1982 to 2018 published by the AIHW was extrapolated using a logarithmic function. The submission’s estimate was the average incidence over the 2024 to 2029 period.</w:t>
            </w:r>
          </w:p>
        </w:tc>
        <w:tc>
          <w:tcPr>
            <w:tcW w:w="1574" w:type="pct"/>
            <w:shd w:val="clear" w:color="auto" w:fill="auto"/>
            <w:vAlign w:val="center"/>
          </w:tcPr>
          <w:p w14:paraId="7C31DF3C" w14:textId="77777777" w:rsidR="00D94DC3" w:rsidRPr="00B23B25" w:rsidRDefault="00D94DC3" w:rsidP="00F32048">
            <w:pPr>
              <w:pStyle w:val="COMTabletext"/>
              <w:keepNext w:val="0"/>
              <w:rPr>
                <w:iCs/>
              </w:rPr>
            </w:pPr>
            <w:r w:rsidRPr="00B23B25">
              <w:rPr>
                <w:iCs/>
              </w:rPr>
              <w:t>The submission did not adequately justify the selection of the logarithmic function for extrapolation given that the linear trendline appeared to have a better visual fit. Based on a linear extrapolation, the average incidence was 3.08 per 100,000. Based on AIHW projections for 2024 to 2029, the annual average incidence was 2.9 cases per 100,000.</w:t>
            </w:r>
          </w:p>
        </w:tc>
        <w:tc>
          <w:tcPr>
            <w:tcW w:w="1385" w:type="pct"/>
          </w:tcPr>
          <w:p w14:paraId="530B7F12" w14:textId="75DFC90A" w:rsidR="00D94DC3" w:rsidRPr="0085018D" w:rsidRDefault="00D94DC3" w:rsidP="00D94DC3">
            <w:pPr>
              <w:pStyle w:val="COMTabletext"/>
              <w:keepNext w:val="0"/>
            </w:pPr>
            <w:bookmarkStart w:id="59" w:name="_Hlk159571090"/>
            <w:r w:rsidRPr="0085018D">
              <w:t xml:space="preserve">DUSC agreed with the evaluation that the incidence is likely to be underestimated however considered the linear extrapolation of 3.08 per 100,000 to be unlikely as the data appears to be plateauing. DUSC considered that as the AIHW data appears to plateau at 3 per 100,000 it would be an appropriate input to use. </w:t>
            </w:r>
          </w:p>
          <w:bookmarkEnd w:id="59"/>
          <w:p w14:paraId="7B16C8ED" w14:textId="77777777" w:rsidR="00D94DC3" w:rsidRPr="0085018D" w:rsidRDefault="00D94DC3" w:rsidP="00D94DC3">
            <w:pPr>
              <w:pStyle w:val="COMTabletext"/>
              <w:keepNext w:val="0"/>
              <w:rPr>
                <w:i/>
                <w:iCs/>
              </w:rPr>
            </w:pPr>
          </w:p>
          <w:p w14:paraId="5B226567" w14:textId="342721D0" w:rsidR="00D94DC3" w:rsidRPr="00B23B25" w:rsidRDefault="00D94DC3" w:rsidP="00D94DC3">
            <w:pPr>
              <w:pStyle w:val="COMTabletext"/>
              <w:keepNext w:val="0"/>
            </w:pPr>
            <w:r w:rsidRPr="0085018D">
              <w:t>DUSC noted that there is the potential for a small prevalent patient pool which remains untreated however considered the impact of this on the financials to be minimal.</w:t>
            </w:r>
          </w:p>
        </w:tc>
      </w:tr>
      <w:tr w:rsidR="00D94DC3" w:rsidRPr="0085018D" w14:paraId="789096F8" w14:textId="5198FF94" w:rsidTr="00D312DD">
        <w:tc>
          <w:tcPr>
            <w:tcW w:w="784" w:type="pct"/>
            <w:shd w:val="clear" w:color="auto" w:fill="auto"/>
            <w:vAlign w:val="center"/>
          </w:tcPr>
          <w:p w14:paraId="6D40FAE2" w14:textId="77777777" w:rsidR="00D94DC3" w:rsidRPr="00B23B25" w:rsidRDefault="00D94DC3" w:rsidP="00F32048">
            <w:pPr>
              <w:pStyle w:val="COMTabletext"/>
              <w:keepNext w:val="0"/>
            </w:pPr>
            <w:r w:rsidRPr="00B23B25">
              <w:t>Proportion of Hodgkin lymphoma that is classical Hodgkin lymphoma</w:t>
            </w:r>
          </w:p>
        </w:tc>
        <w:tc>
          <w:tcPr>
            <w:tcW w:w="1258" w:type="pct"/>
            <w:shd w:val="clear" w:color="auto" w:fill="auto"/>
          </w:tcPr>
          <w:p w14:paraId="70E59F25" w14:textId="77777777" w:rsidR="00D94DC3" w:rsidRPr="00B23B25" w:rsidRDefault="00D94DC3" w:rsidP="00F32048">
            <w:pPr>
              <w:pStyle w:val="COMTabletext"/>
              <w:keepNext w:val="0"/>
            </w:pPr>
            <w:r w:rsidRPr="0085018D">
              <w:t xml:space="preserve">94.2%; based on the average of values reported by Cochrane et al. (2021; 90 to 95%), </w:t>
            </w:r>
            <w:proofErr w:type="spellStart"/>
            <w:r w:rsidRPr="0085018D">
              <w:t>Eichenauer</w:t>
            </w:r>
            <w:proofErr w:type="spellEnd"/>
            <w:r w:rsidRPr="0085018D">
              <w:t xml:space="preserve"> et al. (2018; 95%) and Cancer Council NSW (2023; 95%).</w:t>
            </w:r>
          </w:p>
        </w:tc>
        <w:tc>
          <w:tcPr>
            <w:tcW w:w="1574" w:type="pct"/>
            <w:shd w:val="clear" w:color="auto" w:fill="auto"/>
            <w:vAlign w:val="center"/>
          </w:tcPr>
          <w:p w14:paraId="34172FC6" w14:textId="77777777" w:rsidR="00D94DC3" w:rsidRPr="00B23B25" w:rsidRDefault="00D94DC3" w:rsidP="00F32048">
            <w:pPr>
              <w:pStyle w:val="COMTabletext"/>
              <w:keepNext w:val="0"/>
              <w:rPr>
                <w:iCs/>
              </w:rPr>
            </w:pPr>
            <w:r w:rsidRPr="00B23B25">
              <w:rPr>
                <w:iCs/>
              </w:rPr>
              <w:t xml:space="preserve">The primary data sources for the estimates included in the </w:t>
            </w:r>
            <w:proofErr w:type="spellStart"/>
            <w:r w:rsidRPr="00B23B25">
              <w:rPr>
                <w:iCs/>
              </w:rPr>
              <w:t>Eichenauer</w:t>
            </w:r>
            <w:proofErr w:type="spellEnd"/>
            <w:r w:rsidRPr="00B23B25">
              <w:rPr>
                <w:iCs/>
              </w:rPr>
              <w:t xml:space="preserve"> et al. and the Cancer Council NSW publications were not reported.</w:t>
            </w:r>
          </w:p>
        </w:tc>
        <w:tc>
          <w:tcPr>
            <w:tcW w:w="1385" w:type="pct"/>
          </w:tcPr>
          <w:p w14:paraId="7591A9ED" w14:textId="44167230" w:rsidR="00D94DC3" w:rsidRPr="00B23B25" w:rsidRDefault="00D312DD" w:rsidP="00F32048">
            <w:pPr>
              <w:pStyle w:val="COMTabletext"/>
              <w:keepNext w:val="0"/>
            </w:pPr>
            <w:r w:rsidRPr="0085018D">
              <w:t>DUSC considered this to be reasonable if not slightly underestimated.</w:t>
            </w:r>
          </w:p>
        </w:tc>
      </w:tr>
      <w:tr w:rsidR="00D94DC3" w:rsidRPr="0085018D" w14:paraId="6C70ED74" w14:textId="7030EF24" w:rsidTr="00D312DD">
        <w:tc>
          <w:tcPr>
            <w:tcW w:w="784" w:type="pct"/>
            <w:shd w:val="clear" w:color="auto" w:fill="auto"/>
            <w:vAlign w:val="center"/>
          </w:tcPr>
          <w:p w14:paraId="5DFC9257" w14:textId="77777777" w:rsidR="00D94DC3" w:rsidRPr="00B23B25" w:rsidRDefault="00D94DC3" w:rsidP="00F32048">
            <w:pPr>
              <w:pStyle w:val="COMTabletext"/>
              <w:keepNext w:val="0"/>
            </w:pPr>
            <w:r w:rsidRPr="00B23B25">
              <w:t>Proportion with stage III or IV disease</w:t>
            </w:r>
          </w:p>
        </w:tc>
        <w:tc>
          <w:tcPr>
            <w:tcW w:w="1258" w:type="pct"/>
            <w:shd w:val="clear" w:color="auto" w:fill="auto"/>
          </w:tcPr>
          <w:p w14:paraId="3D870353" w14:textId="77777777" w:rsidR="00D94DC3" w:rsidRPr="00B23B25" w:rsidRDefault="00D94DC3" w:rsidP="00F32048">
            <w:pPr>
              <w:pStyle w:val="COMTabletext"/>
              <w:keepNext w:val="0"/>
            </w:pPr>
            <w:r w:rsidRPr="0085018D">
              <w:t>47.99%; based on the characteristics of patients included in the Lymphoma and Related Diseases Registry (Wellard et al., 2023). The submission’s estimate was derived by dividing the number of patients with stage III and stage IV disease by the total number of patients in the registry sample ([106 + 180]/596).</w:t>
            </w:r>
          </w:p>
        </w:tc>
        <w:tc>
          <w:tcPr>
            <w:tcW w:w="1574" w:type="pct"/>
            <w:shd w:val="clear" w:color="auto" w:fill="auto"/>
            <w:vAlign w:val="center"/>
          </w:tcPr>
          <w:p w14:paraId="7F975A52" w14:textId="77777777" w:rsidR="00D94DC3" w:rsidRPr="00B23B25" w:rsidRDefault="00D94DC3" w:rsidP="00F32048">
            <w:pPr>
              <w:pStyle w:val="COMTabletext"/>
              <w:keepNext w:val="0"/>
              <w:rPr>
                <w:iCs/>
              </w:rPr>
            </w:pPr>
            <w:r w:rsidRPr="00B23B25">
              <w:rPr>
                <w:iCs/>
              </w:rPr>
              <w:t>The proportion appeared to be underestimated, as the total number of patients in the registry sample included 28 patients with missing data for disease stage. Excluding patients with missing disease stage data resulted in a higher proportion (286/568 = 50.35%). The representativeness of the registry sample to the Australian population was unclear.</w:t>
            </w:r>
          </w:p>
        </w:tc>
        <w:tc>
          <w:tcPr>
            <w:tcW w:w="1385" w:type="pct"/>
          </w:tcPr>
          <w:p w14:paraId="205336A2" w14:textId="37B87C65" w:rsidR="00D94DC3" w:rsidRPr="00B23B25" w:rsidRDefault="00D312DD" w:rsidP="00F32048">
            <w:pPr>
              <w:pStyle w:val="COMTabletext"/>
              <w:keepNext w:val="0"/>
            </w:pPr>
            <w:r w:rsidRPr="0085018D">
              <w:t xml:space="preserve">DUSC agreed with the evaluation that this proportion is underestimated as the calculation included those patients with missing disease stage data in the denominator. </w:t>
            </w:r>
            <w:r w:rsidRPr="0085018D">
              <w:br/>
            </w:r>
            <w:r w:rsidRPr="0085018D">
              <w:br/>
              <w:t>DUSC also noted that the Lymphoma and Related Diseases Registry is a voluntary register and is likely biased.</w:t>
            </w:r>
          </w:p>
        </w:tc>
      </w:tr>
      <w:tr w:rsidR="00D94DC3" w:rsidRPr="0085018D" w14:paraId="5864BF92" w14:textId="3363B6C0" w:rsidTr="00D312DD">
        <w:tc>
          <w:tcPr>
            <w:tcW w:w="784" w:type="pct"/>
            <w:shd w:val="clear" w:color="auto" w:fill="auto"/>
            <w:vAlign w:val="center"/>
          </w:tcPr>
          <w:p w14:paraId="43526A1C" w14:textId="77777777" w:rsidR="00D94DC3" w:rsidRPr="00B23B25" w:rsidRDefault="00D94DC3" w:rsidP="00F32048">
            <w:pPr>
              <w:pStyle w:val="COMTabletext"/>
              <w:keepNext w:val="0"/>
            </w:pPr>
            <w:r w:rsidRPr="00B23B25">
              <w:t>Proportion with an ECOG ≤2</w:t>
            </w:r>
          </w:p>
        </w:tc>
        <w:tc>
          <w:tcPr>
            <w:tcW w:w="1258" w:type="pct"/>
            <w:shd w:val="clear" w:color="auto" w:fill="auto"/>
          </w:tcPr>
          <w:p w14:paraId="4BBD8E76" w14:textId="77777777" w:rsidR="00D94DC3" w:rsidRPr="00B23B25" w:rsidRDefault="00D94DC3" w:rsidP="00F32048">
            <w:pPr>
              <w:pStyle w:val="COMTabletext"/>
              <w:keepNext w:val="0"/>
            </w:pPr>
            <w:r w:rsidRPr="0085018D">
              <w:t>88.7%; based on the characteristics of patients included in the Lymphoma and Related Diseases Registry (Wellard et al., 2023). Among 238 patients with stage III-IV disease, the ECOG was reported to be ≥2 in 11.3% of patients. The submission assumed that the complement (88.7%) would be eligible for treatment.</w:t>
            </w:r>
          </w:p>
        </w:tc>
        <w:tc>
          <w:tcPr>
            <w:tcW w:w="1574" w:type="pct"/>
            <w:shd w:val="clear" w:color="auto" w:fill="auto"/>
            <w:vAlign w:val="center"/>
          </w:tcPr>
          <w:p w14:paraId="420F19FC" w14:textId="77777777" w:rsidR="00D94DC3" w:rsidRPr="00B23B25" w:rsidRDefault="00D94DC3" w:rsidP="00F32048">
            <w:pPr>
              <w:pStyle w:val="COMTabletext"/>
              <w:keepNext w:val="0"/>
              <w:rPr>
                <w:iCs/>
              </w:rPr>
            </w:pPr>
            <w:r w:rsidRPr="00B23B25">
              <w:rPr>
                <w:iCs/>
              </w:rPr>
              <w:t>The proposed restriction does not include criteria relating to patient fitness. The submission incorrectly assumed that the complement of ECOG ≥2 was ECOG ≤2 (rather than &lt;2). The representativeness of the registry sample to the Australian population was unclear.</w:t>
            </w:r>
          </w:p>
        </w:tc>
        <w:tc>
          <w:tcPr>
            <w:tcW w:w="1385" w:type="pct"/>
          </w:tcPr>
          <w:p w14:paraId="477B8B65" w14:textId="6DB640D3" w:rsidR="00D312DD" w:rsidRPr="0085018D" w:rsidRDefault="00D312DD" w:rsidP="00D312DD">
            <w:pPr>
              <w:pStyle w:val="COMTabletext"/>
              <w:keepNext w:val="0"/>
            </w:pPr>
            <w:r w:rsidRPr="0085018D">
              <w:t xml:space="preserve">DUSC agreed with the evaluation that the proposed restriction does not include criteria relating to patient fitness. </w:t>
            </w:r>
          </w:p>
          <w:p w14:paraId="699F86D8" w14:textId="77777777" w:rsidR="00D312DD" w:rsidRPr="0085018D" w:rsidRDefault="00D312DD" w:rsidP="00D312DD">
            <w:pPr>
              <w:pStyle w:val="COMTabletext"/>
              <w:keepNext w:val="0"/>
            </w:pPr>
          </w:p>
          <w:p w14:paraId="1366ABAF" w14:textId="2804EE8D" w:rsidR="00D94DC3" w:rsidRPr="00B23B25" w:rsidRDefault="00D312DD" w:rsidP="00D312DD">
            <w:pPr>
              <w:pStyle w:val="COMTabletext"/>
              <w:keepNext w:val="0"/>
              <w:rPr>
                <w:iCs/>
              </w:rPr>
            </w:pPr>
            <w:r w:rsidRPr="0085018D">
              <w:t>DUSC considered this to be an underestimate and noted the proportion in the ECHELON trial was 100%.</w:t>
            </w:r>
          </w:p>
        </w:tc>
      </w:tr>
      <w:tr w:rsidR="00D94DC3" w:rsidRPr="0085018D" w14:paraId="22C3D778" w14:textId="64D51A6F" w:rsidTr="003A272F">
        <w:trPr>
          <w:cantSplit/>
        </w:trPr>
        <w:tc>
          <w:tcPr>
            <w:tcW w:w="784" w:type="pct"/>
            <w:shd w:val="clear" w:color="auto" w:fill="auto"/>
            <w:vAlign w:val="center"/>
          </w:tcPr>
          <w:p w14:paraId="2C163AE0" w14:textId="77777777" w:rsidR="00D94DC3" w:rsidRPr="00B23B25" w:rsidRDefault="00D94DC3" w:rsidP="00F32048">
            <w:pPr>
              <w:pStyle w:val="COMTabletext"/>
              <w:keepNext w:val="0"/>
            </w:pPr>
            <w:r w:rsidRPr="00B23B25">
              <w:t>Uptake of A+AVD</w:t>
            </w:r>
          </w:p>
        </w:tc>
        <w:tc>
          <w:tcPr>
            <w:tcW w:w="1258" w:type="pct"/>
            <w:shd w:val="clear" w:color="auto" w:fill="auto"/>
            <w:vAlign w:val="center"/>
          </w:tcPr>
          <w:p w14:paraId="076974C3" w14:textId="261D35AB" w:rsidR="00D94DC3" w:rsidRPr="00B23B25" w:rsidRDefault="00AC76C1" w:rsidP="00F32048">
            <w:pPr>
              <w:pStyle w:val="COMTabletext"/>
              <w:keepNext w:val="0"/>
            </w:pPr>
            <w:r w:rsidRPr="00AC76C1">
              <w:rPr>
                <w:color w:val="000000"/>
                <w:spacing w:val="51"/>
                <w:shd w:val="solid" w:color="000000" w:fill="000000"/>
                <w:fitText w:val="325" w:id="-961819125"/>
                <w14:textFill>
                  <w14:solidFill>
                    <w14:srgbClr w14:val="000000">
                      <w14:alpha w14:val="100000"/>
                    </w14:srgbClr>
                  </w14:solidFill>
                </w14:textFill>
              </w:rPr>
              <w:t>|||</w:t>
            </w:r>
            <w:r w:rsidRPr="00AC76C1">
              <w:rPr>
                <w:color w:val="000000"/>
                <w:spacing w:val="2"/>
                <w:shd w:val="solid" w:color="000000" w:fill="000000"/>
                <w:fitText w:val="325" w:id="-961819125"/>
                <w14:textFill>
                  <w14:solidFill>
                    <w14:srgbClr w14:val="000000">
                      <w14:alpha w14:val="100000"/>
                    </w14:srgbClr>
                  </w14:solidFill>
                </w14:textFill>
              </w:rPr>
              <w:t>|</w:t>
            </w:r>
            <w:r w:rsidR="00D94DC3" w:rsidRPr="00B23B25">
              <w:t xml:space="preserve">% in Year 1 increasing to </w:t>
            </w:r>
            <w:r w:rsidRPr="00AC76C1">
              <w:rPr>
                <w:color w:val="000000"/>
                <w:spacing w:val="51"/>
                <w:shd w:val="solid" w:color="000000" w:fill="000000"/>
                <w:fitText w:val="325" w:id="-961819124"/>
                <w14:textFill>
                  <w14:solidFill>
                    <w14:srgbClr w14:val="000000">
                      <w14:alpha w14:val="100000"/>
                    </w14:srgbClr>
                  </w14:solidFill>
                </w14:textFill>
              </w:rPr>
              <w:t>|||</w:t>
            </w:r>
            <w:r w:rsidRPr="00AC76C1">
              <w:rPr>
                <w:color w:val="000000"/>
                <w:spacing w:val="2"/>
                <w:shd w:val="solid" w:color="000000" w:fill="000000"/>
                <w:fitText w:val="325" w:id="-961819124"/>
                <w14:textFill>
                  <w14:solidFill>
                    <w14:srgbClr w14:val="000000">
                      <w14:alpha w14:val="100000"/>
                    </w14:srgbClr>
                  </w14:solidFill>
                </w14:textFill>
              </w:rPr>
              <w:t>|</w:t>
            </w:r>
            <w:r w:rsidR="00D94DC3" w:rsidRPr="00B23B25">
              <w:t>% in Year 6.</w:t>
            </w:r>
          </w:p>
          <w:p w14:paraId="6BDD805C" w14:textId="758BA57C" w:rsidR="00D312DD" w:rsidRPr="00B23B25" w:rsidRDefault="00D312DD" w:rsidP="00F32048">
            <w:pPr>
              <w:pStyle w:val="COMTabletext"/>
              <w:keepNext w:val="0"/>
            </w:pPr>
            <w:r w:rsidRPr="00B23B25">
              <w:t>Assumption</w:t>
            </w:r>
          </w:p>
        </w:tc>
        <w:tc>
          <w:tcPr>
            <w:tcW w:w="1574" w:type="pct"/>
            <w:shd w:val="clear" w:color="auto" w:fill="auto"/>
            <w:vAlign w:val="center"/>
          </w:tcPr>
          <w:p w14:paraId="2B923339" w14:textId="77777777" w:rsidR="00D94DC3" w:rsidRPr="00B23B25" w:rsidRDefault="00D94DC3" w:rsidP="00F32048">
            <w:pPr>
              <w:pStyle w:val="COMTabletext"/>
              <w:keepNext w:val="0"/>
              <w:rPr>
                <w:iCs/>
              </w:rPr>
            </w:pPr>
            <w:r w:rsidRPr="00B23B25">
              <w:rPr>
                <w:iCs/>
              </w:rPr>
              <w:t>Treatment uptake rates were considered uncertain.</w:t>
            </w:r>
          </w:p>
        </w:tc>
        <w:tc>
          <w:tcPr>
            <w:tcW w:w="1385" w:type="pct"/>
          </w:tcPr>
          <w:p w14:paraId="5E640790" w14:textId="4E631694" w:rsidR="00D94DC3" w:rsidRPr="00B23B25" w:rsidRDefault="00D312DD" w:rsidP="00F32048">
            <w:pPr>
              <w:pStyle w:val="COMTabletext"/>
              <w:keepNext w:val="0"/>
            </w:pPr>
            <w:r w:rsidRPr="0085018D">
              <w:t xml:space="preserve">DUSC considered the uptake rates to be underestimated as brentuximab offers a better side effect profile than bleomycin. DUSC considered a range increasing by </w:t>
            </w:r>
            <w:r w:rsidR="00AC76C1" w:rsidRPr="00AC76C1">
              <w:rPr>
                <w:color w:val="000000"/>
                <w:spacing w:val="51"/>
                <w:shd w:val="solid" w:color="000000" w:fill="000000"/>
                <w:fitText w:val="325" w:id="-961819123"/>
                <w14:textFill>
                  <w14:solidFill>
                    <w14:srgbClr w14:val="000000">
                      <w14:alpha w14:val="100000"/>
                    </w14:srgbClr>
                  </w14:solidFill>
                </w14:textFill>
              </w:rPr>
              <w:t>|||</w:t>
            </w:r>
            <w:r w:rsidR="00AC76C1" w:rsidRPr="00AC76C1">
              <w:rPr>
                <w:color w:val="000000"/>
                <w:spacing w:val="2"/>
                <w:shd w:val="solid" w:color="000000" w:fill="000000"/>
                <w:fitText w:val="325" w:id="-961819123"/>
                <w14:textFill>
                  <w14:solidFill>
                    <w14:srgbClr w14:val="000000">
                      <w14:alpha w14:val="100000"/>
                    </w14:srgbClr>
                  </w14:solidFill>
                </w14:textFill>
              </w:rPr>
              <w:t>|</w:t>
            </w:r>
            <w:r w:rsidRPr="0085018D">
              <w:t xml:space="preserve">% per year from </w:t>
            </w:r>
            <w:r w:rsidR="00AC76C1" w:rsidRPr="00AC76C1">
              <w:rPr>
                <w:color w:val="000000"/>
                <w:spacing w:val="51"/>
                <w:shd w:val="solid" w:color="000000" w:fill="000000"/>
                <w:fitText w:val="326" w:id="-961819122"/>
                <w14:textFill>
                  <w14:solidFill>
                    <w14:srgbClr w14:val="000000">
                      <w14:alpha w14:val="100000"/>
                    </w14:srgbClr>
                  </w14:solidFill>
                </w14:textFill>
              </w:rPr>
              <w:t>|||</w:t>
            </w:r>
            <w:r w:rsidR="00AC76C1" w:rsidRPr="00AC76C1">
              <w:rPr>
                <w:color w:val="000000"/>
                <w:spacing w:val="3"/>
                <w:shd w:val="solid" w:color="000000" w:fill="000000"/>
                <w:fitText w:val="326" w:id="-961819122"/>
                <w14:textFill>
                  <w14:solidFill>
                    <w14:srgbClr w14:val="000000">
                      <w14:alpha w14:val="100000"/>
                    </w14:srgbClr>
                  </w14:solidFill>
                </w14:textFill>
              </w:rPr>
              <w:t>|</w:t>
            </w:r>
            <w:r w:rsidRPr="0085018D">
              <w:t xml:space="preserve">% and remaining steady at </w:t>
            </w:r>
            <w:r w:rsidR="00AC76C1" w:rsidRPr="00AC76C1">
              <w:rPr>
                <w:color w:val="000000"/>
                <w:spacing w:val="51"/>
                <w:shd w:val="solid" w:color="000000" w:fill="000000"/>
                <w:fitText w:val="326" w:id="-961819121"/>
                <w14:textFill>
                  <w14:solidFill>
                    <w14:srgbClr w14:val="000000">
                      <w14:alpha w14:val="100000"/>
                    </w14:srgbClr>
                  </w14:solidFill>
                </w14:textFill>
              </w:rPr>
              <w:t>|||</w:t>
            </w:r>
            <w:r w:rsidR="00AC76C1" w:rsidRPr="00AC76C1">
              <w:rPr>
                <w:color w:val="000000"/>
                <w:spacing w:val="3"/>
                <w:shd w:val="solid" w:color="000000" w:fill="000000"/>
                <w:fitText w:val="326" w:id="-961819121"/>
                <w14:textFill>
                  <w14:solidFill>
                    <w14:srgbClr w14:val="000000">
                      <w14:alpha w14:val="100000"/>
                    </w14:srgbClr>
                  </w14:solidFill>
                </w14:textFill>
              </w:rPr>
              <w:t>|</w:t>
            </w:r>
            <w:r w:rsidRPr="0085018D">
              <w:t>% would be more appropriate.</w:t>
            </w:r>
          </w:p>
        </w:tc>
      </w:tr>
      <w:tr w:rsidR="00D94DC3" w:rsidRPr="0085018D" w14:paraId="3D2B791B" w14:textId="3E830717" w:rsidTr="00D312DD">
        <w:tc>
          <w:tcPr>
            <w:tcW w:w="784" w:type="pct"/>
            <w:shd w:val="clear" w:color="auto" w:fill="auto"/>
            <w:vAlign w:val="center"/>
          </w:tcPr>
          <w:p w14:paraId="4E2DCE31" w14:textId="77777777" w:rsidR="00D94DC3" w:rsidRPr="00B23B25" w:rsidRDefault="00D94DC3" w:rsidP="00F32048">
            <w:pPr>
              <w:pStyle w:val="COMTabletext"/>
              <w:keepNext w:val="0"/>
            </w:pPr>
            <w:r w:rsidRPr="0085018D">
              <w:t>Number of cycles (A+AVD)</w:t>
            </w:r>
          </w:p>
        </w:tc>
        <w:tc>
          <w:tcPr>
            <w:tcW w:w="1258" w:type="pct"/>
            <w:shd w:val="clear" w:color="auto" w:fill="auto"/>
            <w:vAlign w:val="center"/>
          </w:tcPr>
          <w:p w14:paraId="4E4BFF19" w14:textId="77777777" w:rsidR="00D94DC3" w:rsidRPr="00B23B25" w:rsidRDefault="00D94DC3" w:rsidP="00F32048">
            <w:pPr>
              <w:pStyle w:val="COMTabletext"/>
              <w:keepNext w:val="0"/>
            </w:pPr>
            <w:r w:rsidRPr="00B23B25">
              <w:t xml:space="preserve">5.6 cycles; based on the reported mean number of treatment cycles in the ECHELON-1 trial (5.5 cycles for brentuximab </w:t>
            </w:r>
            <w:proofErr w:type="spellStart"/>
            <w:r w:rsidRPr="00B23B25">
              <w:t>vedotin</w:t>
            </w:r>
            <w:proofErr w:type="spellEnd"/>
            <w:r w:rsidRPr="00B23B25">
              <w:t xml:space="preserve"> and 5.6 cycles for doxorubicin, vinblastine and dacarbazine), assuming the highest number of cycles among the individual treatments.</w:t>
            </w:r>
          </w:p>
        </w:tc>
        <w:tc>
          <w:tcPr>
            <w:tcW w:w="1574" w:type="pct"/>
            <w:shd w:val="clear" w:color="auto" w:fill="auto"/>
            <w:vAlign w:val="center"/>
          </w:tcPr>
          <w:p w14:paraId="54863EFE" w14:textId="77777777" w:rsidR="00D94DC3" w:rsidRPr="00B23B25" w:rsidRDefault="00D94DC3" w:rsidP="00F32048">
            <w:pPr>
              <w:pStyle w:val="COMTabletext"/>
              <w:keepNext w:val="0"/>
              <w:rPr>
                <w:iCs/>
              </w:rPr>
            </w:pPr>
            <w:r w:rsidRPr="00B23B25">
              <w:rPr>
                <w:iCs/>
              </w:rPr>
              <w:t>The assumed compliance for treatment with A+AVD differed from the assumed compliance for PET-adapted ABVD (patients were assumed to complete all planned treatment cycles). This assumption was not adequately justified.</w:t>
            </w:r>
          </w:p>
        </w:tc>
        <w:tc>
          <w:tcPr>
            <w:tcW w:w="1385" w:type="pct"/>
          </w:tcPr>
          <w:p w14:paraId="43B3C6C9" w14:textId="44203C34" w:rsidR="00D94DC3" w:rsidRPr="00B23B25" w:rsidRDefault="00D312DD" w:rsidP="00F32048">
            <w:pPr>
              <w:pStyle w:val="COMTabletext"/>
              <w:keepNext w:val="0"/>
              <w:rPr>
                <w:iCs/>
              </w:rPr>
            </w:pPr>
            <w:r w:rsidRPr="00B23B25">
              <w:rPr>
                <w:iCs/>
              </w:rPr>
              <w:t>DUSC agreed with the evaluation that there would likely be 100% compliance.</w:t>
            </w:r>
          </w:p>
        </w:tc>
      </w:tr>
      <w:tr w:rsidR="00D94DC3" w:rsidRPr="0085018D" w14:paraId="706B75A7" w14:textId="62DDE728" w:rsidTr="00D312DD">
        <w:tc>
          <w:tcPr>
            <w:tcW w:w="784" w:type="pct"/>
            <w:shd w:val="clear" w:color="auto" w:fill="auto"/>
            <w:vAlign w:val="center"/>
          </w:tcPr>
          <w:p w14:paraId="47D1CAB0" w14:textId="77777777" w:rsidR="00D94DC3" w:rsidRPr="00B23B25" w:rsidRDefault="00D94DC3" w:rsidP="00F32048">
            <w:pPr>
              <w:pStyle w:val="COMTabletext"/>
              <w:keepNext w:val="0"/>
            </w:pPr>
            <w:r w:rsidRPr="00B23B25">
              <w:t>Number of cycles (PET-adapted ABVD)</w:t>
            </w:r>
          </w:p>
        </w:tc>
        <w:tc>
          <w:tcPr>
            <w:tcW w:w="1258" w:type="pct"/>
            <w:shd w:val="clear" w:color="auto" w:fill="auto"/>
            <w:vAlign w:val="center"/>
          </w:tcPr>
          <w:p w14:paraId="56599F86" w14:textId="77777777" w:rsidR="00D94DC3" w:rsidRPr="00B23B25" w:rsidRDefault="00D94DC3" w:rsidP="00F32048">
            <w:pPr>
              <w:pStyle w:val="COMTabletext"/>
              <w:keepNext w:val="0"/>
            </w:pPr>
            <w:r w:rsidRPr="00B23B25">
              <w:t>ABVD: 2 cycles; AVD/</w:t>
            </w:r>
            <w:proofErr w:type="spellStart"/>
            <w:r w:rsidRPr="00B23B25">
              <w:t>eBEACOPP</w:t>
            </w:r>
            <w:proofErr w:type="spellEnd"/>
            <w:r w:rsidRPr="00B23B25">
              <w:t xml:space="preserve">: 4 cycles. The submission assumed that all patients treated with A+AVD would otherwise have received treatment with PET-adapted ABVD (2 cycles of ABVD followed by 4 cycles of either AVD or </w:t>
            </w:r>
            <w:proofErr w:type="spellStart"/>
            <w:r w:rsidRPr="00B23B25">
              <w:t>eBEACOPP</w:t>
            </w:r>
            <w:proofErr w:type="spellEnd"/>
            <w:r w:rsidRPr="00B23B25">
              <w:t>).</w:t>
            </w:r>
          </w:p>
        </w:tc>
        <w:tc>
          <w:tcPr>
            <w:tcW w:w="1574" w:type="pct"/>
            <w:shd w:val="clear" w:color="auto" w:fill="auto"/>
            <w:vAlign w:val="center"/>
          </w:tcPr>
          <w:p w14:paraId="4749AC80" w14:textId="77777777" w:rsidR="00D94DC3" w:rsidRPr="00B23B25" w:rsidRDefault="00D94DC3" w:rsidP="00F32048">
            <w:pPr>
              <w:pStyle w:val="COMTabletext"/>
              <w:keepNext w:val="0"/>
              <w:rPr>
                <w:iCs/>
              </w:rPr>
            </w:pPr>
            <w:r w:rsidRPr="00B23B25">
              <w:rPr>
                <w:iCs/>
              </w:rPr>
              <w:t>The assumption that all patients treated with A+AVD would otherwise have received treatment with PET-adapted ABVD was not adequately justified.</w:t>
            </w:r>
          </w:p>
        </w:tc>
        <w:tc>
          <w:tcPr>
            <w:tcW w:w="1385" w:type="pct"/>
          </w:tcPr>
          <w:p w14:paraId="75F9D713" w14:textId="4DB6E35E" w:rsidR="00D94DC3" w:rsidRPr="00B23B25" w:rsidRDefault="00D312DD" w:rsidP="00F32048">
            <w:pPr>
              <w:pStyle w:val="COMTabletext"/>
              <w:keepNext w:val="0"/>
              <w:rPr>
                <w:iCs/>
              </w:rPr>
            </w:pPr>
            <w:r w:rsidRPr="00B23B25">
              <w:rPr>
                <w:iCs/>
              </w:rPr>
              <w:t>DUSC agreed with the submission that everyone who is diagnosed at stage III or IV would be treated.</w:t>
            </w:r>
          </w:p>
        </w:tc>
      </w:tr>
      <w:tr w:rsidR="00D94DC3" w:rsidRPr="0085018D" w14:paraId="52224A55" w14:textId="0CBCE32D" w:rsidTr="00D312DD">
        <w:tc>
          <w:tcPr>
            <w:tcW w:w="784" w:type="pct"/>
            <w:shd w:val="clear" w:color="auto" w:fill="auto"/>
            <w:vAlign w:val="center"/>
          </w:tcPr>
          <w:p w14:paraId="658D68A0" w14:textId="77777777" w:rsidR="00D94DC3" w:rsidRPr="00B23B25" w:rsidRDefault="00D94DC3" w:rsidP="00F32048">
            <w:pPr>
              <w:pStyle w:val="COMTabletext"/>
              <w:keepNext w:val="0"/>
            </w:pPr>
            <w:r w:rsidRPr="0085018D">
              <w:t>Proportion of patients receiving de-escalated therapy with AVD</w:t>
            </w:r>
          </w:p>
        </w:tc>
        <w:tc>
          <w:tcPr>
            <w:tcW w:w="1258" w:type="pct"/>
            <w:shd w:val="clear" w:color="auto" w:fill="auto"/>
            <w:vAlign w:val="center"/>
          </w:tcPr>
          <w:p w14:paraId="7CF39DC2" w14:textId="77777777" w:rsidR="00D94DC3" w:rsidRPr="00B23B25" w:rsidRDefault="00D94DC3" w:rsidP="00F32048">
            <w:pPr>
              <w:pStyle w:val="COMTabletext"/>
              <w:keepNext w:val="0"/>
            </w:pPr>
            <w:r w:rsidRPr="00B23B25">
              <w:t>91.3%; based on the proportion of patients in the ECHELON-1 trial with a Deauville score of 1 to 3 (86.1%) or no available Deauville score (5.2%).</w:t>
            </w:r>
          </w:p>
        </w:tc>
        <w:tc>
          <w:tcPr>
            <w:tcW w:w="1574" w:type="pct"/>
            <w:shd w:val="clear" w:color="auto" w:fill="auto"/>
            <w:vAlign w:val="center"/>
          </w:tcPr>
          <w:p w14:paraId="28F8214D" w14:textId="77777777" w:rsidR="00D94DC3" w:rsidRPr="00B23B25" w:rsidRDefault="00D94DC3" w:rsidP="00F32048">
            <w:pPr>
              <w:pStyle w:val="COMTabletext"/>
              <w:keepNext w:val="0"/>
              <w:rPr>
                <w:iCs/>
              </w:rPr>
            </w:pPr>
            <w:r w:rsidRPr="00B23B25">
              <w:rPr>
                <w:iCs/>
              </w:rPr>
              <w:t xml:space="preserve">It is unclear whether the Deauville score alone would form the basis for treatment decisions in Australian clinical practice. The assumption that patients with no </w:t>
            </w:r>
            <w:proofErr w:type="spellStart"/>
            <w:r w:rsidRPr="00B23B25">
              <w:rPr>
                <w:iCs/>
              </w:rPr>
              <w:t>Deaville</w:t>
            </w:r>
            <w:proofErr w:type="spellEnd"/>
            <w:r w:rsidRPr="00B23B25">
              <w:rPr>
                <w:iCs/>
              </w:rPr>
              <w:t xml:space="preserve"> score would receive de-escalated treatment was considered uncertain.</w:t>
            </w:r>
          </w:p>
        </w:tc>
        <w:tc>
          <w:tcPr>
            <w:tcW w:w="1385" w:type="pct"/>
          </w:tcPr>
          <w:p w14:paraId="4563DEC8" w14:textId="443E683E" w:rsidR="00D94DC3" w:rsidRPr="00B23B25" w:rsidRDefault="00D312DD" w:rsidP="00F32048">
            <w:pPr>
              <w:pStyle w:val="COMTabletext"/>
              <w:keepNext w:val="0"/>
              <w:rPr>
                <w:iCs/>
              </w:rPr>
            </w:pPr>
            <w:r w:rsidRPr="00B23B25">
              <w:rPr>
                <w:iCs/>
              </w:rPr>
              <w:t xml:space="preserve">DUSC considered this was reasonable. </w:t>
            </w:r>
          </w:p>
        </w:tc>
      </w:tr>
      <w:tr w:rsidR="00D94DC3" w:rsidRPr="0085018D" w14:paraId="40DCA5D0" w14:textId="236689A8" w:rsidTr="00D312DD">
        <w:tc>
          <w:tcPr>
            <w:tcW w:w="784" w:type="pct"/>
            <w:shd w:val="clear" w:color="auto" w:fill="auto"/>
            <w:vAlign w:val="center"/>
          </w:tcPr>
          <w:p w14:paraId="088A8409" w14:textId="77777777" w:rsidR="00D94DC3" w:rsidRPr="0085018D" w:rsidRDefault="00D94DC3" w:rsidP="00F32048">
            <w:pPr>
              <w:pStyle w:val="COMTabletext"/>
              <w:keepNext w:val="0"/>
            </w:pPr>
            <w:r w:rsidRPr="0085018D">
              <w:t>Dose intensity for A+AVD and PET-adapted ABVD</w:t>
            </w:r>
          </w:p>
        </w:tc>
        <w:tc>
          <w:tcPr>
            <w:tcW w:w="1258" w:type="pct"/>
            <w:shd w:val="clear" w:color="auto" w:fill="auto"/>
            <w:vAlign w:val="center"/>
          </w:tcPr>
          <w:p w14:paraId="44F808FD" w14:textId="77777777" w:rsidR="00D94DC3" w:rsidRPr="00B23B25" w:rsidRDefault="00D94DC3" w:rsidP="00F32048">
            <w:pPr>
              <w:pStyle w:val="COMTabletext"/>
              <w:keepNext w:val="0"/>
            </w:pPr>
            <w:r w:rsidRPr="00B23B25">
              <w:t>100%; assumption.</w:t>
            </w:r>
          </w:p>
        </w:tc>
        <w:tc>
          <w:tcPr>
            <w:tcW w:w="1574" w:type="pct"/>
            <w:shd w:val="clear" w:color="auto" w:fill="auto"/>
            <w:vAlign w:val="center"/>
          </w:tcPr>
          <w:p w14:paraId="7A7DA2D4" w14:textId="77777777" w:rsidR="00D94DC3" w:rsidRPr="00B23B25" w:rsidRDefault="00D94DC3" w:rsidP="00F32048">
            <w:pPr>
              <w:pStyle w:val="COMTabletext"/>
              <w:keepNext w:val="0"/>
              <w:rPr>
                <w:iCs/>
              </w:rPr>
            </w:pPr>
            <w:r w:rsidRPr="00B23B25">
              <w:rPr>
                <w:iCs/>
              </w:rPr>
              <w:t>The assumption of 100% dose intensity for all components in each regimen was inconsistent with trial data. The assumption of 100% dose intensity for A+AVD and PET-adapted ABVD may overestimate the cost to the PBS/RPBS, given the higher cost of A+AVD compared to PET-adapted ABVD.</w:t>
            </w:r>
          </w:p>
        </w:tc>
        <w:tc>
          <w:tcPr>
            <w:tcW w:w="1385" w:type="pct"/>
          </w:tcPr>
          <w:p w14:paraId="2FBBB432" w14:textId="06C751AF" w:rsidR="00D94DC3" w:rsidRPr="00B23B25" w:rsidRDefault="00D312DD" w:rsidP="00F32048">
            <w:pPr>
              <w:pStyle w:val="COMTabletext"/>
              <w:keepNext w:val="0"/>
              <w:rPr>
                <w:iCs/>
              </w:rPr>
            </w:pPr>
            <w:r w:rsidRPr="00B23B25">
              <w:rPr>
                <w:iCs/>
              </w:rPr>
              <w:t>DUSC agreed with the evaluation.</w:t>
            </w:r>
          </w:p>
        </w:tc>
      </w:tr>
    </w:tbl>
    <w:p w14:paraId="6BD1EDB5" w14:textId="77777777" w:rsidR="00896124" w:rsidRPr="0085018D" w:rsidRDefault="00896124" w:rsidP="00896124">
      <w:pPr>
        <w:pStyle w:val="COMTablefooter"/>
      </w:pPr>
      <w:r w:rsidRPr="0085018D">
        <w:t>Source: Section 4, pp248-272 of the submission.</w:t>
      </w:r>
    </w:p>
    <w:p w14:paraId="6F992E17" w14:textId="77777777" w:rsidR="00896124" w:rsidRPr="0085018D" w:rsidRDefault="00896124" w:rsidP="00896124">
      <w:pPr>
        <w:pStyle w:val="COMTablefooter"/>
      </w:pPr>
      <w:r w:rsidRPr="0085018D">
        <w:t xml:space="preserve">Abbreviations: A+AVD, brentuximab </w:t>
      </w:r>
      <w:proofErr w:type="spellStart"/>
      <w:r w:rsidRPr="0085018D">
        <w:t>vedotin</w:t>
      </w:r>
      <w:proofErr w:type="spellEnd"/>
      <w:r w:rsidRPr="0085018D">
        <w:t xml:space="preserve">, doxorubicin, vinblastine, and dacarbazine; ABVD, doxorubicin, bleomycin, vinblastine, and dacarbazine; AIHW, Australian Institute of Health and Welfare; AVD, doxorubicin, vinblastine, and dacarbazine; ECOG, Eastern Cooperative Oncology Group; </w:t>
      </w:r>
      <w:proofErr w:type="spellStart"/>
      <w:r w:rsidRPr="0085018D">
        <w:t>eBEACOPP</w:t>
      </w:r>
      <w:proofErr w:type="spellEnd"/>
      <w:r w:rsidRPr="0085018D">
        <w:t>, escalated bleomycin, etoposide, doxorubicin, cyclophosphamide, vincristine, procarbazine, and prednisolone; PET, positron emission tomography.</w:t>
      </w:r>
    </w:p>
    <w:p w14:paraId="628A1393" w14:textId="77777777" w:rsidR="00896124" w:rsidRPr="0085018D" w:rsidRDefault="00896124" w:rsidP="00896124">
      <w:pPr>
        <w:pStyle w:val="COMexecsumnumberedpara"/>
        <w:rPr>
          <w:color w:val="0066FF"/>
        </w:rPr>
      </w:pPr>
      <w:r w:rsidRPr="0085018D">
        <w:t xml:space="preserve">The estimated utilisation and financial impacts of listing brentuximab </w:t>
      </w:r>
      <w:proofErr w:type="spellStart"/>
      <w:r w:rsidRPr="0085018D">
        <w:t>vedotin</w:t>
      </w:r>
      <w:proofErr w:type="spellEnd"/>
      <w:r w:rsidRPr="0085018D">
        <w:t xml:space="preserve"> on the PBS/RPBS are summarised in </w:t>
      </w:r>
      <w:r w:rsidRPr="0085018D">
        <w:fldChar w:fldCharType="begin"/>
      </w:r>
      <w:r w:rsidRPr="0085018D">
        <w:instrText xml:space="preserve"> REF _Ref104805295 \h </w:instrText>
      </w:r>
      <w:r w:rsidRPr="0085018D">
        <w:fldChar w:fldCharType="separate"/>
      </w:r>
      <w:r w:rsidRPr="0085018D">
        <w:t xml:space="preserve">Table </w:t>
      </w:r>
      <w:r w:rsidRPr="00B23B25">
        <w:t>13</w:t>
      </w:r>
      <w:r w:rsidRPr="0085018D">
        <w:fldChar w:fldCharType="end"/>
      </w:r>
      <w:r w:rsidRPr="0085018D">
        <w:rPr>
          <w:color w:val="0066FF"/>
        </w:rPr>
        <w:t>.</w:t>
      </w:r>
    </w:p>
    <w:p w14:paraId="661DEBE8" w14:textId="77777777" w:rsidR="00896124" w:rsidRPr="0085018D" w:rsidRDefault="00896124" w:rsidP="009614A3">
      <w:pPr>
        <w:pStyle w:val="COMtablefigcaption"/>
      </w:pPr>
      <w:bookmarkStart w:id="60" w:name="_Ref104805295"/>
      <w:r w:rsidRPr="0085018D">
        <w:t xml:space="preserve">Table </w:t>
      </w:r>
      <w:fldSimple w:instr=" SEQ Table \* ARABIC ">
        <w:r w:rsidRPr="00B23B25">
          <w:t>13</w:t>
        </w:r>
      </w:fldSimple>
      <w:bookmarkEnd w:id="60"/>
      <w:r w:rsidRPr="0085018D">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Estimated use and financial implications"/>
      </w:tblPr>
      <w:tblGrid>
        <w:gridCol w:w="2405"/>
        <w:gridCol w:w="1102"/>
        <w:gridCol w:w="1102"/>
        <w:gridCol w:w="1102"/>
        <w:gridCol w:w="1102"/>
        <w:gridCol w:w="1102"/>
        <w:gridCol w:w="1102"/>
      </w:tblGrid>
      <w:tr w:rsidR="00896124" w:rsidRPr="0085018D" w14:paraId="34034B2F" w14:textId="77777777" w:rsidTr="00F32048">
        <w:trPr>
          <w:tblHeader/>
        </w:trPr>
        <w:tc>
          <w:tcPr>
            <w:tcW w:w="1334" w:type="pct"/>
            <w:shd w:val="clear" w:color="auto" w:fill="auto"/>
            <w:vAlign w:val="center"/>
          </w:tcPr>
          <w:p w14:paraId="24F006A3" w14:textId="77777777" w:rsidR="00896124" w:rsidRPr="00B23B25" w:rsidRDefault="00896124" w:rsidP="009614A3">
            <w:pPr>
              <w:pStyle w:val="COMTableheadingrow"/>
              <w:jc w:val="center"/>
              <w:rPr>
                <w:lang w:val="en-AU"/>
              </w:rPr>
            </w:pPr>
          </w:p>
        </w:tc>
        <w:tc>
          <w:tcPr>
            <w:tcW w:w="611" w:type="pct"/>
            <w:shd w:val="clear" w:color="auto" w:fill="auto"/>
            <w:vAlign w:val="center"/>
          </w:tcPr>
          <w:p w14:paraId="273B6F83" w14:textId="77777777" w:rsidR="00896124" w:rsidRPr="00B23B25" w:rsidRDefault="00896124" w:rsidP="009614A3">
            <w:pPr>
              <w:pStyle w:val="COMTableheadingrow"/>
              <w:jc w:val="center"/>
              <w:rPr>
                <w:lang w:val="en-AU"/>
              </w:rPr>
            </w:pPr>
            <w:r w:rsidRPr="00B23B25">
              <w:rPr>
                <w:lang w:val="en-AU"/>
              </w:rPr>
              <w:t>Year 1</w:t>
            </w:r>
          </w:p>
        </w:tc>
        <w:tc>
          <w:tcPr>
            <w:tcW w:w="611" w:type="pct"/>
            <w:shd w:val="clear" w:color="auto" w:fill="auto"/>
            <w:vAlign w:val="center"/>
          </w:tcPr>
          <w:p w14:paraId="2E31B554" w14:textId="77777777" w:rsidR="00896124" w:rsidRPr="00B23B25" w:rsidRDefault="00896124" w:rsidP="009614A3">
            <w:pPr>
              <w:pStyle w:val="COMTableheadingrow"/>
              <w:jc w:val="center"/>
              <w:rPr>
                <w:lang w:val="en-AU"/>
              </w:rPr>
            </w:pPr>
            <w:r w:rsidRPr="00B23B25">
              <w:rPr>
                <w:lang w:val="en-AU"/>
              </w:rPr>
              <w:t>Year 2</w:t>
            </w:r>
          </w:p>
        </w:tc>
        <w:tc>
          <w:tcPr>
            <w:tcW w:w="611" w:type="pct"/>
            <w:shd w:val="clear" w:color="auto" w:fill="auto"/>
            <w:vAlign w:val="center"/>
          </w:tcPr>
          <w:p w14:paraId="44062EF5" w14:textId="77777777" w:rsidR="00896124" w:rsidRPr="00B23B25" w:rsidRDefault="00896124" w:rsidP="009614A3">
            <w:pPr>
              <w:pStyle w:val="COMTableheadingrow"/>
              <w:jc w:val="center"/>
              <w:rPr>
                <w:lang w:val="en-AU"/>
              </w:rPr>
            </w:pPr>
            <w:r w:rsidRPr="00B23B25">
              <w:rPr>
                <w:lang w:val="en-AU"/>
              </w:rPr>
              <w:t>Year 3</w:t>
            </w:r>
          </w:p>
        </w:tc>
        <w:tc>
          <w:tcPr>
            <w:tcW w:w="611" w:type="pct"/>
            <w:shd w:val="clear" w:color="auto" w:fill="auto"/>
            <w:vAlign w:val="center"/>
          </w:tcPr>
          <w:p w14:paraId="3C4445DF" w14:textId="77777777" w:rsidR="00896124" w:rsidRPr="00B23B25" w:rsidRDefault="00896124" w:rsidP="009614A3">
            <w:pPr>
              <w:pStyle w:val="COMTableheadingrow"/>
              <w:jc w:val="center"/>
              <w:rPr>
                <w:lang w:val="en-AU"/>
              </w:rPr>
            </w:pPr>
            <w:r w:rsidRPr="00B23B25">
              <w:rPr>
                <w:lang w:val="en-AU"/>
              </w:rPr>
              <w:t>Year 4</w:t>
            </w:r>
          </w:p>
        </w:tc>
        <w:tc>
          <w:tcPr>
            <w:tcW w:w="611" w:type="pct"/>
            <w:shd w:val="clear" w:color="auto" w:fill="auto"/>
            <w:vAlign w:val="center"/>
          </w:tcPr>
          <w:p w14:paraId="22393FD3" w14:textId="77777777" w:rsidR="00896124" w:rsidRPr="00B23B25" w:rsidRDefault="00896124" w:rsidP="009614A3">
            <w:pPr>
              <w:pStyle w:val="COMTableheadingrow"/>
              <w:jc w:val="center"/>
              <w:rPr>
                <w:lang w:val="en-AU"/>
              </w:rPr>
            </w:pPr>
            <w:r w:rsidRPr="00B23B25">
              <w:rPr>
                <w:lang w:val="en-AU"/>
              </w:rPr>
              <w:t>Year 5</w:t>
            </w:r>
          </w:p>
        </w:tc>
        <w:tc>
          <w:tcPr>
            <w:tcW w:w="611" w:type="pct"/>
          </w:tcPr>
          <w:p w14:paraId="095243E5" w14:textId="77777777" w:rsidR="00896124" w:rsidRPr="00B23B25" w:rsidRDefault="00896124" w:rsidP="009614A3">
            <w:pPr>
              <w:pStyle w:val="COMTableheadingrow"/>
              <w:jc w:val="center"/>
              <w:rPr>
                <w:lang w:val="en-AU"/>
              </w:rPr>
            </w:pPr>
            <w:r w:rsidRPr="00B23B25">
              <w:rPr>
                <w:lang w:val="en-AU"/>
              </w:rPr>
              <w:t>Year 6</w:t>
            </w:r>
          </w:p>
        </w:tc>
      </w:tr>
      <w:tr w:rsidR="00896124" w:rsidRPr="0085018D" w14:paraId="1E36C531" w14:textId="77777777" w:rsidTr="00F32048">
        <w:tc>
          <w:tcPr>
            <w:tcW w:w="5000" w:type="pct"/>
            <w:gridSpan w:val="7"/>
            <w:shd w:val="clear" w:color="auto" w:fill="auto"/>
            <w:vAlign w:val="center"/>
          </w:tcPr>
          <w:p w14:paraId="7D681D3E" w14:textId="77777777" w:rsidR="00896124" w:rsidRPr="00B23B25" w:rsidRDefault="00896124" w:rsidP="009614A3">
            <w:pPr>
              <w:pStyle w:val="COMTableheadingrow"/>
              <w:rPr>
                <w:bCs/>
                <w:color w:val="000000"/>
                <w:lang w:val="en-AU"/>
              </w:rPr>
            </w:pPr>
            <w:r w:rsidRPr="00B23B25">
              <w:rPr>
                <w:bCs/>
                <w:color w:val="000000"/>
                <w:lang w:val="en-AU"/>
              </w:rPr>
              <w:t>Estimated extent of use</w:t>
            </w:r>
          </w:p>
        </w:tc>
      </w:tr>
      <w:tr w:rsidR="00896124" w:rsidRPr="0085018D" w14:paraId="2E1704F4" w14:textId="77777777" w:rsidTr="00F32048">
        <w:tc>
          <w:tcPr>
            <w:tcW w:w="1334" w:type="pct"/>
            <w:shd w:val="clear" w:color="auto" w:fill="auto"/>
            <w:vAlign w:val="center"/>
          </w:tcPr>
          <w:p w14:paraId="3637B168" w14:textId="77777777" w:rsidR="00896124" w:rsidRPr="0085018D" w:rsidRDefault="00896124" w:rsidP="009614A3">
            <w:pPr>
              <w:pStyle w:val="COMTabletext"/>
              <w:rPr>
                <w:rFonts w:ascii="Times" w:hAnsi="Times"/>
              </w:rPr>
            </w:pPr>
            <w:r w:rsidRPr="0085018D">
              <w:t>Number of patients treated</w:t>
            </w:r>
          </w:p>
        </w:tc>
        <w:tc>
          <w:tcPr>
            <w:tcW w:w="611" w:type="pct"/>
            <w:shd w:val="clear" w:color="auto" w:fill="auto"/>
          </w:tcPr>
          <w:p w14:paraId="119DBD00" w14:textId="56167332" w:rsidR="00896124" w:rsidRPr="00FD67FF" w:rsidRDefault="00AC76C1" w:rsidP="009614A3">
            <w:pPr>
              <w:pStyle w:val="COMTabletext"/>
              <w:jc w:val="center"/>
              <w:rPr>
                <w:color w:val="000000"/>
                <w:highlight w:val="lightGray"/>
              </w:rPr>
            </w:pPr>
            <w:r w:rsidRPr="00AC76C1">
              <w:rPr>
                <w:rFonts w:hint="eastAsia"/>
                <w:color w:val="000000"/>
                <w:w w:val="15"/>
                <w:shd w:val="solid" w:color="000000" w:fill="000000"/>
                <w:fitText w:val="50" w:id="-961819120"/>
                <w14:textFill>
                  <w14:solidFill>
                    <w14:srgbClr w14:val="000000">
                      <w14:alpha w14:val="100000"/>
                    </w14:srgbClr>
                  </w14:solidFill>
                </w14:textFill>
              </w:rPr>
              <w:t xml:space="preserve">　</w:t>
            </w:r>
            <w:r w:rsidRPr="00AC76C1">
              <w:rPr>
                <w:color w:val="000000"/>
                <w:w w:val="15"/>
                <w:shd w:val="solid" w:color="000000" w:fill="000000"/>
                <w:fitText w:val="50" w:id="-961819120"/>
                <w14:textFill>
                  <w14:solidFill>
                    <w14:srgbClr w14:val="000000">
                      <w14:alpha w14:val="100000"/>
                    </w14:srgbClr>
                  </w14:solidFill>
                </w14:textFill>
              </w:rPr>
              <w:t>|</w:t>
            </w:r>
            <w:r w:rsidRPr="00AC76C1">
              <w:rPr>
                <w:rFonts w:hint="eastAsia"/>
                <w:color w:val="000000"/>
                <w:spacing w:val="-15"/>
                <w:w w:val="15"/>
                <w:shd w:val="solid" w:color="000000" w:fill="000000"/>
                <w:fitText w:val="50" w:id="-961819120"/>
                <w14:textFill>
                  <w14:solidFill>
                    <w14:srgbClr w14:val="000000">
                      <w14:alpha w14:val="100000"/>
                    </w14:srgbClr>
                  </w14:solidFill>
                </w14:textFill>
              </w:rPr>
              <w:t xml:space="preserve">　</w:t>
            </w:r>
            <w:r w:rsidR="00DD693B" w:rsidRPr="00DD693B">
              <w:rPr>
                <w:vertAlign w:val="superscript"/>
              </w:rPr>
              <w:t>1</w:t>
            </w:r>
          </w:p>
        </w:tc>
        <w:tc>
          <w:tcPr>
            <w:tcW w:w="611" w:type="pct"/>
            <w:shd w:val="clear" w:color="auto" w:fill="auto"/>
          </w:tcPr>
          <w:p w14:paraId="6B6850C9" w14:textId="03D7098D" w:rsidR="00896124" w:rsidRPr="00FD67FF" w:rsidRDefault="00AC76C1" w:rsidP="009614A3">
            <w:pPr>
              <w:pStyle w:val="COMTabletext"/>
              <w:jc w:val="center"/>
              <w:rPr>
                <w:color w:val="000000"/>
                <w:highlight w:val="lightGray"/>
              </w:rPr>
            </w:pPr>
            <w:r w:rsidRPr="00AC76C1">
              <w:rPr>
                <w:rFonts w:hint="eastAsia"/>
                <w:color w:val="000000"/>
                <w:w w:val="15"/>
                <w:shd w:val="solid" w:color="000000" w:fill="000000"/>
                <w:fitText w:val="50" w:id="-961819136"/>
                <w14:textFill>
                  <w14:solidFill>
                    <w14:srgbClr w14:val="000000">
                      <w14:alpha w14:val="100000"/>
                    </w14:srgbClr>
                  </w14:solidFill>
                </w14:textFill>
              </w:rPr>
              <w:t xml:space="preserve">　</w:t>
            </w:r>
            <w:r w:rsidRPr="00AC76C1">
              <w:rPr>
                <w:color w:val="000000"/>
                <w:w w:val="15"/>
                <w:shd w:val="solid" w:color="000000" w:fill="000000"/>
                <w:fitText w:val="50" w:id="-961819136"/>
                <w14:textFill>
                  <w14:solidFill>
                    <w14:srgbClr w14:val="000000">
                      <w14:alpha w14:val="100000"/>
                    </w14:srgbClr>
                  </w14:solidFill>
                </w14:textFill>
              </w:rPr>
              <w:t>|</w:t>
            </w:r>
            <w:r w:rsidRPr="00AC76C1">
              <w:rPr>
                <w:rFonts w:hint="eastAsia"/>
                <w:color w:val="000000"/>
                <w:spacing w:val="-15"/>
                <w:w w:val="15"/>
                <w:shd w:val="solid" w:color="000000" w:fill="000000"/>
                <w:fitText w:val="50" w:id="-961819136"/>
                <w14:textFill>
                  <w14:solidFill>
                    <w14:srgbClr w14:val="000000">
                      <w14:alpha w14:val="100000"/>
                    </w14:srgbClr>
                  </w14:solidFill>
                </w14:textFill>
              </w:rPr>
              <w:t xml:space="preserve">　</w:t>
            </w:r>
            <w:r w:rsidR="00DD693B" w:rsidRPr="00DD693B">
              <w:rPr>
                <w:vertAlign w:val="superscript"/>
              </w:rPr>
              <w:t>1</w:t>
            </w:r>
          </w:p>
        </w:tc>
        <w:tc>
          <w:tcPr>
            <w:tcW w:w="611" w:type="pct"/>
            <w:shd w:val="clear" w:color="auto" w:fill="auto"/>
          </w:tcPr>
          <w:p w14:paraId="1BF01A2B" w14:textId="28A665B2" w:rsidR="00896124" w:rsidRPr="00FD67FF" w:rsidRDefault="00AC76C1" w:rsidP="009614A3">
            <w:pPr>
              <w:pStyle w:val="COMTabletext"/>
              <w:jc w:val="center"/>
              <w:rPr>
                <w:color w:val="000000"/>
                <w:highlight w:val="lightGray"/>
              </w:rPr>
            </w:pPr>
            <w:r w:rsidRPr="00AC76C1">
              <w:rPr>
                <w:rFonts w:hint="eastAsia"/>
                <w:color w:val="000000"/>
                <w:w w:val="15"/>
                <w:shd w:val="solid" w:color="000000" w:fill="000000"/>
                <w:fitText w:val="50" w:id="-961819135"/>
                <w14:textFill>
                  <w14:solidFill>
                    <w14:srgbClr w14:val="000000">
                      <w14:alpha w14:val="100000"/>
                    </w14:srgbClr>
                  </w14:solidFill>
                </w14:textFill>
              </w:rPr>
              <w:t xml:space="preserve">　</w:t>
            </w:r>
            <w:r w:rsidRPr="00AC76C1">
              <w:rPr>
                <w:color w:val="000000"/>
                <w:w w:val="15"/>
                <w:shd w:val="solid" w:color="000000" w:fill="000000"/>
                <w:fitText w:val="50" w:id="-961819135"/>
                <w14:textFill>
                  <w14:solidFill>
                    <w14:srgbClr w14:val="000000">
                      <w14:alpha w14:val="100000"/>
                    </w14:srgbClr>
                  </w14:solidFill>
                </w14:textFill>
              </w:rPr>
              <w:t>|</w:t>
            </w:r>
            <w:r w:rsidRPr="00AC76C1">
              <w:rPr>
                <w:rFonts w:hint="eastAsia"/>
                <w:color w:val="000000"/>
                <w:spacing w:val="-15"/>
                <w:w w:val="15"/>
                <w:shd w:val="solid" w:color="000000" w:fill="000000"/>
                <w:fitText w:val="50" w:id="-961819135"/>
                <w14:textFill>
                  <w14:solidFill>
                    <w14:srgbClr w14:val="000000">
                      <w14:alpha w14:val="100000"/>
                    </w14:srgbClr>
                  </w14:solidFill>
                </w14:textFill>
              </w:rPr>
              <w:t xml:space="preserve">　</w:t>
            </w:r>
            <w:r w:rsidR="00DD693B" w:rsidRPr="00DD693B">
              <w:rPr>
                <w:vertAlign w:val="superscript"/>
              </w:rPr>
              <w:t>1</w:t>
            </w:r>
          </w:p>
        </w:tc>
        <w:tc>
          <w:tcPr>
            <w:tcW w:w="611" w:type="pct"/>
            <w:shd w:val="clear" w:color="auto" w:fill="auto"/>
          </w:tcPr>
          <w:p w14:paraId="6528B3DE" w14:textId="413FCEFA" w:rsidR="00896124" w:rsidRPr="00FD67FF" w:rsidRDefault="00AC76C1" w:rsidP="009614A3">
            <w:pPr>
              <w:pStyle w:val="COMTabletext"/>
              <w:jc w:val="center"/>
              <w:rPr>
                <w:color w:val="000000"/>
                <w:highlight w:val="lightGray"/>
              </w:rPr>
            </w:pPr>
            <w:r w:rsidRPr="00AC76C1">
              <w:rPr>
                <w:rFonts w:hint="eastAsia"/>
                <w:color w:val="000000"/>
                <w:w w:val="15"/>
                <w:shd w:val="solid" w:color="000000" w:fill="000000"/>
                <w:fitText w:val="50" w:id="-961819134"/>
                <w14:textFill>
                  <w14:solidFill>
                    <w14:srgbClr w14:val="000000">
                      <w14:alpha w14:val="100000"/>
                    </w14:srgbClr>
                  </w14:solidFill>
                </w14:textFill>
              </w:rPr>
              <w:t xml:space="preserve">　</w:t>
            </w:r>
            <w:r w:rsidRPr="00AC76C1">
              <w:rPr>
                <w:color w:val="000000"/>
                <w:w w:val="15"/>
                <w:shd w:val="solid" w:color="000000" w:fill="000000"/>
                <w:fitText w:val="50" w:id="-961819134"/>
                <w14:textFill>
                  <w14:solidFill>
                    <w14:srgbClr w14:val="000000">
                      <w14:alpha w14:val="100000"/>
                    </w14:srgbClr>
                  </w14:solidFill>
                </w14:textFill>
              </w:rPr>
              <w:t>|</w:t>
            </w:r>
            <w:r w:rsidRPr="00AC76C1">
              <w:rPr>
                <w:rFonts w:hint="eastAsia"/>
                <w:color w:val="000000"/>
                <w:spacing w:val="-15"/>
                <w:w w:val="15"/>
                <w:shd w:val="solid" w:color="000000" w:fill="000000"/>
                <w:fitText w:val="50" w:id="-961819134"/>
                <w14:textFill>
                  <w14:solidFill>
                    <w14:srgbClr w14:val="000000">
                      <w14:alpha w14:val="100000"/>
                    </w14:srgbClr>
                  </w14:solidFill>
                </w14:textFill>
              </w:rPr>
              <w:t xml:space="preserve">　</w:t>
            </w:r>
            <w:r w:rsidR="00DD693B" w:rsidRPr="00DD693B">
              <w:rPr>
                <w:vertAlign w:val="superscript"/>
              </w:rPr>
              <w:t>1</w:t>
            </w:r>
          </w:p>
        </w:tc>
        <w:tc>
          <w:tcPr>
            <w:tcW w:w="611" w:type="pct"/>
            <w:shd w:val="clear" w:color="auto" w:fill="auto"/>
          </w:tcPr>
          <w:p w14:paraId="65893A17" w14:textId="6B49083C" w:rsidR="00896124" w:rsidRPr="00FD67FF" w:rsidRDefault="00AC76C1" w:rsidP="009614A3">
            <w:pPr>
              <w:pStyle w:val="COMTabletext"/>
              <w:jc w:val="center"/>
              <w:rPr>
                <w:color w:val="000000"/>
                <w:highlight w:val="lightGray"/>
              </w:rPr>
            </w:pPr>
            <w:r w:rsidRPr="00AC76C1">
              <w:rPr>
                <w:rFonts w:hint="eastAsia"/>
                <w:color w:val="000000"/>
                <w:w w:val="15"/>
                <w:shd w:val="solid" w:color="000000" w:fill="000000"/>
                <w:fitText w:val="50" w:id="-961819133"/>
                <w14:textFill>
                  <w14:solidFill>
                    <w14:srgbClr w14:val="000000">
                      <w14:alpha w14:val="100000"/>
                    </w14:srgbClr>
                  </w14:solidFill>
                </w14:textFill>
              </w:rPr>
              <w:t xml:space="preserve">　</w:t>
            </w:r>
            <w:r w:rsidRPr="00AC76C1">
              <w:rPr>
                <w:color w:val="000000"/>
                <w:w w:val="15"/>
                <w:shd w:val="solid" w:color="000000" w:fill="000000"/>
                <w:fitText w:val="50" w:id="-961819133"/>
                <w14:textFill>
                  <w14:solidFill>
                    <w14:srgbClr w14:val="000000">
                      <w14:alpha w14:val="100000"/>
                    </w14:srgbClr>
                  </w14:solidFill>
                </w14:textFill>
              </w:rPr>
              <w:t>|</w:t>
            </w:r>
            <w:r w:rsidRPr="00AC76C1">
              <w:rPr>
                <w:rFonts w:hint="eastAsia"/>
                <w:color w:val="000000"/>
                <w:spacing w:val="-15"/>
                <w:w w:val="15"/>
                <w:shd w:val="solid" w:color="000000" w:fill="000000"/>
                <w:fitText w:val="50" w:id="-961819133"/>
                <w14:textFill>
                  <w14:solidFill>
                    <w14:srgbClr w14:val="000000">
                      <w14:alpha w14:val="100000"/>
                    </w14:srgbClr>
                  </w14:solidFill>
                </w14:textFill>
              </w:rPr>
              <w:t xml:space="preserve">　</w:t>
            </w:r>
            <w:r w:rsidR="00DD693B" w:rsidRPr="00DD693B">
              <w:rPr>
                <w:vertAlign w:val="superscript"/>
              </w:rPr>
              <w:t>1</w:t>
            </w:r>
          </w:p>
        </w:tc>
        <w:tc>
          <w:tcPr>
            <w:tcW w:w="611" w:type="pct"/>
          </w:tcPr>
          <w:p w14:paraId="5C867A84" w14:textId="245D508A" w:rsidR="00896124" w:rsidRPr="00FD67FF" w:rsidRDefault="00AC76C1" w:rsidP="009614A3">
            <w:pPr>
              <w:pStyle w:val="COMTabletext"/>
              <w:jc w:val="center"/>
              <w:rPr>
                <w:color w:val="000000"/>
                <w:highlight w:val="lightGray"/>
              </w:rPr>
            </w:pPr>
            <w:r w:rsidRPr="00AC76C1">
              <w:rPr>
                <w:rFonts w:hint="eastAsia"/>
                <w:color w:val="000000"/>
                <w:w w:val="15"/>
                <w:shd w:val="solid" w:color="000000" w:fill="000000"/>
                <w:fitText w:val="51" w:id="-961819132"/>
                <w14:textFill>
                  <w14:solidFill>
                    <w14:srgbClr w14:val="000000">
                      <w14:alpha w14:val="100000"/>
                    </w14:srgbClr>
                  </w14:solidFill>
                </w14:textFill>
              </w:rPr>
              <w:t xml:space="preserve">　</w:t>
            </w:r>
            <w:r w:rsidRPr="00AC76C1">
              <w:rPr>
                <w:color w:val="000000"/>
                <w:w w:val="15"/>
                <w:shd w:val="solid" w:color="000000" w:fill="000000"/>
                <w:fitText w:val="51" w:id="-961819132"/>
                <w14:textFill>
                  <w14:solidFill>
                    <w14:srgbClr w14:val="000000">
                      <w14:alpha w14:val="100000"/>
                    </w14:srgbClr>
                  </w14:solidFill>
                </w14:textFill>
              </w:rPr>
              <w:t>|</w:t>
            </w:r>
            <w:r w:rsidRPr="00AC76C1">
              <w:rPr>
                <w:rFonts w:hint="eastAsia"/>
                <w:color w:val="000000"/>
                <w:spacing w:val="-14"/>
                <w:w w:val="15"/>
                <w:shd w:val="solid" w:color="000000" w:fill="000000"/>
                <w:fitText w:val="51" w:id="-961819132"/>
                <w14:textFill>
                  <w14:solidFill>
                    <w14:srgbClr w14:val="000000">
                      <w14:alpha w14:val="100000"/>
                    </w14:srgbClr>
                  </w14:solidFill>
                </w14:textFill>
              </w:rPr>
              <w:t xml:space="preserve">　</w:t>
            </w:r>
            <w:r w:rsidR="00DD693B" w:rsidRPr="00DD693B">
              <w:rPr>
                <w:vertAlign w:val="superscript"/>
              </w:rPr>
              <w:t>1</w:t>
            </w:r>
          </w:p>
        </w:tc>
      </w:tr>
      <w:tr w:rsidR="00896124" w:rsidRPr="0085018D" w14:paraId="78488F38" w14:textId="77777777" w:rsidTr="00F32048">
        <w:tc>
          <w:tcPr>
            <w:tcW w:w="5000" w:type="pct"/>
            <w:gridSpan w:val="7"/>
            <w:shd w:val="clear" w:color="auto" w:fill="auto"/>
            <w:vAlign w:val="center"/>
          </w:tcPr>
          <w:p w14:paraId="4425C6CD" w14:textId="77777777" w:rsidR="00896124" w:rsidRPr="00B23B25" w:rsidRDefault="00896124" w:rsidP="009614A3">
            <w:pPr>
              <w:pStyle w:val="COMTableheadingrow"/>
              <w:rPr>
                <w:lang w:val="en-AU"/>
              </w:rPr>
            </w:pPr>
            <w:r w:rsidRPr="00B23B25">
              <w:rPr>
                <w:lang w:val="en-AU"/>
              </w:rPr>
              <w:t>Cost to the PBS/RPBS (less copayments)</w:t>
            </w:r>
          </w:p>
        </w:tc>
      </w:tr>
      <w:tr w:rsidR="00896124" w:rsidRPr="0085018D" w14:paraId="770258A8" w14:textId="77777777" w:rsidTr="00F32048">
        <w:tc>
          <w:tcPr>
            <w:tcW w:w="1334" w:type="pct"/>
            <w:shd w:val="clear" w:color="auto" w:fill="auto"/>
            <w:vAlign w:val="center"/>
          </w:tcPr>
          <w:p w14:paraId="12AB5500" w14:textId="77777777" w:rsidR="00896124" w:rsidRPr="0085018D" w:rsidRDefault="00896124" w:rsidP="009614A3">
            <w:pPr>
              <w:pStyle w:val="COMTabletext"/>
            </w:pPr>
            <w:r w:rsidRPr="0085018D">
              <w:t>Cost to PBS/RPBS for increased use of A+AVD</w:t>
            </w:r>
          </w:p>
        </w:tc>
        <w:tc>
          <w:tcPr>
            <w:tcW w:w="611" w:type="pct"/>
            <w:shd w:val="clear" w:color="auto" w:fill="auto"/>
            <w:vAlign w:val="center"/>
          </w:tcPr>
          <w:p w14:paraId="51E8AC01" w14:textId="71CF7C51"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1"/>
                <w14:textFill>
                  <w14:solidFill>
                    <w14:srgbClr w14:val="000000">
                      <w14:alpha w14:val="100000"/>
                    </w14:srgbClr>
                  </w14:solidFill>
                </w14:textFill>
              </w:rPr>
              <w:t xml:space="preserve">　</w:t>
            </w:r>
            <w:r w:rsidR="00AC76C1" w:rsidRPr="00AC76C1">
              <w:rPr>
                <w:color w:val="000000"/>
                <w:w w:val="25"/>
                <w:shd w:val="solid" w:color="000000" w:fill="000000"/>
                <w:fitText w:val="113" w:id="-961819131"/>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1"/>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661B7562" w14:textId="1F429314"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0"/>
                <w14:textFill>
                  <w14:solidFill>
                    <w14:srgbClr w14:val="000000">
                      <w14:alpha w14:val="100000"/>
                    </w14:srgbClr>
                  </w14:solidFill>
                </w14:textFill>
              </w:rPr>
              <w:t xml:space="preserve">　</w:t>
            </w:r>
            <w:r w:rsidR="00AC76C1" w:rsidRPr="00AC76C1">
              <w:rPr>
                <w:color w:val="000000"/>
                <w:w w:val="25"/>
                <w:shd w:val="solid" w:color="000000" w:fill="000000"/>
                <w:fitText w:val="113" w:id="-961819130"/>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0"/>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46731455" w14:textId="2CCB9DD7"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9"/>
                <w14:textFill>
                  <w14:solidFill>
                    <w14:srgbClr w14:val="000000">
                      <w14:alpha w14:val="100000"/>
                    </w14:srgbClr>
                  </w14:solidFill>
                </w14:textFill>
              </w:rPr>
              <w:t xml:space="preserve">　</w:t>
            </w:r>
            <w:r w:rsidR="00AC76C1" w:rsidRPr="00AC76C1">
              <w:rPr>
                <w:color w:val="000000"/>
                <w:w w:val="25"/>
                <w:shd w:val="solid" w:color="000000" w:fill="000000"/>
                <w:fitText w:val="113" w:id="-961819129"/>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9"/>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47DFD1A7" w14:textId="39E616CB"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8"/>
                <w14:textFill>
                  <w14:solidFill>
                    <w14:srgbClr w14:val="000000">
                      <w14:alpha w14:val="100000"/>
                    </w14:srgbClr>
                  </w14:solidFill>
                </w14:textFill>
              </w:rPr>
              <w:t xml:space="preserve">　</w:t>
            </w:r>
            <w:r w:rsidR="00AC76C1" w:rsidRPr="00AC76C1">
              <w:rPr>
                <w:color w:val="000000"/>
                <w:w w:val="25"/>
                <w:shd w:val="solid" w:color="000000" w:fill="000000"/>
                <w:fitText w:val="113" w:id="-961819128"/>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8"/>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707AC629" w14:textId="68189873"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7"/>
                <w14:textFill>
                  <w14:solidFill>
                    <w14:srgbClr w14:val="000000">
                      <w14:alpha w14:val="100000"/>
                    </w14:srgbClr>
                  </w14:solidFill>
                </w14:textFill>
              </w:rPr>
              <w:t xml:space="preserve">　</w:t>
            </w:r>
            <w:r w:rsidR="00AC76C1" w:rsidRPr="00AC76C1">
              <w:rPr>
                <w:color w:val="000000"/>
                <w:w w:val="25"/>
                <w:shd w:val="solid" w:color="000000" w:fill="000000"/>
                <w:fitText w:val="113" w:id="-961819127"/>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7"/>
                <w14:textFill>
                  <w14:solidFill>
                    <w14:srgbClr w14:val="000000">
                      <w14:alpha w14:val="100000"/>
                    </w14:srgbClr>
                  </w14:solidFill>
                </w14:textFill>
              </w:rPr>
              <w:t xml:space="preserve">　</w:t>
            </w:r>
            <w:r w:rsidR="009614A3" w:rsidRPr="009614A3">
              <w:rPr>
                <w:vertAlign w:val="superscript"/>
              </w:rPr>
              <w:t>2</w:t>
            </w:r>
          </w:p>
        </w:tc>
        <w:tc>
          <w:tcPr>
            <w:tcW w:w="611" w:type="pct"/>
            <w:vAlign w:val="center"/>
          </w:tcPr>
          <w:p w14:paraId="31111293" w14:textId="45EDC393"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6"/>
                <w14:textFill>
                  <w14:solidFill>
                    <w14:srgbClr w14:val="000000">
                      <w14:alpha w14:val="100000"/>
                    </w14:srgbClr>
                  </w14:solidFill>
                </w14:textFill>
              </w:rPr>
              <w:t xml:space="preserve">　</w:t>
            </w:r>
            <w:r w:rsidR="00AC76C1" w:rsidRPr="00AC76C1">
              <w:rPr>
                <w:color w:val="000000"/>
                <w:w w:val="25"/>
                <w:shd w:val="solid" w:color="000000" w:fill="000000"/>
                <w:fitText w:val="113" w:id="-961819126"/>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6"/>
                <w14:textFill>
                  <w14:solidFill>
                    <w14:srgbClr w14:val="000000">
                      <w14:alpha w14:val="100000"/>
                    </w14:srgbClr>
                  </w14:solidFill>
                </w14:textFill>
              </w:rPr>
              <w:t xml:space="preserve">　</w:t>
            </w:r>
            <w:r w:rsidR="009614A3" w:rsidRPr="009614A3">
              <w:rPr>
                <w:vertAlign w:val="superscript"/>
              </w:rPr>
              <w:t>2</w:t>
            </w:r>
          </w:p>
        </w:tc>
      </w:tr>
      <w:tr w:rsidR="00896124" w:rsidRPr="0085018D" w14:paraId="0507179B" w14:textId="77777777" w:rsidTr="00F32048">
        <w:tc>
          <w:tcPr>
            <w:tcW w:w="1334" w:type="pct"/>
            <w:shd w:val="clear" w:color="auto" w:fill="auto"/>
            <w:vAlign w:val="center"/>
          </w:tcPr>
          <w:p w14:paraId="30101B45" w14:textId="77777777" w:rsidR="00896124" w:rsidRPr="0085018D" w:rsidRDefault="00896124" w:rsidP="009614A3">
            <w:pPr>
              <w:pStyle w:val="COMTabletext"/>
            </w:pPr>
            <w:r w:rsidRPr="0085018D">
              <w:t xml:space="preserve">Cost offsets for substituted use of PET-adapted ABVD </w:t>
            </w:r>
            <w:r w:rsidRPr="0085018D">
              <w:rPr>
                <w:vertAlign w:val="superscript"/>
              </w:rPr>
              <w:t>a</w:t>
            </w:r>
          </w:p>
        </w:tc>
        <w:tc>
          <w:tcPr>
            <w:tcW w:w="611" w:type="pct"/>
            <w:shd w:val="clear" w:color="auto" w:fill="auto"/>
            <w:vAlign w:val="center"/>
          </w:tcPr>
          <w:p w14:paraId="74F2F1D1" w14:textId="099A8322"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5"/>
                <w14:textFill>
                  <w14:solidFill>
                    <w14:srgbClr w14:val="000000">
                      <w14:alpha w14:val="100000"/>
                    </w14:srgbClr>
                  </w14:solidFill>
                </w14:textFill>
              </w:rPr>
              <w:t xml:space="preserve">　</w:t>
            </w:r>
            <w:r w:rsidR="00AC76C1" w:rsidRPr="00AC76C1">
              <w:rPr>
                <w:color w:val="000000"/>
                <w:w w:val="25"/>
                <w:shd w:val="solid" w:color="000000" w:fill="000000"/>
                <w:fitText w:val="113" w:id="-961819125"/>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5"/>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2733D145" w14:textId="09DADC2B"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4"/>
                <w14:textFill>
                  <w14:solidFill>
                    <w14:srgbClr w14:val="000000">
                      <w14:alpha w14:val="100000"/>
                    </w14:srgbClr>
                  </w14:solidFill>
                </w14:textFill>
              </w:rPr>
              <w:t xml:space="preserve">　</w:t>
            </w:r>
            <w:r w:rsidR="00AC76C1" w:rsidRPr="00AC76C1">
              <w:rPr>
                <w:color w:val="000000"/>
                <w:w w:val="25"/>
                <w:shd w:val="solid" w:color="000000" w:fill="000000"/>
                <w:fitText w:val="113" w:id="-961819124"/>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4"/>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09EFFEBD" w14:textId="48462D4D"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3"/>
                <w14:textFill>
                  <w14:solidFill>
                    <w14:srgbClr w14:val="000000">
                      <w14:alpha w14:val="100000"/>
                    </w14:srgbClr>
                  </w14:solidFill>
                </w14:textFill>
              </w:rPr>
              <w:t xml:space="preserve">　</w:t>
            </w:r>
            <w:r w:rsidR="00AC76C1" w:rsidRPr="00AC76C1">
              <w:rPr>
                <w:color w:val="000000"/>
                <w:w w:val="25"/>
                <w:shd w:val="solid" w:color="000000" w:fill="000000"/>
                <w:fitText w:val="113" w:id="-961819123"/>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3"/>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570C54C0" w14:textId="42D7C13D"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2"/>
                <w14:textFill>
                  <w14:solidFill>
                    <w14:srgbClr w14:val="000000">
                      <w14:alpha w14:val="100000"/>
                    </w14:srgbClr>
                  </w14:solidFill>
                </w14:textFill>
              </w:rPr>
              <w:t xml:space="preserve">　</w:t>
            </w:r>
            <w:r w:rsidR="00AC76C1" w:rsidRPr="00AC76C1">
              <w:rPr>
                <w:color w:val="000000"/>
                <w:w w:val="25"/>
                <w:shd w:val="solid" w:color="000000" w:fill="000000"/>
                <w:fitText w:val="113" w:id="-961819122"/>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2"/>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0F1C3D84" w14:textId="32FE1770"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1"/>
                <w14:textFill>
                  <w14:solidFill>
                    <w14:srgbClr w14:val="000000">
                      <w14:alpha w14:val="100000"/>
                    </w14:srgbClr>
                  </w14:solidFill>
                </w14:textFill>
              </w:rPr>
              <w:t xml:space="preserve">　</w:t>
            </w:r>
            <w:r w:rsidR="00AC76C1" w:rsidRPr="00AC76C1">
              <w:rPr>
                <w:color w:val="000000"/>
                <w:w w:val="25"/>
                <w:shd w:val="solid" w:color="000000" w:fill="000000"/>
                <w:fitText w:val="113" w:id="-961819121"/>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1"/>
                <w14:textFill>
                  <w14:solidFill>
                    <w14:srgbClr w14:val="000000">
                      <w14:alpha w14:val="100000"/>
                    </w14:srgbClr>
                  </w14:solidFill>
                </w14:textFill>
              </w:rPr>
              <w:t xml:space="preserve">　</w:t>
            </w:r>
            <w:r w:rsidR="009614A3" w:rsidRPr="009614A3">
              <w:rPr>
                <w:vertAlign w:val="superscript"/>
              </w:rPr>
              <w:t>2</w:t>
            </w:r>
          </w:p>
        </w:tc>
        <w:tc>
          <w:tcPr>
            <w:tcW w:w="611" w:type="pct"/>
            <w:vAlign w:val="center"/>
          </w:tcPr>
          <w:p w14:paraId="4970BCC8" w14:textId="64B24151"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0"/>
                <w14:textFill>
                  <w14:solidFill>
                    <w14:srgbClr w14:val="000000">
                      <w14:alpha w14:val="100000"/>
                    </w14:srgbClr>
                  </w14:solidFill>
                </w14:textFill>
              </w:rPr>
              <w:t xml:space="preserve">　</w:t>
            </w:r>
            <w:r w:rsidR="00AC76C1" w:rsidRPr="00AC76C1">
              <w:rPr>
                <w:color w:val="000000"/>
                <w:w w:val="25"/>
                <w:shd w:val="solid" w:color="000000" w:fill="000000"/>
                <w:fitText w:val="113" w:id="-961819120"/>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0"/>
                <w14:textFill>
                  <w14:solidFill>
                    <w14:srgbClr w14:val="000000">
                      <w14:alpha w14:val="100000"/>
                    </w14:srgbClr>
                  </w14:solidFill>
                </w14:textFill>
              </w:rPr>
              <w:t xml:space="preserve">　</w:t>
            </w:r>
            <w:r w:rsidR="009614A3" w:rsidRPr="009614A3">
              <w:rPr>
                <w:vertAlign w:val="superscript"/>
              </w:rPr>
              <w:t>2</w:t>
            </w:r>
          </w:p>
        </w:tc>
      </w:tr>
      <w:tr w:rsidR="00896124" w:rsidRPr="0085018D" w14:paraId="1B6AC7CE" w14:textId="77777777" w:rsidTr="00F32048">
        <w:tc>
          <w:tcPr>
            <w:tcW w:w="1334" w:type="pct"/>
            <w:shd w:val="clear" w:color="auto" w:fill="auto"/>
            <w:vAlign w:val="center"/>
          </w:tcPr>
          <w:p w14:paraId="7C214BB4" w14:textId="77777777" w:rsidR="00896124" w:rsidRPr="0085018D" w:rsidRDefault="00896124" w:rsidP="009614A3">
            <w:pPr>
              <w:pStyle w:val="COMTabletext"/>
              <w:rPr>
                <w:sz w:val="19"/>
                <w:szCs w:val="19"/>
              </w:rPr>
            </w:pPr>
            <w:r w:rsidRPr="0085018D">
              <w:t>Net cost to the PBS/RPBS</w:t>
            </w:r>
          </w:p>
        </w:tc>
        <w:tc>
          <w:tcPr>
            <w:tcW w:w="611" w:type="pct"/>
            <w:shd w:val="clear" w:color="auto" w:fill="auto"/>
            <w:vAlign w:val="center"/>
          </w:tcPr>
          <w:p w14:paraId="246233A6" w14:textId="01F86914"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6"/>
                <w14:textFill>
                  <w14:solidFill>
                    <w14:srgbClr w14:val="000000">
                      <w14:alpha w14:val="100000"/>
                    </w14:srgbClr>
                  </w14:solidFill>
                </w14:textFill>
              </w:rPr>
              <w:t xml:space="preserve">　</w:t>
            </w:r>
            <w:r w:rsidR="00AC76C1" w:rsidRPr="00AC76C1">
              <w:rPr>
                <w:color w:val="000000"/>
                <w:w w:val="25"/>
                <w:shd w:val="solid" w:color="000000" w:fill="000000"/>
                <w:fitText w:val="113" w:id="-961819136"/>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6"/>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66643980" w14:textId="574CD587"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5"/>
                <w14:textFill>
                  <w14:solidFill>
                    <w14:srgbClr w14:val="000000">
                      <w14:alpha w14:val="100000"/>
                    </w14:srgbClr>
                  </w14:solidFill>
                </w14:textFill>
              </w:rPr>
              <w:t xml:space="preserve">　</w:t>
            </w:r>
            <w:r w:rsidR="00AC76C1" w:rsidRPr="00AC76C1">
              <w:rPr>
                <w:color w:val="000000"/>
                <w:w w:val="25"/>
                <w:shd w:val="solid" w:color="000000" w:fill="000000"/>
                <w:fitText w:val="113" w:id="-961819135"/>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5"/>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2DFEC74E" w14:textId="6FCC7211"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4"/>
                <w14:textFill>
                  <w14:solidFill>
                    <w14:srgbClr w14:val="000000">
                      <w14:alpha w14:val="100000"/>
                    </w14:srgbClr>
                  </w14:solidFill>
                </w14:textFill>
              </w:rPr>
              <w:t xml:space="preserve">　</w:t>
            </w:r>
            <w:r w:rsidR="00AC76C1" w:rsidRPr="00AC76C1">
              <w:rPr>
                <w:color w:val="000000"/>
                <w:w w:val="25"/>
                <w:shd w:val="solid" w:color="000000" w:fill="000000"/>
                <w:fitText w:val="113" w:id="-961819134"/>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4"/>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2230D314" w14:textId="47E79274"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3"/>
                <w14:textFill>
                  <w14:solidFill>
                    <w14:srgbClr w14:val="000000">
                      <w14:alpha w14:val="100000"/>
                    </w14:srgbClr>
                  </w14:solidFill>
                </w14:textFill>
              </w:rPr>
              <w:t xml:space="preserve">　</w:t>
            </w:r>
            <w:r w:rsidR="00AC76C1" w:rsidRPr="00AC76C1">
              <w:rPr>
                <w:color w:val="000000"/>
                <w:w w:val="25"/>
                <w:shd w:val="solid" w:color="000000" w:fill="000000"/>
                <w:fitText w:val="113" w:id="-961819133"/>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3"/>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461E74A4" w14:textId="015A5627"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2"/>
                <w14:textFill>
                  <w14:solidFill>
                    <w14:srgbClr w14:val="000000">
                      <w14:alpha w14:val="100000"/>
                    </w14:srgbClr>
                  </w14:solidFill>
                </w14:textFill>
              </w:rPr>
              <w:t xml:space="preserve">　</w:t>
            </w:r>
            <w:r w:rsidR="00AC76C1" w:rsidRPr="00AC76C1">
              <w:rPr>
                <w:color w:val="000000"/>
                <w:w w:val="25"/>
                <w:shd w:val="solid" w:color="000000" w:fill="000000"/>
                <w:fitText w:val="113" w:id="-961819132"/>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2"/>
                <w14:textFill>
                  <w14:solidFill>
                    <w14:srgbClr w14:val="000000">
                      <w14:alpha w14:val="100000"/>
                    </w14:srgbClr>
                  </w14:solidFill>
                </w14:textFill>
              </w:rPr>
              <w:t xml:space="preserve">　</w:t>
            </w:r>
            <w:r w:rsidR="009614A3" w:rsidRPr="009614A3">
              <w:rPr>
                <w:vertAlign w:val="superscript"/>
              </w:rPr>
              <w:t>2</w:t>
            </w:r>
          </w:p>
        </w:tc>
        <w:tc>
          <w:tcPr>
            <w:tcW w:w="611" w:type="pct"/>
            <w:vAlign w:val="center"/>
          </w:tcPr>
          <w:p w14:paraId="196D9145" w14:textId="19889D42"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1"/>
                <w14:textFill>
                  <w14:solidFill>
                    <w14:srgbClr w14:val="000000">
                      <w14:alpha w14:val="100000"/>
                    </w14:srgbClr>
                  </w14:solidFill>
                </w14:textFill>
              </w:rPr>
              <w:t xml:space="preserve">　</w:t>
            </w:r>
            <w:r w:rsidR="00AC76C1" w:rsidRPr="00AC76C1">
              <w:rPr>
                <w:color w:val="000000"/>
                <w:w w:val="25"/>
                <w:shd w:val="solid" w:color="000000" w:fill="000000"/>
                <w:fitText w:val="113" w:id="-961819131"/>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1"/>
                <w14:textFill>
                  <w14:solidFill>
                    <w14:srgbClr w14:val="000000">
                      <w14:alpha w14:val="100000"/>
                    </w14:srgbClr>
                  </w14:solidFill>
                </w14:textFill>
              </w:rPr>
              <w:t xml:space="preserve">　</w:t>
            </w:r>
            <w:r w:rsidR="009614A3" w:rsidRPr="009614A3">
              <w:rPr>
                <w:vertAlign w:val="superscript"/>
              </w:rPr>
              <w:t>2</w:t>
            </w:r>
          </w:p>
        </w:tc>
      </w:tr>
      <w:tr w:rsidR="00896124" w:rsidRPr="0085018D" w14:paraId="47850A49" w14:textId="77777777" w:rsidTr="00F32048">
        <w:tc>
          <w:tcPr>
            <w:tcW w:w="5000" w:type="pct"/>
            <w:gridSpan w:val="7"/>
            <w:shd w:val="clear" w:color="auto" w:fill="auto"/>
            <w:vAlign w:val="center"/>
          </w:tcPr>
          <w:p w14:paraId="6A7FE51A" w14:textId="77777777" w:rsidR="00896124" w:rsidRPr="0085018D" w:rsidRDefault="00896124" w:rsidP="009614A3">
            <w:pPr>
              <w:pStyle w:val="COMTabletext"/>
              <w:rPr>
                <w:b/>
                <w:bCs w:val="0"/>
              </w:rPr>
            </w:pPr>
            <w:r w:rsidRPr="0085018D">
              <w:rPr>
                <w:b/>
                <w:bCs w:val="0"/>
              </w:rPr>
              <w:t>Cost to the MBS</w:t>
            </w:r>
          </w:p>
        </w:tc>
      </w:tr>
      <w:tr w:rsidR="00896124" w:rsidRPr="0085018D" w14:paraId="7D226E7A" w14:textId="77777777" w:rsidTr="00F32048">
        <w:tc>
          <w:tcPr>
            <w:tcW w:w="1334" w:type="pct"/>
            <w:shd w:val="clear" w:color="auto" w:fill="auto"/>
            <w:vAlign w:val="center"/>
          </w:tcPr>
          <w:p w14:paraId="55E86550" w14:textId="77777777" w:rsidR="00896124" w:rsidRPr="0085018D" w:rsidRDefault="00896124" w:rsidP="009614A3">
            <w:pPr>
              <w:pStyle w:val="COMTabletext"/>
              <w:rPr>
                <w:sz w:val="19"/>
                <w:szCs w:val="19"/>
                <w:vertAlign w:val="superscript"/>
              </w:rPr>
            </w:pPr>
            <w:r w:rsidRPr="0085018D">
              <w:t xml:space="preserve">Costs associated with additional chemotherapy administrations </w:t>
            </w:r>
            <w:r w:rsidRPr="0085018D">
              <w:rPr>
                <w:vertAlign w:val="superscript"/>
              </w:rPr>
              <w:t>a</w:t>
            </w:r>
          </w:p>
        </w:tc>
        <w:tc>
          <w:tcPr>
            <w:tcW w:w="611" w:type="pct"/>
            <w:shd w:val="clear" w:color="auto" w:fill="auto"/>
            <w:vAlign w:val="center"/>
          </w:tcPr>
          <w:p w14:paraId="4F83A340" w14:textId="762C878D"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0"/>
                <w14:textFill>
                  <w14:solidFill>
                    <w14:srgbClr w14:val="000000">
                      <w14:alpha w14:val="100000"/>
                    </w14:srgbClr>
                  </w14:solidFill>
                </w14:textFill>
              </w:rPr>
              <w:t xml:space="preserve">　</w:t>
            </w:r>
            <w:r w:rsidR="00AC76C1" w:rsidRPr="00AC76C1">
              <w:rPr>
                <w:color w:val="000000"/>
                <w:w w:val="25"/>
                <w:shd w:val="solid" w:color="000000" w:fill="000000"/>
                <w:fitText w:val="113" w:id="-961819130"/>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0"/>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081AAB64" w14:textId="436BA931"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9"/>
                <w14:textFill>
                  <w14:solidFill>
                    <w14:srgbClr w14:val="000000">
                      <w14:alpha w14:val="100000"/>
                    </w14:srgbClr>
                  </w14:solidFill>
                </w14:textFill>
              </w:rPr>
              <w:t xml:space="preserve">　</w:t>
            </w:r>
            <w:r w:rsidR="00AC76C1" w:rsidRPr="00AC76C1">
              <w:rPr>
                <w:color w:val="000000"/>
                <w:w w:val="25"/>
                <w:shd w:val="solid" w:color="000000" w:fill="000000"/>
                <w:fitText w:val="113" w:id="-961819129"/>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9"/>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022DC657" w14:textId="655D2914"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8"/>
                <w14:textFill>
                  <w14:solidFill>
                    <w14:srgbClr w14:val="000000">
                      <w14:alpha w14:val="100000"/>
                    </w14:srgbClr>
                  </w14:solidFill>
                </w14:textFill>
              </w:rPr>
              <w:t xml:space="preserve">　</w:t>
            </w:r>
            <w:r w:rsidR="00AC76C1" w:rsidRPr="00AC76C1">
              <w:rPr>
                <w:color w:val="000000"/>
                <w:w w:val="25"/>
                <w:shd w:val="solid" w:color="000000" w:fill="000000"/>
                <w:fitText w:val="113" w:id="-961819128"/>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8"/>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311EB51F" w14:textId="4597D479"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7"/>
                <w14:textFill>
                  <w14:solidFill>
                    <w14:srgbClr w14:val="000000">
                      <w14:alpha w14:val="100000"/>
                    </w14:srgbClr>
                  </w14:solidFill>
                </w14:textFill>
              </w:rPr>
              <w:t xml:space="preserve">　</w:t>
            </w:r>
            <w:r w:rsidR="00AC76C1" w:rsidRPr="00AC76C1">
              <w:rPr>
                <w:color w:val="000000"/>
                <w:w w:val="25"/>
                <w:shd w:val="solid" w:color="000000" w:fill="000000"/>
                <w:fitText w:val="113" w:id="-961819127"/>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7"/>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vAlign w:val="center"/>
          </w:tcPr>
          <w:p w14:paraId="021744FA" w14:textId="63D2B345"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6"/>
                <w14:textFill>
                  <w14:solidFill>
                    <w14:srgbClr w14:val="000000">
                      <w14:alpha w14:val="100000"/>
                    </w14:srgbClr>
                  </w14:solidFill>
                </w14:textFill>
              </w:rPr>
              <w:t xml:space="preserve">　</w:t>
            </w:r>
            <w:r w:rsidR="00AC76C1" w:rsidRPr="00AC76C1">
              <w:rPr>
                <w:color w:val="000000"/>
                <w:w w:val="25"/>
                <w:shd w:val="solid" w:color="000000" w:fill="000000"/>
                <w:fitText w:val="113" w:id="-961819126"/>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6"/>
                <w14:textFill>
                  <w14:solidFill>
                    <w14:srgbClr w14:val="000000">
                      <w14:alpha w14:val="100000"/>
                    </w14:srgbClr>
                  </w14:solidFill>
                </w14:textFill>
              </w:rPr>
              <w:t xml:space="preserve">　</w:t>
            </w:r>
            <w:r w:rsidR="009614A3" w:rsidRPr="009614A3">
              <w:rPr>
                <w:vertAlign w:val="superscript"/>
              </w:rPr>
              <w:t>2</w:t>
            </w:r>
          </w:p>
        </w:tc>
        <w:tc>
          <w:tcPr>
            <w:tcW w:w="611" w:type="pct"/>
            <w:vAlign w:val="center"/>
          </w:tcPr>
          <w:p w14:paraId="51BDE5B7" w14:textId="22A3FAD6"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5"/>
                <w14:textFill>
                  <w14:solidFill>
                    <w14:srgbClr w14:val="000000">
                      <w14:alpha w14:val="100000"/>
                    </w14:srgbClr>
                  </w14:solidFill>
                </w14:textFill>
              </w:rPr>
              <w:t xml:space="preserve">　</w:t>
            </w:r>
            <w:r w:rsidR="00AC76C1" w:rsidRPr="00AC76C1">
              <w:rPr>
                <w:color w:val="000000"/>
                <w:w w:val="25"/>
                <w:shd w:val="solid" w:color="000000" w:fill="000000"/>
                <w:fitText w:val="113" w:id="-961819125"/>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5"/>
                <w14:textFill>
                  <w14:solidFill>
                    <w14:srgbClr w14:val="000000">
                      <w14:alpha w14:val="100000"/>
                    </w14:srgbClr>
                  </w14:solidFill>
                </w14:textFill>
              </w:rPr>
              <w:t xml:space="preserve">　</w:t>
            </w:r>
            <w:r w:rsidR="009614A3" w:rsidRPr="009614A3">
              <w:rPr>
                <w:vertAlign w:val="superscript"/>
              </w:rPr>
              <w:t>2</w:t>
            </w:r>
          </w:p>
        </w:tc>
      </w:tr>
      <w:tr w:rsidR="00896124" w:rsidRPr="0085018D" w14:paraId="57276F87" w14:textId="77777777" w:rsidTr="00F32048">
        <w:tc>
          <w:tcPr>
            <w:tcW w:w="5000" w:type="pct"/>
            <w:gridSpan w:val="7"/>
            <w:shd w:val="clear" w:color="auto" w:fill="auto"/>
            <w:vAlign w:val="center"/>
          </w:tcPr>
          <w:p w14:paraId="2CF53CBA" w14:textId="77777777" w:rsidR="00896124" w:rsidRPr="00B23B25" w:rsidRDefault="00896124" w:rsidP="009614A3">
            <w:pPr>
              <w:pStyle w:val="COMTableheadingrow"/>
              <w:rPr>
                <w:lang w:val="en-AU"/>
              </w:rPr>
            </w:pPr>
            <w:r w:rsidRPr="00B23B25">
              <w:rPr>
                <w:lang w:val="en-AU"/>
              </w:rPr>
              <w:t>Net financial implications</w:t>
            </w:r>
          </w:p>
        </w:tc>
      </w:tr>
      <w:tr w:rsidR="00896124" w:rsidRPr="0085018D" w14:paraId="6501267E" w14:textId="77777777" w:rsidTr="00F32048">
        <w:tc>
          <w:tcPr>
            <w:tcW w:w="1334" w:type="pct"/>
            <w:shd w:val="clear" w:color="auto" w:fill="auto"/>
            <w:vAlign w:val="center"/>
          </w:tcPr>
          <w:p w14:paraId="1EEE8495" w14:textId="77777777" w:rsidR="00896124" w:rsidRPr="0085018D" w:rsidRDefault="00896124" w:rsidP="009614A3">
            <w:pPr>
              <w:pStyle w:val="COMTabletext"/>
              <w:rPr>
                <w:sz w:val="19"/>
                <w:szCs w:val="19"/>
              </w:rPr>
            </w:pPr>
            <w:r w:rsidRPr="0085018D">
              <w:t>Net cost to PBS/RPBS/MBS</w:t>
            </w:r>
          </w:p>
        </w:tc>
        <w:tc>
          <w:tcPr>
            <w:tcW w:w="611" w:type="pct"/>
            <w:shd w:val="clear" w:color="auto" w:fill="auto"/>
          </w:tcPr>
          <w:p w14:paraId="3F61093E" w14:textId="2CA5FEB8"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4"/>
                <w14:textFill>
                  <w14:solidFill>
                    <w14:srgbClr w14:val="000000">
                      <w14:alpha w14:val="100000"/>
                    </w14:srgbClr>
                  </w14:solidFill>
                </w14:textFill>
              </w:rPr>
              <w:t xml:space="preserve">　</w:t>
            </w:r>
            <w:r w:rsidR="00AC76C1" w:rsidRPr="00AC76C1">
              <w:rPr>
                <w:color w:val="000000"/>
                <w:w w:val="25"/>
                <w:shd w:val="solid" w:color="000000" w:fill="000000"/>
                <w:fitText w:val="113" w:id="-961819124"/>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4"/>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tcPr>
          <w:p w14:paraId="08AC6372" w14:textId="2525066C"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3"/>
                <w14:textFill>
                  <w14:solidFill>
                    <w14:srgbClr w14:val="000000">
                      <w14:alpha w14:val="100000"/>
                    </w14:srgbClr>
                  </w14:solidFill>
                </w14:textFill>
              </w:rPr>
              <w:t xml:space="preserve">　</w:t>
            </w:r>
            <w:r w:rsidR="00AC76C1" w:rsidRPr="00AC76C1">
              <w:rPr>
                <w:color w:val="000000"/>
                <w:w w:val="25"/>
                <w:shd w:val="solid" w:color="000000" w:fill="000000"/>
                <w:fitText w:val="113" w:id="-961819123"/>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3"/>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tcPr>
          <w:p w14:paraId="586FD0AC" w14:textId="408E22A5"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2"/>
                <w14:textFill>
                  <w14:solidFill>
                    <w14:srgbClr w14:val="000000">
                      <w14:alpha w14:val="100000"/>
                    </w14:srgbClr>
                  </w14:solidFill>
                </w14:textFill>
              </w:rPr>
              <w:t xml:space="preserve">　</w:t>
            </w:r>
            <w:r w:rsidR="00AC76C1" w:rsidRPr="00AC76C1">
              <w:rPr>
                <w:color w:val="000000"/>
                <w:w w:val="25"/>
                <w:shd w:val="solid" w:color="000000" w:fill="000000"/>
                <w:fitText w:val="113" w:id="-961819122"/>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2"/>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tcPr>
          <w:p w14:paraId="54A54288" w14:textId="067C6953"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1"/>
                <w14:textFill>
                  <w14:solidFill>
                    <w14:srgbClr w14:val="000000">
                      <w14:alpha w14:val="100000"/>
                    </w14:srgbClr>
                  </w14:solidFill>
                </w14:textFill>
              </w:rPr>
              <w:t xml:space="preserve">　</w:t>
            </w:r>
            <w:r w:rsidR="00AC76C1" w:rsidRPr="00AC76C1">
              <w:rPr>
                <w:color w:val="000000"/>
                <w:w w:val="25"/>
                <w:shd w:val="solid" w:color="000000" w:fill="000000"/>
                <w:fitText w:val="113" w:id="-961819121"/>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1"/>
                <w14:textFill>
                  <w14:solidFill>
                    <w14:srgbClr w14:val="000000">
                      <w14:alpha w14:val="100000"/>
                    </w14:srgbClr>
                  </w14:solidFill>
                </w14:textFill>
              </w:rPr>
              <w:t xml:space="preserve">　</w:t>
            </w:r>
            <w:r w:rsidR="009614A3" w:rsidRPr="009614A3">
              <w:rPr>
                <w:vertAlign w:val="superscript"/>
              </w:rPr>
              <w:t>2</w:t>
            </w:r>
          </w:p>
        </w:tc>
        <w:tc>
          <w:tcPr>
            <w:tcW w:w="611" w:type="pct"/>
            <w:shd w:val="clear" w:color="auto" w:fill="auto"/>
          </w:tcPr>
          <w:p w14:paraId="62F63265" w14:textId="3B44C769"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20"/>
                <w14:textFill>
                  <w14:solidFill>
                    <w14:srgbClr w14:val="000000">
                      <w14:alpha w14:val="100000"/>
                    </w14:srgbClr>
                  </w14:solidFill>
                </w14:textFill>
              </w:rPr>
              <w:t xml:space="preserve">　</w:t>
            </w:r>
            <w:r w:rsidR="00AC76C1" w:rsidRPr="00AC76C1">
              <w:rPr>
                <w:color w:val="000000"/>
                <w:w w:val="25"/>
                <w:shd w:val="solid" w:color="000000" w:fill="000000"/>
                <w:fitText w:val="113" w:id="-961819120"/>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20"/>
                <w14:textFill>
                  <w14:solidFill>
                    <w14:srgbClr w14:val="000000">
                      <w14:alpha w14:val="100000"/>
                    </w14:srgbClr>
                  </w14:solidFill>
                </w14:textFill>
              </w:rPr>
              <w:t xml:space="preserve">　</w:t>
            </w:r>
            <w:r w:rsidR="009614A3" w:rsidRPr="009614A3">
              <w:rPr>
                <w:vertAlign w:val="superscript"/>
              </w:rPr>
              <w:t>2</w:t>
            </w:r>
          </w:p>
        </w:tc>
        <w:tc>
          <w:tcPr>
            <w:tcW w:w="611" w:type="pct"/>
          </w:tcPr>
          <w:p w14:paraId="19F8487A" w14:textId="0FB51B9E" w:rsidR="00896124" w:rsidRPr="0085018D" w:rsidRDefault="00896124" w:rsidP="009614A3">
            <w:pPr>
              <w:pStyle w:val="COMTabletext"/>
              <w:jc w:val="center"/>
            </w:pPr>
            <w:r w:rsidRPr="0085018D">
              <w:t>$</w:t>
            </w:r>
            <w:r w:rsidR="00AC76C1" w:rsidRPr="00AC76C1">
              <w:rPr>
                <w:rFonts w:hint="eastAsia"/>
                <w:color w:val="000000"/>
                <w:w w:val="25"/>
                <w:shd w:val="solid" w:color="000000" w:fill="000000"/>
                <w:fitText w:val="113" w:id="-961819136"/>
                <w14:textFill>
                  <w14:solidFill>
                    <w14:srgbClr w14:val="000000">
                      <w14:alpha w14:val="100000"/>
                    </w14:srgbClr>
                  </w14:solidFill>
                </w14:textFill>
              </w:rPr>
              <w:t xml:space="preserve">　</w:t>
            </w:r>
            <w:r w:rsidR="00AC76C1" w:rsidRPr="00AC76C1">
              <w:rPr>
                <w:color w:val="000000"/>
                <w:w w:val="25"/>
                <w:shd w:val="solid" w:color="000000" w:fill="000000"/>
                <w:fitText w:val="113" w:id="-961819136"/>
                <w14:textFill>
                  <w14:solidFill>
                    <w14:srgbClr w14:val="000000">
                      <w14:alpha w14:val="100000"/>
                    </w14:srgbClr>
                  </w14:solidFill>
                </w14:textFill>
              </w:rPr>
              <w:t>|</w:t>
            </w:r>
            <w:r w:rsidR="00AC76C1" w:rsidRPr="00AC76C1">
              <w:rPr>
                <w:rFonts w:hint="eastAsia"/>
                <w:color w:val="000000"/>
                <w:spacing w:val="2"/>
                <w:w w:val="25"/>
                <w:shd w:val="solid" w:color="000000" w:fill="000000"/>
                <w:fitText w:val="113" w:id="-961819136"/>
                <w14:textFill>
                  <w14:solidFill>
                    <w14:srgbClr w14:val="000000">
                      <w14:alpha w14:val="100000"/>
                    </w14:srgbClr>
                  </w14:solidFill>
                </w14:textFill>
              </w:rPr>
              <w:t xml:space="preserve">　</w:t>
            </w:r>
            <w:r w:rsidR="009614A3" w:rsidRPr="009614A3">
              <w:rPr>
                <w:vertAlign w:val="superscript"/>
              </w:rPr>
              <w:t>2</w:t>
            </w:r>
          </w:p>
        </w:tc>
      </w:tr>
    </w:tbl>
    <w:p w14:paraId="782E961F" w14:textId="77777777" w:rsidR="00896124" w:rsidRPr="0085018D" w:rsidRDefault="00896124" w:rsidP="009614A3">
      <w:pPr>
        <w:pStyle w:val="COMTablefooter"/>
        <w:keepNext/>
        <w:rPr>
          <w:snapToGrid/>
        </w:rPr>
      </w:pPr>
      <w:r w:rsidRPr="0085018D">
        <w:rPr>
          <w:snapToGrid/>
        </w:rPr>
        <w:t>Source:</w:t>
      </w:r>
      <w:r w:rsidRPr="0085018D">
        <w:t xml:space="preserve"> </w:t>
      </w:r>
      <w:r w:rsidRPr="0085018D">
        <w:rPr>
          <w:snapToGrid/>
        </w:rPr>
        <w:t>Table 4.2-1, p264; Table 4.2-2, p264 of the submission; Section 4 utilisation and cost model Excel workbook.</w:t>
      </w:r>
    </w:p>
    <w:p w14:paraId="2E42281C" w14:textId="77777777" w:rsidR="00896124" w:rsidRDefault="00896124" w:rsidP="009614A3">
      <w:pPr>
        <w:pStyle w:val="COMTablefooter"/>
        <w:keepNext/>
        <w:spacing w:after="0"/>
        <w:rPr>
          <w:snapToGrid/>
        </w:rPr>
      </w:pPr>
      <w:proofErr w:type="spellStart"/>
      <w:r w:rsidRPr="0085018D">
        <w:rPr>
          <w:snapToGrid/>
          <w:vertAlign w:val="superscript"/>
        </w:rPr>
        <w:t>a</w:t>
      </w:r>
      <w:proofErr w:type="spellEnd"/>
      <w:r w:rsidRPr="0085018D">
        <w:rPr>
          <w:snapToGrid/>
        </w:rPr>
        <w:t xml:space="preserve"> </w:t>
      </w:r>
      <w:proofErr w:type="gramStart"/>
      <w:r w:rsidRPr="0085018D">
        <w:rPr>
          <w:snapToGrid/>
        </w:rPr>
        <w:t>The</w:t>
      </w:r>
      <w:proofErr w:type="gramEnd"/>
      <w:r w:rsidRPr="0085018D">
        <w:rPr>
          <w:snapToGrid/>
        </w:rPr>
        <w:t xml:space="preserve"> number of substituted PET-adapted ABVD patients in Years 1 to 6 was corrected during the evaluation to match the number of patients electing treatment with A+AVD.</w:t>
      </w:r>
    </w:p>
    <w:p w14:paraId="09852534" w14:textId="77777777" w:rsidR="00DD693B" w:rsidRPr="009A6D58" w:rsidRDefault="00DD693B" w:rsidP="009614A3">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3F0E5B3" w14:textId="7C5AD2C5" w:rsidR="00DD693B" w:rsidRPr="009A6D58" w:rsidRDefault="00DD693B" w:rsidP="009614A3">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D693B">
        <w:rPr>
          <w:rFonts w:ascii="Arial Narrow" w:hAnsi="Arial Narrow"/>
          <w:i/>
          <w:sz w:val="18"/>
          <w:szCs w:val="18"/>
        </w:rPr>
        <w:t>&lt; 500</w:t>
      </w:r>
    </w:p>
    <w:p w14:paraId="4DFEC8B0" w14:textId="3F07BCC3" w:rsidR="0041772E" w:rsidRPr="009A6D58" w:rsidRDefault="00DD693B" w:rsidP="00384359">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9614A3" w:rsidRPr="009614A3">
        <w:rPr>
          <w:rFonts w:ascii="Arial Narrow" w:hAnsi="Arial Narrow"/>
          <w:i/>
          <w:sz w:val="18"/>
          <w:szCs w:val="18"/>
        </w:rPr>
        <w:t>$0 to &lt; $10 million</w:t>
      </w:r>
    </w:p>
    <w:p w14:paraId="6E4C3B9E" w14:textId="5EA21D4B" w:rsidR="00DE3F17" w:rsidRPr="0085018D" w:rsidRDefault="00896124" w:rsidP="00DE3F17">
      <w:pPr>
        <w:pStyle w:val="COMexecsumnumberedpara"/>
      </w:pPr>
      <w:r w:rsidRPr="0085018D">
        <w:t xml:space="preserve">The estimated net cost to the PBS/RPBS was </w:t>
      </w:r>
      <w:r w:rsidR="009614A3" w:rsidRPr="009614A3">
        <w:t>$0 to &lt; $10 million</w:t>
      </w:r>
      <w:r w:rsidRPr="0085018D">
        <w:t xml:space="preserve"> in Year 1, increasing to </w:t>
      </w:r>
      <w:r w:rsidR="009614A3" w:rsidRPr="009614A3">
        <w:t>$0 to &lt; $10 million</w:t>
      </w:r>
      <w:r w:rsidRPr="0085018D">
        <w:t xml:space="preserve"> in Year 6, a total cost of </w:t>
      </w:r>
      <w:r w:rsidR="009614A3" w:rsidRPr="009614A3">
        <w:t>$40 million to &lt; $50 million</w:t>
      </w:r>
      <w:r w:rsidRPr="0085018D">
        <w:t xml:space="preserve"> over the first 6 years of listing. The net cost to PBS/RPBS/MBS was </w:t>
      </w:r>
      <w:r w:rsidR="009614A3" w:rsidRPr="009614A3">
        <w:t>$40 million to &lt; $50 million</w:t>
      </w:r>
      <w:r w:rsidRPr="0085018D">
        <w:t xml:space="preserve"> over the first 6 years of listing. </w:t>
      </w:r>
    </w:p>
    <w:p w14:paraId="79CAC565" w14:textId="0C4AA4E2" w:rsidR="00896124" w:rsidRPr="0085018D" w:rsidRDefault="00896124" w:rsidP="00896124">
      <w:pPr>
        <w:pStyle w:val="COMexecsumnumberedpara"/>
      </w:pPr>
      <w:r w:rsidRPr="0085018D">
        <w:t xml:space="preserve">Sensitivity analyses assuming all patients treated with A+AVD would otherwise receive non-PET-adapted ABVD had relatively modest impacts on the financial estimates, with a net cost to the PBS/RPBS/MBS of approximately </w:t>
      </w:r>
      <w:r w:rsidR="009614A3" w:rsidRPr="009614A3">
        <w:t>$40 million to &lt; $50 million</w:t>
      </w:r>
      <w:r w:rsidRPr="0085018D">
        <w:t xml:space="preserve"> over the first 6 years of listing.</w:t>
      </w:r>
    </w:p>
    <w:p w14:paraId="7303BB62" w14:textId="3F63DB6E" w:rsidR="00896124" w:rsidRPr="0085018D" w:rsidRDefault="00896124" w:rsidP="00896124">
      <w:pPr>
        <w:pStyle w:val="COMexecsumnumberedpara"/>
      </w:pPr>
      <w:r w:rsidRPr="0085018D">
        <w:t xml:space="preserve">The submission’s estimates only considered the impact of listing brentuximab </w:t>
      </w:r>
      <w:proofErr w:type="spellStart"/>
      <w:r w:rsidRPr="0085018D">
        <w:t>vedotin</w:t>
      </w:r>
      <w:proofErr w:type="spellEnd"/>
      <w:r w:rsidRPr="0085018D">
        <w:t xml:space="preserve"> on first-line therapy utilisation. Use of A+AVD as first-line treatment may have flow-on impacts to the utilisation and costs associated with later-line therapies that were captured in the trial and considered in the economic evaluation. There may be implications for existing risk-sharing arrangements for brentuximab </w:t>
      </w:r>
      <w:proofErr w:type="spellStart"/>
      <w:r w:rsidRPr="0085018D">
        <w:t>vedotin</w:t>
      </w:r>
      <w:proofErr w:type="spellEnd"/>
      <w:r w:rsidRPr="0085018D">
        <w:t xml:space="preserve"> listings in relapsed/refractory disease</w:t>
      </w:r>
      <w:r w:rsidR="0085018D">
        <w:t xml:space="preserve">. </w:t>
      </w:r>
    </w:p>
    <w:p w14:paraId="68E5FA83" w14:textId="77777777" w:rsidR="009A4200" w:rsidRPr="0085018D" w:rsidRDefault="009A4200" w:rsidP="009A4200">
      <w:pPr>
        <w:pStyle w:val="COMexecsumnumberedpara"/>
      </w:pPr>
      <w:bookmarkStart w:id="61" w:name="_Ref163755181"/>
      <w:r w:rsidRPr="0085018D">
        <w:t>DUSC considers the estimates presented in the submission to be underestimated. The main issues are:</w:t>
      </w:r>
      <w:bookmarkEnd w:id="61"/>
    </w:p>
    <w:p w14:paraId="59C86E3F" w14:textId="0C38BAF9" w:rsidR="009A4200" w:rsidRPr="0085018D" w:rsidRDefault="009A4200" w:rsidP="009A4200">
      <w:pPr>
        <w:pStyle w:val="COMexecsummbulletlist"/>
        <w:ind w:left="1134"/>
      </w:pPr>
      <w:r w:rsidRPr="0085018D">
        <w:t>The eligible population was underestimated with inputs for incidence rate, proportion at sta</w:t>
      </w:r>
      <w:r w:rsidR="00FB4ED4" w:rsidRPr="0085018D">
        <w:t>g</w:t>
      </w:r>
      <w:r w:rsidRPr="0085018D">
        <w:t xml:space="preserve">e III/IV and ECOG ≤2 underestimated. </w:t>
      </w:r>
    </w:p>
    <w:p w14:paraId="793A4DFC" w14:textId="2B3C527D" w:rsidR="009A4200" w:rsidRPr="0085018D" w:rsidRDefault="009A4200" w:rsidP="009A4200">
      <w:pPr>
        <w:pStyle w:val="COMexecsummbulletlist"/>
        <w:ind w:left="1134"/>
      </w:pPr>
      <w:r w:rsidRPr="0085018D">
        <w:t xml:space="preserve">The treated population was underestimated with a </w:t>
      </w:r>
      <w:proofErr w:type="gramStart"/>
      <w:r w:rsidRPr="0085018D">
        <w:t>lower than expected</w:t>
      </w:r>
      <w:proofErr w:type="gramEnd"/>
      <w:r w:rsidRPr="0085018D">
        <w:t xml:space="preserve"> uptake rate. DUSC considered that A+AVD will result in a change in standard therapy due to the favourable toxicity profile of brentuximab </w:t>
      </w:r>
      <w:proofErr w:type="spellStart"/>
      <w:r w:rsidRPr="0085018D">
        <w:t>vedotin</w:t>
      </w:r>
      <w:proofErr w:type="spellEnd"/>
      <w:r w:rsidRPr="0085018D">
        <w:t xml:space="preserve"> when compared to bleomycin. </w:t>
      </w:r>
      <w:r w:rsidR="00783DD9" w:rsidRPr="0085018D">
        <w:t>The PBAC noted treatment guidelines recommend the use of PET-adapted regimens over non-PET-adapted regimens.</w:t>
      </w:r>
    </w:p>
    <w:p w14:paraId="4CCEBA5A" w14:textId="77777777" w:rsidR="009A4200" w:rsidRPr="0085018D" w:rsidRDefault="009A4200" w:rsidP="009A4200">
      <w:pPr>
        <w:pStyle w:val="COMexecsummbulletlist"/>
        <w:ind w:left="1134"/>
      </w:pPr>
      <w:r w:rsidRPr="0085018D">
        <w:t xml:space="preserve">Cost offsets were overestimated. DUSC considered that the 100% uptake and compliance in the comparators is inappropriate and overestimates cost offsets. DUSC noted that cost offsets will be reduced with a greater uptake of A+AVD which will result in a greater overall cost. DUSC also noted that the potential cost offsets for a reduction in pulmonary adverse events have not been provided. </w:t>
      </w:r>
    </w:p>
    <w:p w14:paraId="42A89AC3" w14:textId="4CAF0AF5" w:rsidR="009A4200" w:rsidRPr="0085018D" w:rsidRDefault="009A4200" w:rsidP="00F072EE">
      <w:pPr>
        <w:pStyle w:val="COMexecsumnumberedpara"/>
      </w:pPr>
      <w:bookmarkStart w:id="62" w:name="_Ref163809715"/>
      <w:r w:rsidRPr="0085018D">
        <w:t xml:space="preserve">The pre-PBAC response provided revised financial estimates </w:t>
      </w:r>
      <w:r w:rsidR="00F072EE" w:rsidRPr="0085018D">
        <w:t xml:space="preserve">in which the </w:t>
      </w:r>
      <w:r w:rsidRPr="0085018D">
        <w:t xml:space="preserve">incidence </w:t>
      </w:r>
      <w:r w:rsidR="00F072EE" w:rsidRPr="0085018D">
        <w:t>of Hodgkin lymphoma was revised</w:t>
      </w:r>
      <w:r w:rsidRPr="0085018D">
        <w:t xml:space="preserve"> to 3 per 100,000</w:t>
      </w:r>
      <w:r w:rsidR="00F072EE" w:rsidRPr="0085018D">
        <w:t>,</w:t>
      </w:r>
      <w:r w:rsidRPr="0085018D">
        <w:t xml:space="preserve"> the proportion with stage III/IV disease </w:t>
      </w:r>
      <w:r w:rsidR="00F072EE" w:rsidRPr="0085018D">
        <w:t>was</w:t>
      </w:r>
      <w:r w:rsidRPr="0085018D">
        <w:t xml:space="preserve"> increased to 50.35%</w:t>
      </w:r>
      <w:r w:rsidR="00F072EE" w:rsidRPr="0085018D">
        <w:t>,</w:t>
      </w:r>
      <w:r w:rsidRPr="0085018D">
        <w:t xml:space="preserve"> the ECOG requirement was removed and uptake rates were increased </w:t>
      </w:r>
      <w:r w:rsidR="00783DD9" w:rsidRPr="0085018D">
        <w:t xml:space="preserve">in accordance with DUSC </w:t>
      </w:r>
      <w:r w:rsidR="00783DD9" w:rsidRPr="003A272F">
        <w:t xml:space="preserve">advice </w:t>
      </w:r>
      <w:r w:rsidRPr="003A272F">
        <w:t>(</w:t>
      </w:r>
      <w:proofErr w:type="spellStart"/>
      <w:r w:rsidR="00F072EE" w:rsidRPr="003A272F">
        <w:t>Yr</w:t>
      </w:r>
      <w:proofErr w:type="spellEnd"/>
      <w:r w:rsidR="00F072EE" w:rsidRPr="003A272F">
        <w:t xml:space="preserve"> 1: </w:t>
      </w:r>
      <w:r w:rsidR="00AC76C1" w:rsidRPr="00A45ED5">
        <w:rPr>
          <w:color w:val="000000"/>
          <w:w w:val="15"/>
          <w:shd w:val="solid" w:color="000000" w:fill="000000"/>
          <w:fitText w:val="-20" w:id="-961819135"/>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135"/>
          <w14:textFill>
            <w14:solidFill>
              <w14:srgbClr w14:val="000000">
                <w14:alpha w14:val="100000"/>
              </w14:srgbClr>
            </w14:solidFill>
          </w14:textFill>
        </w:rPr>
        <w:t>|</w:t>
      </w:r>
      <w:r w:rsidRPr="003A272F">
        <w:t xml:space="preserve">%, </w:t>
      </w:r>
      <w:proofErr w:type="spellStart"/>
      <w:r w:rsidR="00F072EE" w:rsidRPr="003A272F">
        <w:t>Yr</w:t>
      </w:r>
      <w:proofErr w:type="spellEnd"/>
      <w:r w:rsidR="00F072EE" w:rsidRPr="003A272F">
        <w:t xml:space="preserve"> 2: </w:t>
      </w:r>
      <w:r w:rsidR="00AC76C1" w:rsidRPr="00A45ED5">
        <w:rPr>
          <w:color w:val="000000"/>
          <w:w w:val="15"/>
          <w:shd w:val="solid" w:color="000000" w:fill="000000"/>
          <w:fitText w:val="-20" w:id="-961819134"/>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134"/>
          <w14:textFill>
            <w14:solidFill>
              <w14:srgbClr w14:val="000000">
                <w14:alpha w14:val="100000"/>
              </w14:srgbClr>
            </w14:solidFill>
          </w14:textFill>
        </w:rPr>
        <w:t>|</w:t>
      </w:r>
      <w:r w:rsidRPr="003A272F">
        <w:t xml:space="preserve">%, </w:t>
      </w:r>
      <w:proofErr w:type="spellStart"/>
      <w:r w:rsidR="00F072EE" w:rsidRPr="003A272F">
        <w:t>Yr</w:t>
      </w:r>
      <w:proofErr w:type="spellEnd"/>
      <w:r w:rsidR="00F072EE" w:rsidRPr="003A272F">
        <w:t xml:space="preserve"> 3: </w:t>
      </w:r>
      <w:r w:rsidR="00AC76C1" w:rsidRPr="00A45ED5">
        <w:rPr>
          <w:color w:val="000000"/>
          <w:w w:val="15"/>
          <w:shd w:val="solid" w:color="000000" w:fill="000000"/>
          <w:fitText w:val="-20" w:id="-961819133"/>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133"/>
          <w14:textFill>
            <w14:solidFill>
              <w14:srgbClr w14:val="000000">
                <w14:alpha w14:val="100000"/>
              </w14:srgbClr>
            </w14:solidFill>
          </w14:textFill>
        </w:rPr>
        <w:t>|</w:t>
      </w:r>
      <w:r w:rsidRPr="003A272F">
        <w:t xml:space="preserve">%, </w:t>
      </w:r>
      <w:proofErr w:type="spellStart"/>
      <w:r w:rsidR="00F072EE" w:rsidRPr="003A272F">
        <w:t>Yr</w:t>
      </w:r>
      <w:proofErr w:type="spellEnd"/>
      <w:r w:rsidR="00F072EE" w:rsidRPr="003A272F">
        <w:t xml:space="preserve"> 4: </w:t>
      </w:r>
      <w:r w:rsidR="00AC76C1" w:rsidRPr="00A45ED5">
        <w:rPr>
          <w:color w:val="000000"/>
          <w:w w:val="15"/>
          <w:shd w:val="solid" w:color="000000" w:fill="000000"/>
          <w:fitText w:val="-20" w:id="-961819132"/>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132"/>
          <w14:textFill>
            <w14:solidFill>
              <w14:srgbClr w14:val="000000">
                <w14:alpha w14:val="100000"/>
              </w14:srgbClr>
            </w14:solidFill>
          </w14:textFill>
        </w:rPr>
        <w:t>|</w:t>
      </w:r>
      <w:r w:rsidRPr="003A272F">
        <w:t>%,</w:t>
      </w:r>
      <w:r w:rsidR="00F072EE" w:rsidRPr="003A272F">
        <w:t xml:space="preserve"> </w:t>
      </w:r>
      <w:proofErr w:type="spellStart"/>
      <w:r w:rsidR="00F072EE" w:rsidRPr="003A272F">
        <w:t>Yr</w:t>
      </w:r>
      <w:proofErr w:type="spellEnd"/>
      <w:r w:rsidR="00F072EE" w:rsidRPr="003A272F">
        <w:t xml:space="preserve"> 5:</w:t>
      </w:r>
      <w:r w:rsidRPr="003A272F">
        <w:t xml:space="preserve"> </w:t>
      </w:r>
      <w:r w:rsidR="00AC76C1" w:rsidRPr="00A45ED5">
        <w:rPr>
          <w:color w:val="000000"/>
          <w:w w:val="15"/>
          <w:shd w:val="solid" w:color="000000" w:fill="000000"/>
          <w:fitText w:val="-20" w:id="-961819131"/>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131"/>
          <w14:textFill>
            <w14:solidFill>
              <w14:srgbClr w14:val="000000">
                <w14:alpha w14:val="100000"/>
              </w14:srgbClr>
            </w14:solidFill>
          </w14:textFill>
        </w:rPr>
        <w:t>|</w:t>
      </w:r>
      <w:r w:rsidRPr="003A272F">
        <w:t>%,</w:t>
      </w:r>
      <w:r w:rsidR="00F072EE" w:rsidRPr="003A272F">
        <w:t xml:space="preserve"> </w:t>
      </w:r>
      <w:proofErr w:type="spellStart"/>
      <w:r w:rsidR="00F072EE" w:rsidRPr="003A272F">
        <w:t>Yr</w:t>
      </w:r>
      <w:proofErr w:type="spellEnd"/>
      <w:r w:rsidR="00F072EE" w:rsidRPr="003A272F">
        <w:t xml:space="preserve"> 6:</w:t>
      </w:r>
      <w:r w:rsidRPr="003A272F">
        <w:t xml:space="preserve"> </w:t>
      </w:r>
      <w:r w:rsidR="00AC76C1" w:rsidRPr="00A45ED5">
        <w:rPr>
          <w:color w:val="000000"/>
          <w:w w:val="15"/>
          <w:shd w:val="solid" w:color="000000" w:fill="000000"/>
          <w:fitText w:val="-20" w:id="-961819130"/>
          <w14:textFill>
            <w14:solidFill>
              <w14:srgbClr w14:val="000000">
                <w14:alpha w14:val="100000"/>
              </w14:srgbClr>
            </w14:solidFill>
          </w14:textFill>
        </w:rPr>
        <w:t xml:space="preserve">|  </w:t>
      </w:r>
      <w:r w:rsidR="00AC76C1" w:rsidRPr="00A45ED5">
        <w:rPr>
          <w:color w:val="000000"/>
          <w:spacing w:val="-69"/>
          <w:w w:val="15"/>
          <w:shd w:val="solid" w:color="000000" w:fill="000000"/>
          <w:fitText w:val="-20" w:id="-961819130"/>
          <w14:textFill>
            <w14:solidFill>
              <w14:srgbClr w14:val="000000">
                <w14:alpha w14:val="100000"/>
              </w14:srgbClr>
            </w14:solidFill>
          </w14:textFill>
        </w:rPr>
        <w:t>|</w:t>
      </w:r>
      <w:r w:rsidRPr="003A272F">
        <w:t>%)</w:t>
      </w:r>
      <w:r w:rsidRPr="0085018D">
        <w:t>.</w:t>
      </w:r>
      <w:bookmarkEnd w:id="62"/>
    </w:p>
    <w:p w14:paraId="2238DEE9" w14:textId="2CAFEA44" w:rsidR="00576972" w:rsidRPr="0085018D" w:rsidRDefault="00576972" w:rsidP="00606FBA">
      <w:pPr>
        <w:pStyle w:val="COMH2-non-numbered"/>
      </w:pPr>
      <w:r w:rsidRPr="0085018D">
        <w:t>Quality Use of Medicines</w:t>
      </w:r>
      <w:bookmarkEnd w:id="56"/>
      <w:bookmarkEnd w:id="57"/>
    </w:p>
    <w:p w14:paraId="38BD0AEF" w14:textId="17BA85FB" w:rsidR="00576972" w:rsidRPr="0085018D" w:rsidRDefault="00D963B4" w:rsidP="00D963B4">
      <w:pPr>
        <w:pStyle w:val="COMexecsumnumberedpara"/>
      </w:pPr>
      <w:r w:rsidRPr="0085018D">
        <w:t xml:space="preserve">No quality use of medicines issues </w:t>
      </w:r>
      <w:proofErr w:type="gramStart"/>
      <w:r w:rsidRPr="0085018D">
        <w:t>were</w:t>
      </w:r>
      <w:proofErr w:type="gramEnd"/>
      <w:r w:rsidRPr="0085018D">
        <w:t xml:space="preserve"> raised in the submission, and no activities to support the quality use of medicines were proposed.</w:t>
      </w:r>
    </w:p>
    <w:p w14:paraId="7800EDE7" w14:textId="5DA2230C" w:rsidR="006D0263" w:rsidRPr="0085018D" w:rsidRDefault="006D0263" w:rsidP="006D0263">
      <w:pPr>
        <w:pStyle w:val="COMexecsumnumberedpara"/>
      </w:pPr>
      <w:r w:rsidRPr="0085018D">
        <w:t xml:space="preserve">DUSC considered that brentuximab </w:t>
      </w:r>
      <w:proofErr w:type="spellStart"/>
      <w:r w:rsidRPr="0085018D">
        <w:t>vedotin</w:t>
      </w:r>
      <w:proofErr w:type="spellEnd"/>
      <w:r w:rsidRPr="0085018D">
        <w:t xml:space="preserve"> would be a familiar medicine with the relevant health practitioners however agreed with the evaluation that A+AVD requires dacarbazine which may lead to equity of access issues and increased private costs to patients or state governments. </w:t>
      </w:r>
    </w:p>
    <w:p w14:paraId="56B3B253" w14:textId="77777777" w:rsidR="006D0263" w:rsidRPr="0085018D" w:rsidRDefault="006D0263" w:rsidP="006D0263">
      <w:pPr>
        <w:pStyle w:val="COMexecsumnumberedpara"/>
      </w:pPr>
      <w:r w:rsidRPr="0085018D">
        <w:t xml:space="preserve">DUSC noted that there was a high risk of febrile neutropenia, neutropenia and deaths in the trial and considered that the recognition of the requirement for granulocyte-colony stimulating factors in this treatment protocol should be conveyed to health practitioners. </w:t>
      </w:r>
    </w:p>
    <w:p w14:paraId="330F1334" w14:textId="1C0D84A4" w:rsidR="00F072EE" w:rsidRPr="0085018D" w:rsidRDefault="006D0263" w:rsidP="006D0263">
      <w:pPr>
        <w:pStyle w:val="COMexecsumnumberedpara"/>
      </w:pPr>
      <w:r w:rsidRPr="0085018D">
        <w:t>DUSC considered that there would be a large degree of wastage in patients over 100</w:t>
      </w:r>
      <w:r w:rsidR="002C5006">
        <w:t> </w:t>
      </w:r>
      <w:r w:rsidRPr="0085018D">
        <w:t xml:space="preserve">kg given that brentuximab </w:t>
      </w:r>
      <w:proofErr w:type="spellStart"/>
      <w:r w:rsidRPr="0085018D">
        <w:t>vedotin</w:t>
      </w:r>
      <w:proofErr w:type="spellEnd"/>
      <w:r w:rsidRPr="0085018D">
        <w:t xml:space="preserve"> is only supplied in 50mg vials without any excess product limiting vial sharing</w:t>
      </w:r>
      <w:r w:rsidR="0085018D">
        <w:t xml:space="preserve">. </w:t>
      </w:r>
    </w:p>
    <w:p w14:paraId="6015A395" w14:textId="5AEF5072" w:rsidR="00576972" w:rsidRPr="0085018D" w:rsidRDefault="00576972" w:rsidP="00606FBA">
      <w:pPr>
        <w:pStyle w:val="COMH2-non-numbered"/>
      </w:pPr>
      <w:bookmarkStart w:id="63" w:name="_Toc22897649"/>
      <w:bookmarkStart w:id="64" w:name="_Toc156922255"/>
      <w:r w:rsidRPr="0085018D">
        <w:t>Financial Management – Risk Sharing Arrangements</w:t>
      </w:r>
      <w:bookmarkEnd w:id="63"/>
      <w:bookmarkEnd w:id="64"/>
    </w:p>
    <w:p w14:paraId="25BA2464" w14:textId="59174950" w:rsidR="00894CD6" w:rsidRPr="0085018D" w:rsidRDefault="00294A57" w:rsidP="006175AA">
      <w:pPr>
        <w:pStyle w:val="COMexecsumnumberedpara"/>
      </w:pPr>
      <w:bookmarkStart w:id="65" w:name="_Hlk155363789"/>
      <w:r w:rsidRPr="0085018D">
        <w:t xml:space="preserve">No risk-sharing arrangements were proposed. </w:t>
      </w:r>
      <w:r w:rsidR="00927939" w:rsidRPr="0085018D">
        <w:t xml:space="preserve">A risk-sharing arrangement may be required given the use of A+AVD as first-line treatment may affect the utilisation of brentuximab </w:t>
      </w:r>
      <w:proofErr w:type="spellStart"/>
      <w:r w:rsidR="00927939" w:rsidRPr="0085018D">
        <w:t>vedotin</w:t>
      </w:r>
      <w:proofErr w:type="spellEnd"/>
      <w:r w:rsidR="00927939" w:rsidRPr="0085018D">
        <w:t xml:space="preserve"> in the relapsed/refractory setting</w:t>
      </w:r>
      <w:r w:rsidR="00322250" w:rsidRPr="0085018D">
        <w:t>, which is currently subject to risk-sharing arrangements.</w:t>
      </w:r>
      <w:r w:rsidR="00F61C18" w:rsidRPr="0085018D">
        <w:t xml:space="preserve"> </w:t>
      </w:r>
    </w:p>
    <w:p w14:paraId="02D0688C" w14:textId="77777777" w:rsidR="00896124" w:rsidRPr="0085018D" w:rsidRDefault="00896124" w:rsidP="00896124">
      <w:pPr>
        <w:pStyle w:val="COMexecsumnumberedpara"/>
        <w:numPr>
          <w:ilvl w:val="0"/>
          <w:numId w:val="0"/>
        </w:numPr>
        <w:ind w:left="720"/>
        <w:rPr>
          <w:i/>
          <w:iCs/>
        </w:rPr>
      </w:pPr>
      <w:r w:rsidRPr="0085018D">
        <w:rPr>
          <w:i/>
          <w:iCs/>
        </w:rPr>
        <w:t>For more detail on PBAC’s view, see section 7 PBAC outcome.</w:t>
      </w:r>
    </w:p>
    <w:p w14:paraId="332A0C9F" w14:textId="77777777" w:rsidR="00F6377D" w:rsidRPr="0085018D" w:rsidRDefault="00F6377D" w:rsidP="00E80A16">
      <w:pPr>
        <w:pStyle w:val="COMH1numbered"/>
      </w:pPr>
      <w:bookmarkStart w:id="66" w:name="_Hlk76381249"/>
      <w:bookmarkStart w:id="67" w:name="_Hlk76377955"/>
      <w:r w:rsidRPr="0085018D">
        <w:t>PBAC Outcome</w:t>
      </w:r>
    </w:p>
    <w:p w14:paraId="19FB8EFE" w14:textId="77EB77A6" w:rsidR="00230D6A" w:rsidRPr="00B23B25" w:rsidRDefault="00230D6A" w:rsidP="00F6377D">
      <w:pPr>
        <w:widowControl w:val="0"/>
        <w:numPr>
          <w:ilvl w:val="1"/>
          <w:numId w:val="1"/>
        </w:numPr>
        <w:spacing w:after="120"/>
        <w:rPr>
          <w:rFonts w:asciiTheme="minorHAnsi" w:hAnsiTheme="minorHAnsi"/>
          <w:snapToGrid w:val="0"/>
        </w:rPr>
      </w:pPr>
      <w:r w:rsidRPr="00B23B25">
        <w:rPr>
          <w:rFonts w:asciiTheme="minorHAnsi" w:hAnsiTheme="minorHAnsi"/>
          <w:snapToGrid w:val="0"/>
        </w:rPr>
        <w:t xml:space="preserve">The PBAC did not recommend brentuximab </w:t>
      </w:r>
      <w:proofErr w:type="spellStart"/>
      <w:r w:rsidRPr="00B23B25">
        <w:rPr>
          <w:rFonts w:asciiTheme="minorHAnsi" w:hAnsiTheme="minorHAnsi"/>
          <w:snapToGrid w:val="0"/>
        </w:rPr>
        <w:t>vedotin</w:t>
      </w:r>
      <w:proofErr w:type="spellEnd"/>
      <w:r w:rsidRPr="00B23B25">
        <w:rPr>
          <w:rFonts w:asciiTheme="minorHAnsi" w:hAnsiTheme="minorHAnsi"/>
          <w:snapToGrid w:val="0"/>
        </w:rPr>
        <w:t xml:space="preserve">, in combination with doxorubicin, vinblastine and dacarbazine (A+AVD), for the first line treatment of advanced classical Hodgkin lymphoma. The PBAC considered the availability of alternative treatment options reduced the clinical need for A+AVD. The PBAC advised that the claim of superior effectiveness compared to PET-adapted </w:t>
      </w:r>
      <w:r w:rsidR="00783DD9" w:rsidRPr="0085018D">
        <w:t>doxorubicin, bleomycin, vincristine and dacarbazine (ABVD)</w:t>
      </w:r>
      <w:r w:rsidRPr="00B23B25">
        <w:rPr>
          <w:rFonts w:asciiTheme="minorHAnsi" w:hAnsiTheme="minorHAnsi"/>
          <w:snapToGrid w:val="0"/>
        </w:rPr>
        <w:t xml:space="preserve"> was highly uncertain due to the indirect evidence presented and the high level of censoring in the key trial evidence, but considered it was likely reasonable. In addition, the PBAC considered the economic model structure used in the submission resulted in an incremental cost effectiveness ratio (ICER) that was highly uncertain and advised that the cost-effectiveness of A+AVD was unable to be reliably assessed.</w:t>
      </w:r>
    </w:p>
    <w:p w14:paraId="7A0122B9" w14:textId="7B76DCA5" w:rsidR="001D3BC7" w:rsidRPr="00B23B25" w:rsidRDefault="003C0A8D" w:rsidP="00F6377D">
      <w:pPr>
        <w:widowControl w:val="0"/>
        <w:numPr>
          <w:ilvl w:val="1"/>
          <w:numId w:val="1"/>
        </w:numPr>
        <w:spacing w:after="120"/>
        <w:rPr>
          <w:rFonts w:asciiTheme="minorHAnsi" w:hAnsiTheme="minorHAnsi"/>
          <w:snapToGrid w:val="0"/>
        </w:rPr>
      </w:pPr>
      <w:r w:rsidRPr="00B23B25">
        <w:rPr>
          <w:rFonts w:asciiTheme="minorHAnsi" w:hAnsiTheme="minorHAnsi"/>
          <w:snapToGrid w:val="0"/>
        </w:rPr>
        <w:t xml:space="preserve">The PBAC considered the primary reason for this outcome was due to the economic evaluation provided. </w:t>
      </w:r>
    </w:p>
    <w:p w14:paraId="4EA00F1C" w14:textId="56931C8E" w:rsidR="00383713" w:rsidRPr="0085018D" w:rsidRDefault="003C0A8D" w:rsidP="004C6895">
      <w:pPr>
        <w:pStyle w:val="COMexecsumnumberedpara"/>
      </w:pPr>
      <w:r w:rsidRPr="0085018D">
        <w:t xml:space="preserve">The PBAC noted the consumer comments received </w:t>
      </w:r>
      <w:r w:rsidR="0038104E" w:rsidRPr="0085018D">
        <w:t xml:space="preserve">which </w:t>
      </w:r>
      <w:r w:rsidRPr="0085018D">
        <w:t xml:space="preserve">highlighted the impact of Hodgkin lymphoma on </w:t>
      </w:r>
      <w:r w:rsidR="0085018D" w:rsidRPr="0085018D">
        <w:t>patients’</w:t>
      </w:r>
      <w:r w:rsidRPr="0085018D">
        <w:t xml:space="preserve"> quality of life</w:t>
      </w:r>
      <w:r w:rsidR="0038104E" w:rsidRPr="0085018D">
        <w:t xml:space="preserve"> and that additional treatment options </w:t>
      </w:r>
      <w:r w:rsidR="00783DD9" w:rsidRPr="0085018D">
        <w:t>would be welcomed to</w:t>
      </w:r>
      <w:r w:rsidR="0038104E" w:rsidRPr="0085018D">
        <w:t xml:space="preserve"> increase clinician choice when selecting therapies for their patients. The PBAC </w:t>
      </w:r>
      <w:r w:rsidR="00383713" w:rsidRPr="0085018D">
        <w:t xml:space="preserve">considered that the current availability of alternative </w:t>
      </w:r>
      <w:r w:rsidR="004C6895" w:rsidRPr="0085018D">
        <w:t xml:space="preserve">treatment options </w:t>
      </w:r>
      <w:r w:rsidR="00067E43" w:rsidRPr="0085018D">
        <w:t xml:space="preserve">in this condition </w:t>
      </w:r>
      <w:r w:rsidR="004C6895" w:rsidRPr="0085018D">
        <w:t>reduced</w:t>
      </w:r>
      <w:r w:rsidR="00383713" w:rsidRPr="0085018D">
        <w:t xml:space="preserve"> </w:t>
      </w:r>
      <w:r w:rsidR="004C6895" w:rsidRPr="0085018D">
        <w:t xml:space="preserve">the </w:t>
      </w:r>
      <w:r w:rsidR="00383713" w:rsidRPr="0085018D">
        <w:t>clinical need for A+AVD.</w:t>
      </w:r>
    </w:p>
    <w:p w14:paraId="0DF7B04A" w14:textId="00D7C08A" w:rsidR="004C6895" w:rsidRPr="0085018D" w:rsidRDefault="00067E43" w:rsidP="004C6895">
      <w:pPr>
        <w:pStyle w:val="COMexecsumnumberedpara"/>
      </w:pPr>
      <w:r w:rsidRPr="0085018D">
        <w:t xml:space="preserve">In terms of the proposed restriction, the PBAC considered it was appropriate for it to be silent on age. The PBAC agreed with the ESC that the criterion regarding ECOG status was not required in the restriction (see paragraph </w:t>
      </w:r>
      <w:r w:rsidRPr="0085018D">
        <w:fldChar w:fldCharType="begin"/>
      </w:r>
      <w:r w:rsidRPr="0085018D">
        <w:instrText xml:space="preserve"> REF _Ref163732745 \r \h </w:instrText>
      </w:r>
      <w:r w:rsidRPr="0085018D">
        <w:fldChar w:fldCharType="separate"/>
      </w:r>
      <w:r w:rsidR="00EE192C">
        <w:t>3.5</w:t>
      </w:r>
      <w:r w:rsidRPr="0085018D">
        <w:fldChar w:fldCharType="end"/>
      </w:r>
      <w:r w:rsidRPr="0085018D">
        <w:t xml:space="preserve">). The PBAC noted that a very small number of patients were re-treated with brentuximab </w:t>
      </w:r>
      <w:proofErr w:type="spellStart"/>
      <w:r w:rsidRPr="0085018D">
        <w:t>vedotin</w:t>
      </w:r>
      <w:proofErr w:type="spellEnd"/>
      <w:r w:rsidRPr="0085018D">
        <w:t xml:space="preserve"> in ECHELON-1. The PBAC also recalled that when recommending brentuximab </w:t>
      </w:r>
      <w:proofErr w:type="spellStart"/>
      <w:r w:rsidRPr="0085018D">
        <w:t>vedotin</w:t>
      </w:r>
      <w:proofErr w:type="spellEnd"/>
      <w:r w:rsidRPr="0085018D">
        <w:t xml:space="preserve"> combination therapy for the first-line treatment of peripheral T-cell lymphoma in March 2021 the Committee had allowed re-treatment for patients who had responded to </w:t>
      </w:r>
      <w:proofErr w:type="gramStart"/>
      <w:r w:rsidRPr="0085018D">
        <w:t>first-line</w:t>
      </w:r>
      <w:proofErr w:type="gramEnd"/>
      <w:r w:rsidRPr="0085018D">
        <w:t xml:space="preserve"> brentuximab </w:t>
      </w:r>
      <w:proofErr w:type="spellStart"/>
      <w:r w:rsidRPr="0085018D">
        <w:t>vedotin</w:t>
      </w:r>
      <w:proofErr w:type="spellEnd"/>
      <w:r w:rsidRPr="0085018D">
        <w:t xml:space="preserve"> (paragraph 7.14, brentuximab </w:t>
      </w:r>
      <w:proofErr w:type="spellStart"/>
      <w:r w:rsidRPr="0085018D">
        <w:t>vedotin</w:t>
      </w:r>
      <w:proofErr w:type="spellEnd"/>
      <w:r w:rsidRPr="0085018D">
        <w:t xml:space="preserve"> PSD, March 2021 PBAC Meeting). The </w:t>
      </w:r>
      <w:r w:rsidR="008E0125" w:rsidRPr="0085018D">
        <w:t xml:space="preserve">PBAC agreed with the </w:t>
      </w:r>
      <w:r w:rsidRPr="0085018D">
        <w:t xml:space="preserve">ESC </w:t>
      </w:r>
      <w:r w:rsidR="008E0125" w:rsidRPr="0085018D">
        <w:t>that re-treatment would likely be appropriate in this context and considered a</w:t>
      </w:r>
      <w:r w:rsidRPr="0085018D">
        <w:t xml:space="preserve"> lifetime maximum of 16 treatment cycles remained </w:t>
      </w:r>
      <w:r w:rsidR="00F83C92" w:rsidRPr="0085018D">
        <w:t>fitting</w:t>
      </w:r>
      <w:r w:rsidRPr="0085018D">
        <w:t xml:space="preserve"> to accommodate use across both settings</w:t>
      </w:r>
      <w:r w:rsidR="008E0125" w:rsidRPr="0085018D">
        <w:t xml:space="preserve"> (see paragraph </w:t>
      </w:r>
      <w:r w:rsidR="008E0125" w:rsidRPr="0085018D">
        <w:fldChar w:fldCharType="begin"/>
      </w:r>
      <w:r w:rsidR="008E0125" w:rsidRPr="0085018D">
        <w:instrText xml:space="preserve"> REF _Ref163733484 \r \h </w:instrText>
      </w:r>
      <w:r w:rsidR="008E0125" w:rsidRPr="0085018D">
        <w:fldChar w:fldCharType="separate"/>
      </w:r>
      <w:r w:rsidR="00EE192C">
        <w:t>3.9</w:t>
      </w:r>
      <w:r w:rsidR="008E0125" w:rsidRPr="0085018D">
        <w:fldChar w:fldCharType="end"/>
      </w:r>
      <w:r w:rsidR="008E0125" w:rsidRPr="0085018D">
        <w:t>)</w:t>
      </w:r>
      <w:r w:rsidRPr="0085018D">
        <w:t>.</w:t>
      </w:r>
    </w:p>
    <w:p w14:paraId="23ACE4D3" w14:textId="7D1B330B" w:rsidR="007870BD" w:rsidRPr="0085018D" w:rsidRDefault="007870BD" w:rsidP="00E16288">
      <w:pPr>
        <w:pStyle w:val="COMexecsumnumberedpara"/>
      </w:pPr>
      <w:r w:rsidRPr="0085018D">
        <w:t xml:space="preserve">The PBAC noted the submissions claim that while A+AVD is not a PET-adapted regimen, it is expected to substitute for PET-adapted ABVD. The PBAC considered the clinical place of A+AVD was uncertain given treatment guidelines recommend the use of PET-adapted regimens over non-PET-adapted regimens. </w:t>
      </w:r>
      <w:r w:rsidR="00F715B7" w:rsidRPr="0085018D">
        <w:t>The PBAC agreed with the ESC that interim positron emission tomography after 2 cycles of chemotherapy (iPET2) would likely continue with A+AVD despite the fact it was not used in the ECHELON-1 trial.</w:t>
      </w:r>
    </w:p>
    <w:p w14:paraId="6DB46961" w14:textId="19C2EAE4" w:rsidR="004C6895" w:rsidRPr="0085018D" w:rsidRDefault="00F715B7" w:rsidP="004C6895">
      <w:pPr>
        <w:pStyle w:val="COMexecsumnumberedpara"/>
      </w:pPr>
      <w:r w:rsidRPr="0085018D">
        <w:t>Acknowledging the uncertainty regarding the clinical place of A+AVD, t</w:t>
      </w:r>
      <w:r w:rsidR="007870BD" w:rsidRPr="0085018D">
        <w:t xml:space="preserve">he PBAC accepted the nomination of PET-adapted ABVD as the main comparator, noting that it is the standard of care for ABVD treatment in Australia. </w:t>
      </w:r>
    </w:p>
    <w:p w14:paraId="7F8FED27" w14:textId="4FB8D1FA" w:rsidR="00675677" w:rsidRPr="00B23B25" w:rsidRDefault="00A47A76" w:rsidP="00675677">
      <w:pPr>
        <w:widowControl w:val="0"/>
        <w:numPr>
          <w:ilvl w:val="1"/>
          <w:numId w:val="1"/>
        </w:numPr>
        <w:spacing w:after="120"/>
        <w:rPr>
          <w:rFonts w:asciiTheme="minorHAnsi" w:hAnsiTheme="minorHAnsi"/>
          <w:snapToGrid w:val="0"/>
        </w:rPr>
      </w:pPr>
      <w:r w:rsidRPr="0085018D">
        <w:t xml:space="preserve">The PBAC noted the key trial evidence (ECHELON-1) was a head-to-head trial comparing A+AVD with non-PET-adapted ABVD in patients with previously untreated advanced Hodgkin lymphoma. </w:t>
      </w:r>
      <w:r w:rsidR="00756D41" w:rsidRPr="0085018D">
        <w:t>The primary outcome in the ECHELON-1 trial was modified progression-free survival which, in addition to progressive disease and death, included receipt of subsequent anti-cancer therapy in patients not in complete response after completion of frontline therapy</w:t>
      </w:r>
      <w:r w:rsidR="00756D41">
        <w:t xml:space="preserve">. </w:t>
      </w:r>
      <w:r w:rsidR="00E02BCF" w:rsidRPr="0085018D">
        <w:t>The PBAC noted that</w:t>
      </w:r>
      <w:r w:rsidR="00EF7375" w:rsidRPr="0085018D">
        <w:t xml:space="preserve"> a</w:t>
      </w:r>
      <w:r w:rsidR="00E02BCF" w:rsidRPr="0085018D">
        <w:t xml:space="preserve"> statistically significant benefit in modified progression-free survival was </w:t>
      </w:r>
      <w:r w:rsidR="00EF7375" w:rsidRPr="0085018D">
        <w:t xml:space="preserve">reported in the A+AVD group compared to the ABVD group </w:t>
      </w:r>
      <w:r w:rsidR="00F01E09" w:rsidRPr="0085018D">
        <w:t>for the primary analysis period</w:t>
      </w:r>
      <w:r w:rsidR="00EF7375" w:rsidRPr="0085018D">
        <w:t xml:space="preserve"> (HR 0.770; 95% CI: 0.603, 0.982).</w:t>
      </w:r>
      <w:r w:rsidR="00F01E09" w:rsidRPr="0085018D">
        <w:t xml:space="preserve"> </w:t>
      </w:r>
      <w:r w:rsidR="00F6628F" w:rsidRPr="0085018D">
        <w:t xml:space="preserve">The PBAC considered the results from the later data cut may be subject to bias as the data were not independently reviewed. </w:t>
      </w:r>
      <w:r w:rsidR="00F01E09" w:rsidRPr="0085018D">
        <w:t>The PBAC noted that exploratory analyses of progression-free survival using standard definitions showed a trend in favour of A+AVD, however the results did not achieve statistical significance (HR 0.83; 95% CI: 0.64, 10.7). The PBAC agreed with the ESC that the use of modified progression-free survival was more likely to reflect what would occur clinically</w:t>
      </w:r>
      <w:r w:rsidR="00F6628F" w:rsidRPr="0085018D">
        <w:t xml:space="preserve"> in this context</w:t>
      </w:r>
      <w:r w:rsidR="00F01E09" w:rsidRPr="0085018D">
        <w:t xml:space="preserve"> than the analyses of progression-free survival using standard definitions (see paragraph </w:t>
      </w:r>
      <w:r w:rsidR="00F01E09" w:rsidRPr="0085018D">
        <w:fldChar w:fldCharType="begin"/>
      </w:r>
      <w:r w:rsidR="00F01E09" w:rsidRPr="0085018D">
        <w:instrText xml:space="preserve"> REF _Ref163739316 \r \h </w:instrText>
      </w:r>
      <w:r w:rsidR="00F01E09" w:rsidRPr="0085018D">
        <w:fldChar w:fldCharType="separate"/>
      </w:r>
      <w:r w:rsidR="00EE192C">
        <w:t>6.18</w:t>
      </w:r>
      <w:r w:rsidR="00F01E09" w:rsidRPr="0085018D">
        <w:fldChar w:fldCharType="end"/>
      </w:r>
      <w:r w:rsidR="00F01E09" w:rsidRPr="0085018D">
        <w:t xml:space="preserve">). The PBAC noted that results from the June 2021 data cut showed statistically improved overall survival for A+AVD compared to ABVD (HR 0.59; 95% CI: 0.40, 0.88). </w:t>
      </w:r>
      <w:r w:rsidR="00F6628F" w:rsidRPr="0085018D">
        <w:t xml:space="preserve">However, the PBAC noted both modified progression-free survival and overall survival data were subject to relatively high levels of censoring as most patients had yet to experience an event, with potential confounding due to the use of subsequent treatments (20.4% in A+AVD arm and 23.8% in ABVD arm at the June 2021 cut-off)(see paragraph </w:t>
      </w:r>
      <w:r w:rsidR="00F6628F" w:rsidRPr="0085018D">
        <w:fldChar w:fldCharType="begin"/>
      </w:r>
      <w:r w:rsidR="00F6628F" w:rsidRPr="0085018D">
        <w:instrText xml:space="preserve"> REF _Ref163739766 \r \h </w:instrText>
      </w:r>
      <w:r w:rsidR="00F6628F" w:rsidRPr="0085018D">
        <w:fldChar w:fldCharType="separate"/>
      </w:r>
      <w:r w:rsidR="00EE192C">
        <w:t>6.23</w:t>
      </w:r>
      <w:r w:rsidR="00F6628F" w:rsidRPr="0085018D">
        <w:fldChar w:fldCharType="end"/>
      </w:r>
      <w:r w:rsidR="00F6628F" w:rsidRPr="0085018D">
        <w:t xml:space="preserve">). </w:t>
      </w:r>
    </w:p>
    <w:p w14:paraId="1FBE36E7" w14:textId="715F63E7" w:rsidR="00F6628F" w:rsidRPr="00B23B25" w:rsidRDefault="00F6628F" w:rsidP="00675677">
      <w:pPr>
        <w:widowControl w:val="0"/>
        <w:numPr>
          <w:ilvl w:val="1"/>
          <w:numId w:val="1"/>
        </w:numPr>
        <w:spacing w:after="120"/>
        <w:rPr>
          <w:rFonts w:asciiTheme="minorHAnsi" w:hAnsiTheme="minorHAnsi"/>
          <w:snapToGrid w:val="0"/>
        </w:rPr>
      </w:pPr>
      <w:bookmarkStart w:id="68" w:name="_Ref163746159"/>
      <w:r w:rsidRPr="00B23B25">
        <w:t>The PBAC noted there are no data directly comparing A+AVD versus PET-adapted regimens.</w:t>
      </w:r>
      <w:r w:rsidR="00AF3EAE" w:rsidRPr="00B23B25">
        <w:t xml:space="preserve"> In addition, the PBAC considered a lack of a common reference and limited comparability between trials of PET-adapted regimens and ECHELON-1 precluded any useful indirect comparisons.</w:t>
      </w:r>
      <w:r w:rsidRPr="00B23B25">
        <w:t xml:space="preserve"> The RATHL trial was presented as evidence of similar efficacy between PET-adapted and non-PET adapted ABVD</w:t>
      </w:r>
      <w:r w:rsidR="00AF3EAE" w:rsidRPr="00B23B25">
        <w:t xml:space="preserve"> with the Pre-Sub-Committee Response (PSCR)</w:t>
      </w:r>
      <w:r w:rsidRPr="00B23B25">
        <w:t xml:space="preserve"> argu</w:t>
      </w:r>
      <w:r w:rsidR="00AF3EAE" w:rsidRPr="00B23B25">
        <w:t>ing</w:t>
      </w:r>
      <w:r w:rsidRPr="00B23B25">
        <w:t xml:space="preserve"> that the (non-PET-adapted) ABVD arm from the ECHELON-1 trial was a reasonable proxy for the efficacy of PET-adapted ABVD. The </w:t>
      </w:r>
      <w:r w:rsidR="00AF3EAE" w:rsidRPr="00B23B25">
        <w:t xml:space="preserve">PBAC </w:t>
      </w:r>
      <w:r w:rsidRPr="00B23B25">
        <w:t xml:space="preserve">agreed with the </w:t>
      </w:r>
      <w:r w:rsidR="00AF3EAE" w:rsidRPr="00B23B25">
        <w:t xml:space="preserve">PSCR </w:t>
      </w:r>
      <w:r w:rsidRPr="00B23B25">
        <w:t xml:space="preserve">that the RATHL trial provided evidence of similar efficacy between PET-adapted and non-PET-adapted regimens. However, the </w:t>
      </w:r>
      <w:r w:rsidR="00AF3EAE" w:rsidRPr="00B23B25">
        <w:t xml:space="preserve">PBAC agreed with the </w:t>
      </w:r>
      <w:r w:rsidRPr="00B23B25">
        <w:t xml:space="preserve">ESC </w:t>
      </w:r>
      <w:r w:rsidR="00AF3EAE" w:rsidRPr="00B23B25">
        <w:t>that</w:t>
      </w:r>
      <w:r w:rsidRPr="00B23B25">
        <w:t xml:space="preserve"> the RATHL trial was not designed to determine the overall efficacy and safety of PET-adapted ABVD (with options to escalate/de-escalate treatment) compared to non-PET-adapted ABVD (see paragraph </w:t>
      </w:r>
      <w:r w:rsidR="00AF3EAE" w:rsidRPr="00B23B25">
        <w:fldChar w:fldCharType="begin"/>
      </w:r>
      <w:r w:rsidR="00AF3EAE" w:rsidRPr="00B23B25">
        <w:instrText xml:space="preserve"> REF _Ref159413744 \r \h </w:instrText>
      </w:r>
      <w:r w:rsidR="00AF3EAE" w:rsidRPr="00B23B25">
        <w:fldChar w:fldCharType="separate"/>
      </w:r>
      <w:r w:rsidR="00EE192C">
        <w:t>6.32</w:t>
      </w:r>
      <w:r w:rsidR="00AF3EAE" w:rsidRPr="00B23B25">
        <w:fldChar w:fldCharType="end"/>
      </w:r>
      <w:r w:rsidRPr="00B23B25">
        <w:t xml:space="preserve">). As such, the </w:t>
      </w:r>
      <w:r w:rsidR="0086404C" w:rsidRPr="00B23B25">
        <w:t>PBAC</w:t>
      </w:r>
      <w:r w:rsidRPr="00B23B25">
        <w:t xml:space="preserve"> considered the use of the ABVD arm from the ECHELON-1 trial as a proxy for the efficacy of PET-adapted ABVD was uncertain.</w:t>
      </w:r>
      <w:bookmarkEnd w:id="68"/>
      <w:r w:rsidRPr="00B23B25">
        <w:t xml:space="preserve"> </w:t>
      </w:r>
    </w:p>
    <w:p w14:paraId="22F765D5" w14:textId="302AA36D" w:rsidR="00F42F12" w:rsidRPr="00B23B25" w:rsidRDefault="00F42F12" w:rsidP="00F42F12">
      <w:pPr>
        <w:pStyle w:val="COMexecsumnumberedpara"/>
      </w:pPr>
      <w:r w:rsidRPr="00B23B25">
        <w:t xml:space="preserve">Overall, </w:t>
      </w:r>
      <w:r w:rsidR="00DA037A" w:rsidRPr="00B23B25">
        <w:t xml:space="preserve">the </w:t>
      </w:r>
      <w:r w:rsidRPr="00B23B25">
        <w:t xml:space="preserve">PBAC considered that the claim of superior effectiveness compared to PET-adapted ABVD was highly uncertain </w:t>
      </w:r>
      <w:r w:rsidR="00DA037A" w:rsidRPr="00B23B25">
        <w:t xml:space="preserve">due to the indirect evidence presented and the high level of censoring in the key trial evidence, </w:t>
      </w:r>
      <w:r w:rsidRPr="00B23B25">
        <w:t>but likely reasonable.</w:t>
      </w:r>
    </w:p>
    <w:p w14:paraId="56E57619" w14:textId="77777777" w:rsidR="00DA037A" w:rsidRPr="0085018D" w:rsidRDefault="00DA037A" w:rsidP="00DA037A">
      <w:pPr>
        <w:pStyle w:val="COMexecsumnumberedpara"/>
      </w:pPr>
      <w:r w:rsidRPr="0085018D">
        <w:t>The PBAC considered that the claim of inferior safety compared to PET-adapted ABVD was reasonable.</w:t>
      </w:r>
    </w:p>
    <w:p w14:paraId="5090C847" w14:textId="568D469E" w:rsidR="00DC49FC" w:rsidRPr="00B23B25" w:rsidRDefault="00E16288" w:rsidP="00CB4970">
      <w:pPr>
        <w:widowControl w:val="0"/>
        <w:numPr>
          <w:ilvl w:val="1"/>
          <w:numId w:val="1"/>
        </w:numPr>
        <w:spacing w:after="120"/>
        <w:rPr>
          <w:rFonts w:asciiTheme="minorHAnsi" w:hAnsiTheme="minorHAnsi"/>
          <w:snapToGrid w:val="0"/>
        </w:rPr>
      </w:pPr>
      <w:r w:rsidRPr="00B23B25">
        <w:rPr>
          <w:rFonts w:asciiTheme="minorHAnsi" w:hAnsiTheme="minorHAnsi"/>
          <w:snapToGrid w:val="0"/>
        </w:rPr>
        <w:t xml:space="preserve">The submission presented a cost-utility analysis of A+AVD compared to PET-adapted ABVD based on the ECHELON-1 trial of A+AVD versus non-PET-adapted ABVD. As outlined in paragraph </w:t>
      </w:r>
      <w:r w:rsidRPr="00B23B25">
        <w:rPr>
          <w:rFonts w:asciiTheme="minorHAnsi" w:hAnsiTheme="minorHAnsi"/>
          <w:snapToGrid w:val="0"/>
        </w:rPr>
        <w:fldChar w:fldCharType="begin"/>
      </w:r>
      <w:r w:rsidRPr="00B23B25">
        <w:rPr>
          <w:rFonts w:asciiTheme="minorHAnsi" w:hAnsiTheme="minorHAnsi"/>
          <w:snapToGrid w:val="0"/>
        </w:rPr>
        <w:instrText xml:space="preserve"> REF _Ref163746159 \r \h </w:instrText>
      </w:r>
      <w:r w:rsidRPr="00B23B25">
        <w:rPr>
          <w:rFonts w:asciiTheme="minorHAnsi" w:hAnsiTheme="minorHAnsi"/>
          <w:snapToGrid w:val="0"/>
        </w:rPr>
      </w:r>
      <w:r w:rsidRPr="00B23B25">
        <w:rPr>
          <w:rFonts w:asciiTheme="minorHAnsi" w:hAnsiTheme="minorHAnsi"/>
          <w:snapToGrid w:val="0"/>
        </w:rPr>
        <w:fldChar w:fldCharType="separate"/>
      </w:r>
      <w:r w:rsidR="00EE192C">
        <w:rPr>
          <w:rFonts w:asciiTheme="minorHAnsi" w:hAnsiTheme="minorHAnsi"/>
          <w:snapToGrid w:val="0"/>
        </w:rPr>
        <w:t>7.8</w:t>
      </w:r>
      <w:r w:rsidRPr="00B23B25">
        <w:rPr>
          <w:rFonts w:asciiTheme="minorHAnsi" w:hAnsiTheme="minorHAnsi"/>
          <w:snapToGrid w:val="0"/>
        </w:rPr>
        <w:fldChar w:fldCharType="end"/>
      </w:r>
      <w:r w:rsidRPr="00B23B25">
        <w:rPr>
          <w:rFonts w:asciiTheme="minorHAnsi" w:hAnsiTheme="minorHAnsi"/>
          <w:snapToGrid w:val="0"/>
        </w:rPr>
        <w:t xml:space="preserve">, the PBAC considered the use of the ABVD arm from the ECHELON-1 trial as a proxy for the efficacy of PET-adapted ABVD was uncertain. </w:t>
      </w:r>
      <w:r w:rsidRPr="00B23B25">
        <w:t>The</w:t>
      </w:r>
      <w:r w:rsidR="0033275E" w:rsidRPr="00B23B25">
        <w:t xml:space="preserve"> method used to generate the economic model results was a</w:t>
      </w:r>
      <w:r w:rsidRPr="00B23B25">
        <w:t xml:space="preserve"> partitioned survival analysis</w:t>
      </w:r>
      <w:r w:rsidR="00B730BB" w:rsidRPr="00B23B25">
        <w:t xml:space="preserve"> over a 65-year time horizon</w:t>
      </w:r>
      <w:r w:rsidR="0033275E" w:rsidRPr="00B23B25">
        <w:t xml:space="preserve">. </w:t>
      </w:r>
      <w:r w:rsidR="00B730BB" w:rsidRPr="00B23B25">
        <w:t>The PBAC considered that the 65-year time horizon may be reasonable given the potential for cure with initial and subsequent treatments and the bimodal age distribution evident for this condition. However, t</w:t>
      </w:r>
      <w:r w:rsidR="0033275E" w:rsidRPr="00B23B25">
        <w:t>he PBAC considered the use of a partitioned survival analysis was inadequately justified given multiple structural limitations associated with the approach, which had implications on the validity of extrapolated outcomes and the ability to appropriately model the impact of subsequent anti-cancer treatments; and limited the ability to quantify any uncertainties through sensitivity analyses</w:t>
      </w:r>
      <w:r w:rsidR="00B730BB" w:rsidRPr="00B23B25">
        <w:t xml:space="preserve"> (see paragraphs </w:t>
      </w:r>
      <w:r w:rsidR="00B730BB" w:rsidRPr="00B23B25">
        <w:fldChar w:fldCharType="begin"/>
      </w:r>
      <w:r w:rsidR="00B730BB" w:rsidRPr="00B23B25">
        <w:instrText xml:space="preserve"> REF _Ref163748309 \r \h </w:instrText>
      </w:r>
      <w:r w:rsidR="00B730BB" w:rsidRPr="00B23B25">
        <w:fldChar w:fldCharType="separate"/>
      </w:r>
      <w:r w:rsidR="00EE192C">
        <w:t>6.58</w:t>
      </w:r>
      <w:r w:rsidR="00B730BB" w:rsidRPr="00B23B25">
        <w:fldChar w:fldCharType="end"/>
      </w:r>
      <w:r w:rsidR="00B730BB" w:rsidRPr="00B23B25">
        <w:t xml:space="preserve"> and </w:t>
      </w:r>
      <w:r w:rsidR="00B730BB" w:rsidRPr="00B23B25">
        <w:fldChar w:fldCharType="begin"/>
      </w:r>
      <w:r w:rsidR="00B730BB" w:rsidRPr="00B23B25">
        <w:instrText xml:space="preserve"> REF _Ref163748322 \r \h </w:instrText>
      </w:r>
      <w:r w:rsidR="00B730BB" w:rsidRPr="00B23B25">
        <w:fldChar w:fldCharType="separate"/>
      </w:r>
      <w:r w:rsidR="00EE192C">
        <w:t>6.59</w:t>
      </w:r>
      <w:r w:rsidR="00B730BB" w:rsidRPr="00B23B25">
        <w:fldChar w:fldCharType="end"/>
      </w:r>
      <w:r w:rsidR="00B730BB" w:rsidRPr="00B23B25">
        <w:t>)</w:t>
      </w:r>
      <w:r w:rsidR="0033275E" w:rsidRPr="00B23B25">
        <w:t>.</w:t>
      </w:r>
      <w:r w:rsidR="00B730BB" w:rsidRPr="00B23B25">
        <w:t xml:space="preserve"> The PBAC did not accept the PSCR argument that </w:t>
      </w:r>
      <w:r w:rsidR="00F83C92" w:rsidRPr="00B23B25">
        <w:t xml:space="preserve">the </w:t>
      </w:r>
      <w:r w:rsidR="00B730BB" w:rsidRPr="00B23B25">
        <w:t xml:space="preserve">simplest approach to capture the benefits of A+AVD versus ABVD based on the goals of treatment and the available data from ECHELON-1 was a partitioned survival analysis. </w:t>
      </w:r>
      <w:r w:rsidR="008D3B06" w:rsidRPr="00B23B25">
        <w:t xml:space="preserve">The PBAC noted the pre-PBAC argument that the use of a Markov model structure would increase complexity and uncertainty as assumptions </w:t>
      </w:r>
      <w:r w:rsidR="00AA23CC" w:rsidRPr="00B23B25">
        <w:t>regarding the</w:t>
      </w:r>
      <w:r w:rsidR="008D3B06" w:rsidRPr="00B23B25">
        <w:t xml:space="preserve"> impact of subsequent treatments in the relapsed/refractory setting </w:t>
      </w:r>
      <w:r w:rsidR="00AA23CC" w:rsidRPr="00B23B25">
        <w:t xml:space="preserve">would need to be sourced from other trials and/or published literature. The PBAC </w:t>
      </w:r>
      <w:r w:rsidR="00EB3130" w:rsidRPr="00B23B25">
        <w:t xml:space="preserve">noted that the impact of subsequent treatments in the relapsed/refractory setting was a key driver of the economic model with the level of impact considered high and to favour A+AVD (see </w:t>
      </w:r>
      <w:r w:rsidR="00EB3130" w:rsidRPr="00B23B25">
        <w:fldChar w:fldCharType="begin"/>
      </w:r>
      <w:r w:rsidR="00EB3130" w:rsidRPr="00B23B25">
        <w:instrText xml:space="preserve"> REF _Ref104805122 \h </w:instrText>
      </w:r>
      <w:r w:rsidR="00EB3130" w:rsidRPr="00B23B25">
        <w:fldChar w:fldCharType="separate"/>
      </w:r>
      <w:r w:rsidR="00EB3130" w:rsidRPr="0085018D">
        <w:t xml:space="preserve">Table </w:t>
      </w:r>
      <w:r w:rsidR="00EB3130" w:rsidRPr="00B23B25">
        <w:t>8</w:t>
      </w:r>
      <w:r w:rsidR="00EB3130" w:rsidRPr="00B23B25">
        <w:fldChar w:fldCharType="end"/>
      </w:r>
      <w:r w:rsidR="00EB3130" w:rsidRPr="00B23B25">
        <w:t xml:space="preserve">). </w:t>
      </w:r>
      <w:r w:rsidR="001C29F8" w:rsidRPr="00B23B25">
        <w:t>Furthermore, t</w:t>
      </w:r>
      <w:r w:rsidR="00EB3130" w:rsidRPr="00B23B25">
        <w:t xml:space="preserve">he PBAC </w:t>
      </w:r>
      <w:r w:rsidR="001C29F8" w:rsidRPr="00B23B25">
        <w:t>considered</w:t>
      </w:r>
      <w:r w:rsidR="00EB3130" w:rsidRPr="00B23B25">
        <w:t xml:space="preserve"> that there were </w:t>
      </w:r>
      <w:r w:rsidR="00EB3130" w:rsidRPr="0085018D">
        <w:t>additional uncertainties associated with the implementation of subsequent treatment costs that could not be quantified</w:t>
      </w:r>
      <w:r w:rsidR="00B23B25">
        <w:t>.</w:t>
      </w:r>
      <w:r w:rsidR="001C29F8" w:rsidRPr="0085018D">
        <w:t xml:space="preserve"> Overall,</w:t>
      </w:r>
      <w:r w:rsidR="00EB3130" w:rsidRPr="0085018D">
        <w:t xml:space="preserve"> </w:t>
      </w:r>
      <w:r w:rsidR="001C29F8" w:rsidRPr="0085018D">
        <w:t xml:space="preserve">the PBAC </w:t>
      </w:r>
      <w:r w:rsidR="00DC49FC" w:rsidRPr="0085018D">
        <w:t xml:space="preserve">considered the </w:t>
      </w:r>
      <w:r w:rsidR="00CD1AA0" w:rsidRPr="0085018D">
        <w:t xml:space="preserve">economic </w:t>
      </w:r>
      <w:r w:rsidR="00DC49FC" w:rsidRPr="0085018D">
        <w:t xml:space="preserve">model structure resulted in an ICER that was highly uncertain and advised that </w:t>
      </w:r>
      <w:r w:rsidR="001C29F8" w:rsidRPr="0085018D">
        <w:t xml:space="preserve">the cost-effectiveness of A+AVD was </w:t>
      </w:r>
      <w:r w:rsidR="00DC49FC" w:rsidRPr="0085018D">
        <w:t>unable to be reliably assessed</w:t>
      </w:r>
      <w:r w:rsidR="001C29F8" w:rsidRPr="0085018D">
        <w:t xml:space="preserve">. </w:t>
      </w:r>
      <w:r w:rsidR="00DC49FC" w:rsidRPr="0085018D">
        <w:t xml:space="preserve">The PBAC agreed with the ESC that </w:t>
      </w:r>
      <w:r w:rsidR="001C29F8" w:rsidRPr="0085018D">
        <w:t xml:space="preserve">a simple Markov model would provide a more flexible and transparent approach to assess the cost-effectiveness of A+AVD. </w:t>
      </w:r>
    </w:p>
    <w:p w14:paraId="2EDAD594" w14:textId="00BBAD8C" w:rsidR="00C46A4E" w:rsidRPr="0085018D" w:rsidRDefault="00460AAD" w:rsidP="002A3F90">
      <w:pPr>
        <w:pStyle w:val="COMexecsumnumberedpara"/>
      </w:pPr>
      <w:r w:rsidRPr="0085018D">
        <w:t>The PBAC noted that DUSC considered the estimates presented in the submission to be underestimated</w:t>
      </w:r>
      <w:r w:rsidR="002A3F90" w:rsidRPr="0085018D">
        <w:t xml:space="preserve"> (see paragraph </w:t>
      </w:r>
      <w:r w:rsidR="002A3F90" w:rsidRPr="0085018D">
        <w:fldChar w:fldCharType="begin"/>
      </w:r>
      <w:r w:rsidR="002A3F90" w:rsidRPr="0085018D">
        <w:instrText xml:space="preserve"> REF _Ref163755181 \r \h </w:instrText>
      </w:r>
      <w:r w:rsidR="002A3F90" w:rsidRPr="0085018D">
        <w:fldChar w:fldCharType="separate"/>
      </w:r>
      <w:r w:rsidR="00EE192C">
        <w:t>6.87</w:t>
      </w:r>
      <w:r w:rsidR="002A3F90" w:rsidRPr="0085018D">
        <w:fldChar w:fldCharType="end"/>
      </w:r>
      <w:r w:rsidR="002A3F90" w:rsidRPr="0085018D">
        <w:t>)</w:t>
      </w:r>
      <w:r w:rsidRPr="0085018D">
        <w:t xml:space="preserve">. </w:t>
      </w:r>
      <w:r w:rsidR="002A3F90" w:rsidRPr="0085018D">
        <w:t xml:space="preserve">The PBAC noted that consistent with the advice from DUSC the pre-PBAC response provided revised financial estimates </w:t>
      </w:r>
      <w:r w:rsidR="00FB4ED4" w:rsidRPr="0085018D">
        <w:t>with changes to inputs for incidence rate, proportion at stage III/IV and ECOG requirements</w:t>
      </w:r>
      <w:r w:rsidR="008320E4" w:rsidRPr="0085018D">
        <w:t xml:space="preserve"> (see paragraph </w:t>
      </w:r>
      <w:r w:rsidR="008320E4" w:rsidRPr="0085018D">
        <w:fldChar w:fldCharType="begin"/>
      </w:r>
      <w:r w:rsidR="008320E4" w:rsidRPr="0085018D">
        <w:instrText xml:space="preserve"> REF _Ref163809715 \r \h </w:instrText>
      </w:r>
      <w:r w:rsidR="008320E4" w:rsidRPr="0085018D">
        <w:fldChar w:fldCharType="separate"/>
      </w:r>
      <w:r w:rsidR="00EE192C">
        <w:t>6.88</w:t>
      </w:r>
      <w:r w:rsidR="008320E4" w:rsidRPr="0085018D">
        <w:fldChar w:fldCharType="end"/>
      </w:r>
      <w:r w:rsidR="008320E4" w:rsidRPr="0085018D">
        <w:t>)</w:t>
      </w:r>
      <w:r w:rsidR="00FB4ED4" w:rsidRPr="0085018D">
        <w:t xml:space="preserve">. </w:t>
      </w:r>
      <w:r w:rsidR="002A3F90" w:rsidRPr="0085018D">
        <w:t>The PBAC considered the</w:t>
      </w:r>
      <w:r w:rsidR="00FB4ED4" w:rsidRPr="0085018D">
        <w:t>se</w:t>
      </w:r>
      <w:r w:rsidR="002A3F90" w:rsidRPr="0085018D">
        <w:t xml:space="preserve"> revised inputs appropriate. </w:t>
      </w:r>
      <w:r w:rsidR="00FB4ED4" w:rsidRPr="0085018D">
        <w:t>The PBAC noted that, consistent with DUSC advice, the revised estimat</w:t>
      </w:r>
      <w:r w:rsidR="008320E4" w:rsidRPr="0085018D">
        <w:t>es provided in the pre-PBAC response included increased uptake rates. The PBAC acknowledged</w:t>
      </w:r>
      <w:r w:rsidR="00FB4ED4" w:rsidRPr="0085018D">
        <w:t xml:space="preserve"> </w:t>
      </w:r>
      <w:r w:rsidR="008320E4" w:rsidRPr="0085018D">
        <w:t xml:space="preserve">DUSC advice that the uptake rate may increase due to the favourable toxicity profile of brentuximab </w:t>
      </w:r>
      <w:proofErr w:type="spellStart"/>
      <w:r w:rsidR="008320E4" w:rsidRPr="0085018D">
        <w:t>vedotin</w:t>
      </w:r>
      <w:proofErr w:type="spellEnd"/>
      <w:r w:rsidR="008320E4" w:rsidRPr="0085018D">
        <w:t xml:space="preserve"> when compared to bleomycin. However, the PBAC noted treatment guidelines recommend the use of PET-adapted regimens over non-PET-adapted regimens and considered that this may impact uptake rates.</w:t>
      </w:r>
    </w:p>
    <w:p w14:paraId="1A58C256" w14:textId="61F675A8" w:rsidR="00230D6A" w:rsidRPr="00B23B25" w:rsidRDefault="00F6377D" w:rsidP="00230D6A">
      <w:pPr>
        <w:widowControl w:val="0"/>
        <w:numPr>
          <w:ilvl w:val="1"/>
          <w:numId w:val="1"/>
        </w:numPr>
        <w:spacing w:after="120"/>
        <w:rPr>
          <w:rFonts w:asciiTheme="minorHAnsi" w:hAnsiTheme="minorHAnsi"/>
          <w:snapToGrid w:val="0"/>
        </w:rPr>
      </w:pPr>
      <w:r w:rsidRPr="00B23B25">
        <w:rPr>
          <w:rFonts w:asciiTheme="minorHAnsi" w:hAnsiTheme="minorHAnsi"/>
          <w:bCs/>
          <w:snapToGrid w:val="0"/>
        </w:rPr>
        <w:t xml:space="preserve">The PBAC considered a resubmission for </w:t>
      </w:r>
      <w:r w:rsidR="00230D6A" w:rsidRPr="00B23B25">
        <w:rPr>
          <w:rFonts w:asciiTheme="minorHAnsi" w:hAnsiTheme="minorHAnsi"/>
          <w:bCs/>
          <w:snapToGrid w:val="0"/>
        </w:rPr>
        <w:t xml:space="preserve">A+AVD </w:t>
      </w:r>
      <w:r w:rsidRPr="00B23B25">
        <w:rPr>
          <w:rFonts w:asciiTheme="minorHAnsi" w:hAnsiTheme="minorHAnsi"/>
          <w:bCs/>
          <w:snapToGrid w:val="0"/>
        </w:rPr>
        <w:t>should address the following issues:</w:t>
      </w:r>
    </w:p>
    <w:p w14:paraId="46C267D0" w14:textId="2C23B592" w:rsidR="00230D6A" w:rsidRPr="00B23B25" w:rsidRDefault="00230D6A" w:rsidP="00230D6A">
      <w:pPr>
        <w:pStyle w:val="COMexecsummbulletlist"/>
        <w:ind w:left="1134"/>
      </w:pPr>
      <w:r w:rsidRPr="00B23B25">
        <w:t>Provide a revised economic analysis using a Markov model structure and addresses the points raised by ESC in paragraph</w:t>
      </w:r>
      <w:r w:rsidR="002A3F90" w:rsidRPr="00B23B25">
        <w:t xml:space="preserve"> </w:t>
      </w:r>
      <w:r w:rsidR="002A3F90" w:rsidRPr="00B23B25">
        <w:fldChar w:fldCharType="begin"/>
      </w:r>
      <w:r w:rsidR="002A3F90" w:rsidRPr="00B23B25">
        <w:instrText xml:space="preserve"> REF _Ref159428557 \r \h </w:instrText>
      </w:r>
      <w:r w:rsidR="002A3F90" w:rsidRPr="00B23B25">
        <w:fldChar w:fldCharType="separate"/>
      </w:r>
      <w:r w:rsidR="00EE192C">
        <w:t>6.80</w:t>
      </w:r>
      <w:r w:rsidR="002A3F90" w:rsidRPr="00B23B25">
        <w:fldChar w:fldCharType="end"/>
      </w:r>
      <w:r w:rsidR="002A3F90" w:rsidRPr="00B23B25">
        <w:t>.</w:t>
      </w:r>
    </w:p>
    <w:p w14:paraId="4E6A7EF4" w14:textId="031B923C" w:rsidR="002A3F90" w:rsidRPr="00B23B25" w:rsidRDefault="002A3F90" w:rsidP="00230D6A">
      <w:pPr>
        <w:pStyle w:val="COMexecsummbulletlist"/>
        <w:ind w:left="1134"/>
      </w:pPr>
      <w:r w:rsidRPr="00B23B25">
        <w:t xml:space="preserve">Provide updated financial estimates utilising the pre-PBAC </w:t>
      </w:r>
      <w:r w:rsidR="000E35A9" w:rsidRPr="00B23B25">
        <w:t xml:space="preserve">response inputs for </w:t>
      </w:r>
      <w:r w:rsidR="000E35A9" w:rsidRPr="0085018D">
        <w:t xml:space="preserve">incidence rate, proportion at stage III/IV and ECOG requirements. </w:t>
      </w:r>
    </w:p>
    <w:p w14:paraId="7AC4BDD4" w14:textId="0C73CF2D" w:rsidR="00F6377D" w:rsidRPr="00B23B25" w:rsidRDefault="00F6377D" w:rsidP="00230D6A">
      <w:pPr>
        <w:widowControl w:val="0"/>
        <w:numPr>
          <w:ilvl w:val="1"/>
          <w:numId w:val="1"/>
        </w:numPr>
        <w:spacing w:after="120"/>
        <w:rPr>
          <w:rFonts w:asciiTheme="minorHAnsi" w:hAnsiTheme="minorHAnsi"/>
          <w:snapToGrid w:val="0"/>
        </w:rPr>
      </w:pPr>
      <w:r w:rsidRPr="00B23B25">
        <w:rPr>
          <w:rFonts w:asciiTheme="minorHAnsi" w:hAnsiTheme="minorHAnsi"/>
          <w:bCs/>
          <w:snapToGrid w:val="0"/>
        </w:rPr>
        <w:t>The resubmission may be lodged at any future standard due date for PBAC submissions using the standard re-entry pathway.</w:t>
      </w:r>
    </w:p>
    <w:p w14:paraId="0C68DE37" w14:textId="2B50C264" w:rsidR="00F6377D" w:rsidRPr="00B23B25" w:rsidRDefault="00F6377D" w:rsidP="00146A2B">
      <w:pPr>
        <w:widowControl w:val="0"/>
        <w:numPr>
          <w:ilvl w:val="1"/>
          <w:numId w:val="1"/>
        </w:numPr>
        <w:spacing w:after="120"/>
        <w:rPr>
          <w:rFonts w:asciiTheme="minorHAnsi" w:hAnsiTheme="minorHAnsi"/>
          <w:bCs/>
          <w:snapToGrid w:val="0"/>
        </w:rPr>
      </w:pPr>
      <w:r w:rsidRPr="00B23B25">
        <w:rPr>
          <w:rFonts w:asciiTheme="minorHAnsi" w:hAnsiTheme="minorHAnsi"/>
          <w:bCs/>
          <w:snapToGrid w:val="0"/>
        </w:rPr>
        <w:t xml:space="preserve">The PBAC noted that this submission is eligible for an Independent Review. </w:t>
      </w:r>
    </w:p>
    <w:p w14:paraId="2E218B18" w14:textId="77777777" w:rsidR="00F6377D" w:rsidRPr="00B23B25" w:rsidRDefault="00F6377D" w:rsidP="00F6377D">
      <w:pPr>
        <w:spacing w:before="240"/>
        <w:rPr>
          <w:rFonts w:asciiTheme="minorHAnsi" w:hAnsiTheme="minorHAnsi"/>
          <w:b/>
          <w:bCs/>
          <w:snapToGrid w:val="0"/>
        </w:rPr>
      </w:pPr>
      <w:r w:rsidRPr="00B23B25">
        <w:rPr>
          <w:rFonts w:asciiTheme="minorHAnsi" w:hAnsiTheme="minorHAnsi"/>
          <w:b/>
          <w:bCs/>
          <w:snapToGrid w:val="0"/>
        </w:rPr>
        <w:t>Outcome:</w:t>
      </w:r>
    </w:p>
    <w:p w14:paraId="57E1EA83" w14:textId="0AD3908B" w:rsidR="00F6377D" w:rsidRDefault="00F6377D" w:rsidP="00F6377D">
      <w:pPr>
        <w:rPr>
          <w:rFonts w:asciiTheme="minorHAnsi" w:hAnsiTheme="minorHAnsi"/>
          <w:bCs/>
          <w:snapToGrid w:val="0"/>
        </w:rPr>
      </w:pPr>
      <w:r w:rsidRPr="00B23B25">
        <w:rPr>
          <w:rFonts w:asciiTheme="minorHAnsi" w:hAnsiTheme="minorHAnsi"/>
          <w:bCs/>
          <w:snapToGrid w:val="0"/>
        </w:rPr>
        <w:t>Not recommended</w:t>
      </w:r>
    </w:p>
    <w:bookmarkEnd w:id="65"/>
    <w:bookmarkEnd w:id="66"/>
    <w:bookmarkEnd w:id="67"/>
    <w:p w14:paraId="08597298" w14:textId="77777777" w:rsidR="002D76F2" w:rsidRPr="002D76F2" w:rsidRDefault="002D76F2" w:rsidP="003A272F">
      <w:pPr>
        <w:pStyle w:val="COMH1numbered"/>
      </w:pPr>
      <w:r w:rsidRPr="00C07617">
        <w:t>Context for Decision</w:t>
      </w:r>
    </w:p>
    <w:p w14:paraId="6A8DE751" w14:textId="77777777" w:rsidR="002D76F2" w:rsidRPr="00311EEF" w:rsidRDefault="002D76F2" w:rsidP="002D76F2">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0F004CD" w14:textId="29AB3CA2" w:rsidR="002D76F2" w:rsidRPr="00311EEF" w:rsidRDefault="002D76F2" w:rsidP="003A272F">
      <w:pPr>
        <w:pStyle w:val="COMH1numbered"/>
      </w:pPr>
      <w:r w:rsidRPr="00311EEF">
        <w:t>Sponsor’s Comment</w:t>
      </w:r>
    </w:p>
    <w:p w14:paraId="4AF70B25" w14:textId="5A68F6CF" w:rsidR="002D76F2" w:rsidRPr="002D76F2" w:rsidRDefault="002D76F2" w:rsidP="002D76F2">
      <w:pPr>
        <w:spacing w:after="120"/>
        <w:ind w:left="720"/>
        <w:rPr>
          <w:rFonts w:asciiTheme="minorHAnsi" w:hAnsiTheme="minorHAnsi"/>
          <w:bCs/>
          <w:lang w:val="en-GB"/>
        </w:rPr>
      </w:pPr>
      <w:r w:rsidRPr="002D76F2">
        <w:rPr>
          <w:rFonts w:asciiTheme="minorHAnsi" w:hAnsiTheme="minorHAnsi"/>
          <w:bCs/>
          <w:lang w:val="en-GB"/>
        </w:rPr>
        <w:t>The sponsor had no comment.</w:t>
      </w:r>
    </w:p>
    <w:sectPr w:rsidR="002D76F2" w:rsidRPr="002D76F2" w:rsidSect="0009485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3A42" w14:textId="77777777" w:rsidR="00F55DEC" w:rsidRDefault="00F55DEC" w:rsidP="00124A51">
      <w:r>
        <w:separator/>
      </w:r>
    </w:p>
    <w:p w14:paraId="52BCF0C9" w14:textId="77777777" w:rsidR="00F55DEC" w:rsidRDefault="00F55DEC"/>
    <w:p w14:paraId="356E1DC5" w14:textId="77777777" w:rsidR="00F55DEC" w:rsidRDefault="00F55DEC"/>
  </w:endnote>
  <w:endnote w:type="continuationSeparator" w:id="0">
    <w:p w14:paraId="24EBD5CB" w14:textId="77777777" w:rsidR="00F55DEC" w:rsidRDefault="00F55DEC" w:rsidP="00124A51">
      <w:r>
        <w:continuationSeparator/>
      </w:r>
    </w:p>
    <w:p w14:paraId="067589E4" w14:textId="77777777" w:rsidR="00F55DEC" w:rsidRDefault="00F55DEC"/>
    <w:p w14:paraId="6637ABB2" w14:textId="77777777" w:rsidR="00F55DEC" w:rsidRDefault="00F55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CC7" w14:textId="77777777" w:rsidR="00AC76C1" w:rsidRDefault="00AC7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37484CD3" w14:textId="5AF64A4C" w:rsidR="00D843F2" w:rsidRPr="007C1CD9" w:rsidRDefault="00A45ED5" w:rsidP="00753B29">
    <w:pPr>
      <w:jc w:val="center"/>
    </w:pPr>
    <w:sdt>
      <w:sdtPr>
        <w:id w:val="1036156457"/>
        <w:docPartObj>
          <w:docPartGallery w:val="Page Numbers (Bottom of Page)"/>
          <w:docPartUnique/>
        </w:docPartObj>
      </w:sdtPr>
      <w:sdtEndPr>
        <w:rPr>
          <w:noProof/>
        </w:rPr>
      </w:sdtEndPr>
      <w:sdtContent>
        <w:r w:rsidR="00D843F2" w:rsidRPr="00896124">
          <w:rPr>
            <w:b/>
            <w:bCs/>
          </w:rPr>
          <w:fldChar w:fldCharType="begin"/>
        </w:r>
        <w:r w:rsidR="00D843F2" w:rsidRPr="00896124">
          <w:rPr>
            <w:b/>
            <w:bCs/>
          </w:rPr>
          <w:instrText xml:space="preserve"> PAGE   \* MERGEFORMAT </w:instrText>
        </w:r>
        <w:r w:rsidR="00D843F2" w:rsidRPr="00896124">
          <w:rPr>
            <w:b/>
            <w:bCs/>
          </w:rPr>
          <w:fldChar w:fldCharType="separate"/>
        </w:r>
        <w:r w:rsidR="00D843F2" w:rsidRPr="00896124">
          <w:rPr>
            <w:b/>
            <w:bCs/>
            <w:noProof/>
          </w:rPr>
          <w:t>2</w:t>
        </w:r>
        <w:r w:rsidR="00D843F2" w:rsidRPr="00896124">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1006" w14:textId="77777777" w:rsidR="00AC76C1" w:rsidRDefault="00AC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4C4E" w14:textId="77777777" w:rsidR="00F55DEC" w:rsidRDefault="00F55DEC" w:rsidP="00124A51">
      <w:r>
        <w:separator/>
      </w:r>
    </w:p>
    <w:p w14:paraId="14EF4E1D" w14:textId="77777777" w:rsidR="00F55DEC" w:rsidRDefault="00F55DEC"/>
    <w:p w14:paraId="3B947917" w14:textId="77777777" w:rsidR="00F55DEC" w:rsidRDefault="00F55DEC"/>
  </w:footnote>
  <w:footnote w:type="continuationSeparator" w:id="0">
    <w:p w14:paraId="05A61E8F" w14:textId="77777777" w:rsidR="00F55DEC" w:rsidRDefault="00F55DEC" w:rsidP="00124A51">
      <w:r>
        <w:continuationSeparator/>
      </w:r>
    </w:p>
    <w:p w14:paraId="50EEFC1C" w14:textId="77777777" w:rsidR="00F55DEC" w:rsidRDefault="00F55DEC"/>
    <w:p w14:paraId="7B4AA5CB" w14:textId="77777777" w:rsidR="00F55DEC" w:rsidRDefault="00F55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1412" w14:textId="77777777" w:rsidR="00AC76C1" w:rsidRDefault="00AC7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2BC8A4E9" w:rsidR="00D843F2" w:rsidRPr="00195452" w:rsidRDefault="005E3A5C" w:rsidP="003C2DE2">
    <w:pPr>
      <w:jc w:val="center"/>
      <w:rPr>
        <w:rFonts w:asciiTheme="minorHAnsi" w:hAnsiTheme="minorHAnsi"/>
        <w:i/>
        <w:color w:val="808080"/>
      </w:rPr>
    </w:pPr>
    <w:r w:rsidRPr="005E3A5C">
      <w:rPr>
        <w:rFonts w:asciiTheme="minorHAnsi" w:hAnsiTheme="minorHAnsi"/>
        <w:i/>
        <w:color w:val="808080"/>
      </w:rPr>
      <w:t>Public Summary Document</w:t>
    </w:r>
    <w:r w:rsidR="00896124">
      <w:rPr>
        <w:rFonts w:asciiTheme="minorHAnsi" w:hAnsiTheme="minorHAnsi"/>
        <w:i/>
        <w:color w:val="808080"/>
      </w:rPr>
      <w:t xml:space="preserve"> </w:t>
    </w:r>
    <w:r w:rsidR="00A45ED5">
      <w:rPr>
        <w:rFonts w:asciiTheme="minorHAnsi" w:hAnsiTheme="minorHAnsi"/>
        <w:i/>
        <w:color w:val="808080"/>
      </w:rPr>
      <w:t>–</w:t>
    </w:r>
    <w:r w:rsidR="00896124">
      <w:rPr>
        <w:rFonts w:asciiTheme="minorHAnsi" w:hAnsiTheme="minorHAnsi"/>
        <w:i/>
        <w:color w:val="808080"/>
      </w:rPr>
      <w:t xml:space="preserve"> </w:t>
    </w:r>
    <w:r w:rsidR="00D843F2">
      <w:rPr>
        <w:rFonts w:asciiTheme="minorHAnsi" w:hAnsiTheme="minorHAnsi"/>
        <w:i/>
        <w:color w:val="808080"/>
      </w:rPr>
      <w:t>M</w:t>
    </w:r>
    <w:r w:rsidR="006C7D92">
      <w:rPr>
        <w:rFonts w:asciiTheme="minorHAnsi" w:hAnsiTheme="minorHAnsi"/>
        <w:i/>
        <w:color w:val="808080"/>
      </w:rPr>
      <w:t>arch</w:t>
    </w:r>
    <w:r w:rsidR="00D843F2">
      <w:rPr>
        <w:rFonts w:asciiTheme="minorHAnsi" w:hAnsiTheme="minorHAnsi"/>
        <w:i/>
        <w:color w:val="808080"/>
      </w:rPr>
      <w:t xml:space="preserve"> 202</w:t>
    </w:r>
    <w:r w:rsidR="006C7D92">
      <w:rPr>
        <w:rFonts w:asciiTheme="minorHAnsi" w:hAnsiTheme="minorHAnsi"/>
        <w:i/>
        <w:color w:val="808080"/>
      </w:rPr>
      <w:t>4</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F49B" w14:textId="77777777" w:rsidR="00AC76C1" w:rsidRDefault="00AC7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A11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2793B"/>
    <w:multiLevelType w:val="hybridMultilevel"/>
    <w:tmpl w:val="506833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37234EC"/>
    <w:multiLevelType w:val="hybridMultilevel"/>
    <w:tmpl w:val="2C6A5B86"/>
    <w:lvl w:ilvl="0" w:tplc="3404FE1A">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446A7"/>
    <w:multiLevelType w:val="hybridMultilevel"/>
    <w:tmpl w:val="BD142384"/>
    <w:lvl w:ilvl="0" w:tplc="3404FE1A">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91F60BD8"/>
    <w:lvl w:ilvl="0" w:tplc="BE66DB30">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AF60BC"/>
    <w:multiLevelType w:val="hybridMultilevel"/>
    <w:tmpl w:val="8FAC2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02056"/>
    <w:multiLevelType w:val="hybridMultilevel"/>
    <w:tmpl w:val="98C2C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777D8B"/>
    <w:multiLevelType w:val="multilevel"/>
    <w:tmpl w:val="42E48DEC"/>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9FEC877E"/>
    <w:lvl w:ilvl="0" w:tplc="8708BECA">
      <w:start w:val="1"/>
      <w:numFmt w:val="bullet"/>
      <w:pStyle w:val="ListParagraph"/>
      <w:lvlText w:val=""/>
      <w:lvlJc w:val="left"/>
      <w:pPr>
        <w:ind w:left="720" w:hanging="360"/>
      </w:pPr>
      <w:rPr>
        <w:rFonts w:ascii="Symbol" w:hAnsi="Symbol" w:hint="default"/>
      </w:rPr>
    </w:lvl>
    <w:lvl w:ilvl="1" w:tplc="848C7E7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51D81"/>
    <w:multiLevelType w:val="hybridMultilevel"/>
    <w:tmpl w:val="610EE992"/>
    <w:lvl w:ilvl="0" w:tplc="97620E8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2106C4"/>
    <w:multiLevelType w:val="hybridMultilevel"/>
    <w:tmpl w:val="9502E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667EAD"/>
    <w:multiLevelType w:val="hybridMultilevel"/>
    <w:tmpl w:val="F15C150C"/>
    <w:lvl w:ilvl="0" w:tplc="EBAA6C80">
      <w:start w:val="1"/>
      <w:numFmt w:val="bullet"/>
      <w:lvlText w:val=""/>
      <w:lvlJc w:val="left"/>
      <w:pPr>
        <w:tabs>
          <w:tab w:val="num" w:pos="720"/>
        </w:tabs>
        <w:ind w:left="720" w:hanging="360"/>
      </w:pPr>
      <w:rPr>
        <w:rFonts w:ascii="Symbol" w:hAnsi="Symbol" w:hint="default"/>
      </w:rPr>
    </w:lvl>
    <w:lvl w:ilvl="1" w:tplc="08C01316" w:tentative="1">
      <w:start w:val="1"/>
      <w:numFmt w:val="bullet"/>
      <w:lvlText w:val=""/>
      <w:lvlJc w:val="left"/>
      <w:pPr>
        <w:tabs>
          <w:tab w:val="num" w:pos="1440"/>
        </w:tabs>
        <w:ind w:left="1440" w:hanging="360"/>
      </w:pPr>
      <w:rPr>
        <w:rFonts w:ascii="Symbol" w:hAnsi="Symbol" w:hint="default"/>
      </w:rPr>
    </w:lvl>
    <w:lvl w:ilvl="2" w:tplc="809ECA5E" w:tentative="1">
      <w:start w:val="1"/>
      <w:numFmt w:val="bullet"/>
      <w:lvlText w:val=""/>
      <w:lvlJc w:val="left"/>
      <w:pPr>
        <w:tabs>
          <w:tab w:val="num" w:pos="2160"/>
        </w:tabs>
        <w:ind w:left="2160" w:hanging="360"/>
      </w:pPr>
      <w:rPr>
        <w:rFonts w:ascii="Symbol" w:hAnsi="Symbol" w:hint="default"/>
      </w:rPr>
    </w:lvl>
    <w:lvl w:ilvl="3" w:tplc="00DC76D6" w:tentative="1">
      <w:start w:val="1"/>
      <w:numFmt w:val="bullet"/>
      <w:lvlText w:val=""/>
      <w:lvlJc w:val="left"/>
      <w:pPr>
        <w:tabs>
          <w:tab w:val="num" w:pos="2880"/>
        </w:tabs>
        <w:ind w:left="2880" w:hanging="360"/>
      </w:pPr>
      <w:rPr>
        <w:rFonts w:ascii="Symbol" w:hAnsi="Symbol" w:hint="default"/>
      </w:rPr>
    </w:lvl>
    <w:lvl w:ilvl="4" w:tplc="633ECA7E" w:tentative="1">
      <w:start w:val="1"/>
      <w:numFmt w:val="bullet"/>
      <w:lvlText w:val=""/>
      <w:lvlJc w:val="left"/>
      <w:pPr>
        <w:tabs>
          <w:tab w:val="num" w:pos="3600"/>
        </w:tabs>
        <w:ind w:left="3600" w:hanging="360"/>
      </w:pPr>
      <w:rPr>
        <w:rFonts w:ascii="Symbol" w:hAnsi="Symbol" w:hint="default"/>
      </w:rPr>
    </w:lvl>
    <w:lvl w:ilvl="5" w:tplc="E8D2551C" w:tentative="1">
      <w:start w:val="1"/>
      <w:numFmt w:val="bullet"/>
      <w:lvlText w:val=""/>
      <w:lvlJc w:val="left"/>
      <w:pPr>
        <w:tabs>
          <w:tab w:val="num" w:pos="4320"/>
        </w:tabs>
        <w:ind w:left="4320" w:hanging="360"/>
      </w:pPr>
      <w:rPr>
        <w:rFonts w:ascii="Symbol" w:hAnsi="Symbol" w:hint="default"/>
      </w:rPr>
    </w:lvl>
    <w:lvl w:ilvl="6" w:tplc="95CC567C" w:tentative="1">
      <w:start w:val="1"/>
      <w:numFmt w:val="bullet"/>
      <w:lvlText w:val=""/>
      <w:lvlJc w:val="left"/>
      <w:pPr>
        <w:tabs>
          <w:tab w:val="num" w:pos="5040"/>
        </w:tabs>
        <w:ind w:left="5040" w:hanging="360"/>
      </w:pPr>
      <w:rPr>
        <w:rFonts w:ascii="Symbol" w:hAnsi="Symbol" w:hint="default"/>
      </w:rPr>
    </w:lvl>
    <w:lvl w:ilvl="7" w:tplc="583442DE" w:tentative="1">
      <w:start w:val="1"/>
      <w:numFmt w:val="bullet"/>
      <w:lvlText w:val=""/>
      <w:lvlJc w:val="left"/>
      <w:pPr>
        <w:tabs>
          <w:tab w:val="num" w:pos="5760"/>
        </w:tabs>
        <w:ind w:left="5760" w:hanging="360"/>
      </w:pPr>
      <w:rPr>
        <w:rFonts w:ascii="Symbol" w:hAnsi="Symbol" w:hint="default"/>
      </w:rPr>
    </w:lvl>
    <w:lvl w:ilvl="8" w:tplc="8FEE3C4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84D033C"/>
    <w:multiLevelType w:val="multilevel"/>
    <w:tmpl w:val="85AED71A"/>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454324182">
    <w:abstractNumId w:val="16"/>
  </w:num>
  <w:num w:numId="2" w16cid:durableId="1173296626">
    <w:abstractNumId w:val="10"/>
  </w:num>
  <w:num w:numId="3" w16cid:durableId="2086876301">
    <w:abstractNumId w:val="11"/>
  </w:num>
  <w:num w:numId="4" w16cid:durableId="1915622715">
    <w:abstractNumId w:val="0"/>
  </w:num>
  <w:num w:numId="5" w16cid:durableId="722100783">
    <w:abstractNumId w:val="16"/>
  </w:num>
  <w:num w:numId="6" w16cid:durableId="350885193">
    <w:abstractNumId w:val="6"/>
  </w:num>
  <w:num w:numId="7" w16cid:durableId="10038981">
    <w:abstractNumId w:val="7"/>
  </w:num>
  <w:num w:numId="8" w16cid:durableId="1439721004">
    <w:abstractNumId w:val="8"/>
  </w:num>
  <w:num w:numId="9" w16cid:durableId="893156986">
    <w:abstractNumId w:val="13"/>
  </w:num>
  <w:num w:numId="10" w16cid:durableId="1038698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212083">
    <w:abstractNumId w:val="17"/>
  </w:num>
  <w:num w:numId="12" w16cid:durableId="948972490">
    <w:abstractNumId w:val="12"/>
  </w:num>
  <w:num w:numId="13" w16cid:durableId="151527015">
    <w:abstractNumId w:val="14"/>
  </w:num>
  <w:num w:numId="14" w16cid:durableId="1048917615">
    <w:abstractNumId w:val="2"/>
  </w:num>
  <w:num w:numId="15" w16cid:durableId="639575737">
    <w:abstractNumId w:val="16"/>
  </w:num>
  <w:num w:numId="16" w16cid:durableId="1663895545">
    <w:abstractNumId w:val="5"/>
  </w:num>
  <w:num w:numId="17" w16cid:durableId="646133093">
    <w:abstractNumId w:val="16"/>
  </w:num>
  <w:num w:numId="18" w16cid:durableId="1775251071">
    <w:abstractNumId w:val="11"/>
  </w:num>
  <w:num w:numId="19" w16cid:durableId="1060521377">
    <w:abstractNumId w:val="16"/>
  </w:num>
  <w:num w:numId="20" w16cid:durableId="339281115">
    <w:abstractNumId w:val="15"/>
  </w:num>
  <w:num w:numId="21" w16cid:durableId="991445526">
    <w:abstractNumId w:val="4"/>
  </w:num>
  <w:num w:numId="22" w16cid:durableId="766342361">
    <w:abstractNumId w:val="16"/>
  </w:num>
  <w:num w:numId="23" w16cid:durableId="1964847540">
    <w:abstractNumId w:val="1"/>
  </w:num>
  <w:num w:numId="24" w16cid:durableId="1415200865">
    <w:abstractNumId w:val="16"/>
  </w:num>
  <w:num w:numId="25" w16cid:durableId="1620263659">
    <w:abstractNumId w:val="11"/>
  </w:num>
  <w:num w:numId="26" w16cid:durableId="1033075316">
    <w:abstractNumId w:val="3"/>
  </w:num>
  <w:num w:numId="27" w16cid:durableId="176626498">
    <w:abstractNumId w:val="9"/>
  </w:num>
  <w:num w:numId="28" w16cid:durableId="18465572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15B"/>
    <w:rsid w:val="00000427"/>
    <w:rsid w:val="00000789"/>
    <w:rsid w:val="00000790"/>
    <w:rsid w:val="000009EF"/>
    <w:rsid w:val="00000C71"/>
    <w:rsid w:val="0000110B"/>
    <w:rsid w:val="000014F7"/>
    <w:rsid w:val="000015E7"/>
    <w:rsid w:val="000015FB"/>
    <w:rsid w:val="00001AA8"/>
    <w:rsid w:val="00001DE7"/>
    <w:rsid w:val="000022C1"/>
    <w:rsid w:val="000022E7"/>
    <w:rsid w:val="00002394"/>
    <w:rsid w:val="000023FE"/>
    <w:rsid w:val="000025B9"/>
    <w:rsid w:val="00002876"/>
    <w:rsid w:val="00002D67"/>
    <w:rsid w:val="00003499"/>
    <w:rsid w:val="000034E5"/>
    <w:rsid w:val="00003992"/>
    <w:rsid w:val="000039B7"/>
    <w:rsid w:val="00003CCF"/>
    <w:rsid w:val="00003E42"/>
    <w:rsid w:val="00003E71"/>
    <w:rsid w:val="00004393"/>
    <w:rsid w:val="00004475"/>
    <w:rsid w:val="000047A9"/>
    <w:rsid w:val="000048C1"/>
    <w:rsid w:val="00005063"/>
    <w:rsid w:val="00005229"/>
    <w:rsid w:val="000056B9"/>
    <w:rsid w:val="00005C76"/>
    <w:rsid w:val="0000608D"/>
    <w:rsid w:val="00006110"/>
    <w:rsid w:val="000061FB"/>
    <w:rsid w:val="0000639A"/>
    <w:rsid w:val="0000650A"/>
    <w:rsid w:val="00006AB7"/>
    <w:rsid w:val="00006DEC"/>
    <w:rsid w:val="000072A2"/>
    <w:rsid w:val="000073BD"/>
    <w:rsid w:val="00007467"/>
    <w:rsid w:val="00007526"/>
    <w:rsid w:val="000075CE"/>
    <w:rsid w:val="000104EB"/>
    <w:rsid w:val="0001091B"/>
    <w:rsid w:val="00010BC5"/>
    <w:rsid w:val="00010DE1"/>
    <w:rsid w:val="0001175C"/>
    <w:rsid w:val="0001193E"/>
    <w:rsid w:val="00011D2A"/>
    <w:rsid w:val="00011EF0"/>
    <w:rsid w:val="000121F6"/>
    <w:rsid w:val="000122C5"/>
    <w:rsid w:val="000124F7"/>
    <w:rsid w:val="00012FC6"/>
    <w:rsid w:val="00013075"/>
    <w:rsid w:val="0001313E"/>
    <w:rsid w:val="00013247"/>
    <w:rsid w:val="000132F1"/>
    <w:rsid w:val="000133EC"/>
    <w:rsid w:val="0001395C"/>
    <w:rsid w:val="00013BB8"/>
    <w:rsid w:val="00013C22"/>
    <w:rsid w:val="00013CAE"/>
    <w:rsid w:val="00013D85"/>
    <w:rsid w:val="00013E4B"/>
    <w:rsid w:val="000141E5"/>
    <w:rsid w:val="000147FB"/>
    <w:rsid w:val="00014AE0"/>
    <w:rsid w:val="00014B3D"/>
    <w:rsid w:val="00014BD0"/>
    <w:rsid w:val="00014C7E"/>
    <w:rsid w:val="000150AD"/>
    <w:rsid w:val="0001517E"/>
    <w:rsid w:val="000153B6"/>
    <w:rsid w:val="00015886"/>
    <w:rsid w:val="000158A5"/>
    <w:rsid w:val="00015CD7"/>
    <w:rsid w:val="000162EF"/>
    <w:rsid w:val="000163CA"/>
    <w:rsid w:val="00016599"/>
    <w:rsid w:val="000168BC"/>
    <w:rsid w:val="00016B91"/>
    <w:rsid w:val="00016B96"/>
    <w:rsid w:val="00016C34"/>
    <w:rsid w:val="00016D15"/>
    <w:rsid w:val="000171AA"/>
    <w:rsid w:val="000173A9"/>
    <w:rsid w:val="00017466"/>
    <w:rsid w:val="00017534"/>
    <w:rsid w:val="000177C7"/>
    <w:rsid w:val="00017D74"/>
    <w:rsid w:val="00017F18"/>
    <w:rsid w:val="00017F5B"/>
    <w:rsid w:val="00020089"/>
    <w:rsid w:val="00020189"/>
    <w:rsid w:val="00020204"/>
    <w:rsid w:val="0002059F"/>
    <w:rsid w:val="000207C9"/>
    <w:rsid w:val="00020F4D"/>
    <w:rsid w:val="00021511"/>
    <w:rsid w:val="00021677"/>
    <w:rsid w:val="00021686"/>
    <w:rsid w:val="0002225F"/>
    <w:rsid w:val="00022440"/>
    <w:rsid w:val="00022BFD"/>
    <w:rsid w:val="00023763"/>
    <w:rsid w:val="00023765"/>
    <w:rsid w:val="00023AB6"/>
    <w:rsid w:val="00023ADA"/>
    <w:rsid w:val="000242C4"/>
    <w:rsid w:val="000244FB"/>
    <w:rsid w:val="0002455A"/>
    <w:rsid w:val="00024680"/>
    <w:rsid w:val="00024734"/>
    <w:rsid w:val="00024739"/>
    <w:rsid w:val="000248D7"/>
    <w:rsid w:val="00024A58"/>
    <w:rsid w:val="00024B21"/>
    <w:rsid w:val="00024BCB"/>
    <w:rsid w:val="00024E97"/>
    <w:rsid w:val="00024EB5"/>
    <w:rsid w:val="00025288"/>
    <w:rsid w:val="000253A8"/>
    <w:rsid w:val="000255AD"/>
    <w:rsid w:val="000259EB"/>
    <w:rsid w:val="00025A98"/>
    <w:rsid w:val="00025CCB"/>
    <w:rsid w:val="00025CE9"/>
    <w:rsid w:val="00025E3C"/>
    <w:rsid w:val="00026433"/>
    <w:rsid w:val="000274B8"/>
    <w:rsid w:val="000279E1"/>
    <w:rsid w:val="000302B4"/>
    <w:rsid w:val="00030587"/>
    <w:rsid w:val="000306A6"/>
    <w:rsid w:val="00030B93"/>
    <w:rsid w:val="00030DED"/>
    <w:rsid w:val="00030FE3"/>
    <w:rsid w:val="000310C2"/>
    <w:rsid w:val="000314F8"/>
    <w:rsid w:val="0003224A"/>
    <w:rsid w:val="000325BD"/>
    <w:rsid w:val="00032BE4"/>
    <w:rsid w:val="00032F71"/>
    <w:rsid w:val="00033863"/>
    <w:rsid w:val="00033D3A"/>
    <w:rsid w:val="00033E05"/>
    <w:rsid w:val="000345A0"/>
    <w:rsid w:val="00034675"/>
    <w:rsid w:val="0003476D"/>
    <w:rsid w:val="00034831"/>
    <w:rsid w:val="000349E8"/>
    <w:rsid w:val="00034A47"/>
    <w:rsid w:val="00035595"/>
    <w:rsid w:val="0003559F"/>
    <w:rsid w:val="00035793"/>
    <w:rsid w:val="00035969"/>
    <w:rsid w:val="00035BC6"/>
    <w:rsid w:val="00035D22"/>
    <w:rsid w:val="00035DC0"/>
    <w:rsid w:val="0003637B"/>
    <w:rsid w:val="00036604"/>
    <w:rsid w:val="00036813"/>
    <w:rsid w:val="00036829"/>
    <w:rsid w:val="00036982"/>
    <w:rsid w:val="000369D2"/>
    <w:rsid w:val="00037355"/>
    <w:rsid w:val="0003741A"/>
    <w:rsid w:val="000374C0"/>
    <w:rsid w:val="00037692"/>
    <w:rsid w:val="0003797D"/>
    <w:rsid w:val="00037C6A"/>
    <w:rsid w:val="00040848"/>
    <w:rsid w:val="00040895"/>
    <w:rsid w:val="00040A85"/>
    <w:rsid w:val="00040BB5"/>
    <w:rsid w:val="00040D09"/>
    <w:rsid w:val="00040FE0"/>
    <w:rsid w:val="000410A0"/>
    <w:rsid w:val="000412A3"/>
    <w:rsid w:val="00041553"/>
    <w:rsid w:val="0004177F"/>
    <w:rsid w:val="000419C9"/>
    <w:rsid w:val="00041DE4"/>
    <w:rsid w:val="000420AE"/>
    <w:rsid w:val="000422EF"/>
    <w:rsid w:val="00042D1B"/>
    <w:rsid w:val="000430AA"/>
    <w:rsid w:val="000435EE"/>
    <w:rsid w:val="00043C37"/>
    <w:rsid w:val="00044142"/>
    <w:rsid w:val="000449BF"/>
    <w:rsid w:val="00045017"/>
    <w:rsid w:val="0004524F"/>
    <w:rsid w:val="0004529B"/>
    <w:rsid w:val="00045A2B"/>
    <w:rsid w:val="00045D4A"/>
    <w:rsid w:val="00045EF8"/>
    <w:rsid w:val="000462FA"/>
    <w:rsid w:val="000464E9"/>
    <w:rsid w:val="0004685E"/>
    <w:rsid w:val="00046947"/>
    <w:rsid w:val="00046963"/>
    <w:rsid w:val="0004698F"/>
    <w:rsid w:val="000469E7"/>
    <w:rsid w:val="00046D64"/>
    <w:rsid w:val="0004730D"/>
    <w:rsid w:val="0004760B"/>
    <w:rsid w:val="000476E1"/>
    <w:rsid w:val="000478D7"/>
    <w:rsid w:val="000478FC"/>
    <w:rsid w:val="00050147"/>
    <w:rsid w:val="00050305"/>
    <w:rsid w:val="00050692"/>
    <w:rsid w:val="000508C2"/>
    <w:rsid w:val="0005090A"/>
    <w:rsid w:val="00050966"/>
    <w:rsid w:val="00050E9A"/>
    <w:rsid w:val="000511A1"/>
    <w:rsid w:val="000511CC"/>
    <w:rsid w:val="0005158E"/>
    <w:rsid w:val="00051B6C"/>
    <w:rsid w:val="000522A6"/>
    <w:rsid w:val="000525DF"/>
    <w:rsid w:val="00052FAC"/>
    <w:rsid w:val="00053350"/>
    <w:rsid w:val="000539D0"/>
    <w:rsid w:val="00053BF4"/>
    <w:rsid w:val="000540C2"/>
    <w:rsid w:val="000543C7"/>
    <w:rsid w:val="00054621"/>
    <w:rsid w:val="000546D7"/>
    <w:rsid w:val="00054784"/>
    <w:rsid w:val="00054A8D"/>
    <w:rsid w:val="00054B86"/>
    <w:rsid w:val="00054D31"/>
    <w:rsid w:val="00054F58"/>
    <w:rsid w:val="00055059"/>
    <w:rsid w:val="0005511C"/>
    <w:rsid w:val="00055CB8"/>
    <w:rsid w:val="00055EFE"/>
    <w:rsid w:val="00056631"/>
    <w:rsid w:val="000567C1"/>
    <w:rsid w:val="00056ADA"/>
    <w:rsid w:val="00056B55"/>
    <w:rsid w:val="00056ECF"/>
    <w:rsid w:val="000576D8"/>
    <w:rsid w:val="00057979"/>
    <w:rsid w:val="00057EAB"/>
    <w:rsid w:val="00057EBC"/>
    <w:rsid w:val="00057F17"/>
    <w:rsid w:val="000604DF"/>
    <w:rsid w:val="00060963"/>
    <w:rsid w:val="00060AC3"/>
    <w:rsid w:val="00060B04"/>
    <w:rsid w:val="00060C2C"/>
    <w:rsid w:val="00060E9E"/>
    <w:rsid w:val="00061064"/>
    <w:rsid w:val="000610C2"/>
    <w:rsid w:val="000612CD"/>
    <w:rsid w:val="0006131F"/>
    <w:rsid w:val="00061822"/>
    <w:rsid w:val="00062324"/>
    <w:rsid w:val="000629E9"/>
    <w:rsid w:val="00062A0B"/>
    <w:rsid w:val="00062B5D"/>
    <w:rsid w:val="00062BC6"/>
    <w:rsid w:val="00062F72"/>
    <w:rsid w:val="00063665"/>
    <w:rsid w:val="0006368D"/>
    <w:rsid w:val="00063978"/>
    <w:rsid w:val="00063B1C"/>
    <w:rsid w:val="00063C71"/>
    <w:rsid w:val="00063D98"/>
    <w:rsid w:val="000640E2"/>
    <w:rsid w:val="000647A0"/>
    <w:rsid w:val="000647CA"/>
    <w:rsid w:val="00064939"/>
    <w:rsid w:val="000652C2"/>
    <w:rsid w:val="000653AA"/>
    <w:rsid w:val="000653B5"/>
    <w:rsid w:val="00065432"/>
    <w:rsid w:val="00065952"/>
    <w:rsid w:val="00065B26"/>
    <w:rsid w:val="00065D0E"/>
    <w:rsid w:val="0006621E"/>
    <w:rsid w:val="00066360"/>
    <w:rsid w:val="00066AF8"/>
    <w:rsid w:val="000673A9"/>
    <w:rsid w:val="00067E43"/>
    <w:rsid w:val="00067F31"/>
    <w:rsid w:val="00070110"/>
    <w:rsid w:val="00070141"/>
    <w:rsid w:val="00070C59"/>
    <w:rsid w:val="00070D39"/>
    <w:rsid w:val="00070EE8"/>
    <w:rsid w:val="00071025"/>
    <w:rsid w:val="0007112C"/>
    <w:rsid w:val="00071248"/>
    <w:rsid w:val="000714B0"/>
    <w:rsid w:val="00071AF3"/>
    <w:rsid w:val="00071C98"/>
    <w:rsid w:val="00071DAB"/>
    <w:rsid w:val="00071F9D"/>
    <w:rsid w:val="000720B9"/>
    <w:rsid w:val="00072265"/>
    <w:rsid w:val="00072289"/>
    <w:rsid w:val="00072527"/>
    <w:rsid w:val="00072733"/>
    <w:rsid w:val="00072B8A"/>
    <w:rsid w:val="00072FFD"/>
    <w:rsid w:val="000737F7"/>
    <w:rsid w:val="00073A4D"/>
    <w:rsid w:val="00073D68"/>
    <w:rsid w:val="00073EA2"/>
    <w:rsid w:val="00074071"/>
    <w:rsid w:val="000743FE"/>
    <w:rsid w:val="0007452B"/>
    <w:rsid w:val="00074FCE"/>
    <w:rsid w:val="0007510A"/>
    <w:rsid w:val="000754D3"/>
    <w:rsid w:val="00075AA6"/>
    <w:rsid w:val="00075D89"/>
    <w:rsid w:val="00075E7B"/>
    <w:rsid w:val="000765E7"/>
    <w:rsid w:val="0007672F"/>
    <w:rsid w:val="00076B54"/>
    <w:rsid w:val="00076C8C"/>
    <w:rsid w:val="00076E06"/>
    <w:rsid w:val="00076FE0"/>
    <w:rsid w:val="00077053"/>
    <w:rsid w:val="000770B0"/>
    <w:rsid w:val="000774F0"/>
    <w:rsid w:val="00077739"/>
    <w:rsid w:val="00077EBE"/>
    <w:rsid w:val="000802FF"/>
    <w:rsid w:val="00080426"/>
    <w:rsid w:val="00080468"/>
    <w:rsid w:val="0008055D"/>
    <w:rsid w:val="000806E9"/>
    <w:rsid w:val="00080909"/>
    <w:rsid w:val="000812CA"/>
    <w:rsid w:val="0008131B"/>
    <w:rsid w:val="00081359"/>
    <w:rsid w:val="0008148E"/>
    <w:rsid w:val="00081583"/>
    <w:rsid w:val="00081CE2"/>
    <w:rsid w:val="00081E63"/>
    <w:rsid w:val="00081FEA"/>
    <w:rsid w:val="0008216B"/>
    <w:rsid w:val="0008258D"/>
    <w:rsid w:val="00082652"/>
    <w:rsid w:val="0008284A"/>
    <w:rsid w:val="00082881"/>
    <w:rsid w:val="00082A73"/>
    <w:rsid w:val="00082C0C"/>
    <w:rsid w:val="00082C2F"/>
    <w:rsid w:val="000830C1"/>
    <w:rsid w:val="000832B9"/>
    <w:rsid w:val="0008361A"/>
    <w:rsid w:val="000836C1"/>
    <w:rsid w:val="000837C5"/>
    <w:rsid w:val="000838CE"/>
    <w:rsid w:val="000838F0"/>
    <w:rsid w:val="00083E99"/>
    <w:rsid w:val="0008411A"/>
    <w:rsid w:val="00084540"/>
    <w:rsid w:val="000848DF"/>
    <w:rsid w:val="00084FA8"/>
    <w:rsid w:val="00085082"/>
    <w:rsid w:val="000856C5"/>
    <w:rsid w:val="00085C31"/>
    <w:rsid w:val="00085F78"/>
    <w:rsid w:val="00086252"/>
    <w:rsid w:val="00086299"/>
    <w:rsid w:val="000864C1"/>
    <w:rsid w:val="00086A84"/>
    <w:rsid w:val="00086BEA"/>
    <w:rsid w:val="00086DBC"/>
    <w:rsid w:val="00087062"/>
    <w:rsid w:val="00087235"/>
    <w:rsid w:val="0008740A"/>
    <w:rsid w:val="00087528"/>
    <w:rsid w:val="00087E36"/>
    <w:rsid w:val="00087FF8"/>
    <w:rsid w:val="000902D9"/>
    <w:rsid w:val="000907E3"/>
    <w:rsid w:val="00090826"/>
    <w:rsid w:val="00090965"/>
    <w:rsid w:val="00090A54"/>
    <w:rsid w:val="00090A99"/>
    <w:rsid w:val="00090AE2"/>
    <w:rsid w:val="00090C1F"/>
    <w:rsid w:val="00090C7E"/>
    <w:rsid w:val="00090E59"/>
    <w:rsid w:val="00090E66"/>
    <w:rsid w:val="000910EA"/>
    <w:rsid w:val="000911AC"/>
    <w:rsid w:val="0009249F"/>
    <w:rsid w:val="00092600"/>
    <w:rsid w:val="0009262B"/>
    <w:rsid w:val="000926F4"/>
    <w:rsid w:val="00092C56"/>
    <w:rsid w:val="00092CA1"/>
    <w:rsid w:val="00092ED8"/>
    <w:rsid w:val="00093310"/>
    <w:rsid w:val="000935C3"/>
    <w:rsid w:val="00093702"/>
    <w:rsid w:val="00093AE6"/>
    <w:rsid w:val="00093B88"/>
    <w:rsid w:val="00093D72"/>
    <w:rsid w:val="0009445C"/>
    <w:rsid w:val="0009485A"/>
    <w:rsid w:val="000948F0"/>
    <w:rsid w:val="0009496D"/>
    <w:rsid w:val="00094B77"/>
    <w:rsid w:val="000951AC"/>
    <w:rsid w:val="00095200"/>
    <w:rsid w:val="00095BD1"/>
    <w:rsid w:val="00095CA4"/>
    <w:rsid w:val="00095F63"/>
    <w:rsid w:val="00095FE5"/>
    <w:rsid w:val="0009607C"/>
    <w:rsid w:val="00096284"/>
    <w:rsid w:val="00096734"/>
    <w:rsid w:val="00096880"/>
    <w:rsid w:val="0009691B"/>
    <w:rsid w:val="0009751A"/>
    <w:rsid w:val="00097744"/>
    <w:rsid w:val="000978A3"/>
    <w:rsid w:val="000A05CF"/>
    <w:rsid w:val="000A0CC2"/>
    <w:rsid w:val="000A0D90"/>
    <w:rsid w:val="000A0DC5"/>
    <w:rsid w:val="000A0EA6"/>
    <w:rsid w:val="000A0ED3"/>
    <w:rsid w:val="000A0F1D"/>
    <w:rsid w:val="000A138E"/>
    <w:rsid w:val="000A172F"/>
    <w:rsid w:val="000A18B8"/>
    <w:rsid w:val="000A1A5B"/>
    <w:rsid w:val="000A1BC0"/>
    <w:rsid w:val="000A1E57"/>
    <w:rsid w:val="000A1F81"/>
    <w:rsid w:val="000A214B"/>
    <w:rsid w:val="000A21C0"/>
    <w:rsid w:val="000A220D"/>
    <w:rsid w:val="000A2223"/>
    <w:rsid w:val="000A2413"/>
    <w:rsid w:val="000A2470"/>
    <w:rsid w:val="000A2F9E"/>
    <w:rsid w:val="000A2FEF"/>
    <w:rsid w:val="000A32B0"/>
    <w:rsid w:val="000A364E"/>
    <w:rsid w:val="000A37BA"/>
    <w:rsid w:val="000A39EC"/>
    <w:rsid w:val="000A3E47"/>
    <w:rsid w:val="000A44C7"/>
    <w:rsid w:val="000A5105"/>
    <w:rsid w:val="000A522B"/>
    <w:rsid w:val="000A53DC"/>
    <w:rsid w:val="000A5526"/>
    <w:rsid w:val="000A5C16"/>
    <w:rsid w:val="000A6039"/>
    <w:rsid w:val="000A654E"/>
    <w:rsid w:val="000A66A5"/>
    <w:rsid w:val="000A67E2"/>
    <w:rsid w:val="000A6A16"/>
    <w:rsid w:val="000A6A80"/>
    <w:rsid w:val="000A6FBF"/>
    <w:rsid w:val="000A709A"/>
    <w:rsid w:val="000A732D"/>
    <w:rsid w:val="000A7453"/>
    <w:rsid w:val="000A750E"/>
    <w:rsid w:val="000A75DD"/>
    <w:rsid w:val="000A7855"/>
    <w:rsid w:val="000A7D08"/>
    <w:rsid w:val="000A7FE3"/>
    <w:rsid w:val="000B010F"/>
    <w:rsid w:val="000B0121"/>
    <w:rsid w:val="000B0670"/>
    <w:rsid w:val="000B0820"/>
    <w:rsid w:val="000B0A36"/>
    <w:rsid w:val="000B0E75"/>
    <w:rsid w:val="000B12B9"/>
    <w:rsid w:val="000B175B"/>
    <w:rsid w:val="000B196C"/>
    <w:rsid w:val="000B1BDE"/>
    <w:rsid w:val="000B1EC2"/>
    <w:rsid w:val="000B2172"/>
    <w:rsid w:val="000B21C6"/>
    <w:rsid w:val="000B241B"/>
    <w:rsid w:val="000B263E"/>
    <w:rsid w:val="000B2DA2"/>
    <w:rsid w:val="000B2DCB"/>
    <w:rsid w:val="000B2F44"/>
    <w:rsid w:val="000B2FA8"/>
    <w:rsid w:val="000B3055"/>
    <w:rsid w:val="000B3063"/>
    <w:rsid w:val="000B3253"/>
    <w:rsid w:val="000B32EB"/>
    <w:rsid w:val="000B35B6"/>
    <w:rsid w:val="000B3778"/>
    <w:rsid w:val="000B38DE"/>
    <w:rsid w:val="000B39F3"/>
    <w:rsid w:val="000B3E7C"/>
    <w:rsid w:val="000B4061"/>
    <w:rsid w:val="000B4982"/>
    <w:rsid w:val="000B4AA2"/>
    <w:rsid w:val="000B5497"/>
    <w:rsid w:val="000B55F9"/>
    <w:rsid w:val="000B5680"/>
    <w:rsid w:val="000B56EC"/>
    <w:rsid w:val="000B5CE0"/>
    <w:rsid w:val="000B5D96"/>
    <w:rsid w:val="000B5DF1"/>
    <w:rsid w:val="000B683B"/>
    <w:rsid w:val="000B68DD"/>
    <w:rsid w:val="000B6BEC"/>
    <w:rsid w:val="000B6CAC"/>
    <w:rsid w:val="000B71D0"/>
    <w:rsid w:val="000B721C"/>
    <w:rsid w:val="000B732F"/>
    <w:rsid w:val="000B7612"/>
    <w:rsid w:val="000B78AE"/>
    <w:rsid w:val="000B7DE0"/>
    <w:rsid w:val="000B7FD7"/>
    <w:rsid w:val="000C0245"/>
    <w:rsid w:val="000C06EB"/>
    <w:rsid w:val="000C07FE"/>
    <w:rsid w:val="000C09C4"/>
    <w:rsid w:val="000C0D6E"/>
    <w:rsid w:val="000C1206"/>
    <w:rsid w:val="000C175C"/>
    <w:rsid w:val="000C1932"/>
    <w:rsid w:val="000C21B9"/>
    <w:rsid w:val="000C2343"/>
    <w:rsid w:val="000C26B9"/>
    <w:rsid w:val="000C295A"/>
    <w:rsid w:val="000C3B54"/>
    <w:rsid w:val="000C3D33"/>
    <w:rsid w:val="000C3DF9"/>
    <w:rsid w:val="000C3E6F"/>
    <w:rsid w:val="000C3ECE"/>
    <w:rsid w:val="000C4977"/>
    <w:rsid w:val="000C4C76"/>
    <w:rsid w:val="000C4CF2"/>
    <w:rsid w:val="000C4EBA"/>
    <w:rsid w:val="000C552B"/>
    <w:rsid w:val="000C5560"/>
    <w:rsid w:val="000C5561"/>
    <w:rsid w:val="000C5713"/>
    <w:rsid w:val="000C57F1"/>
    <w:rsid w:val="000C593B"/>
    <w:rsid w:val="000C5997"/>
    <w:rsid w:val="000C6713"/>
    <w:rsid w:val="000C6A42"/>
    <w:rsid w:val="000C6D1D"/>
    <w:rsid w:val="000C71D9"/>
    <w:rsid w:val="000C71FA"/>
    <w:rsid w:val="000C7783"/>
    <w:rsid w:val="000C7A0C"/>
    <w:rsid w:val="000C7BF3"/>
    <w:rsid w:val="000D0181"/>
    <w:rsid w:val="000D01BD"/>
    <w:rsid w:val="000D02CF"/>
    <w:rsid w:val="000D03FF"/>
    <w:rsid w:val="000D04BC"/>
    <w:rsid w:val="000D04BD"/>
    <w:rsid w:val="000D079F"/>
    <w:rsid w:val="000D0FEC"/>
    <w:rsid w:val="000D1BFC"/>
    <w:rsid w:val="000D1D5D"/>
    <w:rsid w:val="000D1E6C"/>
    <w:rsid w:val="000D281A"/>
    <w:rsid w:val="000D2848"/>
    <w:rsid w:val="000D326A"/>
    <w:rsid w:val="000D364D"/>
    <w:rsid w:val="000D368A"/>
    <w:rsid w:val="000D37D0"/>
    <w:rsid w:val="000D39EC"/>
    <w:rsid w:val="000D3AAF"/>
    <w:rsid w:val="000D4062"/>
    <w:rsid w:val="000D4ED3"/>
    <w:rsid w:val="000D51FB"/>
    <w:rsid w:val="000D544B"/>
    <w:rsid w:val="000D615F"/>
    <w:rsid w:val="000D6A6A"/>
    <w:rsid w:val="000D6BEF"/>
    <w:rsid w:val="000D6E36"/>
    <w:rsid w:val="000D73AC"/>
    <w:rsid w:val="000D75DB"/>
    <w:rsid w:val="000D76A3"/>
    <w:rsid w:val="000D7A4B"/>
    <w:rsid w:val="000D7AFC"/>
    <w:rsid w:val="000D7C6A"/>
    <w:rsid w:val="000E00AE"/>
    <w:rsid w:val="000E019E"/>
    <w:rsid w:val="000E04D7"/>
    <w:rsid w:val="000E0554"/>
    <w:rsid w:val="000E0640"/>
    <w:rsid w:val="000E083E"/>
    <w:rsid w:val="000E0EA8"/>
    <w:rsid w:val="000E1312"/>
    <w:rsid w:val="000E135D"/>
    <w:rsid w:val="000E176B"/>
    <w:rsid w:val="000E23DF"/>
    <w:rsid w:val="000E2450"/>
    <w:rsid w:val="000E25B4"/>
    <w:rsid w:val="000E29DF"/>
    <w:rsid w:val="000E2AB8"/>
    <w:rsid w:val="000E2B0F"/>
    <w:rsid w:val="000E2E68"/>
    <w:rsid w:val="000E3058"/>
    <w:rsid w:val="000E3328"/>
    <w:rsid w:val="000E35A9"/>
    <w:rsid w:val="000E3697"/>
    <w:rsid w:val="000E39BE"/>
    <w:rsid w:val="000E3D8E"/>
    <w:rsid w:val="000E3FF7"/>
    <w:rsid w:val="000E40C1"/>
    <w:rsid w:val="000E4561"/>
    <w:rsid w:val="000E4AAD"/>
    <w:rsid w:val="000E520D"/>
    <w:rsid w:val="000E59A8"/>
    <w:rsid w:val="000E5E09"/>
    <w:rsid w:val="000E61F4"/>
    <w:rsid w:val="000E6516"/>
    <w:rsid w:val="000E66A6"/>
    <w:rsid w:val="000E6B4E"/>
    <w:rsid w:val="000E7261"/>
    <w:rsid w:val="000E7D0E"/>
    <w:rsid w:val="000F00BA"/>
    <w:rsid w:val="000F040E"/>
    <w:rsid w:val="000F066D"/>
    <w:rsid w:val="000F0747"/>
    <w:rsid w:val="000F08FE"/>
    <w:rsid w:val="000F0C7C"/>
    <w:rsid w:val="000F1019"/>
    <w:rsid w:val="000F10D8"/>
    <w:rsid w:val="000F1314"/>
    <w:rsid w:val="000F16EA"/>
    <w:rsid w:val="000F1C45"/>
    <w:rsid w:val="000F2105"/>
    <w:rsid w:val="000F22B4"/>
    <w:rsid w:val="000F2817"/>
    <w:rsid w:val="000F2E93"/>
    <w:rsid w:val="000F316A"/>
    <w:rsid w:val="000F317A"/>
    <w:rsid w:val="000F327F"/>
    <w:rsid w:val="000F33D6"/>
    <w:rsid w:val="000F350B"/>
    <w:rsid w:val="000F37A0"/>
    <w:rsid w:val="000F3B36"/>
    <w:rsid w:val="000F3C74"/>
    <w:rsid w:val="000F4071"/>
    <w:rsid w:val="000F4BB8"/>
    <w:rsid w:val="000F4D12"/>
    <w:rsid w:val="000F4FA9"/>
    <w:rsid w:val="000F53AF"/>
    <w:rsid w:val="000F53FB"/>
    <w:rsid w:val="000F5422"/>
    <w:rsid w:val="000F5B9A"/>
    <w:rsid w:val="000F5DD3"/>
    <w:rsid w:val="000F5DFA"/>
    <w:rsid w:val="000F5FD1"/>
    <w:rsid w:val="000F7127"/>
    <w:rsid w:val="000F7697"/>
    <w:rsid w:val="000F7B54"/>
    <w:rsid w:val="000F7F04"/>
    <w:rsid w:val="001000B3"/>
    <w:rsid w:val="001008F2"/>
    <w:rsid w:val="00100CEF"/>
    <w:rsid w:val="00100D1B"/>
    <w:rsid w:val="00100F8A"/>
    <w:rsid w:val="00101230"/>
    <w:rsid w:val="0010189D"/>
    <w:rsid w:val="00101A5A"/>
    <w:rsid w:val="00101AE3"/>
    <w:rsid w:val="00101C10"/>
    <w:rsid w:val="00101E49"/>
    <w:rsid w:val="0010256C"/>
    <w:rsid w:val="001027E1"/>
    <w:rsid w:val="00102FEB"/>
    <w:rsid w:val="00103330"/>
    <w:rsid w:val="001037AB"/>
    <w:rsid w:val="00104039"/>
    <w:rsid w:val="00104203"/>
    <w:rsid w:val="0010452E"/>
    <w:rsid w:val="001045A2"/>
    <w:rsid w:val="00105093"/>
    <w:rsid w:val="001050A4"/>
    <w:rsid w:val="00105483"/>
    <w:rsid w:val="00105696"/>
    <w:rsid w:val="0010588D"/>
    <w:rsid w:val="00105AE2"/>
    <w:rsid w:val="00105B40"/>
    <w:rsid w:val="001060C6"/>
    <w:rsid w:val="0010653D"/>
    <w:rsid w:val="0010681F"/>
    <w:rsid w:val="0010696D"/>
    <w:rsid w:val="00106B80"/>
    <w:rsid w:val="00106E3F"/>
    <w:rsid w:val="00107088"/>
    <w:rsid w:val="00107506"/>
    <w:rsid w:val="00107D89"/>
    <w:rsid w:val="00107F5E"/>
    <w:rsid w:val="0011032E"/>
    <w:rsid w:val="00110A03"/>
    <w:rsid w:val="00111172"/>
    <w:rsid w:val="00111765"/>
    <w:rsid w:val="00111933"/>
    <w:rsid w:val="00112284"/>
    <w:rsid w:val="00112C38"/>
    <w:rsid w:val="001132CF"/>
    <w:rsid w:val="00113342"/>
    <w:rsid w:val="0011348B"/>
    <w:rsid w:val="001134C8"/>
    <w:rsid w:val="00113AE4"/>
    <w:rsid w:val="00113F8A"/>
    <w:rsid w:val="00114955"/>
    <w:rsid w:val="00114E0D"/>
    <w:rsid w:val="00115079"/>
    <w:rsid w:val="0011539F"/>
    <w:rsid w:val="00115567"/>
    <w:rsid w:val="00115834"/>
    <w:rsid w:val="00115982"/>
    <w:rsid w:val="001159B8"/>
    <w:rsid w:val="00116204"/>
    <w:rsid w:val="00116489"/>
    <w:rsid w:val="00116A3F"/>
    <w:rsid w:val="00116C53"/>
    <w:rsid w:val="001171A0"/>
    <w:rsid w:val="0011732F"/>
    <w:rsid w:val="00117333"/>
    <w:rsid w:val="0011786D"/>
    <w:rsid w:val="00117895"/>
    <w:rsid w:val="001179FB"/>
    <w:rsid w:val="00120296"/>
    <w:rsid w:val="0012054B"/>
    <w:rsid w:val="0012056C"/>
    <w:rsid w:val="0012076E"/>
    <w:rsid w:val="00120896"/>
    <w:rsid w:val="00121111"/>
    <w:rsid w:val="00121451"/>
    <w:rsid w:val="0012176A"/>
    <w:rsid w:val="00121799"/>
    <w:rsid w:val="001217EC"/>
    <w:rsid w:val="00121E4E"/>
    <w:rsid w:val="001222FC"/>
    <w:rsid w:val="00122649"/>
    <w:rsid w:val="00122764"/>
    <w:rsid w:val="001228C4"/>
    <w:rsid w:val="0012334F"/>
    <w:rsid w:val="001234EF"/>
    <w:rsid w:val="00123515"/>
    <w:rsid w:val="00123902"/>
    <w:rsid w:val="00123987"/>
    <w:rsid w:val="00123C79"/>
    <w:rsid w:val="00123EB4"/>
    <w:rsid w:val="0012417B"/>
    <w:rsid w:val="001246D1"/>
    <w:rsid w:val="001246DB"/>
    <w:rsid w:val="00124784"/>
    <w:rsid w:val="001247E6"/>
    <w:rsid w:val="00124A51"/>
    <w:rsid w:val="00124E22"/>
    <w:rsid w:val="00124FFB"/>
    <w:rsid w:val="001254C6"/>
    <w:rsid w:val="00125527"/>
    <w:rsid w:val="0012587C"/>
    <w:rsid w:val="00125CA4"/>
    <w:rsid w:val="00125F11"/>
    <w:rsid w:val="0012621C"/>
    <w:rsid w:val="00126406"/>
    <w:rsid w:val="00126621"/>
    <w:rsid w:val="00126B1D"/>
    <w:rsid w:val="00126E20"/>
    <w:rsid w:val="00126F7F"/>
    <w:rsid w:val="00127927"/>
    <w:rsid w:val="001301E9"/>
    <w:rsid w:val="001305FD"/>
    <w:rsid w:val="001308CF"/>
    <w:rsid w:val="001309BB"/>
    <w:rsid w:val="00130BD5"/>
    <w:rsid w:val="00130F89"/>
    <w:rsid w:val="001311BA"/>
    <w:rsid w:val="0013121C"/>
    <w:rsid w:val="00131381"/>
    <w:rsid w:val="00131CF2"/>
    <w:rsid w:val="00131D82"/>
    <w:rsid w:val="001320E6"/>
    <w:rsid w:val="00132571"/>
    <w:rsid w:val="0013295C"/>
    <w:rsid w:val="00132AE6"/>
    <w:rsid w:val="00132AF0"/>
    <w:rsid w:val="00132B22"/>
    <w:rsid w:val="0013321B"/>
    <w:rsid w:val="00133339"/>
    <w:rsid w:val="0013337A"/>
    <w:rsid w:val="00133AC1"/>
    <w:rsid w:val="00133CA8"/>
    <w:rsid w:val="00133D36"/>
    <w:rsid w:val="001343A2"/>
    <w:rsid w:val="001343FF"/>
    <w:rsid w:val="0013483D"/>
    <w:rsid w:val="00134C63"/>
    <w:rsid w:val="00134D3B"/>
    <w:rsid w:val="00134ED0"/>
    <w:rsid w:val="00134EEC"/>
    <w:rsid w:val="0013505A"/>
    <w:rsid w:val="00135293"/>
    <w:rsid w:val="00135891"/>
    <w:rsid w:val="00135C2B"/>
    <w:rsid w:val="00135CF6"/>
    <w:rsid w:val="00136013"/>
    <w:rsid w:val="001361DF"/>
    <w:rsid w:val="001362D8"/>
    <w:rsid w:val="00136900"/>
    <w:rsid w:val="00137440"/>
    <w:rsid w:val="00137454"/>
    <w:rsid w:val="00137645"/>
    <w:rsid w:val="00137F19"/>
    <w:rsid w:val="00140067"/>
    <w:rsid w:val="0014015A"/>
    <w:rsid w:val="001401CB"/>
    <w:rsid w:val="001404A7"/>
    <w:rsid w:val="00140650"/>
    <w:rsid w:val="001406F8"/>
    <w:rsid w:val="0014077D"/>
    <w:rsid w:val="001407C5"/>
    <w:rsid w:val="00140D57"/>
    <w:rsid w:val="00140E99"/>
    <w:rsid w:val="00141AB8"/>
    <w:rsid w:val="00142044"/>
    <w:rsid w:val="001422F4"/>
    <w:rsid w:val="0014240B"/>
    <w:rsid w:val="0014250F"/>
    <w:rsid w:val="00142568"/>
    <w:rsid w:val="0014283C"/>
    <w:rsid w:val="0014299B"/>
    <w:rsid w:val="00142EBB"/>
    <w:rsid w:val="001431B4"/>
    <w:rsid w:val="0014340F"/>
    <w:rsid w:val="001434EC"/>
    <w:rsid w:val="00143D43"/>
    <w:rsid w:val="00143F67"/>
    <w:rsid w:val="00143FDA"/>
    <w:rsid w:val="00144227"/>
    <w:rsid w:val="0014455D"/>
    <w:rsid w:val="001448E4"/>
    <w:rsid w:val="00144F85"/>
    <w:rsid w:val="00145117"/>
    <w:rsid w:val="00145234"/>
    <w:rsid w:val="00145540"/>
    <w:rsid w:val="0014569E"/>
    <w:rsid w:val="001456B0"/>
    <w:rsid w:val="00145EB8"/>
    <w:rsid w:val="00146169"/>
    <w:rsid w:val="001462AA"/>
    <w:rsid w:val="0014698D"/>
    <w:rsid w:val="00146A2B"/>
    <w:rsid w:val="00146E2B"/>
    <w:rsid w:val="0014721A"/>
    <w:rsid w:val="0014749D"/>
    <w:rsid w:val="0014776B"/>
    <w:rsid w:val="00147E93"/>
    <w:rsid w:val="00150182"/>
    <w:rsid w:val="0015036C"/>
    <w:rsid w:val="001509ED"/>
    <w:rsid w:val="00150A53"/>
    <w:rsid w:val="00150BF3"/>
    <w:rsid w:val="00150CCD"/>
    <w:rsid w:val="00151029"/>
    <w:rsid w:val="0015117D"/>
    <w:rsid w:val="0015142B"/>
    <w:rsid w:val="00151476"/>
    <w:rsid w:val="001518D4"/>
    <w:rsid w:val="0015218D"/>
    <w:rsid w:val="001523C8"/>
    <w:rsid w:val="00152CF7"/>
    <w:rsid w:val="00152E2A"/>
    <w:rsid w:val="00153071"/>
    <w:rsid w:val="001533FC"/>
    <w:rsid w:val="00153790"/>
    <w:rsid w:val="00153C0B"/>
    <w:rsid w:val="00153C11"/>
    <w:rsid w:val="00153E49"/>
    <w:rsid w:val="0015411B"/>
    <w:rsid w:val="00154275"/>
    <w:rsid w:val="00154396"/>
    <w:rsid w:val="001544FD"/>
    <w:rsid w:val="001547AB"/>
    <w:rsid w:val="001547F8"/>
    <w:rsid w:val="00154DA3"/>
    <w:rsid w:val="00154E43"/>
    <w:rsid w:val="001557EE"/>
    <w:rsid w:val="0015593F"/>
    <w:rsid w:val="00155AF9"/>
    <w:rsid w:val="00155E0C"/>
    <w:rsid w:val="00155F18"/>
    <w:rsid w:val="0015604F"/>
    <w:rsid w:val="001562C9"/>
    <w:rsid w:val="00156612"/>
    <w:rsid w:val="00156F8F"/>
    <w:rsid w:val="00157130"/>
    <w:rsid w:val="0015759B"/>
    <w:rsid w:val="001576B1"/>
    <w:rsid w:val="00157CB6"/>
    <w:rsid w:val="00157D92"/>
    <w:rsid w:val="00157E4E"/>
    <w:rsid w:val="001602A4"/>
    <w:rsid w:val="0016047B"/>
    <w:rsid w:val="00160881"/>
    <w:rsid w:val="00160A4C"/>
    <w:rsid w:val="00161060"/>
    <w:rsid w:val="00161173"/>
    <w:rsid w:val="0016135C"/>
    <w:rsid w:val="00161AD2"/>
    <w:rsid w:val="00161D3B"/>
    <w:rsid w:val="00162512"/>
    <w:rsid w:val="00162762"/>
    <w:rsid w:val="00162913"/>
    <w:rsid w:val="00162C74"/>
    <w:rsid w:val="0016388E"/>
    <w:rsid w:val="00163914"/>
    <w:rsid w:val="00163DB3"/>
    <w:rsid w:val="00163E81"/>
    <w:rsid w:val="00163EFF"/>
    <w:rsid w:val="00163F66"/>
    <w:rsid w:val="00163FE9"/>
    <w:rsid w:val="0016422D"/>
    <w:rsid w:val="00164340"/>
    <w:rsid w:val="0016463D"/>
    <w:rsid w:val="0016465D"/>
    <w:rsid w:val="001646F0"/>
    <w:rsid w:val="0016478E"/>
    <w:rsid w:val="00164869"/>
    <w:rsid w:val="00164BAA"/>
    <w:rsid w:val="00164C94"/>
    <w:rsid w:val="00165332"/>
    <w:rsid w:val="001656C1"/>
    <w:rsid w:val="00165966"/>
    <w:rsid w:val="00165EC4"/>
    <w:rsid w:val="001660BD"/>
    <w:rsid w:val="001661FB"/>
    <w:rsid w:val="0016636D"/>
    <w:rsid w:val="001671A0"/>
    <w:rsid w:val="0016763B"/>
    <w:rsid w:val="0016767F"/>
    <w:rsid w:val="001676CD"/>
    <w:rsid w:val="00167CB5"/>
    <w:rsid w:val="00167DFE"/>
    <w:rsid w:val="00167FB7"/>
    <w:rsid w:val="001706F2"/>
    <w:rsid w:val="001709A0"/>
    <w:rsid w:val="00170F71"/>
    <w:rsid w:val="0017113F"/>
    <w:rsid w:val="001713A6"/>
    <w:rsid w:val="00171D51"/>
    <w:rsid w:val="00171F83"/>
    <w:rsid w:val="001720FF"/>
    <w:rsid w:val="0017215A"/>
    <w:rsid w:val="00172251"/>
    <w:rsid w:val="001725A6"/>
    <w:rsid w:val="00172699"/>
    <w:rsid w:val="001726C7"/>
    <w:rsid w:val="0017294D"/>
    <w:rsid w:val="00172A26"/>
    <w:rsid w:val="00172A83"/>
    <w:rsid w:val="00172B21"/>
    <w:rsid w:val="00172F03"/>
    <w:rsid w:val="00173565"/>
    <w:rsid w:val="00173701"/>
    <w:rsid w:val="001737A5"/>
    <w:rsid w:val="00173B07"/>
    <w:rsid w:val="00173F29"/>
    <w:rsid w:val="001746D0"/>
    <w:rsid w:val="001748B3"/>
    <w:rsid w:val="001751FA"/>
    <w:rsid w:val="001762AF"/>
    <w:rsid w:val="00176AAC"/>
    <w:rsid w:val="00176B7D"/>
    <w:rsid w:val="001770CA"/>
    <w:rsid w:val="0017710A"/>
    <w:rsid w:val="0017758E"/>
    <w:rsid w:val="001777D0"/>
    <w:rsid w:val="00177A8D"/>
    <w:rsid w:val="00177C1D"/>
    <w:rsid w:val="00177E79"/>
    <w:rsid w:val="001809A6"/>
    <w:rsid w:val="001811F2"/>
    <w:rsid w:val="00181C10"/>
    <w:rsid w:val="00181D4B"/>
    <w:rsid w:val="00181D9C"/>
    <w:rsid w:val="0018217B"/>
    <w:rsid w:val="00182774"/>
    <w:rsid w:val="00182E17"/>
    <w:rsid w:val="001831B2"/>
    <w:rsid w:val="001837FF"/>
    <w:rsid w:val="00183831"/>
    <w:rsid w:val="00183A32"/>
    <w:rsid w:val="00183DBC"/>
    <w:rsid w:val="001840F2"/>
    <w:rsid w:val="00184207"/>
    <w:rsid w:val="001843B9"/>
    <w:rsid w:val="00184657"/>
    <w:rsid w:val="00184A4B"/>
    <w:rsid w:val="00184B0E"/>
    <w:rsid w:val="00184E5D"/>
    <w:rsid w:val="00184FF2"/>
    <w:rsid w:val="001850BD"/>
    <w:rsid w:val="00185239"/>
    <w:rsid w:val="00186112"/>
    <w:rsid w:val="001861A1"/>
    <w:rsid w:val="001862E0"/>
    <w:rsid w:val="0018654B"/>
    <w:rsid w:val="0018660F"/>
    <w:rsid w:val="00186646"/>
    <w:rsid w:val="00186CB3"/>
    <w:rsid w:val="00186E6C"/>
    <w:rsid w:val="0018752F"/>
    <w:rsid w:val="00187644"/>
    <w:rsid w:val="00187BD7"/>
    <w:rsid w:val="00187C6A"/>
    <w:rsid w:val="001903E9"/>
    <w:rsid w:val="00190428"/>
    <w:rsid w:val="00190763"/>
    <w:rsid w:val="001908E6"/>
    <w:rsid w:val="00190A41"/>
    <w:rsid w:val="00190D68"/>
    <w:rsid w:val="00190F18"/>
    <w:rsid w:val="00190FC9"/>
    <w:rsid w:val="001916BE"/>
    <w:rsid w:val="00191A80"/>
    <w:rsid w:val="00191D54"/>
    <w:rsid w:val="00191E63"/>
    <w:rsid w:val="001925D8"/>
    <w:rsid w:val="00192684"/>
    <w:rsid w:val="00192D4D"/>
    <w:rsid w:val="00193039"/>
    <w:rsid w:val="001932A3"/>
    <w:rsid w:val="0019332C"/>
    <w:rsid w:val="0019338C"/>
    <w:rsid w:val="00193838"/>
    <w:rsid w:val="001939D7"/>
    <w:rsid w:val="00193A74"/>
    <w:rsid w:val="00193B9C"/>
    <w:rsid w:val="00194830"/>
    <w:rsid w:val="00194AD8"/>
    <w:rsid w:val="00194C58"/>
    <w:rsid w:val="00194D4D"/>
    <w:rsid w:val="00194F6F"/>
    <w:rsid w:val="00194FE9"/>
    <w:rsid w:val="00195222"/>
    <w:rsid w:val="00195452"/>
    <w:rsid w:val="00195A64"/>
    <w:rsid w:val="00195EF8"/>
    <w:rsid w:val="001965F4"/>
    <w:rsid w:val="00196795"/>
    <w:rsid w:val="00196B3D"/>
    <w:rsid w:val="00196F64"/>
    <w:rsid w:val="001971DC"/>
    <w:rsid w:val="001975D8"/>
    <w:rsid w:val="001977F0"/>
    <w:rsid w:val="001978AF"/>
    <w:rsid w:val="0019794F"/>
    <w:rsid w:val="00197D6F"/>
    <w:rsid w:val="001A0151"/>
    <w:rsid w:val="001A0867"/>
    <w:rsid w:val="001A0983"/>
    <w:rsid w:val="001A0A1D"/>
    <w:rsid w:val="001A0CEE"/>
    <w:rsid w:val="001A1213"/>
    <w:rsid w:val="001A1382"/>
    <w:rsid w:val="001A1608"/>
    <w:rsid w:val="001A1634"/>
    <w:rsid w:val="001A178E"/>
    <w:rsid w:val="001A19A9"/>
    <w:rsid w:val="001A1B18"/>
    <w:rsid w:val="001A1C09"/>
    <w:rsid w:val="001A2136"/>
    <w:rsid w:val="001A23A4"/>
    <w:rsid w:val="001A25AE"/>
    <w:rsid w:val="001A2899"/>
    <w:rsid w:val="001A2C54"/>
    <w:rsid w:val="001A350F"/>
    <w:rsid w:val="001A3727"/>
    <w:rsid w:val="001A3ED9"/>
    <w:rsid w:val="001A3FEF"/>
    <w:rsid w:val="001A4082"/>
    <w:rsid w:val="001A434D"/>
    <w:rsid w:val="001A43FA"/>
    <w:rsid w:val="001A4427"/>
    <w:rsid w:val="001A4655"/>
    <w:rsid w:val="001A477C"/>
    <w:rsid w:val="001A47C5"/>
    <w:rsid w:val="001A4E39"/>
    <w:rsid w:val="001A51ED"/>
    <w:rsid w:val="001A59FB"/>
    <w:rsid w:val="001A5BB7"/>
    <w:rsid w:val="001A5E0F"/>
    <w:rsid w:val="001A5E9E"/>
    <w:rsid w:val="001A605A"/>
    <w:rsid w:val="001A60C6"/>
    <w:rsid w:val="001A6212"/>
    <w:rsid w:val="001A6354"/>
    <w:rsid w:val="001A6366"/>
    <w:rsid w:val="001A66B1"/>
    <w:rsid w:val="001A7009"/>
    <w:rsid w:val="001A7130"/>
    <w:rsid w:val="001A7473"/>
    <w:rsid w:val="001A7A5B"/>
    <w:rsid w:val="001A7AE8"/>
    <w:rsid w:val="001A7F34"/>
    <w:rsid w:val="001B0247"/>
    <w:rsid w:val="001B0428"/>
    <w:rsid w:val="001B048D"/>
    <w:rsid w:val="001B135B"/>
    <w:rsid w:val="001B13D2"/>
    <w:rsid w:val="001B1A19"/>
    <w:rsid w:val="001B1B69"/>
    <w:rsid w:val="001B1F7E"/>
    <w:rsid w:val="001B204E"/>
    <w:rsid w:val="001B2372"/>
    <w:rsid w:val="001B24D8"/>
    <w:rsid w:val="001B2780"/>
    <w:rsid w:val="001B2C79"/>
    <w:rsid w:val="001B3054"/>
    <w:rsid w:val="001B3443"/>
    <w:rsid w:val="001B34C1"/>
    <w:rsid w:val="001B3779"/>
    <w:rsid w:val="001B3A40"/>
    <w:rsid w:val="001B404C"/>
    <w:rsid w:val="001B42F8"/>
    <w:rsid w:val="001B4817"/>
    <w:rsid w:val="001B4900"/>
    <w:rsid w:val="001B49CE"/>
    <w:rsid w:val="001B4A51"/>
    <w:rsid w:val="001B4BF9"/>
    <w:rsid w:val="001B4D20"/>
    <w:rsid w:val="001B4E3C"/>
    <w:rsid w:val="001B5066"/>
    <w:rsid w:val="001B50C2"/>
    <w:rsid w:val="001B5F0D"/>
    <w:rsid w:val="001B5FDB"/>
    <w:rsid w:val="001B5FEA"/>
    <w:rsid w:val="001B608E"/>
    <w:rsid w:val="001B6124"/>
    <w:rsid w:val="001B61B7"/>
    <w:rsid w:val="001B6208"/>
    <w:rsid w:val="001B67CB"/>
    <w:rsid w:val="001B680C"/>
    <w:rsid w:val="001B6829"/>
    <w:rsid w:val="001B6C49"/>
    <w:rsid w:val="001B6EA9"/>
    <w:rsid w:val="001B7082"/>
    <w:rsid w:val="001B7B06"/>
    <w:rsid w:val="001B7F84"/>
    <w:rsid w:val="001C057D"/>
    <w:rsid w:val="001C06F5"/>
    <w:rsid w:val="001C0CAB"/>
    <w:rsid w:val="001C1509"/>
    <w:rsid w:val="001C1CE0"/>
    <w:rsid w:val="001C25B2"/>
    <w:rsid w:val="001C29F8"/>
    <w:rsid w:val="001C2A9B"/>
    <w:rsid w:val="001C2EA0"/>
    <w:rsid w:val="001C39F9"/>
    <w:rsid w:val="001C3DD6"/>
    <w:rsid w:val="001C3DFC"/>
    <w:rsid w:val="001C4075"/>
    <w:rsid w:val="001C4299"/>
    <w:rsid w:val="001C42FB"/>
    <w:rsid w:val="001C47EA"/>
    <w:rsid w:val="001C4874"/>
    <w:rsid w:val="001C4A08"/>
    <w:rsid w:val="001C4B69"/>
    <w:rsid w:val="001C4BBE"/>
    <w:rsid w:val="001C4F34"/>
    <w:rsid w:val="001C504B"/>
    <w:rsid w:val="001C53E1"/>
    <w:rsid w:val="001C5758"/>
    <w:rsid w:val="001C585C"/>
    <w:rsid w:val="001C5AC2"/>
    <w:rsid w:val="001C5C7E"/>
    <w:rsid w:val="001C5F94"/>
    <w:rsid w:val="001C6B8B"/>
    <w:rsid w:val="001C6E1B"/>
    <w:rsid w:val="001C6E66"/>
    <w:rsid w:val="001C6FCF"/>
    <w:rsid w:val="001C7025"/>
    <w:rsid w:val="001C775F"/>
    <w:rsid w:val="001C7B8C"/>
    <w:rsid w:val="001C7E3E"/>
    <w:rsid w:val="001C7FED"/>
    <w:rsid w:val="001D043A"/>
    <w:rsid w:val="001D1100"/>
    <w:rsid w:val="001D1391"/>
    <w:rsid w:val="001D19DD"/>
    <w:rsid w:val="001D1E22"/>
    <w:rsid w:val="001D2315"/>
    <w:rsid w:val="001D25D7"/>
    <w:rsid w:val="001D2858"/>
    <w:rsid w:val="001D3130"/>
    <w:rsid w:val="001D31BB"/>
    <w:rsid w:val="001D3201"/>
    <w:rsid w:val="001D3505"/>
    <w:rsid w:val="001D3658"/>
    <w:rsid w:val="001D3BC7"/>
    <w:rsid w:val="001D3E7B"/>
    <w:rsid w:val="001D402D"/>
    <w:rsid w:val="001D45E9"/>
    <w:rsid w:val="001D475E"/>
    <w:rsid w:val="001D4AC0"/>
    <w:rsid w:val="001D4F3F"/>
    <w:rsid w:val="001D50B2"/>
    <w:rsid w:val="001D50DA"/>
    <w:rsid w:val="001D5158"/>
    <w:rsid w:val="001D5667"/>
    <w:rsid w:val="001D5775"/>
    <w:rsid w:val="001D5EF4"/>
    <w:rsid w:val="001D604F"/>
    <w:rsid w:val="001D66B4"/>
    <w:rsid w:val="001D6D18"/>
    <w:rsid w:val="001D6DD0"/>
    <w:rsid w:val="001D6E34"/>
    <w:rsid w:val="001D71F4"/>
    <w:rsid w:val="001D7645"/>
    <w:rsid w:val="001D7699"/>
    <w:rsid w:val="001D7AB2"/>
    <w:rsid w:val="001E0896"/>
    <w:rsid w:val="001E1723"/>
    <w:rsid w:val="001E177F"/>
    <w:rsid w:val="001E1A9B"/>
    <w:rsid w:val="001E1E86"/>
    <w:rsid w:val="001E2153"/>
    <w:rsid w:val="001E238E"/>
    <w:rsid w:val="001E23AB"/>
    <w:rsid w:val="001E2483"/>
    <w:rsid w:val="001E2824"/>
    <w:rsid w:val="001E291D"/>
    <w:rsid w:val="001E2ABB"/>
    <w:rsid w:val="001E2B1E"/>
    <w:rsid w:val="001E2CFF"/>
    <w:rsid w:val="001E2DBF"/>
    <w:rsid w:val="001E2EDE"/>
    <w:rsid w:val="001E2F24"/>
    <w:rsid w:val="001E3030"/>
    <w:rsid w:val="001E30D4"/>
    <w:rsid w:val="001E34DF"/>
    <w:rsid w:val="001E363F"/>
    <w:rsid w:val="001E3FF7"/>
    <w:rsid w:val="001E4617"/>
    <w:rsid w:val="001E46BE"/>
    <w:rsid w:val="001E4CCC"/>
    <w:rsid w:val="001E52EB"/>
    <w:rsid w:val="001E52F5"/>
    <w:rsid w:val="001E542A"/>
    <w:rsid w:val="001E56EF"/>
    <w:rsid w:val="001E5A7B"/>
    <w:rsid w:val="001E5CC9"/>
    <w:rsid w:val="001E5EF2"/>
    <w:rsid w:val="001E5F1B"/>
    <w:rsid w:val="001E61D2"/>
    <w:rsid w:val="001E6326"/>
    <w:rsid w:val="001E660F"/>
    <w:rsid w:val="001E6D0A"/>
    <w:rsid w:val="001E70D0"/>
    <w:rsid w:val="001E7279"/>
    <w:rsid w:val="001E740C"/>
    <w:rsid w:val="001E75B5"/>
    <w:rsid w:val="001E7B4A"/>
    <w:rsid w:val="001F0506"/>
    <w:rsid w:val="001F05F0"/>
    <w:rsid w:val="001F0993"/>
    <w:rsid w:val="001F0CF7"/>
    <w:rsid w:val="001F0DDA"/>
    <w:rsid w:val="001F1235"/>
    <w:rsid w:val="001F14E4"/>
    <w:rsid w:val="001F1CB3"/>
    <w:rsid w:val="001F21AE"/>
    <w:rsid w:val="001F251B"/>
    <w:rsid w:val="001F256A"/>
    <w:rsid w:val="001F257F"/>
    <w:rsid w:val="001F32FF"/>
    <w:rsid w:val="001F339F"/>
    <w:rsid w:val="001F38B5"/>
    <w:rsid w:val="001F4081"/>
    <w:rsid w:val="001F41A8"/>
    <w:rsid w:val="001F4349"/>
    <w:rsid w:val="001F4506"/>
    <w:rsid w:val="001F46AA"/>
    <w:rsid w:val="001F474F"/>
    <w:rsid w:val="001F4768"/>
    <w:rsid w:val="001F494A"/>
    <w:rsid w:val="001F4ABA"/>
    <w:rsid w:val="001F4C10"/>
    <w:rsid w:val="001F50F0"/>
    <w:rsid w:val="001F51A0"/>
    <w:rsid w:val="001F557D"/>
    <w:rsid w:val="001F55B0"/>
    <w:rsid w:val="001F5722"/>
    <w:rsid w:val="001F5FC0"/>
    <w:rsid w:val="001F6086"/>
    <w:rsid w:val="001F643B"/>
    <w:rsid w:val="001F66D4"/>
    <w:rsid w:val="001F673E"/>
    <w:rsid w:val="001F71C1"/>
    <w:rsid w:val="001F7361"/>
    <w:rsid w:val="001F75CB"/>
    <w:rsid w:val="001F75D2"/>
    <w:rsid w:val="001F773F"/>
    <w:rsid w:val="001F7936"/>
    <w:rsid w:val="001F7B90"/>
    <w:rsid w:val="00200103"/>
    <w:rsid w:val="00200605"/>
    <w:rsid w:val="00200632"/>
    <w:rsid w:val="00200A87"/>
    <w:rsid w:val="00200BE3"/>
    <w:rsid w:val="0020116A"/>
    <w:rsid w:val="002011B0"/>
    <w:rsid w:val="0020122E"/>
    <w:rsid w:val="00201863"/>
    <w:rsid w:val="002020D5"/>
    <w:rsid w:val="00202468"/>
    <w:rsid w:val="00202562"/>
    <w:rsid w:val="0020281D"/>
    <w:rsid w:val="00202917"/>
    <w:rsid w:val="00202DAE"/>
    <w:rsid w:val="00203181"/>
    <w:rsid w:val="002032F9"/>
    <w:rsid w:val="00203420"/>
    <w:rsid w:val="00203573"/>
    <w:rsid w:val="00203642"/>
    <w:rsid w:val="00203783"/>
    <w:rsid w:val="0020385F"/>
    <w:rsid w:val="00203A1F"/>
    <w:rsid w:val="00203DF9"/>
    <w:rsid w:val="00204057"/>
    <w:rsid w:val="002048CC"/>
    <w:rsid w:val="00204D71"/>
    <w:rsid w:val="002052EE"/>
    <w:rsid w:val="0020532A"/>
    <w:rsid w:val="002055D1"/>
    <w:rsid w:val="00205702"/>
    <w:rsid w:val="00205F24"/>
    <w:rsid w:val="002061C5"/>
    <w:rsid w:val="002064C3"/>
    <w:rsid w:val="002065CB"/>
    <w:rsid w:val="002068A0"/>
    <w:rsid w:val="002069D7"/>
    <w:rsid w:val="00206A59"/>
    <w:rsid w:val="00206AA1"/>
    <w:rsid w:val="00206B64"/>
    <w:rsid w:val="00206CDB"/>
    <w:rsid w:val="00206DAA"/>
    <w:rsid w:val="00206DE7"/>
    <w:rsid w:val="00207021"/>
    <w:rsid w:val="0020732F"/>
    <w:rsid w:val="00207812"/>
    <w:rsid w:val="00207825"/>
    <w:rsid w:val="002078B0"/>
    <w:rsid w:val="0020795D"/>
    <w:rsid w:val="00207ABD"/>
    <w:rsid w:val="00207D00"/>
    <w:rsid w:val="00207E6D"/>
    <w:rsid w:val="0021036E"/>
    <w:rsid w:val="002104FD"/>
    <w:rsid w:val="002105C1"/>
    <w:rsid w:val="00210A39"/>
    <w:rsid w:val="0021118A"/>
    <w:rsid w:val="00211390"/>
    <w:rsid w:val="002116FD"/>
    <w:rsid w:val="0021173B"/>
    <w:rsid w:val="00211926"/>
    <w:rsid w:val="00211FD0"/>
    <w:rsid w:val="00212675"/>
    <w:rsid w:val="00212764"/>
    <w:rsid w:val="0021289D"/>
    <w:rsid w:val="00212E1F"/>
    <w:rsid w:val="0021301F"/>
    <w:rsid w:val="0021332A"/>
    <w:rsid w:val="00213623"/>
    <w:rsid w:val="002136E1"/>
    <w:rsid w:val="002137FC"/>
    <w:rsid w:val="00213CF3"/>
    <w:rsid w:val="00213EF3"/>
    <w:rsid w:val="00213EF5"/>
    <w:rsid w:val="002143CB"/>
    <w:rsid w:val="002149EE"/>
    <w:rsid w:val="00214AEE"/>
    <w:rsid w:val="00214C11"/>
    <w:rsid w:val="00214EB7"/>
    <w:rsid w:val="002150BD"/>
    <w:rsid w:val="002152F5"/>
    <w:rsid w:val="0021549B"/>
    <w:rsid w:val="0021551D"/>
    <w:rsid w:val="002156BB"/>
    <w:rsid w:val="00216443"/>
    <w:rsid w:val="00216AA6"/>
    <w:rsid w:val="00216BF5"/>
    <w:rsid w:val="00217329"/>
    <w:rsid w:val="002174A1"/>
    <w:rsid w:val="00217C32"/>
    <w:rsid w:val="0022024F"/>
    <w:rsid w:val="002205D7"/>
    <w:rsid w:val="0022132A"/>
    <w:rsid w:val="002216FD"/>
    <w:rsid w:val="00221CA6"/>
    <w:rsid w:val="00222157"/>
    <w:rsid w:val="00222553"/>
    <w:rsid w:val="00222694"/>
    <w:rsid w:val="0022284B"/>
    <w:rsid w:val="002228DC"/>
    <w:rsid w:val="002229D9"/>
    <w:rsid w:val="002229DD"/>
    <w:rsid w:val="00222BD9"/>
    <w:rsid w:val="0022323C"/>
    <w:rsid w:val="002233D8"/>
    <w:rsid w:val="002234C6"/>
    <w:rsid w:val="00223558"/>
    <w:rsid w:val="00223B49"/>
    <w:rsid w:val="00223D5A"/>
    <w:rsid w:val="0022402D"/>
    <w:rsid w:val="0022412D"/>
    <w:rsid w:val="00224165"/>
    <w:rsid w:val="002243F1"/>
    <w:rsid w:val="0022484C"/>
    <w:rsid w:val="0022486E"/>
    <w:rsid w:val="002248A3"/>
    <w:rsid w:val="0022499E"/>
    <w:rsid w:val="00224C01"/>
    <w:rsid w:val="00224DD4"/>
    <w:rsid w:val="00224E72"/>
    <w:rsid w:val="00224ECB"/>
    <w:rsid w:val="00224F0B"/>
    <w:rsid w:val="00225ACE"/>
    <w:rsid w:val="00225C44"/>
    <w:rsid w:val="00225D74"/>
    <w:rsid w:val="002260B3"/>
    <w:rsid w:val="00226102"/>
    <w:rsid w:val="00226729"/>
    <w:rsid w:val="00226748"/>
    <w:rsid w:val="0022712C"/>
    <w:rsid w:val="00227428"/>
    <w:rsid w:val="002278A0"/>
    <w:rsid w:val="002279DA"/>
    <w:rsid w:val="00227CE0"/>
    <w:rsid w:val="002305AE"/>
    <w:rsid w:val="002309CC"/>
    <w:rsid w:val="00230B94"/>
    <w:rsid w:val="00230C3D"/>
    <w:rsid w:val="00230D6A"/>
    <w:rsid w:val="002310E2"/>
    <w:rsid w:val="002312D7"/>
    <w:rsid w:val="00231323"/>
    <w:rsid w:val="00231481"/>
    <w:rsid w:val="00231665"/>
    <w:rsid w:val="00231764"/>
    <w:rsid w:val="002318D7"/>
    <w:rsid w:val="00231ADB"/>
    <w:rsid w:val="00231BA9"/>
    <w:rsid w:val="00231BF9"/>
    <w:rsid w:val="00231F93"/>
    <w:rsid w:val="0023209F"/>
    <w:rsid w:val="0023274A"/>
    <w:rsid w:val="00232834"/>
    <w:rsid w:val="00232877"/>
    <w:rsid w:val="0023321E"/>
    <w:rsid w:val="002332B1"/>
    <w:rsid w:val="00233421"/>
    <w:rsid w:val="002337E7"/>
    <w:rsid w:val="00233C01"/>
    <w:rsid w:val="00233D66"/>
    <w:rsid w:val="00233E62"/>
    <w:rsid w:val="002340C7"/>
    <w:rsid w:val="0023413C"/>
    <w:rsid w:val="002343EB"/>
    <w:rsid w:val="002344AE"/>
    <w:rsid w:val="0023454E"/>
    <w:rsid w:val="002346F0"/>
    <w:rsid w:val="00234715"/>
    <w:rsid w:val="002349DA"/>
    <w:rsid w:val="00234C91"/>
    <w:rsid w:val="00234EC0"/>
    <w:rsid w:val="00234EDF"/>
    <w:rsid w:val="002358F9"/>
    <w:rsid w:val="00235F45"/>
    <w:rsid w:val="00235FD6"/>
    <w:rsid w:val="00236017"/>
    <w:rsid w:val="0023629D"/>
    <w:rsid w:val="00236363"/>
    <w:rsid w:val="0023643B"/>
    <w:rsid w:val="0023648E"/>
    <w:rsid w:val="0023655C"/>
    <w:rsid w:val="00236AAD"/>
    <w:rsid w:val="00236DFB"/>
    <w:rsid w:val="00237077"/>
    <w:rsid w:val="00237255"/>
    <w:rsid w:val="00237346"/>
    <w:rsid w:val="002377B1"/>
    <w:rsid w:val="00237908"/>
    <w:rsid w:val="00237947"/>
    <w:rsid w:val="00237956"/>
    <w:rsid w:val="00237E1E"/>
    <w:rsid w:val="00237F54"/>
    <w:rsid w:val="002402C5"/>
    <w:rsid w:val="00240534"/>
    <w:rsid w:val="0024069D"/>
    <w:rsid w:val="00240C36"/>
    <w:rsid w:val="00240D08"/>
    <w:rsid w:val="00240D84"/>
    <w:rsid w:val="00241140"/>
    <w:rsid w:val="00241D13"/>
    <w:rsid w:val="00241D9E"/>
    <w:rsid w:val="00241FBD"/>
    <w:rsid w:val="002424AF"/>
    <w:rsid w:val="00242850"/>
    <w:rsid w:val="0024330D"/>
    <w:rsid w:val="002439DC"/>
    <w:rsid w:val="00243E4D"/>
    <w:rsid w:val="002441D2"/>
    <w:rsid w:val="002445E1"/>
    <w:rsid w:val="002449BE"/>
    <w:rsid w:val="00244DC8"/>
    <w:rsid w:val="002458BA"/>
    <w:rsid w:val="00245B59"/>
    <w:rsid w:val="00245CE9"/>
    <w:rsid w:val="00245F6D"/>
    <w:rsid w:val="0024604C"/>
    <w:rsid w:val="0024610F"/>
    <w:rsid w:val="0024636C"/>
    <w:rsid w:val="002468AD"/>
    <w:rsid w:val="00247390"/>
    <w:rsid w:val="0024754F"/>
    <w:rsid w:val="00247925"/>
    <w:rsid w:val="00247D69"/>
    <w:rsid w:val="00247E2C"/>
    <w:rsid w:val="00247EE3"/>
    <w:rsid w:val="0025014E"/>
    <w:rsid w:val="00250286"/>
    <w:rsid w:val="0025044B"/>
    <w:rsid w:val="0025059C"/>
    <w:rsid w:val="00250C10"/>
    <w:rsid w:val="00250C3B"/>
    <w:rsid w:val="00250CD8"/>
    <w:rsid w:val="00250E91"/>
    <w:rsid w:val="00250F84"/>
    <w:rsid w:val="00251006"/>
    <w:rsid w:val="002512EE"/>
    <w:rsid w:val="00251485"/>
    <w:rsid w:val="002515A2"/>
    <w:rsid w:val="002516E3"/>
    <w:rsid w:val="00251B6F"/>
    <w:rsid w:val="00251BEF"/>
    <w:rsid w:val="00252183"/>
    <w:rsid w:val="00252197"/>
    <w:rsid w:val="00252498"/>
    <w:rsid w:val="002524D5"/>
    <w:rsid w:val="0025256B"/>
    <w:rsid w:val="002528B7"/>
    <w:rsid w:val="00252B61"/>
    <w:rsid w:val="00252F1C"/>
    <w:rsid w:val="00253247"/>
    <w:rsid w:val="00253B1D"/>
    <w:rsid w:val="00253E95"/>
    <w:rsid w:val="0025484F"/>
    <w:rsid w:val="002548BD"/>
    <w:rsid w:val="002549AC"/>
    <w:rsid w:val="00254DCF"/>
    <w:rsid w:val="00254F73"/>
    <w:rsid w:val="0025509C"/>
    <w:rsid w:val="0025515B"/>
    <w:rsid w:val="0025534B"/>
    <w:rsid w:val="002553E7"/>
    <w:rsid w:val="0025553D"/>
    <w:rsid w:val="00255BB7"/>
    <w:rsid w:val="00255D5E"/>
    <w:rsid w:val="00256E1B"/>
    <w:rsid w:val="00257019"/>
    <w:rsid w:val="002572C1"/>
    <w:rsid w:val="0025741E"/>
    <w:rsid w:val="00257541"/>
    <w:rsid w:val="00257A39"/>
    <w:rsid w:val="00257AC4"/>
    <w:rsid w:val="00257BBE"/>
    <w:rsid w:val="0026035B"/>
    <w:rsid w:val="002603C9"/>
    <w:rsid w:val="00260D68"/>
    <w:rsid w:val="00260FA5"/>
    <w:rsid w:val="00260FB8"/>
    <w:rsid w:val="002611A9"/>
    <w:rsid w:val="002611E0"/>
    <w:rsid w:val="002612CE"/>
    <w:rsid w:val="0026136D"/>
    <w:rsid w:val="00261649"/>
    <w:rsid w:val="00261B3C"/>
    <w:rsid w:val="00261CF3"/>
    <w:rsid w:val="00261EEF"/>
    <w:rsid w:val="0026213A"/>
    <w:rsid w:val="002621F2"/>
    <w:rsid w:val="00262690"/>
    <w:rsid w:val="00262A1A"/>
    <w:rsid w:val="00262A87"/>
    <w:rsid w:val="00262F16"/>
    <w:rsid w:val="00263687"/>
    <w:rsid w:val="00263715"/>
    <w:rsid w:val="0026430A"/>
    <w:rsid w:val="00264510"/>
    <w:rsid w:val="00264AF6"/>
    <w:rsid w:val="00264D26"/>
    <w:rsid w:val="00264D6D"/>
    <w:rsid w:val="00265494"/>
    <w:rsid w:val="002656A3"/>
    <w:rsid w:val="00265C1C"/>
    <w:rsid w:val="00265C69"/>
    <w:rsid w:val="00265E97"/>
    <w:rsid w:val="002663A1"/>
    <w:rsid w:val="002665E7"/>
    <w:rsid w:val="00266889"/>
    <w:rsid w:val="00266CF5"/>
    <w:rsid w:val="00266FF7"/>
    <w:rsid w:val="00267642"/>
    <w:rsid w:val="00267AEA"/>
    <w:rsid w:val="00267CD3"/>
    <w:rsid w:val="00267F23"/>
    <w:rsid w:val="002700E6"/>
    <w:rsid w:val="002703FD"/>
    <w:rsid w:val="002705A9"/>
    <w:rsid w:val="002709C2"/>
    <w:rsid w:val="00270DBB"/>
    <w:rsid w:val="00270EC3"/>
    <w:rsid w:val="00271045"/>
    <w:rsid w:val="002711A2"/>
    <w:rsid w:val="002715D3"/>
    <w:rsid w:val="0027175A"/>
    <w:rsid w:val="00271869"/>
    <w:rsid w:val="002719DB"/>
    <w:rsid w:val="00271F25"/>
    <w:rsid w:val="002721C1"/>
    <w:rsid w:val="00272519"/>
    <w:rsid w:val="0027294B"/>
    <w:rsid w:val="0027316C"/>
    <w:rsid w:val="00273450"/>
    <w:rsid w:val="00273AC6"/>
    <w:rsid w:val="00273EB4"/>
    <w:rsid w:val="00274088"/>
    <w:rsid w:val="002741B9"/>
    <w:rsid w:val="002742F6"/>
    <w:rsid w:val="0027459D"/>
    <w:rsid w:val="00274682"/>
    <w:rsid w:val="002746AA"/>
    <w:rsid w:val="0027483C"/>
    <w:rsid w:val="00274E0E"/>
    <w:rsid w:val="00275158"/>
    <w:rsid w:val="002759A1"/>
    <w:rsid w:val="00275C5A"/>
    <w:rsid w:val="002760C9"/>
    <w:rsid w:val="0027615A"/>
    <w:rsid w:val="00276366"/>
    <w:rsid w:val="002765B0"/>
    <w:rsid w:val="0027674C"/>
    <w:rsid w:val="00276F1F"/>
    <w:rsid w:val="00277066"/>
    <w:rsid w:val="002773DF"/>
    <w:rsid w:val="00277922"/>
    <w:rsid w:val="00277C4B"/>
    <w:rsid w:val="00277DA5"/>
    <w:rsid w:val="0028074D"/>
    <w:rsid w:val="0028082B"/>
    <w:rsid w:val="00280A95"/>
    <w:rsid w:val="00280B80"/>
    <w:rsid w:val="00281014"/>
    <w:rsid w:val="00281103"/>
    <w:rsid w:val="00281381"/>
    <w:rsid w:val="00281704"/>
    <w:rsid w:val="00281B0B"/>
    <w:rsid w:val="00281FD3"/>
    <w:rsid w:val="0028230C"/>
    <w:rsid w:val="00282311"/>
    <w:rsid w:val="0028244C"/>
    <w:rsid w:val="00282E91"/>
    <w:rsid w:val="00283500"/>
    <w:rsid w:val="002835DA"/>
    <w:rsid w:val="0028378C"/>
    <w:rsid w:val="0028388F"/>
    <w:rsid w:val="00283BC8"/>
    <w:rsid w:val="002846C2"/>
    <w:rsid w:val="0028475A"/>
    <w:rsid w:val="0028491D"/>
    <w:rsid w:val="00284C4B"/>
    <w:rsid w:val="00285485"/>
    <w:rsid w:val="0028558B"/>
    <w:rsid w:val="00285BCE"/>
    <w:rsid w:val="00285BFC"/>
    <w:rsid w:val="00285E18"/>
    <w:rsid w:val="00286465"/>
    <w:rsid w:val="002865EB"/>
    <w:rsid w:val="0028665D"/>
    <w:rsid w:val="00286AE4"/>
    <w:rsid w:val="0028702C"/>
    <w:rsid w:val="002877E6"/>
    <w:rsid w:val="0028787B"/>
    <w:rsid w:val="00287B2C"/>
    <w:rsid w:val="00287DEF"/>
    <w:rsid w:val="00290512"/>
    <w:rsid w:val="00290650"/>
    <w:rsid w:val="002916DD"/>
    <w:rsid w:val="002918F4"/>
    <w:rsid w:val="002919CD"/>
    <w:rsid w:val="00291A44"/>
    <w:rsid w:val="00291D41"/>
    <w:rsid w:val="00291E6E"/>
    <w:rsid w:val="002923B7"/>
    <w:rsid w:val="0029245F"/>
    <w:rsid w:val="00292819"/>
    <w:rsid w:val="0029284E"/>
    <w:rsid w:val="00292A70"/>
    <w:rsid w:val="00292BE3"/>
    <w:rsid w:val="00292C85"/>
    <w:rsid w:val="002930B5"/>
    <w:rsid w:val="00293588"/>
    <w:rsid w:val="0029370D"/>
    <w:rsid w:val="00293DD8"/>
    <w:rsid w:val="00293F9F"/>
    <w:rsid w:val="002944D9"/>
    <w:rsid w:val="002947CB"/>
    <w:rsid w:val="002947F6"/>
    <w:rsid w:val="00294A57"/>
    <w:rsid w:val="002951F7"/>
    <w:rsid w:val="00295496"/>
    <w:rsid w:val="00295567"/>
    <w:rsid w:val="0029563A"/>
    <w:rsid w:val="00295913"/>
    <w:rsid w:val="00295E6B"/>
    <w:rsid w:val="00296A73"/>
    <w:rsid w:val="00297038"/>
    <w:rsid w:val="002974AF"/>
    <w:rsid w:val="002A01CD"/>
    <w:rsid w:val="002A08CC"/>
    <w:rsid w:val="002A09A2"/>
    <w:rsid w:val="002A0BD7"/>
    <w:rsid w:val="002A14AB"/>
    <w:rsid w:val="002A16F9"/>
    <w:rsid w:val="002A1B4B"/>
    <w:rsid w:val="002A2012"/>
    <w:rsid w:val="002A2047"/>
    <w:rsid w:val="002A2104"/>
    <w:rsid w:val="002A25A2"/>
    <w:rsid w:val="002A2ADE"/>
    <w:rsid w:val="002A2C55"/>
    <w:rsid w:val="002A2F50"/>
    <w:rsid w:val="002A35CC"/>
    <w:rsid w:val="002A37DA"/>
    <w:rsid w:val="002A3995"/>
    <w:rsid w:val="002A3AAD"/>
    <w:rsid w:val="002A3D41"/>
    <w:rsid w:val="002A3D7E"/>
    <w:rsid w:val="002A3DD7"/>
    <w:rsid w:val="002A3F90"/>
    <w:rsid w:val="002A4008"/>
    <w:rsid w:val="002A4144"/>
    <w:rsid w:val="002A4146"/>
    <w:rsid w:val="002A4320"/>
    <w:rsid w:val="002A4909"/>
    <w:rsid w:val="002A4A42"/>
    <w:rsid w:val="002A4A61"/>
    <w:rsid w:val="002A5370"/>
    <w:rsid w:val="002A5839"/>
    <w:rsid w:val="002A5932"/>
    <w:rsid w:val="002A62B5"/>
    <w:rsid w:val="002A65F3"/>
    <w:rsid w:val="002A6F34"/>
    <w:rsid w:val="002A7740"/>
    <w:rsid w:val="002A77B9"/>
    <w:rsid w:val="002A7811"/>
    <w:rsid w:val="002A785A"/>
    <w:rsid w:val="002A788C"/>
    <w:rsid w:val="002A78DA"/>
    <w:rsid w:val="002A78F8"/>
    <w:rsid w:val="002A7943"/>
    <w:rsid w:val="002A7AB7"/>
    <w:rsid w:val="002A7F71"/>
    <w:rsid w:val="002B022E"/>
    <w:rsid w:val="002B034D"/>
    <w:rsid w:val="002B03BA"/>
    <w:rsid w:val="002B03CE"/>
    <w:rsid w:val="002B05A1"/>
    <w:rsid w:val="002B09A4"/>
    <w:rsid w:val="002B0B0A"/>
    <w:rsid w:val="002B0CCD"/>
    <w:rsid w:val="002B16C6"/>
    <w:rsid w:val="002B1C1F"/>
    <w:rsid w:val="002B1FF4"/>
    <w:rsid w:val="002B2A3B"/>
    <w:rsid w:val="002B2B19"/>
    <w:rsid w:val="002B2CE7"/>
    <w:rsid w:val="002B2F62"/>
    <w:rsid w:val="002B339E"/>
    <w:rsid w:val="002B35F8"/>
    <w:rsid w:val="002B365B"/>
    <w:rsid w:val="002B3860"/>
    <w:rsid w:val="002B3CE8"/>
    <w:rsid w:val="002B3E68"/>
    <w:rsid w:val="002B4121"/>
    <w:rsid w:val="002B432F"/>
    <w:rsid w:val="002B4388"/>
    <w:rsid w:val="002B451E"/>
    <w:rsid w:val="002B48CD"/>
    <w:rsid w:val="002B509B"/>
    <w:rsid w:val="002B50D5"/>
    <w:rsid w:val="002B5361"/>
    <w:rsid w:val="002B563E"/>
    <w:rsid w:val="002B566F"/>
    <w:rsid w:val="002B5693"/>
    <w:rsid w:val="002B5E3D"/>
    <w:rsid w:val="002B5EDA"/>
    <w:rsid w:val="002B5EE9"/>
    <w:rsid w:val="002B5FFB"/>
    <w:rsid w:val="002B61A4"/>
    <w:rsid w:val="002B627D"/>
    <w:rsid w:val="002B62B3"/>
    <w:rsid w:val="002B6754"/>
    <w:rsid w:val="002B6B16"/>
    <w:rsid w:val="002B6CCE"/>
    <w:rsid w:val="002B6D6D"/>
    <w:rsid w:val="002B7216"/>
    <w:rsid w:val="002B7C1F"/>
    <w:rsid w:val="002B7D13"/>
    <w:rsid w:val="002C003A"/>
    <w:rsid w:val="002C015C"/>
    <w:rsid w:val="002C03F6"/>
    <w:rsid w:val="002C0947"/>
    <w:rsid w:val="002C0976"/>
    <w:rsid w:val="002C09CE"/>
    <w:rsid w:val="002C0E84"/>
    <w:rsid w:val="002C1027"/>
    <w:rsid w:val="002C1109"/>
    <w:rsid w:val="002C1429"/>
    <w:rsid w:val="002C1565"/>
    <w:rsid w:val="002C1831"/>
    <w:rsid w:val="002C1C13"/>
    <w:rsid w:val="002C243D"/>
    <w:rsid w:val="002C2455"/>
    <w:rsid w:val="002C2510"/>
    <w:rsid w:val="002C26CE"/>
    <w:rsid w:val="002C2775"/>
    <w:rsid w:val="002C27C1"/>
    <w:rsid w:val="002C289C"/>
    <w:rsid w:val="002C29BD"/>
    <w:rsid w:val="002C2B19"/>
    <w:rsid w:val="002C2C8C"/>
    <w:rsid w:val="002C2F05"/>
    <w:rsid w:val="002C3069"/>
    <w:rsid w:val="002C3402"/>
    <w:rsid w:val="002C36C7"/>
    <w:rsid w:val="002C36E3"/>
    <w:rsid w:val="002C39A4"/>
    <w:rsid w:val="002C3A3A"/>
    <w:rsid w:val="002C3C97"/>
    <w:rsid w:val="002C4983"/>
    <w:rsid w:val="002C4B23"/>
    <w:rsid w:val="002C4B2A"/>
    <w:rsid w:val="002C4D0F"/>
    <w:rsid w:val="002C5006"/>
    <w:rsid w:val="002C508B"/>
    <w:rsid w:val="002C5099"/>
    <w:rsid w:val="002C52E5"/>
    <w:rsid w:val="002C5889"/>
    <w:rsid w:val="002C5A33"/>
    <w:rsid w:val="002C5BD1"/>
    <w:rsid w:val="002C70FD"/>
    <w:rsid w:val="002C71CE"/>
    <w:rsid w:val="002C74C0"/>
    <w:rsid w:val="002C7A64"/>
    <w:rsid w:val="002C7BBB"/>
    <w:rsid w:val="002C7CBA"/>
    <w:rsid w:val="002C7D06"/>
    <w:rsid w:val="002C7D2C"/>
    <w:rsid w:val="002C7DDD"/>
    <w:rsid w:val="002C7E2F"/>
    <w:rsid w:val="002C7E36"/>
    <w:rsid w:val="002C7E7F"/>
    <w:rsid w:val="002D050A"/>
    <w:rsid w:val="002D0831"/>
    <w:rsid w:val="002D08F8"/>
    <w:rsid w:val="002D11FF"/>
    <w:rsid w:val="002D1376"/>
    <w:rsid w:val="002D139A"/>
    <w:rsid w:val="002D1B28"/>
    <w:rsid w:val="002D1BFE"/>
    <w:rsid w:val="002D1C76"/>
    <w:rsid w:val="002D1F7C"/>
    <w:rsid w:val="002D24FD"/>
    <w:rsid w:val="002D2897"/>
    <w:rsid w:val="002D2975"/>
    <w:rsid w:val="002D2D26"/>
    <w:rsid w:val="002D2EAC"/>
    <w:rsid w:val="002D2EED"/>
    <w:rsid w:val="002D3021"/>
    <w:rsid w:val="002D3322"/>
    <w:rsid w:val="002D3407"/>
    <w:rsid w:val="002D3A1C"/>
    <w:rsid w:val="002D3CA5"/>
    <w:rsid w:val="002D3D54"/>
    <w:rsid w:val="002D4514"/>
    <w:rsid w:val="002D460A"/>
    <w:rsid w:val="002D487F"/>
    <w:rsid w:val="002D4943"/>
    <w:rsid w:val="002D4EDC"/>
    <w:rsid w:val="002D5472"/>
    <w:rsid w:val="002D577C"/>
    <w:rsid w:val="002D5BD6"/>
    <w:rsid w:val="002D61FE"/>
    <w:rsid w:val="002D65EB"/>
    <w:rsid w:val="002D6628"/>
    <w:rsid w:val="002D6D8E"/>
    <w:rsid w:val="002D6FDF"/>
    <w:rsid w:val="002D76F2"/>
    <w:rsid w:val="002D76F7"/>
    <w:rsid w:val="002D7832"/>
    <w:rsid w:val="002D79D1"/>
    <w:rsid w:val="002D7BC9"/>
    <w:rsid w:val="002E03D9"/>
    <w:rsid w:val="002E065B"/>
    <w:rsid w:val="002E069A"/>
    <w:rsid w:val="002E0A95"/>
    <w:rsid w:val="002E0F93"/>
    <w:rsid w:val="002E1071"/>
    <w:rsid w:val="002E117B"/>
    <w:rsid w:val="002E128E"/>
    <w:rsid w:val="002E13F8"/>
    <w:rsid w:val="002E15B9"/>
    <w:rsid w:val="002E1BE5"/>
    <w:rsid w:val="002E1CD5"/>
    <w:rsid w:val="002E2158"/>
    <w:rsid w:val="002E2514"/>
    <w:rsid w:val="002E2605"/>
    <w:rsid w:val="002E2AAF"/>
    <w:rsid w:val="002E30D6"/>
    <w:rsid w:val="002E311F"/>
    <w:rsid w:val="002E3182"/>
    <w:rsid w:val="002E3306"/>
    <w:rsid w:val="002E3458"/>
    <w:rsid w:val="002E36C0"/>
    <w:rsid w:val="002E40FC"/>
    <w:rsid w:val="002E4123"/>
    <w:rsid w:val="002E4827"/>
    <w:rsid w:val="002E48F7"/>
    <w:rsid w:val="002E4A32"/>
    <w:rsid w:val="002E4F02"/>
    <w:rsid w:val="002E528F"/>
    <w:rsid w:val="002E53CE"/>
    <w:rsid w:val="002E5FC0"/>
    <w:rsid w:val="002E65D5"/>
    <w:rsid w:val="002E69A3"/>
    <w:rsid w:val="002E6F5B"/>
    <w:rsid w:val="002E74B9"/>
    <w:rsid w:val="002E7707"/>
    <w:rsid w:val="002E7722"/>
    <w:rsid w:val="002E7AE6"/>
    <w:rsid w:val="002E7C14"/>
    <w:rsid w:val="002F0186"/>
    <w:rsid w:val="002F03E9"/>
    <w:rsid w:val="002F076A"/>
    <w:rsid w:val="002F076F"/>
    <w:rsid w:val="002F07BA"/>
    <w:rsid w:val="002F0931"/>
    <w:rsid w:val="002F0B51"/>
    <w:rsid w:val="002F0CE0"/>
    <w:rsid w:val="002F0DA9"/>
    <w:rsid w:val="002F0F16"/>
    <w:rsid w:val="002F1014"/>
    <w:rsid w:val="002F118F"/>
    <w:rsid w:val="002F140C"/>
    <w:rsid w:val="002F1A39"/>
    <w:rsid w:val="002F1E3B"/>
    <w:rsid w:val="002F2080"/>
    <w:rsid w:val="002F22C8"/>
    <w:rsid w:val="002F2A1F"/>
    <w:rsid w:val="002F2A34"/>
    <w:rsid w:val="002F2C3E"/>
    <w:rsid w:val="002F2DBD"/>
    <w:rsid w:val="002F3509"/>
    <w:rsid w:val="002F37B6"/>
    <w:rsid w:val="002F3E08"/>
    <w:rsid w:val="002F425D"/>
    <w:rsid w:val="002F4603"/>
    <w:rsid w:val="002F49B0"/>
    <w:rsid w:val="002F4E84"/>
    <w:rsid w:val="002F4ECA"/>
    <w:rsid w:val="002F5341"/>
    <w:rsid w:val="002F5BD7"/>
    <w:rsid w:val="002F5D7C"/>
    <w:rsid w:val="002F5DDF"/>
    <w:rsid w:val="002F5E86"/>
    <w:rsid w:val="002F5FBE"/>
    <w:rsid w:val="002F635D"/>
    <w:rsid w:val="002F643C"/>
    <w:rsid w:val="002F64A6"/>
    <w:rsid w:val="002F71C0"/>
    <w:rsid w:val="002F74F1"/>
    <w:rsid w:val="002F7D63"/>
    <w:rsid w:val="002F7F2F"/>
    <w:rsid w:val="0030008F"/>
    <w:rsid w:val="00300DA7"/>
    <w:rsid w:val="00300DDF"/>
    <w:rsid w:val="00300E6D"/>
    <w:rsid w:val="00300EDF"/>
    <w:rsid w:val="00300FD9"/>
    <w:rsid w:val="00301017"/>
    <w:rsid w:val="00301234"/>
    <w:rsid w:val="0030155F"/>
    <w:rsid w:val="003017A1"/>
    <w:rsid w:val="00302476"/>
    <w:rsid w:val="00302649"/>
    <w:rsid w:val="00302753"/>
    <w:rsid w:val="00302768"/>
    <w:rsid w:val="0030286A"/>
    <w:rsid w:val="00302D67"/>
    <w:rsid w:val="00303087"/>
    <w:rsid w:val="0030309F"/>
    <w:rsid w:val="00303BBC"/>
    <w:rsid w:val="003047E7"/>
    <w:rsid w:val="00304A0F"/>
    <w:rsid w:val="00305096"/>
    <w:rsid w:val="003053DE"/>
    <w:rsid w:val="0030562F"/>
    <w:rsid w:val="0030578A"/>
    <w:rsid w:val="0030587B"/>
    <w:rsid w:val="00305C59"/>
    <w:rsid w:val="00305EFF"/>
    <w:rsid w:val="00305F69"/>
    <w:rsid w:val="0030621B"/>
    <w:rsid w:val="00306266"/>
    <w:rsid w:val="003062BD"/>
    <w:rsid w:val="0030696F"/>
    <w:rsid w:val="00306D98"/>
    <w:rsid w:val="00306F81"/>
    <w:rsid w:val="00306FAE"/>
    <w:rsid w:val="00307105"/>
    <w:rsid w:val="0030786C"/>
    <w:rsid w:val="00307C0B"/>
    <w:rsid w:val="00307DBD"/>
    <w:rsid w:val="00307EBD"/>
    <w:rsid w:val="0031031A"/>
    <w:rsid w:val="0031045C"/>
    <w:rsid w:val="0031066F"/>
    <w:rsid w:val="00310872"/>
    <w:rsid w:val="00310981"/>
    <w:rsid w:val="00310D0C"/>
    <w:rsid w:val="00310D9E"/>
    <w:rsid w:val="00310E8D"/>
    <w:rsid w:val="00310F9E"/>
    <w:rsid w:val="003111AD"/>
    <w:rsid w:val="003113CC"/>
    <w:rsid w:val="00311A44"/>
    <w:rsid w:val="00311D0B"/>
    <w:rsid w:val="00311D9B"/>
    <w:rsid w:val="00312094"/>
    <w:rsid w:val="003120A7"/>
    <w:rsid w:val="00312267"/>
    <w:rsid w:val="003124D9"/>
    <w:rsid w:val="00312594"/>
    <w:rsid w:val="0031331F"/>
    <w:rsid w:val="00313F21"/>
    <w:rsid w:val="003142B0"/>
    <w:rsid w:val="003142B9"/>
    <w:rsid w:val="003146BB"/>
    <w:rsid w:val="0031489E"/>
    <w:rsid w:val="003148C3"/>
    <w:rsid w:val="003148CA"/>
    <w:rsid w:val="00314E29"/>
    <w:rsid w:val="00314FE0"/>
    <w:rsid w:val="003150AE"/>
    <w:rsid w:val="00315498"/>
    <w:rsid w:val="003154DA"/>
    <w:rsid w:val="00315C63"/>
    <w:rsid w:val="00315CA8"/>
    <w:rsid w:val="00315D24"/>
    <w:rsid w:val="003162EC"/>
    <w:rsid w:val="00316474"/>
    <w:rsid w:val="0031674D"/>
    <w:rsid w:val="00316BAA"/>
    <w:rsid w:val="00317031"/>
    <w:rsid w:val="003172F1"/>
    <w:rsid w:val="00317407"/>
    <w:rsid w:val="00317607"/>
    <w:rsid w:val="00317668"/>
    <w:rsid w:val="00317680"/>
    <w:rsid w:val="0032018A"/>
    <w:rsid w:val="003203CF"/>
    <w:rsid w:val="00320568"/>
    <w:rsid w:val="003205A5"/>
    <w:rsid w:val="003206B5"/>
    <w:rsid w:val="00320C9A"/>
    <w:rsid w:val="00320DEF"/>
    <w:rsid w:val="003216C7"/>
    <w:rsid w:val="003219CB"/>
    <w:rsid w:val="00321B54"/>
    <w:rsid w:val="00321B72"/>
    <w:rsid w:val="00322107"/>
    <w:rsid w:val="00322250"/>
    <w:rsid w:val="00322355"/>
    <w:rsid w:val="003224B6"/>
    <w:rsid w:val="00322846"/>
    <w:rsid w:val="00322F5A"/>
    <w:rsid w:val="0032300D"/>
    <w:rsid w:val="00323121"/>
    <w:rsid w:val="00324075"/>
    <w:rsid w:val="00324097"/>
    <w:rsid w:val="0032508D"/>
    <w:rsid w:val="0032583C"/>
    <w:rsid w:val="00325945"/>
    <w:rsid w:val="00326062"/>
    <w:rsid w:val="003260B1"/>
    <w:rsid w:val="0032631B"/>
    <w:rsid w:val="00326395"/>
    <w:rsid w:val="0032651E"/>
    <w:rsid w:val="00326784"/>
    <w:rsid w:val="00326DA7"/>
    <w:rsid w:val="00326DFB"/>
    <w:rsid w:val="00326FAF"/>
    <w:rsid w:val="003270E4"/>
    <w:rsid w:val="00327276"/>
    <w:rsid w:val="00327A54"/>
    <w:rsid w:val="00327D68"/>
    <w:rsid w:val="00327E75"/>
    <w:rsid w:val="00327F48"/>
    <w:rsid w:val="00330836"/>
    <w:rsid w:val="00330AD5"/>
    <w:rsid w:val="00330C8A"/>
    <w:rsid w:val="00330DAA"/>
    <w:rsid w:val="00330F5C"/>
    <w:rsid w:val="003313BB"/>
    <w:rsid w:val="003316B9"/>
    <w:rsid w:val="00331B12"/>
    <w:rsid w:val="0033275E"/>
    <w:rsid w:val="00332C41"/>
    <w:rsid w:val="00333C25"/>
    <w:rsid w:val="003343A0"/>
    <w:rsid w:val="003347A2"/>
    <w:rsid w:val="0033569E"/>
    <w:rsid w:val="003359B1"/>
    <w:rsid w:val="00335CA7"/>
    <w:rsid w:val="00335E52"/>
    <w:rsid w:val="003364C7"/>
    <w:rsid w:val="003365F9"/>
    <w:rsid w:val="003366C9"/>
    <w:rsid w:val="003368BD"/>
    <w:rsid w:val="00336BD4"/>
    <w:rsid w:val="00336C42"/>
    <w:rsid w:val="003371B0"/>
    <w:rsid w:val="00337A91"/>
    <w:rsid w:val="00337AE8"/>
    <w:rsid w:val="00337C6D"/>
    <w:rsid w:val="00337D1B"/>
    <w:rsid w:val="00337D23"/>
    <w:rsid w:val="00337D35"/>
    <w:rsid w:val="00337F5A"/>
    <w:rsid w:val="00340A6E"/>
    <w:rsid w:val="00340DF1"/>
    <w:rsid w:val="003414AB"/>
    <w:rsid w:val="003415A3"/>
    <w:rsid w:val="003418C7"/>
    <w:rsid w:val="00342140"/>
    <w:rsid w:val="0034229E"/>
    <w:rsid w:val="003431E3"/>
    <w:rsid w:val="003442B6"/>
    <w:rsid w:val="00344A2D"/>
    <w:rsid w:val="00344E16"/>
    <w:rsid w:val="003452B2"/>
    <w:rsid w:val="0034547F"/>
    <w:rsid w:val="0034551C"/>
    <w:rsid w:val="00345675"/>
    <w:rsid w:val="00345693"/>
    <w:rsid w:val="0034584B"/>
    <w:rsid w:val="00345A08"/>
    <w:rsid w:val="00345B37"/>
    <w:rsid w:val="00345F15"/>
    <w:rsid w:val="0034664B"/>
    <w:rsid w:val="00346A32"/>
    <w:rsid w:val="00346E26"/>
    <w:rsid w:val="00346F3C"/>
    <w:rsid w:val="00347026"/>
    <w:rsid w:val="00347041"/>
    <w:rsid w:val="0034719A"/>
    <w:rsid w:val="00347A53"/>
    <w:rsid w:val="003500F6"/>
    <w:rsid w:val="003504A3"/>
    <w:rsid w:val="00350EEE"/>
    <w:rsid w:val="0035150A"/>
    <w:rsid w:val="003517F9"/>
    <w:rsid w:val="00351A73"/>
    <w:rsid w:val="00351BA9"/>
    <w:rsid w:val="00351EEC"/>
    <w:rsid w:val="00351F00"/>
    <w:rsid w:val="00352083"/>
    <w:rsid w:val="00352142"/>
    <w:rsid w:val="0035226A"/>
    <w:rsid w:val="003524C2"/>
    <w:rsid w:val="00352856"/>
    <w:rsid w:val="00352984"/>
    <w:rsid w:val="003529B8"/>
    <w:rsid w:val="00352AE7"/>
    <w:rsid w:val="00352C8D"/>
    <w:rsid w:val="00352F0A"/>
    <w:rsid w:val="00353076"/>
    <w:rsid w:val="003536B6"/>
    <w:rsid w:val="0035374B"/>
    <w:rsid w:val="00353792"/>
    <w:rsid w:val="00353ECD"/>
    <w:rsid w:val="00354813"/>
    <w:rsid w:val="00354F64"/>
    <w:rsid w:val="003559A3"/>
    <w:rsid w:val="0035620E"/>
    <w:rsid w:val="00356858"/>
    <w:rsid w:val="00356AB6"/>
    <w:rsid w:val="00356B2D"/>
    <w:rsid w:val="00356BE3"/>
    <w:rsid w:val="00356D3E"/>
    <w:rsid w:val="0035708D"/>
    <w:rsid w:val="003571B6"/>
    <w:rsid w:val="003572DC"/>
    <w:rsid w:val="003574B3"/>
    <w:rsid w:val="003575BE"/>
    <w:rsid w:val="003576C9"/>
    <w:rsid w:val="00357E26"/>
    <w:rsid w:val="00357F8F"/>
    <w:rsid w:val="00357FD9"/>
    <w:rsid w:val="00360345"/>
    <w:rsid w:val="00360679"/>
    <w:rsid w:val="00360D14"/>
    <w:rsid w:val="00360ED6"/>
    <w:rsid w:val="00361A05"/>
    <w:rsid w:val="0036240A"/>
    <w:rsid w:val="003624C4"/>
    <w:rsid w:val="00362542"/>
    <w:rsid w:val="00362670"/>
    <w:rsid w:val="00362686"/>
    <w:rsid w:val="0036286E"/>
    <w:rsid w:val="00362AB8"/>
    <w:rsid w:val="00362B3F"/>
    <w:rsid w:val="00362E86"/>
    <w:rsid w:val="00362ED8"/>
    <w:rsid w:val="003630D4"/>
    <w:rsid w:val="00363316"/>
    <w:rsid w:val="00363379"/>
    <w:rsid w:val="0036367D"/>
    <w:rsid w:val="00363B00"/>
    <w:rsid w:val="00363CC5"/>
    <w:rsid w:val="00363D21"/>
    <w:rsid w:val="00363E31"/>
    <w:rsid w:val="00363EC3"/>
    <w:rsid w:val="00363FC1"/>
    <w:rsid w:val="00364128"/>
    <w:rsid w:val="0036424D"/>
    <w:rsid w:val="00364354"/>
    <w:rsid w:val="00364AF2"/>
    <w:rsid w:val="00364EC3"/>
    <w:rsid w:val="003652CD"/>
    <w:rsid w:val="003654AC"/>
    <w:rsid w:val="00365B7A"/>
    <w:rsid w:val="00365C73"/>
    <w:rsid w:val="00365FEC"/>
    <w:rsid w:val="00366179"/>
    <w:rsid w:val="003663E6"/>
    <w:rsid w:val="0036650D"/>
    <w:rsid w:val="003669F7"/>
    <w:rsid w:val="00366C26"/>
    <w:rsid w:val="00367309"/>
    <w:rsid w:val="003675B6"/>
    <w:rsid w:val="00367D71"/>
    <w:rsid w:val="00367E0D"/>
    <w:rsid w:val="00367E32"/>
    <w:rsid w:val="00370693"/>
    <w:rsid w:val="00370B00"/>
    <w:rsid w:val="00370DBE"/>
    <w:rsid w:val="00370DE2"/>
    <w:rsid w:val="00370F62"/>
    <w:rsid w:val="003710CF"/>
    <w:rsid w:val="00371154"/>
    <w:rsid w:val="00371283"/>
    <w:rsid w:val="00371782"/>
    <w:rsid w:val="00371A2C"/>
    <w:rsid w:val="003720F1"/>
    <w:rsid w:val="00372490"/>
    <w:rsid w:val="003726A0"/>
    <w:rsid w:val="00373122"/>
    <w:rsid w:val="00373456"/>
    <w:rsid w:val="003734CC"/>
    <w:rsid w:val="0037358A"/>
    <w:rsid w:val="00373681"/>
    <w:rsid w:val="003737C9"/>
    <w:rsid w:val="0037398E"/>
    <w:rsid w:val="00373C3E"/>
    <w:rsid w:val="00374086"/>
    <w:rsid w:val="00374697"/>
    <w:rsid w:val="0037497E"/>
    <w:rsid w:val="003749DD"/>
    <w:rsid w:val="00374C31"/>
    <w:rsid w:val="00374DB5"/>
    <w:rsid w:val="003750F6"/>
    <w:rsid w:val="0037514E"/>
    <w:rsid w:val="0037538D"/>
    <w:rsid w:val="00375407"/>
    <w:rsid w:val="0037545F"/>
    <w:rsid w:val="0037548F"/>
    <w:rsid w:val="0037554C"/>
    <w:rsid w:val="003755C2"/>
    <w:rsid w:val="00375624"/>
    <w:rsid w:val="00375EEF"/>
    <w:rsid w:val="003760FC"/>
    <w:rsid w:val="003768A6"/>
    <w:rsid w:val="003769DC"/>
    <w:rsid w:val="00376BB6"/>
    <w:rsid w:val="00376FD1"/>
    <w:rsid w:val="003771F8"/>
    <w:rsid w:val="003774E9"/>
    <w:rsid w:val="00380637"/>
    <w:rsid w:val="0038104E"/>
    <w:rsid w:val="0038186B"/>
    <w:rsid w:val="00381ACB"/>
    <w:rsid w:val="00381CBF"/>
    <w:rsid w:val="00381D3B"/>
    <w:rsid w:val="00381F51"/>
    <w:rsid w:val="00382100"/>
    <w:rsid w:val="003822FE"/>
    <w:rsid w:val="003823F6"/>
    <w:rsid w:val="003826C0"/>
    <w:rsid w:val="00382B09"/>
    <w:rsid w:val="00382C17"/>
    <w:rsid w:val="00382CAD"/>
    <w:rsid w:val="003832D5"/>
    <w:rsid w:val="003835AC"/>
    <w:rsid w:val="0038365C"/>
    <w:rsid w:val="0038369B"/>
    <w:rsid w:val="00383713"/>
    <w:rsid w:val="00383781"/>
    <w:rsid w:val="00383B78"/>
    <w:rsid w:val="003842C0"/>
    <w:rsid w:val="00384359"/>
    <w:rsid w:val="003848E1"/>
    <w:rsid w:val="003854D1"/>
    <w:rsid w:val="00385545"/>
    <w:rsid w:val="0038588E"/>
    <w:rsid w:val="00385A9D"/>
    <w:rsid w:val="00385D47"/>
    <w:rsid w:val="00385E28"/>
    <w:rsid w:val="00387121"/>
    <w:rsid w:val="00387C89"/>
    <w:rsid w:val="00387D95"/>
    <w:rsid w:val="00387E7A"/>
    <w:rsid w:val="003902B1"/>
    <w:rsid w:val="00390515"/>
    <w:rsid w:val="00390658"/>
    <w:rsid w:val="00390971"/>
    <w:rsid w:val="00390DD4"/>
    <w:rsid w:val="0039101D"/>
    <w:rsid w:val="00391601"/>
    <w:rsid w:val="0039163F"/>
    <w:rsid w:val="00391665"/>
    <w:rsid w:val="0039179C"/>
    <w:rsid w:val="003918D4"/>
    <w:rsid w:val="00391F5B"/>
    <w:rsid w:val="0039209A"/>
    <w:rsid w:val="0039227C"/>
    <w:rsid w:val="0039272B"/>
    <w:rsid w:val="00393039"/>
    <w:rsid w:val="00393087"/>
    <w:rsid w:val="00393469"/>
    <w:rsid w:val="0039356F"/>
    <w:rsid w:val="00393772"/>
    <w:rsid w:val="003938A8"/>
    <w:rsid w:val="00394084"/>
    <w:rsid w:val="00394A21"/>
    <w:rsid w:val="00394B89"/>
    <w:rsid w:val="00394D86"/>
    <w:rsid w:val="00394FEE"/>
    <w:rsid w:val="00395004"/>
    <w:rsid w:val="00395329"/>
    <w:rsid w:val="00395DC8"/>
    <w:rsid w:val="0039615C"/>
    <w:rsid w:val="003962A0"/>
    <w:rsid w:val="0039635C"/>
    <w:rsid w:val="00396896"/>
    <w:rsid w:val="00396A80"/>
    <w:rsid w:val="00396FD0"/>
    <w:rsid w:val="003970BA"/>
    <w:rsid w:val="003971A6"/>
    <w:rsid w:val="00397855"/>
    <w:rsid w:val="00397EEC"/>
    <w:rsid w:val="003A0241"/>
    <w:rsid w:val="003A04CA"/>
    <w:rsid w:val="003A07A7"/>
    <w:rsid w:val="003A086C"/>
    <w:rsid w:val="003A0BC4"/>
    <w:rsid w:val="003A0D98"/>
    <w:rsid w:val="003A0E77"/>
    <w:rsid w:val="003A1225"/>
    <w:rsid w:val="003A16A6"/>
    <w:rsid w:val="003A1824"/>
    <w:rsid w:val="003A1A7A"/>
    <w:rsid w:val="003A1A9E"/>
    <w:rsid w:val="003A1CF3"/>
    <w:rsid w:val="003A1DA2"/>
    <w:rsid w:val="003A218E"/>
    <w:rsid w:val="003A2392"/>
    <w:rsid w:val="003A23D0"/>
    <w:rsid w:val="003A24F0"/>
    <w:rsid w:val="003A272F"/>
    <w:rsid w:val="003A2771"/>
    <w:rsid w:val="003A2831"/>
    <w:rsid w:val="003A28DA"/>
    <w:rsid w:val="003A2A35"/>
    <w:rsid w:val="003A2C71"/>
    <w:rsid w:val="003A3097"/>
    <w:rsid w:val="003A33CD"/>
    <w:rsid w:val="003A36FC"/>
    <w:rsid w:val="003A3A6F"/>
    <w:rsid w:val="003A3C6F"/>
    <w:rsid w:val="003A3CB6"/>
    <w:rsid w:val="003A3D7F"/>
    <w:rsid w:val="003A3ED1"/>
    <w:rsid w:val="003A42E9"/>
    <w:rsid w:val="003A44DB"/>
    <w:rsid w:val="003A45D3"/>
    <w:rsid w:val="003A4C14"/>
    <w:rsid w:val="003A4DC4"/>
    <w:rsid w:val="003A526A"/>
    <w:rsid w:val="003A5455"/>
    <w:rsid w:val="003A5527"/>
    <w:rsid w:val="003A57C6"/>
    <w:rsid w:val="003A58E4"/>
    <w:rsid w:val="003A5A26"/>
    <w:rsid w:val="003A5A5D"/>
    <w:rsid w:val="003A5ED0"/>
    <w:rsid w:val="003A608F"/>
    <w:rsid w:val="003A6B8A"/>
    <w:rsid w:val="003A6D41"/>
    <w:rsid w:val="003A6DDB"/>
    <w:rsid w:val="003A6E44"/>
    <w:rsid w:val="003A7135"/>
    <w:rsid w:val="003A73B9"/>
    <w:rsid w:val="003A760E"/>
    <w:rsid w:val="003A7EE8"/>
    <w:rsid w:val="003B0289"/>
    <w:rsid w:val="003B0672"/>
    <w:rsid w:val="003B0A39"/>
    <w:rsid w:val="003B0D36"/>
    <w:rsid w:val="003B1187"/>
    <w:rsid w:val="003B119B"/>
    <w:rsid w:val="003B11CE"/>
    <w:rsid w:val="003B122A"/>
    <w:rsid w:val="003B13BF"/>
    <w:rsid w:val="003B14E3"/>
    <w:rsid w:val="003B2265"/>
    <w:rsid w:val="003B28F9"/>
    <w:rsid w:val="003B3511"/>
    <w:rsid w:val="003B3971"/>
    <w:rsid w:val="003B3A1E"/>
    <w:rsid w:val="003B3B62"/>
    <w:rsid w:val="003B3CAC"/>
    <w:rsid w:val="003B4701"/>
    <w:rsid w:val="003B492F"/>
    <w:rsid w:val="003B4964"/>
    <w:rsid w:val="003B4C1D"/>
    <w:rsid w:val="003B4F79"/>
    <w:rsid w:val="003B50AC"/>
    <w:rsid w:val="003B55D1"/>
    <w:rsid w:val="003B56AA"/>
    <w:rsid w:val="003B598D"/>
    <w:rsid w:val="003B5B61"/>
    <w:rsid w:val="003B5D2A"/>
    <w:rsid w:val="003B5E4A"/>
    <w:rsid w:val="003B61C0"/>
    <w:rsid w:val="003B63E2"/>
    <w:rsid w:val="003B66A3"/>
    <w:rsid w:val="003B66B8"/>
    <w:rsid w:val="003B71A8"/>
    <w:rsid w:val="003B73A7"/>
    <w:rsid w:val="003B7D61"/>
    <w:rsid w:val="003B7FE3"/>
    <w:rsid w:val="003C02CE"/>
    <w:rsid w:val="003C065A"/>
    <w:rsid w:val="003C06B2"/>
    <w:rsid w:val="003C0963"/>
    <w:rsid w:val="003C0A53"/>
    <w:rsid w:val="003C0A8D"/>
    <w:rsid w:val="003C100F"/>
    <w:rsid w:val="003C1654"/>
    <w:rsid w:val="003C1BA2"/>
    <w:rsid w:val="003C2230"/>
    <w:rsid w:val="003C2A79"/>
    <w:rsid w:val="003C2D6D"/>
    <w:rsid w:val="003C2DE2"/>
    <w:rsid w:val="003C2E20"/>
    <w:rsid w:val="003C30BD"/>
    <w:rsid w:val="003C34B0"/>
    <w:rsid w:val="003C37A1"/>
    <w:rsid w:val="003C3A2A"/>
    <w:rsid w:val="003C3B22"/>
    <w:rsid w:val="003C3ECC"/>
    <w:rsid w:val="003C42AA"/>
    <w:rsid w:val="003C455E"/>
    <w:rsid w:val="003C4562"/>
    <w:rsid w:val="003C4723"/>
    <w:rsid w:val="003C4871"/>
    <w:rsid w:val="003C4E20"/>
    <w:rsid w:val="003C5015"/>
    <w:rsid w:val="003C5204"/>
    <w:rsid w:val="003C5542"/>
    <w:rsid w:val="003C5663"/>
    <w:rsid w:val="003C5921"/>
    <w:rsid w:val="003C5946"/>
    <w:rsid w:val="003C5B3B"/>
    <w:rsid w:val="003C6268"/>
    <w:rsid w:val="003C6318"/>
    <w:rsid w:val="003C6377"/>
    <w:rsid w:val="003C66D0"/>
    <w:rsid w:val="003C692B"/>
    <w:rsid w:val="003C747D"/>
    <w:rsid w:val="003C7536"/>
    <w:rsid w:val="003C771D"/>
    <w:rsid w:val="003C7761"/>
    <w:rsid w:val="003C776D"/>
    <w:rsid w:val="003C78B7"/>
    <w:rsid w:val="003C7908"/>
    <w:rsid w:val="003C7C15"/>
    <w:rsid w:val="003C7CB7"/>
    <w:rsid w:val="003C7D19"/>
    <w:rsid w:val="003C7D2F"/>
    <w:rsid w:val="003C7D41"/>
    <w:rsid w:val="003D0A80"/>
    <w:rsid w:val="003D0C5A"/>
    <w:rsid w:val="003D0ECC"/>
    <w:rsid w:val="003D0F88"/>
    <w:rsid w:val="003D135E"/>
    <w:rsid w:val="003D1828"/>
    <w:rsid w:val="003D18A5"/>
    <w:rsid w:val="003D1C59"/>
    <w:rsid w:val="003D1CA3"/>
    <w:rsid w:val="003D1D3F"/>
    <w:rsid w:val="003D1DE4"/>
    <w:rsid w:val="003D1E9A"/>
    <w:rsid w:val="003D2267"/>
    <w:rsid w:val="003D2422"/>
    <w:rsid w:val="003D2682"/>
    <w:rsid w:val="003D3645"/>
    <w:rsid w:val="003D364A"/>
    <w:rsid w:val="003D3777"/>
    <w:rsid w:val="003D39A1"/>
    <w:rsid w:val="003D3F6D"/>
    <w:rsid w:val="003D3FBF"/>
    <w:rsid w:val="003D404F"/>
    <w:rsid w:val="003D4170"/>
    <w:rsid w:val="003D429A"/>
    <w:rsid w:val="003D4646"/>
    <w:rsid w:val="003D4895"/>
    <w:rsid w:val="003D4A30"/>
    <w:rsid w:val="003D51C6"/>
    <w:rsid w:val="003D5379"/>
    <w:rsid w:val="003D53C5"/>
    <w:rsid w:val="003D5483"/>
    <w:rsid w:val="003D5888"/>
    <w:rsid w:val="003D59CB"/>
    <w:rsid w:val="003D5C03"/>
    <w:rsid w:val="003D5EF4"/>
    <w:rsid w:val="003D5F2B"/>
    <w:rsid w:val="003D6622"/>
    <w:rsid w:val="003D6B61"/>
    <w:rsid w:val="003D6C4C"/>
    <w:rsid w:val="003D7074"/>
    <w:rsid w:val="003D730A"/>
    <w:rsid w:val="003D7452"/>
    <w:rsid w:val="003D7715"/>
    <w:rsid w:val="003D79BB"/>
    <w:rsid w:val="003D7A48"/>
    <w:rsid w:val="003D7C06"/>
    <w:rsid w:val="003D7C98"/>
    <w:rsid w:val="003D7D9D"/>
    <w:rsid w:val="003D7E1F"/>
    <w:rsid w:val="003E0344"/>
    <w:rsid w:val="003E0543"/>
    <w:rsid w:val="003E0FD5"/>
    <w:rsid w:val="003E13AA"/>
    <w:rsid w:val="003E16E8"/>
    <w:rsid w:val="003E1F7D"/>
    <w:rsid w:val="003E25BF"/>
    <w:rsid w:val="003E25CA"/>
    <w:rsid w:val="003E2A3C"/>
    <w:rsid w:val="003E2B17"/>
    <w:rsid w:val="003E2E1A"/>
    <w:rsid w:val="003E31B8"/>
    <w:rsid w:val="003E31C7"/>
    <w:rsid w:val="003E355E"/>
    <w:rsid w:val="003E3568"/>
    <w:rsid w:val="003E3600"/>
    <w:rsid w:val="003E3845"/>
    <w:rsid w:val="003E445E"/>
    <w:rsid w:val="003E49A7"/>
    <w:rsid w:val="003E4D05"/>
    <w:rsid w:val="003E4EF0"/>
    <w:rsid w:val="003E4F63"/>
    <w:rsid w:val="003E505E"/>
    <w:rsid w:val="003E5496"/>
    <w:rsid w:val="003E5603"/>
    <w:rsid w:val="003E5806"/>
    <w:rsid w:val="003E5CBD"/>
    <w:rsid w:val="003E63E2"/>
    <w:rsid w:val="003E7180"/>
    <w:rsid w:val="003E7212"/>
    <w:rsid w:val="003E749E"/>
    <w:rsid w:val="003E7501"/>
    <w:rsid w:val="003E7C7A"/>
    <w:rsid w:val="003E7E62"/>
    <w:rsid w:val="003E7E85"/>
    <w:rsid w:val="003F046E"/>
    <w:rsid w:val="003F0753"/>
    <w:rsid w:val="003F135C"/>
    <w:rsid w:val="003F1C75"/>
    <w:rsid w:val="003F2405"/>
    <w:rsid w:val="003F277D"/>
    <w:rsid w:val="003F2C14"/>
    <w:rsid w:val="003F337E"/>
    <w:rsid w:val="003F3702"/>
    <w:rsid w:val="003F3C03"/>
    <w:rsid w:val="003F3C98"/>
    <w:rsid w:val="003F3F39"/>
    <w:rsid w:val="003F4156"/>
    <w:rsid w:val="003F4379"/>
    <w:rsid w:val="003F48A5"/>
    <w:rsid w:val="003F48BB"/>
    <w:rsid w:val="003F4C89"/>
    <w:rsid w:val="003F5287"/>
    <w:rsid w:val="003F54B8"/>
    <w:rsid w:val="003F56B3"/>
    <w:rsid w:val="003F5A2A"/>
    <w:rsid w:val="003F5A4A"/>
    <w:rsid w:val="003F5ADF"/>
    <w:rsid w:val="003F5EFE"/>
    <w:rsid w:val="003F5FB3"/>
    <w:rsid w:val="003F5FF8"/>
    <w:rsid w:val="003F60F2"/>
    <w:rsid w:val="003F63F0"/>
    <w:rsid w:val="003F660F"/>
    <w:rsid w:val="003F662B"/>
    <w:rsid w:val="003F66B6"/>
    <w:rsid w:val="003F6A67"/>
    <w:rsid w:val="003F6FED"/>
    <w:rsid w:val="003F77FB"/>
    <w:rsid w:val="003F7A3F"/>
    <w:rsid w:val="003F7BC3"/>
    <w:rsid w:val="004000D3"/>
    <w:rsid w:val="00400AB3"/>
    <w:rsid w:val="00400B29"/>
    <w:rsid w:val="00400C7B"/>
    <w:rsid w:val="00400CF1"/>
    <w:rsid w:val="0040121D"/>
    <w:rsid w:val="00401897"/>
    <w:rsid w:val="00401E2B"/>
    <w:rsid w:val="00401E6A"/>
    <w:rsid w:val="00402409"/>
    <w:rsid w:val="00402812"/>
    <w:rsid w:val="00402893"/>
    <w:rsid w:val="004032CE"/>
    <w:rsid w:val="0040338E"/>
    <w:rsid w:val="004033BF"/>
    <w:rsid w:val="004036CC"/>
    <w:rsid w:val="00403741"/>
    <w:rsid w:val="004048F0"/>
    <w:rsid w:val="00404EE8"/>
    <w:rsid w:val="00404FFC"/>
    <w:rsid w:val="0040504B"/>
    <w:rsid w:val="004059F4"/>
    <w:rsid w:val="00405A75"/>
    <w:rsid w:val="00406691"/>
    <w:rsid w:val="00406770"/>
    <w:rsid w:val="00406836"/>
    <w:rsid w:val="004078DA"/>
    <w:rsid w:val="00407976"/>
    <w:rsid w:val="00407BA7"/>
    <w:rsid w:val="00407FE5"/>
    <w:rsid w:val="004101B0"/>
    <w:rsid w:val="00410326"/>
    <w:rsid w:val="00410352"/>
    <w:rsid w:val="00410708"/>
    <w:rsid w:val="0041093F"/>
    <w:rsid w:val="00410EC7"/>
    <w:rsid w:val="004111C5"/>
    <w:rsid w:val="00411B39"/>
    <w:rsid w:val="00411BA3"/>
    <w:rsid w:val="00411C9C"/>
    <w:rsid w:val="00411DB6"/>
    <w:rsid w:val="00411E24"/>
    <w:rsid w:val="00412521"/>
    <w:rsid w:val="0041264A"/>
    <w:rsid w:val="004127A7"/>
    <w:rsid w:val="00412815"/>
    <w:rsid w:val="00412B8D"/>
    <w:rsid w:val="00412C60"/>
    <w:rsid w:val="004130DB"/>
    <w:rsid w:val="00413425"/>
    <w:rsid w:val="00413A1E"/>
    <w:rsid w:val="00413A4C"/>
    <w:rsid w:val="00413BB7"/>
    <w:rsid w:val="00413E59"/>
    <w:rsid w:val="00414476"/>
    <w:rsid w:val="004145CF"/>
    <w:rsid w:val="00414C2E"/>
    <w:rsid w:val="00414E59"/>
    <w:rsid w:val="00414F81"/>
    <w:rsid w:val="004151CF"/>
    <w:rsid w:val="00415276"/>
    <w:rsid w:val="004152BC"/>
    <w:rsid w:val="004159C5"/>
    <w:rsid w:val="00415E60"/>
    <w:rsid w:val="00415F85"/>
    <w:rsid w:val="00416364"/>
    <w:rsid w:val="0041701F"/>
    <w:rsid w:val="0041735D"/>
    <w:rsid w:val="00417376"/>
    <w:rsid w:val="0041763F"/>
    <w:rsid w:val="00417699"/>
    <w:rsid w:val="0041772E"/>
    <w:rsid w:val="00417733"/>
    <w:rsid w:val="0041781D"/>
    <w:rsid w:val="00417884"/>
    <w:rsid w:val="004179CE"/>
    <w:rsid w:val="00417A69"/>
    <w:rsid w:val="00417E79"/>
    <w:rsid w:val="00420252"/>
    <w:rsid w:val="0042047F"/>
    <w:rsid w:val="00420AA6"/>
    <w:rsid w:val="00420B9F"/>
    <w:rsid w:val="00420C9F"/>
    <w:rsid w:val="00420D10"/>
    <w:rsid w:val="00420D8C"/>
    <w:rsid w:val="0042127B"/>
    <w:rsid w:val="0042169D"/>
    <w:rsid w:val="0042192C"/>
    <w:rsid w:val="00421F00"/>
    <w:rsid w:val="00421F20"/>
    <w:rsid w:val="00422260"/>
    <w:rsid w:val="004226BC"/>
    <w:rsid w:val="00422995"/>
    <w:rsid w:val="00422C2D"/>
    <w:rsid w:val="00423803"/>
    <w:rsid w:val="00423B6A"/>
    <w:rsid w:val="0042407F"/>
    <w:rsid w:val="0042413F"/>
    <w:rsid w:val="004243A7"/>
    <w:rsid w:val="004247E0"/>
    <w:rsid w:val="00424930"/>
    <w:rsid w:val="00424AC2"/>
    <w:rsid w:val="00424CDD"/>
    <w:rsid w:val="00424EFD"/>
    <w:rsid w:val="004257CE"/>
    <w:rsid w:val="00425CF4"/>
    <w:rsid w:val="004261EA"/>
    <w:rsid w:val="00426691"/>
    <w:rsid w:val="0042749A"/>
    <w:rsid w:val="00430183"/>
    <w:rsid w:val="00430B92"/>
    <w:rsid w:val="004311D8"/>
    <w:rsid w:val="004312D0"/>
    <w:rsid w:val="00431626"/>
    <w:rsid w:val="00431687"/>
    <w:rsid w:val="004319F8"/>
    <w:rsid w:val="00431C04"/>
    <w:rsid w:val="00431E55"/>
    <w:rsid w:val="00432047"/>
    <w:rsid w:val="004321F6"/>
    <w:rsid w:val="00432AF0"/>
    <w:rsid w:val="00432E16"/>
    <w:rsid w:val="00433044"/>
    <w:rsid w:val="0043349A"/>
    <w:rsid w:val="004334F7"/>
    <w:rsid w:val="004335D3"/>
    <w:rsid w:val="00433AC5"/>
    <w:rsid w:val="00434088"/>
    <w:rsid w:val="00434538"/>
    <w:rsid w:val="00434694"/>
    <w:rsid w:val="00434B98"/>
    <w:rsid w:val="00435CFB"/>
    <w:rsid w:val="00435E96"/>
    <w:rsid w:val="00436711"/>
    <w:rsid w:val="00436D15"/>
    <w:rsid w:val="00437055"/>
    <w:rsid w:val="0043751D"/>
    <w:rsid w:val="004375B9"/>
    <w:rsid w:val="00437713"/>
    <w:rsid w:val="00437747"/>
    <w:rsid w:val="00440A25"/>
    <w:rsid w:val="00440E70"/>
    <w:rsid w:val="00441653"/>
    <w:rsid w:val="0044179F"/>
    <w:rsid w:val="00441932"/>
    <w:rsid w:val="00441A5B"/>
    <w:rsid w:val="00441B0E"/>
    <w:rsid w:val="00441B70"/>
    <w:rsid w:val="0044214D"/>
    <w:rsid w:val="004428D0"/>
    <w:rsid w:val="00442AE9"/>
    <w:rsid w:val="00442D4F"/>
    <w:rsid w:val="0044318C"/>
    <w:rsid w:val="004435B6"/>
    <w:rsid w:val="00443811"/>
    <w:rsid w:val="00444185"/>
    <w:rsid w:val="004443A7"/>
    <w:rsid w:val="0044442C"/>
    <w:rsid w:val="00444576"/>
    <w:rsid w:val="00444969"/>
    <w:rsid w:val="00444D66"/>
    <w:rsid w:val="004450CD"/>
    <w:rsid w:val="00445941"/>
    <w:rsid w:val="00445D93"/>
    <w:rsid w:val="004464EB"/>
    <w:rsid w:val="00446DC3"/>
    <w:rsid w:val="004478C9"/>
    <w:rsid w:val="00447CDD"/>
    <w:rsid w:val="00447D26"/>
    <w:rsid w:val="00447DFC"/>
    <w:rsid w:val="00447EF2"/>
    <w:rsid w:val="00450453"/>
    <w:rsid w:val="004505D0"/>
    <w:rsid w:val="00450663"/>
    <w:rsid w:val="004506BD"/>
    <w:rsid w:val="0045076D"/>
    <w:rsid w:val="00450945"/>
    <w:rsid w:val="00450EC3"/>
    <w:rsid w:val="00451185"/>
    <w:rsid w:val="00451547"/>
    <w:rsid w:val="004515D5"/>
    <w:rsid w:val="00451D50"/>
    <w:rsid w:val="00451DBA"/>
    <w:rsid w:val="00451FC0"/>
    <w:rsid w:val="00452386"/>
    <w:rsid w:val="004526A8"/>
    <w:rsid w:val="0045290D"/>
    <w:rsid w:val="00452926"/>
    <w:rsid w:val="0045298A"/>
    <w:rsid w:val="004533EB"/>
    <w:rsid w:val="00453451"/>
    <w:rsid w:val="004535F1"/>
    <w:rsid w:val="0045380B"/>
    <w:rsid w:val="00453F51"/>
    <w:rsid w:val="004541E3"/>
    <w:rsid w:val="00454358"/>
    <w:rsid w:val="0045451E"/>
    <w:rsid w:val="0045464C"/>
    <w:rsid w:val="004546B9"/>
    <w:rsid w:val="004546BD"/>
    <w:rsid w:val="00454703"/>
    <w:rsid w:val="00454CAE"/>
    <w:rsid w:val="00454F92"/>
    <w:rsid w:val="00454FDE"/>
    <w:rsid w:val="004555E6"/>
    <w:rsid w:val="00455D45"/>
    <w:rsid w:val="004565F0"/>
    <w:rsid w:val="0045707B"/>
    <w:rsid w:val="00457FC9"/>
    <w:rsid w:val="0046035C"/>
    <w:rsid w:val="004609AE"/>
    <w:rsid w:val="004609D3"/>
    <w:rsid w:val="00460AAD"/>
    <w:rsid w:val="00460B11"/>
    <w:rsid w:val="004610E3"/>
    <w:rsid w:val="004610F4"/>
    <w:rsid w:val="0046126B"/>
    <w:rsid w:val="0046153A"/>
    <w:rsid w:val="0046194B"/>
    <w:rsid w:val="00461ADB"/>
    <w:rsid w:val="00461D7A"/>
    <w:rsid w:val="00461FBA"/>
    <w:rsid w:val="004623DD"/>
    <w:rsid w:val="00462D5F"/>
    <w:rsid w:val="00463954"/>
    <w:rsid w:val="00464030"/>
    <w:rsid w:val="0046417B"/>
    <w:rsid w:val="004641A2"/>
    <w:rsid w:val="00464595"/>
    <w:rsid w:val="00464698"/>
    <w:rsid w:val="0046499B"/>
    <w:rsid w:val="00464BB4"/>
    <w:rsid w:val="004658B5"/>
    <w:rsid w:val="00465E0A"/>
    <w:rsid w:val="00466378"/>
    <w:rsid w:val="00466930"/>
    <w:rsid w:val="00466D37"/>
    <w:rsid w:val="00466EB1"/>
    <w:rsid w:val="0046730F"/>
    <w:rsid w:val="00467507"/>
    <w:rsid w:val="00470AE2"/>
    <w:rsid w:val="00470B20"/>
    <w:rsid w:val="00470ED0"/>
    <w:rsid w:val="00470F67"/>
    <w:rsid w:val="00470FC8"/>
    <w:rsid w:val="0047105E"/>
    <w:rsid w:val="00471175"/>
    <w:rsid w:val="0047164D"/>
    <w:rsid w:val="004717C4"/>
    <w:rsid w:val="00471857"/>
    <w:rsid w:val="0047195B"/>
    <w:rsid w:val="00471B0A"/>
    <w:rsid w:val="00471EA5"/>
    <w:rsid w:val="00472368"/>
    <w:rsid w:val="00472384"/>
    <w:rsid w:val="0047257B"/>
    <w:rsid w:val="004726D3"/>
    <w:rsid w:val="0047275A"/>
    <w:rsid w:val="0047275E"/>
    <w:rsid w:val="00472A79"/>
    <w:rsid w:val="00472B35"/>
    <w:rsid w:val="00472C81"/>
    <w:rsid w:val="00473492"/>
    <w:rsid w:val="00473B9D"/>
    <w:rsid w:val="00473F02"/>
    <w:rsid w:val="00473F19"/>
    <w:rsid w:val="00474378"/>
    <w:rsid w:val="0047451D"/>
    <w:rsid w:val="00474876"/>
    <w:rsid w:val="0047490C"/>
    <w:rsid w:val="00474F15"/>
    <w:rsid w:val="00474F1E"/>
    <w:rsid w:val="004751B2"/>
    <w:rsid w:val="00475269"/>
    <w:rsid w:val="004759A0"/>
    <w:rsid w:val="00475C7A"/>
    <w:rsid w:val="00475C95"/>
    <w:rsid w:val="00475E22"/>
    <w:rsid w:val="0047648D"/>
    <w:rsid w:val="004765B1"/>
    <w:rsid w:val="0047680B"/>
    <w:rsid w:val="00476BB1"/>
    <w:rsid w:val="004770D3"/>
    <w:rsid w:val="004774A8"/>
    <w:rsid w:val="00477975"/>
    <w:rsid w:val="0048004C"/>
    <w:rsid w:val="00480192"/>
    <w:rsid w:val="004804BB"/>
    <w:rsid w:val="0048088E"/>
    <w:rsid w:val="00480892"/>
    <w:rsid w:val="00480AF5"/>
    <w:rsid w:val="00480F10"/>
    <w:rsid w:val="00480F2B"/>
    <w:rsid w:val="0048119A"/>
    <w:rsid w:val="00481263"/>
    <w:rsid w:val="00481326"/>
    <w:rsid w:val="00481350"/>
    <w:rsid w:val="004823FA"/>
    <w:rsid w:val="0048265C"/>
    <w:rsid w:val="00482720"/>
    <w:rsid w:val="00482C0A"/>
    <w:rsid w:val="00482C8D"/>
    <w:rsid w:val="00482DB3"/>
    <w:rsid w:val="004835E7"/>
    <w:rsid w:val="00483AD6"/>
    <w:rsid w:val="00483B10"/>
    <w:rsid w:val="0048416B"/>
    <w:rsid w:val="0048427D"/>
    <w:rsid w:val="0048454A"/>
    <w:rsid w:val="00484586"/>
    <w:rsid w:val="00484ACE"/>
    <w:rsid w:val="00484EF9"/>
    <w:rsid w:val="00484F59"/>
    <w:rsid w:val="0048516D"/>
    <w:rsid w:val="004852D5"/>
    <w:rsid w:val="004853D8"/>
    <w:rsid w:val="004854AF"/>
    <w:rsid w:val="0048564A"/>
    <w:rsid w:val="004859E1"/>
    <w:rsid w:val="00485CBF"/>
    <w:rsid w:val="0048614A"/>
    <w:rsid w:val="004867BC"/>
    <w:rsid w:val="004867E2"/>
    <w:rsid w:val="00486A2C"/>
    <w:rsid w:val="00486CCF"/>
    <w:rsid w:val="004871D7"/>
    <w:rsid w:val="004872DC"/>
    <w:rsid w:val="00487B36"/>
    <w:rsid w:val="004906E4"/>
    <w:rsid w:val="00490B17"/>
    <w:rsid w:val="00490BEF"/>
    <w:rsid w:val="00490C58"/>
    <w:rsid w:val="00490EA2"/>
    <w:rsid w:val="0049129C"/>
    <w:rsid w:val="0049140B"/>
    <w:rsid w:val="00491646"/>
    <w:rsid w:val="00491B3A"/>
    <w:rsid w:val="00491D70"/>
    <w:rsid w:val="00491E76"/>
    <w:rsid w:val="00491EED"/>
    <w:rsid w:val="004920B6"/>
    <w:rsid w:val="004921DA"/>
    <w:rsid w:val="004923BB"/>
    <w:rsid w:val="00492CFD"/>
    <w:rsid w:val="00493228"/>
    <w:rsid w:val="004933A3"/>
    <w:rsid w:val="004936DB"/>
    <w:rsid w:val="00493A77"/>
    <w:rsid w:val="00493C57"/>
    <w:rsid w:val="00493D99"/>
    <w:rsid w:val="00493EFB"/>
    <w:rsid w:val="00493FA3"/>
    <w:rsid w:val="00494207"/>
    <w:rsid w:val="00494467"/>
    <w:rsid w:val="004946B5"/>
    <w:rsid w:val="00494A3C"/>
    <w:rsid w:val="00494A59"/>
    <w:rsid w:val="00494DD5"/>
    <w:rsid w:val="0049524F"/>
    <w:rsid w:val="0049595F"/>
    <w:rsid w:val="00495A26"/>
    <w:rsid w:val="00495B85"/>
    <w:rsid w:val="004962D2"/>
    <w:rsid w:val="00496A6E"/>
    <w:rsid w:val="00496A7D"/>
    <w:rsid w:val="00496CA0"/>
    <w:rsid w:val="00496E5F"/>
    <w:rsid w:val="0049712B"/>
    <w:rsid w:val="004977F9"/>
    <w:rsid w:val="0049796D"/>
    <w:rsid w:val="004A0064"/>
    <w:rsid w:val="004A04EB"/>
    <w:rsid w:val="004A0687"/>
    <w:rsid w:val="004A0867"/>
    <w:rsid w:val="004A0DA1"/>
    <w:rsid w:val="004A0DEC"/>
    <w:rsid w:val="004A128D"/>
    <w:rsid w:val="004A13D6"/>
    <w:rsid w:val="004A1B70"/>
    <w:rsid w:val="004A232C"/>
    <w:rsid w:val="004A2667"/>
    <w:rsid w:val="004A34B1"/>
    <w:rsid w:val="004A3B69"/>
    <w:rsid w:val="004A3D48"/>
    <w:rsid w:val="004A44E5"/>
    <w:rsid w:val="004A4805"/>
    <w:rsid w:val="004A4DD1"/>
    <w:rsid w:val="004A5050"/>
    <w:rsid w:val="004A510F"/>
    <w:rsid w:val="004A5278"/>
    <w:rsid w:val="004A52E9"/>
    <w:rsid w:val="004A535A"/>
    <w:rsid w:val="004A5578"/>
    <w:rsid w:val="004A5DB3"/>
    <w:rsid w:val="004A5E1E"/>
    <w:rsid w:val="004A6040"/>
    <w:rsid w:val="004A631A"/>
    <w:rsid w:val="004A631B"/>
    <w:rsid w:val="004A6597"/>
    <w:rsid w:val="004A6781"/>
    <w:rsid w:val="004A6B08"/>
    <w:rsid w:val="004A6E87"/>
    <w:rsid w:val="004A7430"/>
    <w:rsid w:val="004A7459"/>
    <w:rsid w:val="004A74AC"/>
    <w:rsid w:val="004A7708"/>
    <w:rsid w:val="004A7848"/>
    <w:rsid w:val="004A793B"/>
    <w:rsid w:val="004B039D"/>
    <w:rsid w:val="004B04EE"/>
    <w:rsid w:val="004B07BD"/>
    <w:rsid w:val="004B109F"/>
    <w:rsid w:val="004B1150"/>
    <w:rsid w:val="004B1570"/>
    <w:rsid w:val="004B16F5"/>
    <w:rsid w:val="004B178B"/>
    <w:rsid w:val="004B1BF1"/>
    <w:rsid w:val="004B1CB4"/>
    <w:rsid w:val="004B1D86"/>
    <w:rsid w:val="004B2DB4"/>
    <w:rsid w:val="004B2F18"/>
    <w:rsid w:val="004B3332"/>
    <w:rsid w:val="004B3DDB"/>
    <w:rsid w:val="004B3FB4"/>
    <w:rsid w:val="004B44FD"/>
    <w:rsid w:val="004B4533"/>
    <w:rsid w:val="004B4C72"/>
    <w:rsid w:val="004B4EF0"/>
    <w:rsid w:val="004B5A82"/>
    <w:rsid w:val="004B5AA7"/>
    <w:rsid w:val="004B5B27"/>
    <w:rsid w:val="004B5CFC"/>
    <w:rsid w:val="004B66B6"/>
    <w:rsid w:val="004B67F0"/>
    <w:rsid w:val="004B6BAD"/>
    <w:rsid w:val="004B6F79"/>
    <w:rsid w:val="004B7222"/>
    <w:rsid w:val="004B725A"/>
    <w:rsid w:val="004B7559"/>
    <w:rsid w:val="004B76BE"/>
    <w:rsid w:val="004B774D"/>
    <w:rsid w:val="004B7CF7"/>
    <w:rsid w:val="004B7D27"/>
    <w:rsid w:val="004B7F46"/>
    <w:rsid w:val="004C00EE"/>
    <w:rsid w:val="004C0333"/>
    <w:rsid w:val="004C047F"/>
    <w:rsid w:val="004C062F"/>
    <w:rsid w:val="004C08D3"/>
    <w:rsid w:val="004C0B4C"/>
    <w:rsid w:val="004C0D31"/>
    <w:rsid w:val="004C0E24"/>
    <w:rsid w:val="004C119B"/>
    <w:rsid w:val="004C1574"/>
    <w:rsid w:val="004C164C"/>
    <w:rsid w:val="004C1831"/>
    <w:rsid w:val="004C2AC2"/>
    <w:rsid w:val="004C30D6"/>
    <w:rsid w:val="004C40B8"/>
    <w:rsid w:val="004C456B"/>
    <w:rsid w:val="004C4AED"/>
    <w:rsid w:val="004C52E3"/>
    <w:rsid w:val="004C546B"/>
    <w:rsid w:val="004C56FB"/>
    <w:rsid w:val="004C58A4"/>
    <w:rsid w:val="004C591A"/>
    <w:rsid w:val="004C627B"/>
    <w:rsid w:val="004C6895"/>
    <w:rsid w:val="004C6D22"/>
    <w:rsid w:val="004C6ED0"/>
    <w:rsid w:val="004C737D"/>
    <w:rsid w:val="004C757E"/>
    <w:rsid w:val="004C77EA"/>
    <w:rsid w:val="004C7B24"/>
    <w:rsid w:val="004C7F05"/>
    <w:rsid w:val="004D0307"/>
    <w:rsid w:val="004D044A"/>
    <w:rsid w:val="004D09DD"/>
    <w:rsid w:val="004D09F1"/>
    <w:rsid w:val="004D0BAF"/>
    <w:rsid w:val="004D0D62"/>
    <w:rsid w:val="004D1191"/>
    <w:rsid w:val="004D1748"/>
    <w:rsid w:val="004D1A98"/>
    <w:rsid w:val="004D22B3"/>
    <w:rsid w:val="004D26C8"/>
    <w:rsid w:val="004D2921"/>
    <w:rsid w:val="004D2C2D"/>
    <w:rsid w:val="004D2E14"/>
    <w:rsid w:val="004D3006"/>
    <w:rsid w:val="004D30C5"/>
    <w:rsid w:val="004D3104"/>
    <w:rsid w:val="004D3451"/>
    <w:rsid w:val="004D3719"/>
    <w:rsid w:val="004D434A"/>
    <w:rsid w:val="004D44C1"/>
    <w:rsid w:val="004D4569"/>
    <w:rsid w:val="004D4B24"/>
    <w:rsid w:val="004D4C7B"/>
    <w:rsid w:val="004D4D5A"/>
    <w:rsid w:val="004D4ECC"/>
    <w:rsid w:val="004D5096"/>
    <w:rsid w:val="004D5660"/>
    <w:rsid w:val="004D5B13"/>
    <w:rsid w:val="004D69B5"/>
    <w:rsid w:val="004D6A27"/>
    <w:rsid w:val="004D6B49"/>
    <w:rsid w:val="004D7089"/>
    <w:rsid w:val="004D7227"/>
    <w:rsid w:val="004D7433"/>
    <w:rsid w:val="004D7B5E"/>
    <w:rsid w:val="004D7E1E"/>
    <w:rsid w:val="004D7F0B"/>
    <w:rsid w:val="004E0542"/>
    <w:rsid w:val="004E06F2"/>
    <w:rsid w:val="004E0708"/>
    <w:rsid w:val="004E0788"/>
    <w:rsid w:val="004E0B07"/>
    <w:rsid w:val="004E0E7F"/>
    <w:rsid w:val="004E0EB8"/>
    <w:rsid w:val="004E0EC5"/>
    <w:rsid w:val="004E12F8"/>
    <w:rsid w:val="004E1307"/>
    <w:rsid w:val="004E170D"/>
    <w:rsid w:val="004E18E9"/>
    <w:rsid w:val="004E196A"/>
    <w:rsid w:val="004E1CF6"/>
    <w:rsid w:val="004E21D9"/>
    <w:rsid w:val="004E277D"/>
    <w:rsid w:val="004E2A38"/>
    <w:rsid w:val="004E2ADC"/>
    <w:rsid w:val="004E2C94"/>
    <w:rsid w:val="004E3024"/>
    <w:rsid w:val="004E31AC"/>
    <w:rsid w:val="004E32CE"/>
    <w:rsid w:val="004E34A1"/>
    <w:rsid w:val="004E363E"/>
    <w:rsid w:val="004E43B2"/>
    <w:rsid w:val="004E4A4D"/>
    <w:rsid w:val="004E4CF2"/>
    <w:rsid w:val="004E5586"/>
    <w:rsid w:val="004E5682"/>
    <w:rsid w:val="004E59A8"/>
    <w:rsid w:val="004E5C89"/>
    <w:rsid w:val="004E5D1E"/>
    <w:rsid w:val="004E5F8F"/>
    <w:rsid w:val="004E61E7"/>
    <w:rsid w:val="004E6217"/>
    <w:rsid w:val="004E6763"/>
    <w:rsid w:val="004E6845"/>
    <w:rsid w:val="004E6979"/>
    <w:rsid w:val="004E710E"/>
    <w:rsid w:val="004E7341"/>
    <w:rsid w:val="004E79E0"/>
    <w:rsid w:val="004E7F3E"/>
    <w:rsid w:val="004F03E4"/>
    <w:rsid w:val="004F1028"/>
    <w:rsid w:val="004F117F"/>
    <w:rsid w:val="004F1B33"/>
    <w:rsid w:val="004F1D02"/>
    <w:rsid w:val="004F1EA8"/>
    <w:rsid w:val="004F2105"/>
    <w:rsid w:val="004F21A7"/>
    <w:rsid w:val="004F2301"/>
    <w:rsid w:val="004F25F9"/>
    <w:rsid w:val="004F2679"/>
    <w:rsid w:val="004F2954"/>
    <w:rsid w:val="004F2C29"/>
    <w:rsid w:val="004F2F21"/>
    <w:rsid w:val="004F35BC"/>
    <w:rsid w:val="004F3DE5"/>
    <w:rsid w:val="004F3F3C"/>
    <w:rsid w:val="004F45AA"/>
    <w:rsid w:val="004F4B5F"/>
    <w:rsid w:val="004F4CE6"/>
    <w:rsid w:val="004F599B"/>
    <w:rsid w:val="004F5A92"/>
    <w:rsid w:val="004F5EB0"/>
    <w:rsid w:val="004F60A1"/>
    <w:rsid w:val="004F640F"/>
    <w:rsid w:val="004F64C1"/>
    <w:rsid w:val="004F6913"/>
    <w:rsid w:val="004F6E0A"/>
    <w:rsid w:val="004F73E5"/>
    <w:rsid w:val="004F7865"/>
    <w:rsid w:val="004F797F"/>
    <w:rsid w:val="004F7A42"/>
    <w:rsid w:val="004F7D36"/>
    <w:rsid w:val="00500713"/>
    <w:rsid w:val="00500994"/>
    <w:rsid w:val="00500AD0"/>
    <w:rsid w:val="00500D4D"/>
    <w:rsid w:val="00500F20"/>
    <w:rsid w:val="00500F98"/>
    <w:rsid w:val="00501242"/>
    <w:rsid w:val="00501597"/>
    <w:rsid w:val="0050174E"/>
    <w:rsid w:val="00501854"/>
    <w:rsid w:val="00501AFF"/>
    <w:rsid w:val="00501FFB"/>
    <w:rsid w:val="0050209C"/>
    <w:rsid w:val="0050219B"/>
    <w:rsid w:val="0050241F"/>
    <w:rsid w:val="00502E06"/>
    <w:rsid w:val="005032DA"/>
    <w:rsid w:val="00503322"/>
    <w:rsid w:val="00503666"/>
    <w:rsid w:val="00503854"/>
    <w:rsid w:val="00503A70"/>
    <w:rsid w:val="00503C4F"/>
    <w:rsid w:val="00503F17"/>
    <w:rsid w:val="00503F3A"/>
    <w:rsid w:val="005040F1"/>
    <w:rsid w:val="00504144"/>
    <w:rsid w:val="0050446C"/>
    <w:rsid w:val="005047AE"/>
    <w:rsid w:val="00504BC0"/>
    <w:rsid w:val="005050FA"/>
    <w:rsid w:val="005053B9"/>
    <w:rsid w:val="0050586F"/>
    <w:rsid w:val="00505DD3"/>
    <w:rsid w:val="00505DDD"/>
    <w:rsid w:val="00505ED2"/>
    <w:rsid w:val="005061D0"/>
    <w:rsid w:val="00506221"/>
    <w:rsid w:val="0050640E"/>
    <w:rsid w:val="00506615"/>
    <w:rsid w:val="00506928"/>
    <w:rsid w:val="00506B66"/>
    <w:rsid w:val="00506DB5"/>
    <w:rsid w:val="005075B8"/>
    <w:rsid w:val="0050768B"/>
    <w:rsid w:val="005077EF"/>
    <w:rsid w:val="00507882"/>
    <w:rsid w:val="0050794B"/>
    <w:rsid w:val="005100C3"/>
    <w:rsid w:val="005101FA"/>
    <w:rsid w:val="005106DE"/>
    <w:rsid w:val="00510D01"/>
    <w:rsid w:val="00510DCD"/>
    <w:rsid w:val="00511849"/>
    <w:rsid w:val="00511AD5"/>
    <w:rsid w:val="00511DC7"/>
    <w:rsid w:val="00512238"/>
    <w:rsid w:val="00512247"/>
    <w:rsid w:val="00513132"/>
    <w:rsid w:val="005132CF"/>
    <w:rsid w:val="005132D6"/>
    <w:rsid w:val="0051341D"/>
    <w:rsid w:val="00513EE8"/>
    <w:rsid w:val="005140E4"/>
    <w:rsid w:val="0051417E"/>
    <w:rsid w:val="005142C5"/>
    <w:rsid w:val="005149E5"/>
    <w:rsid w:val="00514D17"/>
    <w:rsid w:val="0051501B"/>
    <w:rsid w:val="005152B5"/>
    <w:rsid w:val="00515694"/>
    <w:rsid w:val="00515886"/>
    <w:rsid w:val="0051590A"/>
    <w:rsid w:val="00515BBD"/>
    <w:rsid w:val="00515CD2"/>
    <w:rsid w:val="00515D40"/>
    <w:rsid w:val="00515D6C"/>
    <w:rsid w:val="00516211"/>
    <w:rsid w:val="00516224"/>
    <w:rsid w:val="0051642A"/>
    <w:rsid w:val="00516582"/>
    <w:rsid w:val="005169CB"/>
    <w:rsid w:val="005169F2"/>
    <w:rsid w:val="00516AB2"/>
    <w:rsid w:val="00516FC3"/>
    <w:rsid w:val="005172FB"/>
    <w:rsid w:val="0051740C"/>
    <w:rsid w:val="005177BC"/>
    <w:rsid w:val="00517BB4"/>
    <w:rsid w:val="00520E7C"/>
    <w:rsid w:val="0052123C"/>
    <w:rsid w:val="00521319"/>
    <w:rsid w:val="00521627"/>
    <w:rsid w:val="00521A8B"/>
    <w:rsid w:val="00521DE2"/>
    <w:rsid w:val="005221C8"/>
    <w:rsid w:val="005225C3"/>
    <w:rsid w:val="005227CD"/>
    <w:rsid w:val="005227E6"/>
    <w:rsid w:val="00522A9D"/>
    <w:rsid w:val="00522BC8"/>
    <w:rsid w:val="00522BE0"/>
    <w:rsid w:val="00522D99"/>
    <w:rsid w:val="00523360"/>
    <w:rsid w:val="005238A6"/>
    <w:rsid w:val="005239F8"/>
    <w:rsid w:val="00523BD3"/>
    <w:rsid w:val="00523C28"/>
    <w:rsid w:val="00523FAF"/>
    <w:rsid w:val="0052417B"/>
    <w:rsid w:val="00524544"/>
    <w:rsid w:val="00524A1A"/>
    <w:rsid w:val="00524DD7"/>
    <w:rsid w:val="00524F4A"/>
    <w:rsid w:val="00524F65"/>
    <w:rsid w:val="005251F7"/>
    <w:rsid w:val="005254BC"/>
    <w:rsid w:val="00525FD6"/>
    <w:rsid w:val="005260DD"/>
    <w:rsid w:val="00526106"/>
    <w:rsid w:val="00526246"/>
    <w:rsid w:val="00526A09"/>
    <w:rsid w:val="00526E15"/>
    <w:rsid w:val="00527192"/>
    <w:rsid w:val="00527288"/>
    <w:rsid w:val="005277F4"/>
    <w:rsid w:val="00527CD6"/>
    <w:rsid w:val="00527E3C"/>
    <w:rsid w:val="0053034E"/>
    <w:rsid w:val="005307CC"/>
    <w:rsid w:val="00530B3B"/>
    <w:rsid w:val="0053136C"/>
    <w:rsid w:val="00531480"/>
    <w:rsid w:val="0053176B"/>
    <w:rsid w:val="00531D85"/>
    <w:rsid w:val="00531F59"/>
    <w:rsid w:val="00532366"/>
    <w:rsid w:val="00532B3B"/>
    <w:rsid w:val="00532B59"/>
    <w:rsid w:val="00532C20"/>
    <w:rsid w:val="00532C97"/>
    <w:rsid w:val="00534135"/>
    <w:rsid w:val="00534166"/>
    <w:rsid w:val="005341B3"/>
    <w:rsid w:val="005341F0"/>
    <w:rsid w:val="005348F3"/>
    <w:rsid w:val="00534A59"/>
    <w:rsid w:val="00534B3B"/>
    <w:rsid w:val="00534B4D"/>
    <w:rsid w:val="00534BB4"/>
    <w:rsid w:val="00534F15"/>
    <w:rsid w:val="005352E0"/>
    <w:rsid w:val="00535442"/>
    <w:rsid w:val="005366C8"/>
    <w:rsid w:val="0053672F"/>
    <w:rsid w:val="00536C2E"/>
    <w:rsid w:val="00536DB0"/>
    <w:rsid w:val="00536E68"/>
    <w:rsid w:val="00536F42"/>
    <w:rsid w:val="00537182"/>
    <w:rsid w:val="005371BB"/>
    <w:rsid w:val="00537C20"/>
    <w:rsid w:val="00537F43"/>
    <w:rsid w:val="005401A8"/>
    <w:rsid w:val="0054063E"/>
    <w:rsid w:val="00540B8E"/>
    <w:rsid w:val="00540C58"/>
    <w:rsid w:val="00540E9C"/>
    <w:rsid w:val="00541EDD"/>
    <w:rsid w:val="005422A1"/>
    <w:rsid w:val="005423FE"/>
    <w:rsid w:val="00542743"/>
    <w:rsid w:val="00542B4C"/>
    <w:rsid w:val="00542C2D"/>
    <w:rsid w:val="00543555"/>
    <w:rsid w:val="00543576"/>
    <w:rsid w:val="005436B8"/>
    <w:rsid w:val="00543C8D"/>
    <w:rsid w:val="00543CD7"/>
    <w:rsid w:val="00543E2E"/>
    <w:rsid w:val="00543E61"/>
    <w:rsid w:val="00543F19"/>
    <w:rsid w:val="005444D4"/>
    <w:rsid w:val="00544B2F"/>
    <w:rsid w:val="00544EAF"/>
    <w:rsid w:val="00545683"/>
    <w:rsid w:val="005458B3"/>
    <w:rsid w:val="00545A2D"/>
    <w:rsid w:val="00545C23"/>
    <w:rsid w:val="00545EFB"/>
    <w:rsid w:val="0054626B"/>
    <w:rsid w:val="005464C2"/>
    <w:rsid w:val="00546B75"/>
    <w:rsid w:val="00546F93"/>
    <w:rsid w:val="0054702E"/>
    <w:rsid w:val="005470DC"/>
    <w:rsid w:val="00547244"/>
    <w:rsid w:val="0054743F"/>
    <w:rsid w:val="0054785B"/>
    <w:rsid w:val="00547870"/>
    <w:rsid w:val="005478BD"/>
    <w:rsid w:val="005479E3"/>
    <w:rsid w:val="00547B0F"/>
    <w:rsid w:val="00547BDB"/>
    <w:rsid w:val="00550C6F"/>
    <w:rsid w:val="005515CE"/>
    <w:rsid w:val="0055185C"/>
    <w:rsid w:val="00551985"/>
    <w:rsid w:val="00551E66"/>
    <w:rsid w:val="00551F84"/>
    <w:rsid w:val="00552229"/>
    <w:rsid w:val="005527A4"/>
    <w:rsid w:val="00552925"/>
    <w:rsid w:val="00552AAE"/>
    <w:rsid w:val="00552BD3"/>
    <w:rsid w:val="00552E83"/>
    <w:rsid w:val="005531A8"/>
    <w:rsid w:val="005532A0"/>
    <w:rsid w:val="005532B8"/>
    <w:rsid w:val="0055364C"/>
    <w:rsid w:val="00553769"/>
    <w:rsid w:val="00553A02"/>
    <w:rsid w:val="00553F53"/>
    <w:rsid w:val="005541F5"/>
    <w:rsid w:val="00554272"/>
    <w:rsid w:val="00554616"/>
    <w:rsid w:val="0055475B"/>
    <w:rsid w:val="00555109"/>
    <w:rsid w:val="00555464"/>
    <w:rsid w:val="00555A50"/>
    <w:rsid w:val="00555E14"/>
    <w:rsid w:val="00555FDF"/>
    <w:rsid w:val="005565B2"/>
    <w:rsid w:val="00556664"/>
    <w:rsid w:val="00556B35"/>
    <w:rsid w:val="00556BE0"/>
    <w:rsid w:val="0055707C"/>
    <w:rsid w:val="0055741A"/>
    <w:rsid w:val="00557441"/>
    <w:rsid w:val="0055796A"/>
    <w:rsid w:val="00557D72"/>
    <w:rsid w:val="0056035A"/>
    <w:rsid w:val="005604B7"/>
    <w:rsid w:val="00560926"/>
    <w:rsid w:val="005611B7"/>
    <w:rsid w:val="005613DD"/>
    <w:rsid w:val="005618D4"/>
    <w:rsid w:val="00561C28"/>
    <w:rsid w:val="005624AA"/>
    <w:rsid w:val="00562684"/>
    <w:rsid w:val="005626D3"/>
    <w:rsid w:val="00562D3A"/>
    <w:rsid w:val="005632CE"/>
    <w:rsid w:val="005639B9"/>
    <w:rsid w:val="00563AB4"/>
    <w:rsid w:val="00563C08"/>
    <w:rsid w:val="00564867"/>
    <w:rsid w:val="00564F8F"/>
    <w:rsid w:val="005652B7"/>
    <w:rsid w:val="00565B5E"/>
    <w:rsid w:val="00565BCF"/>
    <w:rsid w:val="00565C79"/>
    <w:rsid w:val="00565DF0"/>
    <w:rsid w:val="00565F5C"/>
    <w:rsid w:val="0056614B"/>
    <w:rsid w:val="005664D9"/>
    <w:rsid w:val="0056671C"/>
    <w:rsid w:val="005667B0"/>
    <w:rsid w:val="0056696F"/>
    <w:rsid w:val="00566E28"/>
    <w:rsid w:val="005670D5"/>
    <w:rsid w:val="005678B4"/>
    <w:rsid w:val="00567A18"/>
    <w:rsid w:val="00567C8F"/>
    <w:rsid w:val="00570521"/>
    <w:rsid w:val="005706EF"/>
    <w:rsid w:val="0057076B"/>
    <w:rsid w:val="0057078A"/>
    <w:rsid w:val="00570AE5"/>
    <w:rsid w:val="00570D6E"/>
    <w:rsid w:val="00570F3C"/>
    <w:rsid w:val="00571186"/>
    <w:rsid w:val="00571833"/>
    <w:rsid w:val="0057199A"/>
    <w:rsid w:val="00571DAB"/>
    <w:rsid w:val="00571EAA"/>
    <w:rsid w:val="00572269"/>
    <w:rsid w:val="005722B6"/>
    <w:rsid w:val="0057244A"/>
    <w:rsid w:val="005724F0"/>
    <w:rsid w:val="00572C0D"/>
    <w:rsid w:val="00572D3F"/>
    <w:rsid w:val="00572F26"/>
    <w:rsid w:val="00573162"/>
    <w:rsid w:val="00573D01"/>
    <w:rsid w:val="00573ECD"/>
    <w:rsid w:val="00573FE5"/>
    <w:rsid w:val="0057450D"/>
    <w:rsid w:val="005748C9"/>
    <w:rsid w:val="00574AC4"/>
    <w:rsid w:val="005750C5"/>
    <w:rsid w:val="005752DE"/>
    <w:rsid w:val="005756BA"/>
    <w:rsid w:val="00575D60"/>
    <w:rsid w:val="00575D8D"/>
    <w:rsid w:val="00575EFD"/>
    <w:rsid w:val="00576035"/>
    <w:rsid w:val="00576705"/>
    <w:rsid w:val="00576793"/>
    <w:rsid w:val="005767B0"/>
    <w:rsid w:val="00576864"/>
    <w:rsid w:val="00576972"/>
    <w:rsid w:val="00576D4F"/>
    <w:rsid w:val="00576EFD"/>
    <w:rsid w:val="00577095"/>
    <w:rsid w:val="00577248"/>
    <w:rsid w:val="0057760A"/>
    <w:rsid w:val="00577B06"/>
    <w:rsid w:val="00577CEC"/>
    <w:rsid w:val="00577FB9"/>
    <w:rsid w:val="005800D6"/>
    <w:rsid w:val="00580101"/>
    <w:rsid w:val="005806CE"/>
    <w:rsid w:val="00580CEC"/>
    <w:rsid w:val="0058136B"/>
    <w:rsid w:val="00581693"/>
    <w:rsid w:val="0058178E"/>
    <w:rsid w:val="00581B2C"/>
    <w:rsid w:val="00581BF9"/>
    <w:rsid w:val="00581CDB"/>
    <w:rsid w:val="00582368"/>
    <w:rsid w:val="00582CEB"/>
    <w:rsid w:val="00582FAE"/>
    <w:rsid w:val="005832F6"/>
    <w:rsid w:val="00583438"/>
    <w:rsid w:val="0058346A"/>
    <w:rsid w:val="005835EE"/>
    <w:rsid w:val="00583699"/>
    <w:rsid w:val="00583892"/>
    <w:rsid w:val="00583D3D"/>
    <w:rsid w:val="00583FBC"/>
    <w:rsid w:val="00584222"/>
    <w:rsid w:val="005845AF"/>
    <w:rsid w:val="00584814"/>
    <w:rsid w:val="00584C87"/>
    <w:rsid w:val="00584CB2"/>
    <w:rsid w:val="0058522B"/>
    <w:rsid w:val="0058532A"/>
    <w:rsid w:val="0058549E"/>
    <w:rsid w:val="005857B9"/>
    <w:rsid w:val="00585801"/>
    <w:rsid w:val="00585890"/>
    <w:rsid w:val="00585CDD"/>
    <w:rsid w:val="00585DAB"/>
    <w:rsid w:val="00585EAA"/>
    <w:rsid w:val="005860B1"/>
    <w:rsid w:val="00586787"/>
    <w:rsid w:val="005868E0"/>
    <w:rsid w:val="00586F72"/>
    <w:rsid w:val="0058701B"/>
    <w:rsid w:val="00587058"/>
    <w:rsid w:val="005870E8"/>
    <w:rsid w:val="00587402"/>
    <w:rsid w:val="00587596"/>
    <w:rsid w:val="00587A6D"/>
    <w:rsid w:val="00587EB4"/>
    <w:rsid w:val="00590825"/>
    <w:rsid w:val="005908BB"/>
    <w:rsid w:val="00590939"/>
    <w:rsid w:val="005909DF"/>
    <w:rsid w:val="00591417"/>
    <w:rsid w:val="0059145B"/>
    <w:rsid w:val="005915D5"/>
    <w:rsid w:val="005916BE"/>
    <w:rsid w:val="005917EE"/>
    <w:rsid w:val="00591835"/>
    <w:rsid w:val="00591945"/>
    <w:rsid w:val="00591957"/>
    <w:rsid w:val="00591FDE"/>
    <w:rsid w:val="005924CD"/>
    <w:rsid w:val="00592586"/>
    <w:rsid w:val="005927AA"/>
    <w:rsid w:val="005929ED"/>
    <w:rsid w:val="00592D50"/>
    <w:rsid w:val="00592E3B"/>
    <w:rsid w:val="0059332C"/>
    <w:rsid w:val="005934BF"/>
    <w:rsid w:val="00593963"/>
    <w:rsid w:val="005939B6"/>
    <w:rsid w:val="00593F6A"/>
    <w:rsid w:val="0059482A"/>
    <w:rsid w:val="00594F9D"/>
    <w:rsid w:val="005954A0"/>
    <w:rsid w:val="00595BBC"/>
    <w:rsid w:val="00595D5D"/>
    <w:rsid w:val="00595FEB"/>
    <w:rsid w:val="005962FD"/>
    <w:rsid w:val="005968D9"/>
    <w:rsid w:val="005968F7"/>
    <w:rsid w:val="00596C3E"/>
    <w:rsid w:val="00596E20"/>
    <w:rsid w:val="00596E3F"/>
    <w:rsid w:val="0059705E"/>
    <w:rsid w:val="0059716A"/>
    <w:rsid w:val="00597465"/>
    <w:rsid w:val="00597B44"/>
    <w:rsid w:val="00597BF9"/>
    <w:rsid w:val="00597EF8"/>
    <w:rsid w:val="00597F7E"/>
    <w:rsid w:val="005A02C5"/>
    <w:rsid w:val="005A03C9"/>
    <w:rsid w:val="005A0604"/>
    <w:rsid w:val="005A06BC"/>
    <w:rsid w:val="005A08F3"/>
    <w:rsid w:val="005A0BFE"/>
    <w:rsid w:val="005A0C11"/>
    <w:rsid w:val="005A0C87"/>
    <w:rsid w:val="005A0CA2"/>
    <w:rsid w:val="005A0CAE"/>
    <w:rsid w:val="005A0D23"/>
    <w:rsid w:val="005A0D75"/>
    <w:rsid w:val="005A1319"/>
    <w:rsid w:val="005A148C"/>
    <w:rsid w:val="005A14CE"/>
    <w:rsid w:val="005A1931"/>
    <w:rsid w:val="005A1A55"/>
    <w:rsid w:val="005A1DAD"/>
    <w:rsid w:val="005A1F00"/>
    <w:rsid w:val="005A217C"/>
    <w:rsid w:val="005A2295"/>
    <w:rsid w:val="005A238C"/>
    <w:rsid w:val="005A23BF"/>
    <w:rsid w:val="005A23F4"/>
    <w:rsid w:val="005A2417"/>
    <w:rsid w:val="005A2DD4"/>
    <w:rsid w:val="005A309A"/>
    <w:rsid w:val="005A3273"/>
    <w:rsid w:val="005A33E1"/>
    <w:rsid w:val="005A373D"/>
    <w:rsid w:val="005A3866"/>
    <w:rsid w:val="005A4522"/>
    <w:rsid w:val="005A459D"/>
    <w:rsid w:val="005A45A3"/>
    <w:rsid w:val="005A4713"/>
    <w:rsid w:val="005A48EA"/>
    <w:rsid w:val="005A4D71"/>
    <w:rsid w:val="005A4D99"/>
    <w:rsid w:val="005A4F6A"/>
    <w:rsid w:val="005A5969"/>
    <w:rsid w:val="005A5A58"/>
    <w:rsid w:val="005A5E0A"/>
    <w:rsid w:val="005A6224"/>
    <w:rsid w:val="005A637C"/>
    <w:rsid w:val="005A6729"/>
    <w:rsid w:val="005A68C1"/>
    <w:rsid w:val="005A6946"/>
    <w:rsid w:val="005A6D42"/>
    <w:rsid w:val="005A6F61"/>
    <w:rsid w:val="005A6F94"/>
    <w:rsid w:val="005A7C0E"/>
    <w:rsid w:val="005A7E82"/>
    <w:rsid w:val="005A7F20"/>
    <w:rsid w:val="005B0527"/>
    <w:rsid w:val="005B06FF"/>
    <w:rsid w:val="005B081E"/>
    <w:rsid w:val="005B0B58"/>
    <w:rsid w:val="005B174B"/>
    <w:rsid w:val="005B1D00"/>
    <w:rsid w:val="005B2051"/>
    <w:rsid w:val="005B2114"/>
    <w:rsid w:val="005B21A9"/>
    <w:rsid w:val="005B2291"/>
    <w:rsid w:val="005B255B"/>
    <w:rsid w:val="005B2743"/>
    <w:rsid w:val="005B2B29"/>
    <w:rsid w:val="005B2BE0"/>
    <w:rsid w:val="005B2CF6"/>
    <w:rsid w:val="005B2D65"/>
    <w:rsid w:val="005B2DE8"/>
    <w:rsid w:val="005B331A"/>
    <w:rsid w:val="005B3FEA"/>
    <w:rsid w:val="005B41BF"/>
    <w:rsid w:val="005B4444"/>
    <w:rsid w:val="005B4A61"/>
    <w:rsid w:val="005B4B92"/>
    <w:rsid w:val="005B4BE8"/>
    <w:rsid w:val="005B4CD1"/>
    <w:rsid w:val="005B4E53"/>
    <w:rsid w:val="005B5621"/>
    <w:rsid w:val="005B5851"/>
    <w:rsid w:val="005B5857"/>
    <w:rsid w:val="005B5A11"/>
    <w:rsid w:val="005B5CBE"/>
    <w:rsid w:val="005B5F1F"/>
    <w:rsid w:val="005B6100"/>
    <w:rsid w:val="005B62E3"/>
    <w:rsid w:val="005B64AB"/>
    <w:rsid w:val="005B64D0"/>
    <w:rsid w:val="005B712E"/>
    <w:rsid w:val="005B7264"/>
    <w:rsid w:val="005B73DE"/>
    <w:rsid w:val="005B77CA"/>
    <w:rsid w:val="005B79D3"/>
    <w:rsid w:val="005B7BF2"/>
    <w:rsid w:val="005C02F1"/>
    <w:rsid w:val="005C0530"/>
    <w:rsid w:val="005C0779"/>
    <w:rsid w:val="005C097A"/>
    <w:rsid w:val="005C0D0D"/>
    <w:rsid w:val="005C1556"/>
    <w:rsid w:val="005C15B6"/>
    <w:rsid w:val="005C19C4"/>
    <w:rsid w:val="005C1B83"/>
    <w:rsid w:val="005C229A"/>
    <w:rsid w:val="005C25FF"/>
    <w:rsid w:val="005C2617"/>
    <w:rsid w:val="005C26B6"/>
    <w:rsid w:val="005C26F9"/>
    <w:rsid w:val="005C2CF1"/>
    <w:rsid w:val="005C2D55"/>
    <w:rsid w:val="005C2DA1"/>
    <w:rsid w:val="005C346B"/>
    <w:rsid w:val="005C35F3"/>
    <w:rsid w:val="005C3714"/>
    <w:rsid w:val="005C3886"/>
    <w:rsid w:val="005C39A8"/>
    <w:rsid w:val="005C3F34"/>
    <w:rsid w:val="005C406A"/>
    <w:rsid w:val="005C4F8B"/>
    <w:rsid w:val="005C521F"/>
    <w:rsid w:val="005C566A"/>
    <w:rsid w:val="005C5ABC"/>
    <w:rsid w:val="005C5B44"/>
    <w:rsid w:val="005C5D7F"/>
    <w:rsid w:val="005C652E"/>
    <w:rsid w:val="005C6637"/>
    <w:rsid w:val="005C66E4"/>
    <w:rsid w:val="005C686A"/>
    <w:rsid w:val="005C6A1B"/>
    <w:rsid w:val="005C6BAF"/>
    <w:rsid w:val="005C721D"/>
    <w:rsid w:val="005C774D"/>
    <w:rsid w:val="005C793B"/>
    <w:rsid w:val="005C7A9E"/>
    <w:rsid w:val="005C7BC1"/>
    <w:rsid w:val="005C7EEA"/>
    <w:rsid w:val="005D044D"/>
    <w:rsid w:val="005D04AF"/>
    <w:rsid w:val="005D0ABD"/>
    <w:rsid w:val="005D0D4C"/>
    <w:rsid w:val="005D0DCE"/>
    <w:rsid w:val="005D0ED4"/>
    <w:rsid w:val="005D16C0"/>
    <w:rsid w:val="005D18AD"/>
    <w:rsid w:val="005D1BBF"/>
    <w:rsid w:val="005D1D00"/>
    <w:rsid w:val="005D205D"/>
    <w:rsid w:val="005D2669"/>
    <w:rsid w:val="005D26B4"/>
    <w:rsid w:val="005D2922"/>
    <w:rsid w:val="005D2B38"/>
    <w:rsid w:val="005D2E8B"/>
    <w:rsid w:val="005D330B"/>
    <w:rsid w:val="005D39ED"/>
    <w:rsid w:val="005D3EAF"/>
    <w:rsid w:val="005D3F76"/>
    <w:rsid w:val="005D41B7"/>
    <w:rsid w:val="005D43F1"/>
    <w:rsid w:val="005D5018"/>
    <w:rsid w:val="005D5022"/>
    <w:rsid w:val="005D5499"/>
    <w:rsid w:val="005D56A9"/>
    <w:rsid w:val="005D5A50"/>
    <w:rsid w:val="005D5AE6"/>
    <w:rsid w:val="005D5C4D"/>
    <w:rsid w:val="005D5EAB"/>
    <w:rsid w:val="005D611D"/>
    <w:rsid w:val="005D6199"/>
    <w:rsid w:val="005D65AF"/>
    <w:rsid w:val="005D6C2C"/>
    <w:rsid w:val="005D6CCC"/>
    <w:rsid w:val="005D6D87"/>
    <w:rsid w:val="005D6E56"/>
    <w:rsid w:val="005D6EC1"/>
    <w:rsid w:val="005D6F16"/>
    <w:rsid w:val="005D7937"/>
    <w:rsid w:val="005D7C8A"/>
    <w:rsid w:val="005E007C"/>
    <w:rsid w:val="005E06F8"/>
    <w:rsid w:val="005E0946"/>
    <w:rsid w:val="005E101C"/>
    <w:rsid w:val="005E104E"/>
    <w:rsid w:val="005E1269"/>
    <w:rsid w:val="005E159B"/>
    <w:rsid w:val="005E16BC"/>
    <w:rsid w:val="005E1995"/>
    <w:rsid w:val="005E19C5"/>
    <w:rsid w:val="005E1F60"/>
    <w:rsid w:val="005E2316"/>
    <w:rsid w:val="005E26D9"/>
    <w:rsid w:val="005E2F9E"/>
    <w:rsid w:val="005E356F"/>
    <w:rsid w:val="005E3653"/>
    <w:rsid w:val="005E379C"/>
    <w:rsid w:val="005E38FF"/>
    <w:rsid w:val="005E3A5C"/>
    <w:rsid w:val="005E3C0A"/>
    <w:rsid w:val="005E4620"/>
    <w:rsid w:val="005E4674"/>
    <w:rsid w:val="005E4B4F"/>
    <w:rsid w:val="005E574D"/>
    <w:rsid w:val="005E5783"/>
    <w:rsid w:val="005E5803"/>
    <w:rsid w:val="005E5C26"/>
    <w:rsid w:val="005E61C6"/>
    <w:rsid w:val="005E61EE"/>
    <w:rsid w:val="005E6801"/>
    <w:rsid w:val="005E6844"/>
    <w:rsid w:val="005E6C74"/>
    <w:rsid w:val="005E6CBC"/>
    <w:rsid w:val="005E7048"/>
    <w:rsid w:val="005E72FF"/>
    <w:rsid w:val="005E73C0"/>
    <w:rsid w:val="005E7419"/>
    <w:rsid w:val="005E774A"/>
    <w:rsid w:val="005E7B1D"/>
    <w:rsid w:val="005E7F95"/>
    <w:rsid w:val="005F001D"/>
    <w:rsid w:val="005F014F"/>
    <w:rsid w:val="005F02FF"/>
    <w:rsid w:val="005F064B"/>
    <w:rsid w:val="005F07ED"/>
    <w:rsid w:val="005F099D"/>
    <w:rsid w:val="005F0A14"/>
    <w:rsid w:val="005F0AE0"/>
    <w:rsid w:val="005F0EC7"/>
    <w:rsid w:val="005F0FDE"/>
    <w:rsid w:val="005F148A"/>
    <w:rsid w:val="005F156C"/>
    <w:rsid w:val="005F15CB"/>
    <w:rsid w:val="005F172D"/>
    <w:rsid w:val="005F1EF8"/>
    <w:rsid w:val="005F2015"/>
    <w:rsid w:val="005F2706"/>
    <w:rsid w:val="005F277C"/>
    <w:rsid w:val="005F2B48"/>
    <w:rsid w:val="005F2D9B"/>
    <w:rsid w:val="005F2DFC"/>
    <w:rsid w:val="005F314D"/>
    <w:rsid w:val="005F31C2"/>
    <w:rsid w:val="005F3548"/>
    <w:rsid w:val="005F3DB5"/>
    <w:rsid w:val="005F3F39"/>
    <w:rsid w:val="005F429E"/>
    <w:rsid w:val="005F4412"/>
    <w:rsid w:val="005F49F6"/>
    <w:rsid w:val="005F4BC3"/>
    <w:rsid w:val="005F5035"/>
    <w:rsid w:val="005F51F9"/>
    <w:rsid w:val="005F52DD"/>
    <w:rsid w:val="005F53D4"/>
    <w:rsid w:val="005F5563"/>
    <w:rsid w:val="005F58B8"/>
    <w:rsid w:val="005F5A6C"/>
    <w:rsid w:val="005F5D99"/>
    <w:rsid w:val="005F660F"/>
    <w:rsid w:val="005F674E"/>
    <w:rsid w:val="005F67EA"/>
    <w:rsid w:val="005F6A8F"/>
    <w:rsid w:val="005F6AB1"/>
    <w:rsid w:val="005F6BB7"/>
    <w:rsid w:val="005F6DBE"/>
    <w:rsid w:val="005F6FA6"/>
    <w:rsid w:val="005F7068"/>
    <w:rsid w:val="005F7588"/>
    <w:rsid w:val="005F7BEE"/>
    <w:rsid w:val="005F7EE6"/>
    <w:rsid w:val="006005D0"/>
    <w:rsid w:val="00600775"/>
    <w:rsid w:val="006008BB"/>
    <w:rsid w:val="00600F9C"/>
    <w:rsid w:val="00601248"/>
    <w:rsid w:val="0060191D"/>
    <w:rsid w:val="0060197C"/>
    <w:rsid w:val="006020CD"/>
    <w:rsid w:val="0060297A"/>
    <w:rsid w:val="00602A71"/>
    <w:rsid w:val="00602B86"/>
    <w:rsid w:val="006030B2"/>
    <w:rsid w:val="00603248"/>
    <w:rsid w:val="0060324B"/>
    <w:rsid w:val="00603438"/>
    <w:rsid w:val="00603458"/>
    <w:rsid w:val="00603951"/>
    <w:rsid w:val="00603DB9"/>
    <w:rsid w:val="0060416C"/>
    <w:rsid w:val="0060420E"/>
    <w:rsid w:val="00604508"/>
    <w:rsid w:val="0060512F"/>
    <w:rsid w:val="0060540D"/>
    <w:rsid w:val="0060546B"/>
    <w:rsid w:val="00605826"/>
    <w:rsid w:val="00605D0D"/>
    <w:rsid w:val="00605FCB"/>
    <w:rsid w:val="006061DF"/>
    <w:rsid w:val="006062DD"/>
    <w:rsid w:val="00606C1A"/>
    <w:rsid w:val="00606CEC"/>
    <w:rsid w:val="00606FBA"/>
    <w:rsid w:val="006075B6"/>
    <w:rsid w:val="00607669"/>
    <w:rsid w:val="006076BC"/>
    <w:rsid w:val="006076F4"/>
    <w:rsid w:val="00607AFD"/>
    <w:rsid w:val="00611140"/>
    <w:rsid w:val="00611885"/>
    <w:rsid w:val="00611B12"/>
    <w:rsid w:val="00611F08"/>
    <w:rsid w:val="00612015"/>
    <w:rsid w:val="00612455"/>
    <w:rsid w:val="006125C9"/>
    <w:rsid w:val="00612836"/>
    <w:rsid w:val="0061294E"/>
    <w:rsid w:val="00612F97"/>
    <w:rsid w:val="00613111"/>
    <w:rsid w:val="0061345D"/>
    <w:rsid w:val="00613477"/>
    <w:rsid w:val="0061347B"/>
    <w:rsid w:val="006138B0"/>
    <w:rsid w:val="0061392B"/>
    <w:rsid w:val="0061394D"/>
    <w:rsid w:val="00613999"/>
    <w:rsid w:val="00613D4C"/>
    <w:rsid w:val="00613E54"/>
    <w:rsid w:val="006142F3"/>
    <w:rsid w:val="006144E1"/>
    <w:rsid w:val="0061549B"/>
    <w:rsid w:val="00615C65"/>
    <w:rsid w:val="00616000"/>
    <w:rsid w:val="00616802"/>
    <w:rsid w:val="006169FB"/>
    <w:rsid w:val="00616D26"/>
    <w:rsid w:val="00616EC2"/>
    <w:rsid w:val="00616EE1"/>
    <w:rsid w:val="0061711C"/>
    <w:rsid w:val="0061713B"/>
    <w:rsid w:val="006172DD"/>
    <w:rsid w:val="0061758B"/>
    <w:rsid w:val="006175AA"/>
    <w:rsid w:val="006175FD"/>
    <w:rsid w:val="006177A4"/>
    <w:rsid w:val="0061794C"/>
    <w:rsid w:val="00617E12"/>
    <w:rsid w:val="00617F3A"/>
    <w:rsid w:val="00620015"/>
    <w:rsid w:val="00620208"/>
    <w:rsid w:val="006202B1"/>
    <w:rsid w:val="0062086E"/>
    <w:rsid w:val="006208C9"/>
    <w:rsid w:val="00620C25"/>
    <w:rsid w:val="006210B5"/>
    <w:rsid w:val="00621293"/>
    <w:rsid w:val="00621477"/>
    <w:rsid w:val="006214F8"/>
    <w:rsid w:val="00621665"/>
    <w:rsid w:val="00621ADA"/>
    <w:rsid w:val="006229E3"/>
    <w:rsid w:val="00622B49"/>
    <w:rsid w:val="00622FF1"/>
    <w:rsid w:val="00623487"/>
    <w:rsid w:val="0062364A"/>
    <w:rsid w:val="00623865"/>
    <w:rsid w:val="00623BEE"/>
    <w:rsid w:val="00623F44"/>
    <w:rsid w:val="00623F7B"/>
    <w:rsid w:val="006241F6"/>
    <w:rsid w:val="00624454"/>
    <w:rsid w:val="0062487E"/>
    <w:rsid w:val="0062495D"/>
    <w:rsid w:val="00624A48"/>
    <w:rsid w:val="00624BD4"/>
    <w:rsid w:val="00625A50"/>
    <w:rsid w:val="00625BAB"/>
    <w:rsid w:val="00625D99"/>
    <w:rsid w:val="00625F22"/>
    <w:rsid w:val="00625FF6"/>
    <w:rsid w:val="00626410"/>
    <w:rsid w:val="00626B71"/>
    <w:rsid w:val="00626D60"/>
    <w:rsid w:val="0062700F"/>
    <w:rsid w:val="006270A6"/>
    <w:rsid w:val="006270D5"/>
    <w:rsid w:val="00627580"/>
    <w:rsid w:val="006278F3"/>
    <w:rsid w:val="00627AE7"/>
    <w:rsid w:val="0063000C"/>
    <w:rsid w:val="00630168"/>
    <w:rsid w:val="006302BF"/>
    <w:rsid w:val="00630470"/>
    <w:rsid w:val="006308F9"/>
    <w:rsid w:val="00630E78"/>
    <w:rsid w:val="00631518"/>
    <w:rsid w:val="0063158F"/>
    <w:rsid w:val="00631794"/>
    <w:rsid w:val="0063184A"/>
    <w:rsid w:val="00631C72"/>
    <w:rsid w:val="00631D6B"/>
    <w:rsid w:val="00631E60"/>
    <w:rsid w:val="00632183"/>
    <w:rsid w:val="00632505"/>
    <w:rsid w:val="00632613"/>
    <w:rsid w:val="0063275E"/>
    <w:rsid w:val="006328F2"/>
    <w:rsid w:val="00632EAA"/>
    <w:rsid w:val="00632FA7"/>
    <w:rsid w:val="006330A1"/>
    <w:rsid w:val="0063319B"/>
    <w:rsid w:val="006332C5"/>
    <w:rsid w:val="006332EB"/>
    <w:rsid w:val="006336C4"/>
    <w:rsid w:val="00633B45"/>
    <w:rsid w:val="00633CEE"/>
    <w:rsid w:val="00633DDC"/>
    <w:rsid w:val="006341BE"/>
    <w:rsid w:val="006342D9"/>
    <w:rsid w:val="0063479F"/>
    <w:rsid w:val="006353F0"/>
    <w:rsid w:val="006354FC"/>
    <w:rsid w:val="00635692"/>
    <w:rsid w:val="006356A8"/>
    <w:rsid w:val="006357B5"/>
    <w:rsid w:val="00635AFC"/>
    <w:rsid w:val="0063628F"/>
    <w:rsid w:val="006364A1"/>
    <w:rsid w:val="00636562"/>
    <w:rsid w:val="0063678E"/>
    <w:rsid w:val="00637271"/>
    <w:rsid w:val="00637393"/>
    <w:rsid w:val="006379A5"/>
    <w:rsid w:val="00637BF1"/>
    <w:rsid w:val="00637BFD"/>
    <w:rsid w:val="00637C5C"/>
    <w:rsid w:val="00640038"/>
    <w:rsid w:val="006403A7"/>
    <w:rsid w:val="0064060E"/>
    <w:rsid w:val="00640A69"/>
    <w:rsid w:val="00640DCE"/>
    <w:rsid w:val="00640F5E"/>
    <w:rsid w:val="00641031"/>
    <w:rsid w:val="00641043"/>
    <w:rsid w:val="00641167"/>
    <w:rsid w:val="00641868"/>
    <w:rsid w:val="00641BEB"/>
    <w:rsid w:val="00641C4E"/>
    <w:rsid w:val="00641FB3"/>
    <w:rsid w:val="00642294"/>
    <w:rsid w:val="006427F6"/>
    <w:rsid w:val="00642A5B"/>
    <w:rsid w:val="00642F43"/>
    <w:rsid w:val="006430F6"/>
    <w:rsid w:val="006434CB"/>
    <w:rsid w:val="006434D6"/>
    <w:rsid w:val="00643FB3"/>
    <w:rsid w:val="00644169"/>
    <w:rsid w:val="0064420D"/>
    <w:rsid w:val="00644216"/>
    <w:rsid w:val="00644260"/>
    <w:rsid w:val="0064434C"/>
    <w:rsid w:val="0064480D"/>
    <w:rsid w:val="006448A9"/>
    <w:rsid w:val="00645266"/>
    <w:rsid w:val="00645ABA"/>
    <w:rsid w:val="0064604C"/>
    <w:rsid w:val="00646649"/>
    <w:rsid w:val="00646A17"/>
    <w:rsid w:val="006471CC"/>
    <w:rsid w:val="006472FE"/>
    <w:rsid w:val="0064730F"/>
    <w:rsid w:val="00647433"/>
    <w:rsid w:val="00647548"/>
    <w:rsid w:val="00647A29"/>
    <w:rsid w:val="00647A3A"/>
    <w:rsid w:val="00647B9E"/>
    <w:rsid w:val="00650190"/>
    <w:rsid w:val="006504B7"/>
    <w:rsid w:val="006504D1"/>
    <w:rsid w:val="00650763"/>
    <w:rsid w:val="0065079F"/>
    <w:rsid w:val="00650A68"/>
    <w:rsid w:val="00650B44"/>
    <w:rsid w:val="00650E5B"/>
    <w:rsid w:val="00651C4D"/>
    <w:rsid w:val="00652418"/>
    <w:rsid w:val="00652608"/>
    <w:rsid w:val="006528D1"/>
    <w:rsid w:val="006528FF"/>
    <w:rsid w:val="00652A28"/>
    <w:rsid w:val="00653207"/>
    <w:rsid w:val="00653258"/>
    <w:rsid w:val="00653709"/>
    <w:rsid w:val="00653721"/>
    <w:rsid w:val="0065379F"/>
    <w:rsid w:val="006539BA"/>
    <w:rsid w:val="00653C7F"/>
    <w:rsid w:val="00653EDF"/>
    <w:rsid w:val="006540E5"/>
    <w:rsid w:val="00654220"/>
    <w:rsid w:val="006543A7"/>
    <w:rsid w:val="00654771"/>
    <w:rsid w:val="00654F47"/>
    <w:rsid w:val="0065509D"/>
    <w:rsid w:val="00655382"/>
    <w:rsid w:val="0065565C"/>
    <w:rsid w:val="00656080"/>
    <w:rsid w:val="00656188"/>
    <w:rsid w:val="006562E5"/>
    <w:rsid w:val="0065641E"/>
    <w:rsid w:val="00656492"/>
    <w:rsid w:val="0065665B"/>
    <w:rsid w:val="00656722"/>
    <w:rsid w:val="006568B8"/>
    <w:rsid w:val="00656B16"/>
    <w:rsid w:val="0065715A"/>
    <w:rsid w:val="00657200"/>
    <w:rsid w:val="006574B8"/>
    <w:rsid w:val="00657529"/>
    <w:rsid w:val="006576AF"/>
    <w:rsid w:val="0065773A"/>
    <w:rsid w:val="00657B10"/>
    <w:rsid w:val="00657EC1"/>
    <w:rsid w:val="00657ED3"/>
    <w:rsid w:val="006600BF"/>
    <w:rsid w:val="0066015C"/>
    <w:rsid w:val="0066023E"/>
    <w:rsid w:val="0066031B"/>
    <w:rsid w:val="0066074C"/>
    <w:rsid w:val="006607C3"/>
    <w:rsid w:val="00660B83"/>
    <w:rsid w:val="00660F7B"/>
    <w:rsid w:val="006610F1"/>
    <w:rsid w:val="006611CB"/>
    <w:rsid w:val="00661785"/>
    <w:rsid w:val="006619A1"/>
    <w:rsid w:val="00661C6B"/>
    <w:rsid w:val="00661DA6"/>
    <w:rsid w:val="00662628"/>
    <w:rsid w:val="00662876"/>
    <w:rsid w:val="00662D3E"/>
    <w:rsid w:val="00663777"/>
    <w:rsid w:val="00663996"/>
    <w:rsid w:val="00664379"/>
    <w:rsid w:val="00664455"/>
    <w:rsid w:val="0066462D"/>
    <w:rsid w:val="00664E6C"/>
    <w:rsid w:val="00665943"/>
    <w:rsid w:val="00665BCE"/>
    <w:rsid w:val="00665DB2"/>
    <w:rsid w:val="00665F20"/>
    <w:rsid w:val="00666459"/>
    <w:rsid w:val="006664F6"/>
    <w:rsid w:val="00666689"/>
    <w:rsid w:val="006668E9"/>
    <w:rsid w:val="00667124"/>
    <w:rsid w:val="00667193"/>
    <w:rsid w:val="006671F9"/>
    <w:rsid w:val="00667BAB"/>
    <w:rsid w:val="00667BE3"/>
    <w:rsid w:val="00667BE8"/>
    <w:rsid w:val="00670147"/>
    <w:rsid w:val="006704B5"/>
    <w:rsid w:val="00670975"/>
    <w:rsid w:val="00670A17"/>
    <w:rsid w:val="00670C90"/>
    <w:rsid w:val="00670D74"/>
    <w:rsid w:val="00670FBC"/>
    <w:rsid w:val="00671004"/>
    <w:rsid w:val="006711D0"/>
    <w:rsid w:val="006712A6"/>
    <w:rsid w:val="0067138A"/>
    <w:rsid w:val="00671A46"/>
    <w:rsid w:val="00671C33"/>
    <w:rsid w:val="00671DB5"/>
    <w:rsid w:val="00671E2B"/>
    <w:rsid w:val="00671FE1"/>
    <w:rsid w:val="006722E4"/>
    <w:rsid w:val="00672646"/>
    <w:rsid w:val="00672E29"/>
    <w:rsid w:val="0067311F"/>
    <w:rsid w:val="006731F2"/>
    <w:rsid w:val="00673221"/>
    <w:rsid w:val="00673328"/>
    <w:rsid w:val="0067388A"/>
    <w:rsid w:val="00673DBE"/>
    <w:rsid w:val="006742A8"/>
    <w:rsid w:val="0067499A"/>
    <w:rsid w:val="00674A56"/>
    <w:rsid w:val="00674E42"/>
    <w:rsid w:val="006750E2"/>
    <w:rsid w:val="00675575"/>
    <w:rsid w:val="00675677"/>
    <w:rsid w:val="00675C81"/>
    <w:rsid w:val="00675E26"/>
    <w:rsid w:val="006762D6"/>
    <w:rsid w:val="006764DB"/>
    <w:rsid w:val="00676563"/>
    <w:rsid w:val="006767A6"/>
    <w:rsid w:val="00676E48"/>
    <w:rsid w:val="00676EF1"/>
    <w:rsid w:val="006778F7"/>
    <w:rsid w:val="00680802"/>
    <w:rsid w:val="006808C1"/>
    <w:rsid w:val="00681183"/>
    <w:rsid w:val="006813F8"/>
    <w:rsid w:val="0068143C"/>
    <w:rsid w:val="00681ECB"/>
    <w:rsid w:val="00682112"/>
    <w:rsid w:val="006821BC"/>
    <w:rsid w:val="00682641"/>
    <w:rsid w:val="006827AA"/>
    <w:rsid w:val="00682BA6"/>
    <w:rsid w:val="00682E21"/>
    <w:rsid w:val="006833C9"/>
    <w:rsid w:val="006837F5"/>
    <w:rsid w:val="006838F0"/>
    <w:rsid w:val="00683B64"/>
    <w:rsid w:val="0068439A"/>
    <w:rsid w:val="00684E21"/>
    <w:rsid w:val="00685259"/>
    <w:rsid w:val="00685443"/>
    <w:rsid w:val="00685665"/>
    <w:rsid w:val="00685D4B"/>
    <w:rsid w:val="00685DFA"/>
    <w:rsid w:val="00685F17"/>
    <w:rsid w:val="006860C8"/>
    <w:rsid w:val="00686437"/>
    <w:rsid w:val="006865D9"/>
    <w:rsid w:val="00686957"/>
    <w:rsid w:val="00686AD2"/>
    <w:rsid w:val="00686ED4"/>
    <w:rsid w:val="00686EEA"/>
    <w:rsid w:val="00686FCC"/>
    <w:rsid w:val="0068723E"/>
    <w:rsid w:val="006872BA"/>
    <w:rsid w:val="00687308"/>
    <w:rsid w:val="00687C0B"/>
    <w:rsid w:val="00687F47"/>
    <w:rsid w:val="00687F95"/>
    <w:rsid w:val="00690050"/>
    <w:rsid w:val="00690292"/>
    <w:rsid w:val="00690488"/>
    <w:rsid w:val="00690795"/>
    <w:rsid w:val="00690C30"/>
    <w:rsid w:val="00691098"/>
    <w:rsid w:val="0069159B"/>
    <w:rsid w:val="00691648"/>
    <w:rsid w:val="00691740"/>
    <w:rsid w:val="006917D7"/>
    <w:rsid w:val="006918FA"/>
    <w:rsid w:val="00691DF2"/>
    <w:rsid w:val="006920A0"/>
    <w:rsid w:val="006921F8"/>
    <w:rsid w:val="0069223C"/>
    <w:rsid w:val="006924D7"/>
    <w:rsid w:val="00692B48"/>
    <w:rsid w:val="00693069"/>
    <w:rsid w:val="00693221"/>
    <w:rsid w:val="006934C3"/>
    <w:rsid w:val="00693794"/>
    <w:rsid w:val="006937ED"/>
    <w:rsid w:val="00693871"/>
    <w:rsid w:val="00693FCB"/>
    <w:rsid w:val="00693FE4"/>
    <w:rsid w:val="00694041"/>
    <w:rsid w:val="006941FD"/>
    <w:rsid w:val="0069434C"/>
    <w:rsid w:val="006949BD"/>
    <w:rsid w:val="00694DC3"/>
    <w:rsid w:val="00694F44"/>
    <w:rsid w:val="00695271"/>
    <w:rsid w:val="006952F2"/>
    <w:rsid w:val="006955E1"/>
    <w:rsid w:val="00695806"/>
    <w:rsid w:val="0069580F"/>
    <w:rsid w:val="00695811"/>
    <w:rsid w:val="006959B6"/>
    <w:rsid w:val="00695DE2"/>
    <w:rsid w:val="00695E37"/>
    <w:rsid w:val="00696413"/>
    <w:rsid w:val="006967A5"/>
    <w:rsid w:val="006968A7"/>
    <w:rsid w:val="00696ACA"/>
    <w:rsid w:val="00696B16"/>
    <w:rsid w:val="00696EF9"/>
    <w:rsid w:val="00696F51"/>
    <w:rsid w:val="00697231"/>
    <w:rsid w:val="00697280"/>
    <w:rsid w:val="00697688"/>
    <w:rsid w:val="006976F1"/>
    <w:rsid w:val="00697792"/>
    <w:rsid w:val="00697952"/>
    <w:rsid w:val="006979A5"/>
    <w:rsid w:val="006979D1"/>
    <w:rsid w:val="00697C42"/>
    <w:rsid w:val="00697D67"/>
    <w:rsid w:val="006A016F"/>
    <w:rsid w:val="006A08B3"/>
    <w:rsid w:val="006A0AFB"/>
    <w:rsid w:val="006A0C66"/>
    <w:rsid w:val="006A0D10"/>
    <w:rsid w:val="006A0DF7"/>
    <w:rsid w:val="006A162F"/>
    <w:rsid w:val="006A2249"/>
    <w:rsid w:val="006A2875"/>
    <w:rsid w:val="006A2A29"/>
    <w:rsid w:val="006A3171"/>
    <w:rsid w:val="006A3313"/>
    <w:rsid w:val="006A33D9"/>
    <w:rsid w:val="006A362F"/>
    <w:rsid w:val="006A36B0"/>
    <w:rsid w:val="006A3799"/>
    <w:rsid w:val="006A38A0"/>
    <w:rsid w:val="006A38EC"/>
    <w:rsid w:val="006A3BE5"/>
    <w:rsid w:val="006A3D32"/>
    <w:rsid w:val="006A41CC"/>
    <w:rsid w:val="006A4321"/>
    <w:rsid w:val="006A43D9"/>
    <w:rsid w:val="006A4609"/>
    <w:rsid w:val="006A4800"/>
    <w:rsid w:val="006A480A"/>
    <w:rsid w:val="006A4CD7"/>
    <w:rsid w:val="006A50EB"/>
    <w:rsid w:val="006A58BF"/>
    <w:rsid w:val="006A5BE5"/>
    <w:rsid w:val="006A5D03"/>
    <w:rsid w:val="006A6031"/>
    <w:rsid w:val="006A621A"/>
    <w:rsid w:val="006A6466"/>
    <w:rsid w:val="006A64FB"/>
    <w:rsid w:val="006A658B"/>
    <w:rsid w:val="006A6B99"/>
    <w:rsid w:val="006A7414"/>
    <w:rsid w:val="006A74CB"/>
    <w:rsid w:val="006A779D"/>
    <w:rsid w:val="006A7B52"/>
    <w:rsid w:val="006A7E5F"/>
    <w:rsid w:val="006A7EC8"/>
    <w:rsid w:val="006B0250"/>
    <w:rsid w:val="006B0A5A"/>
    <w:rsid w:val="006B0C2E"/>
    <w:rsid w:val="006B0DD9"/>
    <w:rsid w:val="006B1263"/>
    <w:rsid w:val="006B1558"/>
    <w:rsid w:val="006B16AB"/>
    <w:rsid w:val="006B1CEB"/>
    <w:rsid w:val="006B2140"/>
    <w:rsid w:val="006B244D"/>
    <w:rsid w:val="006B261B"/>
    <w:rsid w:val="006B2C90"/>
    <w:rsid w:val="006B2D78"/>
    <w:rsid w:val="006B35E6"/>
    <w:rsid w:val="006B35FA"/>
    <w:rsid w:val="006B367B"/>
    <w:rsid w:val="006B3802"/>
    <w:rsid w:val="006B3D80"/>
    <w:rsid w:val="006B3DE0"/>
    <w:rsid w:val="006B3F45"/>
    <w:rsid w:val="006B3F92"/>
    <w:rsid w:val="006B40C1"/>
    <w:rsid w:val="006B4207"/>
    <w:rsid w:val="006B4261"/>
    <w:rsid w:val="006B4362"/>
    <w:rsid w:val="006B4440"/>
    <w:rsid w:val="006B45D7"/>
    <w:rsid w:val="006B465A"/>
    <w:rsid w:val="006B46CF"/>
    <w:rsid w:val="006B47A9"/>
    <w:rsid w:val="006B48DE"/>
    <w:rsid w:val="006B4978"/>
    <w:rsid w:val="006B4B52"/>
    <w:rsid w:val="006B4D27"/>
    <w:rsid w:val="006B4F5C"/>
    <w:rsid w:val="006B586F"/>
    <w:rsid w:val="006B5BAA"/>
    <w:rsid w:val="006B5CD5"/>
    <w:rsid w:val="006B63DF"/>
    <w:rsid w:val="006B6564"/>
    <w:rsid w:val="006B68F9"/>
    <w:rsid w:val="006B6BBD"/>
    <w:rsid w:val="006B6CA5"/>
    <w:rsid w:val="006B6CF3"/>
    <w:rsid w:val="006B6D8C"/>
    <w:rsid w:val="006B6DD0"/>
    <w:rsid w:val="006B6E8B"/>
    <w:rsid w:val="006B72B7"/>
    <w:rsid w:val="006B72EE"/>
    <w:rsid w:val="006B73CE"/>
    <w:rsid w:val="006B7581"/>
    <w:rsid w:val="006B7F15"/>
    <w:rsid w:val="006C0399"/>
    <w:rsid w:val="006C06AA"/>
    <w:rsid w:val="006C094B"/>
    <w:rsid w:val="006C0C24"/>
    <w:rsid w:val="006C0C89"/>
    <w:rsid w:val="006C10E4"/>
    <w:rsid w:val="006C1266"/>
    <w:rsid w:val="006C14F1"/>
    <w:rsid w:val="006C14FA"/>
    <w:rsid w:val="006C1581"/>
    <w:rsid w:val="006C16F3"/>
    <w:rsid w:val="006C1818"/>
    <w:rsid w:val="006C2546"/>
    <w:rsid w:val="006C2A8E"/>
    <w:rsid w:val="006C3255"/>
    <w:rsid w:val="006C3655"/>
    <w:rsid w:val="006C3B7D"/>
    <w:rsid w:val="006C3EF5"/>
    <w:rsid w:val="006C3F26"/>
    <w:rsid w:val="006C3F9A"/>
    <w:rsid w:val="006C41BA"/>
    <w:rsid w:val="006C49DE"/>
    <w:rsid w:val="006C4BBF"/>
    <w:rsid w:val="006C4D9E"/>
    <w:rsid w:val="006C5075"/>
    <w:rsid w:val="006C56B9"/>
    <w:rsid w:val="006C58B0"/>
    <w:rsid w:val="006C58C1"/>
    <w:rsid w:val="006C59E6"/>
    <w:rsid w:val="006C5D4B"/>
    <w:rsid w:val="006C603A"/>
    <w:rsid w:val="006C6726"/>
    <w:rsid w:val="006C681F"/>
    <w:rsid w:val="006C684E"/>
    <w:rsid w:val="006C69B5"/>
    <w:rsid w:val="006C6C46"/>
    <w:rsid w:val="006C6D2E"/>
    <w:rsid w:val="006C78B1"/>
    <w:rsid w:val="006C78B7"/>
    <w:rsid w:val="006C7A20"/>
    <w:rsid w:val="006C7BB7"/>
    <w:rsid w:val="006C7D92"/>
    <w:rsid w:val="006D0263"/>
    <w:rsid w:val="006D04FD"/>
    <w:rsid w:val="006D06DA"/>
    <w:rsid w:val="006D06F4"/>
    <w:rsid w:val="006D0D17"/>
    <w:rsid w:val="006D0E5A"/>
    <w:rsid w:val="006D0ECC"/>
    <w:rsid w:val="006D0FF2"/>
    <w:rsid w:val="006D1510"/>
    <w:rsid w:val="006D167C"/>
    <w:rsid w:val="006D19FB"/>
    <w:rsid w:val="006D1EC9"/>
    <w:rsid w:val="006D2274"/>
    <w:rsid w:val="006D2305"/>
    <w:rsid w:val="006D2A69"/>
    <w:rsid w:val="006D2B7A"/>
    <w:rsid w:val="006D3199"/>
    <w:rsid w:val="006D3548"/>
    <w:rsid w:val="006D3A54"/>
    <w:rsid w:val="006D3BA0"/>
    <w:rsid w:val="006D3C7D"/>
    <w:rsid w:val="006D3DD0"/>
    <w:rsid w:val="006D4659"/>
    <w:rsid w:val="006D4703"/>
    <w:rsid w:val="006D49C8"/>
    <w:rsid w:val="006D4F87"/>
    <w:rsid w:val="006D56A8"/>
    <w:rsid w:val="006D597E"/>
    <w:rsid w:val="006D59BE"/>
    <w:rsid w:val="006D5CE8"/>
    <w:rsid w:val="006D5D5F"/>
    <w:rsid w:val="006D5DC9"/>
    <w:rsid w:val="006D630E"/>
    <w:rsid w:val="006D68FB"/>
    <w:rsid w:val="006D69B1"/>
    <w:rsid w:val="006D719A"/>
    <w:rsid w:val="006D719E"/>
    <w:rsid w:val="006D74BE"/>
    <w:rsid w:val="006D753A"/>
    <w:rsid w:val="006D7685"/>
    <w:rsid w:val="006D7C4F"/>
    <w:rsid w:val="006E01A2"/>
    <w:rsid w:val="006E01CE"/>
    <w:rsid w:val="006E1064"/>
    <w:rsid w:val="006E119B"/>
    <w:rsid w:val="006E1505"/>
    <w:rsid w:val="006E16A6"/>
    <w:rsid w:val="006E1B97"/>
    <w:rsid w:val="006E1EBD"/>
    <w:rsid w:val="006E2679"/>
    <w:rsid w:val="006E2868"/>
    <w:rsid w:val="006E2A3C"/>
    <w:rsid w:val="006E34EB"/>
    <w:rsid w:val="006E353A"/>
    <w:rsid w:val="006E36A6"/>
    <w:rsid w:val="006E3BC1"/>
    <w:rsid w:val="006E3EE0"/>
    <w:rsid w:val="006E404E"/>
    <w:rsid w:val="006E42C9"/>
    <w:rsid w:val="006E5404"/>
    <w:rsid w:val="006E5680"/>
    <w:rsid w:val="006E5DBC"/>
    <w:rsid w:val="006E6080"/>
    <w:rsid w:val="006E61C3"/>
    <w:rsid w:val="006E638E"/>
    <w:rsid w:val="006E66D4"/>
    <w:rsid w:val="006E684B"/>
    <w:rsid w:val="006E6BC2"/>
    <w:rsid w:val="006E6D3A"/>
    <w:rsid w:val="006E72A7"/>
    <w:rsid w:val="006E76DB"/>
    <w:rsid w:val="006E7966"/>
    <w:rsid w:val="006E7A27"/>
    <w:rsid w:val="006E7C8F"/>
    <w:rsid w:val="006F03DC"/>
    <w:rsid w:val="006F075C"/>
    <w:rsid w:val="006F08D9"/>
    <w:rsid w:val="006F13BB"/>
    <w:rsid w:val="006F1672"/>
    <w:rsid w:val="006F197D"/>
    <w:rsid w:val="006F2301"/>
    <w:rsid w:val="006F2D70"/>
    <w:rsid w:val="006F306C"/>
    <w:rsid w:val="006F33B6"/>
    <w:rsid w:val="006F3449"/>
    <w:rsid w:val="006F34EB"/>
    <w:rsid w:val="006F3531"/>
    <w:rsid w:val="006F4671"/>
    <w:rsid w:val="006F4C4D"/>
    <w:rsid w:val="006F50C6"/>
    <w:rsid w:val="006F529A"/>
    <w:rsid w:val="006F54E6"/>
    <w:rsid w:val="006F5566"/>
    <w:rsid w:val="006F591D"/>
    <w:rsid w:val="006F5D97"/>
    <w:rsid w:val="006F5E66"/>
    <w:rsid w:val="006F6215"/>
    <w:rsid w:val="006F63A5"/>
    <w:rsid w:val="006F651F"/>
    <w:rsid w:val="006F67C0"/>
    <w:rsid w:val="006F6CF6"/>
    <w:rsid w:val="006F737A"/>
    <w:rsid w:val="006F793C"/>
    <w:rsid w:val="006F7F18"/>
    <w:rsid w:val="007003D9"/>
    <w:rsid w:val="007007C0"/>
    <w:rsid w:val="0070088A"/>
    <w:rsid w:val="00700D41"/>
    <w:rsid w:val="00700EC8"/>
    <w:rsid w:val="0070142B"/>
    <w:rsid w:val="00701440"/>
    <w:rsid w:val="007023C7"/>
    <w:rsid w:val="00702658"/>
    <w:rsid w:val="007026CE"/>
    <w:rsid w:val="0070276E"/>
    <w:rsid w:val="00702A14"/>
    <w:rsid w:val="00702B07"/>
    <w:rsid w:val="00702B89"/>
    <w:rsid w:val="00702E7E"/>
    <w:rsid w:val="00702F8F"/>
    <w:rsid w:val="00703A17"/>
    <w:rsid w:val="00703DE7"/>
    <w:rsid w:val="00704099"/>
    <w:rsid w:val="007041C2"/>
    <w:rsid w:val="0070432C"/>
    <w:rsid w:val="00704ADD"/>
    <w:rsid w:val="00704B02"/>
    <w:rsid w:val="00704B5B"/>
    <w:rsid w:val="00705323"/>
    <w:rsid w:val="007059D8"/>
    <w:rsid w:val="00705A35"/>
    <w:rsid w:val="00705C3C"/>
    <w:rsid w:val="00706401"/>
    <w:rsid w:val="00706692"/>
    <w:rsid w:val="007068AB"/>
    <w:rsid w:val="00706A18"/>
    <w:rsid w:val="00706FA1"/>
    <w:rsid w:val="0070711E"/>
    <w:rsid w:val="0070750B"/>
    <w:rsid w:val="007076D2"/>
    <w:rsid w:val="007079AD"/>
    <w:rsid w:val="007079E1"/>
    <w:rsid w:val="007079FC"/>
    <w:rsid w:val="00707C35"/>
    <w:rsid w:val="00707CB5"/>
    <w:rsid w:val="00707D63"/>
    <w:rsid w:val="00707D79"/>
    <w:rsid w:val="0071082C"/>
    <w:rsid w:val="00710FAF"/>
    <w:rsid w:val="00711523"/>
    <w:rsid w:val="007115F7"/>
    <w:rsid w:val="00711A36"/>
    <w:rsid w:val="00711C9E"/>
    <w:rsid w:val="00711D9B"/>
    <w:rsid w:val="007125D3"/>
    <w:rsid w:val="007125F8"/>
    <w:rsid w:val="00712AAE"/>
    <w:rsid w:val="00712C43"/>
    <w:rsid w:val="0071313A"/>
    <w:rsid w:val="00713A25"/>
    <w:rsid w:val="00713BD7"/>
    <w:rsid w:val="00713DE4"/>
    <w:rsid w:val="007145D1"/>
    <w:rsid w:val="0071498C"/>
    <w:rsid w:val="00714C26"/>
    <w:rsid w:val="00714D18"/>
    <w:rsid w:val="007150BB"/>
    <w:rsid w:val="0071519B"/>
    <w:rsid w:val="00715284"/>
    <w:rsid w:val="0071529C"/>
    <w:rsid w:val="007152E2"/>
    <w:rsid w:val="007153DC"/>
    <w:rsid w:val="00715509"/>
    <w:rsid w:val="00715870"/>
    <w:rsid w:val="00715C0C"/>
    <w:rsid w:val="00715C2A"/>
    <w:rsid w:val="00715C87"/>
    <w:rsid w:val="0071611E"/>
    <w:rsid w:val="007164A8"/>
    <w:rsid w:val="00716832"/>
    <w:rsid w:val="0071696B"/>
    <w:rsid w:val="00716976"/>
    <w:rsid w:val="00716D18"/>
    <w:rsid w:val="007170DA"/>
    <w:rsid w:val="007172AD"/>
    <w:rsid w:val="00717546"/>
    <w:rsid w:val="00717AE8"/>
    <w:rsid w:val="00717F9C"/>
    <w:rsid w:val="00720335"/>
    <w:rsid w:val="00720801"/>
    <w:rsid w:val="00720803"/>
    <w:rsid w:val="0072081A"/>
    <w:rsid w:val="00720A31"/>
    <w:rsid w:val="00720C60"/>
    <w:rsid w:val="007210A9"/>
    <w:rsid w:val="0072113B"/>
    <w:rsid w:val="00721BAE"/>
    <w:rsid w:val="00721CBE"/>
    <w:rsid w:val="00721CED"/>
    <w:rsid w:val="00721EA3"/>
    <w:rsid w:val="0072259D"/>
    <w:rsid w:val="007225A7"/>
    <w:rsid w:val="00722885"/>
    <w:rsid w:val="00722B1B"/>
    <w:rsid w:val="00722B48"/>
    <w:rsid w:val="00722B5B"/>
    <w:rsid w:val="00722D0D"/>
    <w:rsid w:val="00722EBD"/>
    <w:rsid w:val="00723493"/>
    <w:rsid w:val="00723DBB"/>
    <w:rsid w:val="00723F24"/>
    <w:rsid w:val="0072416F"/>
    <w:rsid w:val="00724522"/>
    <w:rsid w:val="00724554"/>
    <w:rsid w:val="0072511B"/>
    <w:rsid w:val="0072533E"/>
    <w:rsid w:val="00725BA8"/>
    <w:rsid w:val="00725D00"/>
    <w:rsid w:val="00725DB1"/>
    <w:rsid w:val="00725F66"/>
    <w:rsid w:val="00726705"/>
    <w:rsid w:val="007269C1"/>
    <w:rsid w:val="00726D0A"/>
    <w:rsid w:val="00726FBC"/>
    <w:rsid w:val="007273E5"/>
    <w:rsid w:val="007276D6"/>
    <w:rsid w:val="0072785C"/>
    <w:rsid w:val="00727C94"/>
    <w:rsid w:val="00727DA6"/>
    <w:rsid w:val="00727E07"/>
    <w:rsid w:val="00730290"/>
    <w:rsid w:val="007306CE"/>
    <w:rsid w:val="0073084E"/>
    <w:rsid w:val="00730FC3"/>
    <w:rsid w:val="00731250"/>
    <w:rsid w:val="00731B0A"/>
    <w:rsid w:val="00731C04"/>
    <w:rsid w:val="00731EAE"/>
    <w:rsid w:val="00732093"/>
    <w:rsid w:val="007326DE"/>
    <w:rsid w:val="00732E89"/>
    <w:rsid w:val="00733073"/>
    <w:rsid w:val="007333AD"/>
    <w:rsid w:val="00733C3B"/>
    <w:rsid w:val="00733CAD"/>
    <w:rsid w:val="00733DF7"/>
    <w:rsid w:val="00734267"/>
    <w:rsid w:val="00734622"/>
    <w:rsid w:val="00734CD2"/>
    <w:rsid w:val="00735033"/>
    <w:rsid w:val="00735328"/>
    <w:rsid w:val="007353BD"/>
    <w:rsid w:val="0073573E"/>
    <w:rsid w:val="0073584F"/>
    <w:rsid w:val="007359AA"/>
    <w:rsid w:val="00736271"/>
    <w:rsid w:val="007362DD"/>
    <w:rsid w:val="00736410"/>
    <w:rsid w:val="0073646F"/>
    <w:rsid w:val="007367EC"/>
    <w:rsid w:val="0073685B"/>
    <w:rsid w:val="0073693B"/>
    <w:rsid w:val="007369F1"/>
    <w:rsid w:val="00737115"/>
    <w:rsid w:val="00737660"/>
    <w:rsid w:val="00737D66"/>
    <w:rsid w:val="00737EEC"/>
    <w:rsid w:val="00737F72"/>
    <w:rsid w:val="00740326"/>
    <w:rsid w:val="00740351"/>
    <w:rsid w:val="007410DF"/>
    <w:rsid w:val="00741177"/>
    <w:rsid w:val="007411EF"/>
    <w:rsid w:val="007412E6"/>
    <w:rsid w:val="007414D7"/>
    <w:rsid w:val="007416A9"/>
    <w:rsid w:val="0074178E"/>
    <w:rsid w:val="00741B27"/>
    <w:rsid w:val="00742018"/>
    <w:rsid w:val="007421CD"/>
    <w:rsid w:val="007421DD"/>
    <w:rsid w:val="007424E5"/>
    <w:rsid w:val="007425A2"/>
    <w:rsid w:val="007425A3"/>
    <w:rsid w:val="00742DEE"/>
    <w:rsid w:val="00743390"/>
    <w:rsid w:val="00743431"/>
    <w:rsid w:val="007436F2"/>
    <w:rsid w:val="007437D8"/>
    <w:rsid w:val="00743BF6"/>
    <w:rsid w:val="00743EE3"/>
    <w:rsid w:val="007441AA"/>
    <w:rsid w:val="0074424B"/>
    <w:rsid w:val="0074442B"/>
    <w:rsid w:val="00744430"/>
    <w:rsid w:val="00744506"/>
    <w:rsid w:val="007445EE"/>
    <w:rsid w:val="007447FD"/>
    <w:rsid w:val="00744857"/>
    <w:rsid w:val="007449BF"/>
    <w:rsid w:val="00744BD1"/>
    <w:rsid w:val="0074510B"/>
    <w:rsid w:val="0074607F"/>
    <w:rsid w:val="007463FE"/>
    <w:rsid w:val="0074641B"/>
    <w:rsid w:val="007468EC"/>
    <w:rsid w:val="00746B7F"/>
    <w:rsid w:val="00746BC0"/>
    <w:rsid w:val="00746C8D"/>
    <w:rsid w:val="00746EA7"/>
    <w:rsid w:val="00747397"/>
    <w:rsid w:val="00747593"/>
    <w:rsid w:val="00747602"/>
    <w:rsid w:val="007477D0"/>
    <w:rsid w:val="00747BD2"/>
    <w:rsid w:val="00747C85"/>
    <w:rsid w:val="00747EF3"/>
    <w:rsid w:val="007505B9"/>
    <w:rsid w:val="0075063D"/>
    <w:rsid w:val="00750E0E"/>
    <w:rsid w:val="007510B4"/>
    <w:rsid w:val="007510FC"/>
    <w:rsid w:val="00751266"/>
    <w:rsid w:val="00751F39"/>
    <w:rsid w:val="00752142"/>
    <w:rsid w:val="0075237F"/>
    <w:rsid w:val="007523F9"/>
    <w:rsid w:val="007524CE"/>
    <w:rsid w:val="00752647"/>
    <w:rsid w:val="007526C2"/>
    <w:rsid w:val="00752BF0"/>
    <w:rsid w:val="00752D7C"/>
    <w:rsid w:val="00753028"/>
    <w:rsid w:val="0075357E"/>
    <w:rsid w:val="00753817"/>
    <w:rsid w:val="00753B29"/>
    <w:rsid w:val="00754070"/>
    <w:rsid w:val="00754769"/>
    <w:rsid w:val="00754BEB"/>
    <w:rsid w:val="00754F8A"/>
    <w:rsid w:val="007553E1"/>
    <w:rsid w:val="00755432"/>
    <w:rsid w:val="00755524"/>
    <w:rsid w:val="0075563C"/>
    <w:rsid w:val="00755648"/>
    <w:rsid w:val="00755B15"/>
    <w:rsid w:val="00755D0B"/>
    <w:rsid w:val="0075661B"/>
    <w:rsid w:val="00756D41"/>
    <w:rsid w:val="00756D6E"/>
    <w:rsid w:val="00757184"/>
    <w:rsid w:val="00757253"/>
    <w:rsid w:val="007573E8"/>
    <w:rsid w:val="007573ED"/>
    <w:rsid w:val="00757471"/>
    <w:rsid w:val="0075762F"/>
    <w:rsid w:val="007577C6"/>
    <w:rsid w:val="00757AA7"/>
    <w:rsid w:val="00757C5A"/>
    <w:rsid w:val="00760C4C"/>
    <w:rsid w:val="00760C4E"/>
    <w:rsid w:val="00760C6D"/>
    <w:rsid w:val="00760F9E"/>
    <w:rsid w:val="00761203"/>
    <w:rsid w:val="007616E6"/>
    <w:rsid w:val="00762125"/>
    <w:rsid w:val="00762247"/>
    <w:rsid w:val="00762355"/>
    <w:rsid w:val="00762470"/>
    <w:rsid w:val="007627BE"/>
    <w:rsid w:val="00762839"/>
    <w:rsid w:val="00762BCF"/>
    <w:rsid w:val="00762D35"/>
    <w:rsid w:val="00762E8D"/>
    <w:rsid w:val="00763050"/>
    <w:rsid w:val="007632D9"/>
    <w:rsid w:val="00763511"/>
    <w:rsid w:val="0076380C"/>
    <w:rsid w:val="00763A8F"/>
    <w:rsid w:val="00763B1F"/>
    <w:rsid w:val="00763D2B"/>
    <w:rsid w:val="00763E7F"/>
    <w:rsid w:val="0076405D"/>
    <w:rsid w:val="007642D9"/>
    <w:rsid w:val="0076486E"/>
    <w:rsid w:val="00764A10"/>
    <w:rsid w:val="00764B18"/>
    <w:rsid w:val="00764F03"/>
    <w:rsid w:val="0076563F"/>
    <w:rsid w:val="00765B1A"/>
    <w:rsid w:val="00765DC1"/>
    <w:rsid w:val="00766875"/>
    <w:rsid w:val="00766A17"/>
    <w:rsid w:val="00766C41"/>
    <w:rsid w:val="00766DA5"/>
    <w:rsid w:val="00766DF7"/>
    <w:rsid w:val="00766E10"/>
    <w:rsid w:val="007671EA"/>
    <w:rsid w:val="007671F2"/>
    <w:rsid w:val="00767536"/>
    <w:rsid w:val="00767A39"/>
    <w:rsid w:val="00767FA4"/>
    <w:rsid w:val="00770350"/>
    <w:rsid w:val="0077073E"/>
    <w:rsid w:val="00770795"/>
    <w:rsid w:val="00770817"/>
    <w:rsid w:val="00770C1D"/>
    <w:rsid w:val="007714C0"/>
    <w:rsid w:val="007714F0"/>
    <w:rsid w:val="00771526"/>
    <w:rsid w:val="00771D10"/>
    <w:rsid w:val="00771FFC"/>
    <w:rsid w:val="00772D7A"/>
    <w:rsid w:val="0077301A"/>
    <w:rsid w:val="00773722"/>
    <w:rsid w:val="007738BA"/>
    <w:rsid w:val="00773D9C"/>
    <w:rsid w:val="00773DA8"/>
    <w:rsid w:val="00773DC0"/>
    <w:rsid w:val="00774249"/>
    <w:rsid w:val="00774827"/>
    <w:rsid w:val="007749F6"/>
    <w:rsid w:val="00774A36"/>
    <w:rsid w:val="00774BCC"/>
    <w:rsid w:val="007752E2"/>
    <w:rsid w:val="0077534F"/>
    <w:rsid w:val="0077535A"/>
    <w:rsid w:val="0077547B"/>
    <w:rsid w:val="007756ED"/>
    <w:rsid w:val="00775873"/>
    <w:rsid w:val="00775B54"/>
    <w:rsid w:val="00776498"/>
    <w:rsid w:val="007765C6"/>
    <w:rsid w:val="007766DE"/>
    <w:rsid w:val="00776CF8"/>
    <w:rsid w:val="00776E7D"/>
    <w:rsid w:val="007771E8"/>
    <w:rsid w:val="0077730B"/>
    <w:rsid w:val="00777335"/>
    <w:rsid w:val="00777673"/>
    <w:rsid w:val="00777AA3"/>
    <w:rsid w:val="00777CE5"/>
    <w:rsid w:val="00780068"/>
    <w:rsid w:val="00780578"/>
    <w:rsid w:val="00780654"/>
    <w:rsid w:val="0078072E"/>
    <w:rsid w:val="00780E72"/>
    <w:rsid w:val="00780FF6"/>
    <w:rsid w:val="00781848"/>
    <w:rsid w:val="00781C02"/>
    <w:rsid w:val="00781C47"/>
    <w:rsid w:val="00782152"/>
    <w:rsid w:val="00782472"/>
    <w:rsid w:val="007824E3"/>
    <w:rsid w:val="00782C54"/>
    <w:rsid w:val="00782CB7"/>
    <w:rsid w:val="00782CE4"/>
    <w:rsid w:val="00783057"/>
    <w:rsid w:val="007830A5"/>
    <w:rsid w:val="00783192"/>
    <w:rsid w:val="007837EE"/>
    <w:rsid w:val="007838D5"/>
    <w:rsid w:val="00783BC3"/>
    <w:rsid w:val="00783D63"/>
    <w:rsid w:val="00783DD9"/>
    <w:rsid w:val="007843F2"/>
    <w:rsid w:val="007846FA"/>
    <w:rsid w:val="0078488F"/>
    <w:rsid w:val="007848F9"/>
    <w:rsid w:val="00784971"/>
    <w:rsid w:val="00784EB5"/>
    <w:rsid w:val="00784EC5"/>
    <w:rsid w:val="00785150"/>
    <w:rsid w:val="00785290"/>
    <w:rsid w:val="007857E9"/>
    <w:rsid w:val="00785A9F"/>
    <w:rsid w:val="00785F24"/>
    <w:rsid w:val="00786058"/>
    <w:rsid w:val="007860F7"/>
    <w:rsid w:val="00786338"/>
    <w:rsid w:val="0078634E"/>
    <w:rsid w:val="0078678E"/>
    <w:rsid w:val="00786BCA"/>
    <w:rsid w:val="00786D64"/>
    <w:rsid w:val="00786FCB"/>
    <w:rsid w:val="007870BD"/>
    <w:rsid w:val="00787776"/>
    <w:rsid w:val="00790277"/>
    <w:rsid w:val="00790454"/>
    <w:rsid w:val="007907CB"/>
    <w:rsid w:val="00790DC4"/>
    <w:rsid w:val="00790E58"/>
    <w:rsid w:val="00790EA9"/>
    <w:rsid w:val="00790ED3"/>
    <w:rsid w:val="00791FA4"/>
    <w:rsid w:val="00791FB2"/>
    <w:rsid w:val="007925DF"/>
    <w:rsid w:val="007926EB"/>
    <w:rsid w:val="00792A8D"/>
    <w:rsid w:val="00792B4B"/>
    <w:rsid w:val="00792C90"/>
    <w:rsid w:val="00792EA5"/>
    <w:rsid w:val="00793263"/>
    <w:rsid w:val="00793298"/>
    <w:rsid w:val="007933FF"/>
    <w:rsid w:val="00793420"/>
    <w:rsid w:val="00793857"/>
    <w:rsid w:val="00793861"/>
    <w:rsid w:val="00793AB6"/>
    <w:rsid w:val="00793E4F"/>
    <w:rsid w:val="00794135"/>
    <w:rsid w:val="00794247"/>
    <w:rsid w:val="00794288"/>
    <w:rsid w:val="00794BB3"/>
    <w:rsid w:val="00794D9D"/>
    <w:rsid w:val="007953F9"/>
    <w:rsid w:val="0079546A"/>
    <w:rsid w:val="00795A2D"/>
    <w:rsid w:val="00795C15"/>
    <w:rsid w:val="00795F56"/>
    <w:rsid w:val="00795FDD"/>
    <w:rsid w:val="0079607F"/>
    <w:rsid w:val="00796726"/>
    <w:rsid w:val="00796A00"/>
    <w:rsid w:val="0079721D"/>
    <w:rsid w:val="00797F75"/>
    <w:rsid w:val="007A041C"/>
    <w:rsid w:val="007A0713"/>
    <w:rsid w:val="007A08AA"/>
    <w:rsid w:val="007A0A12"/>
    <w:rsid w:val="007A0C66"/>
    <w:rsid w:val="007A0C9D"/>
    <w:rsid w:val="007A132D"/>
    <w:rsid w:val="007A1345"/>
    <w:rsid w:val="007A295E"/>
    <w:rsid w:val="007A2BC6"/>
    <w:rsid w:val="007A2DDB"/>
    <w:rsid w:val="007A2F14"/>
    <w:rsid w:val="007A2F18"/>
    <w:rsid w:val="007A323F"/>
    <w:rsid w:val="007A3465"/>
    <w:rsid w:val="007A3506"/>
    <w:rsid w:val="007A3B04"/>
    <w:rsid w:val="007A4146"/>
    <w:rsid w:val="007A45DF"/>
    <w:rsid w:val="007A4657"/>
    <w:rsid w:val="007A4A55"/>
    <w:rsid w:val="007A4CFA"/>
    <w:rsid w:val="007A5052"/>
    <w:rsid w:val="007A5458"/>
    <w:rsid w:val="007A5513"/>
    <w:rsid w:val="007A5D65"/>
    <w:rsid w:val="007A5F3B"/>
    <w:rsid w:val="007A65A0"/>
    <w:rsid w:val="007A65E8"/>
    <w:rsid w:val="007A660B"/>
    <w:rsid w:val="007A6AB9"/>
    <w:rsid w:val="007A6D71"/>
    <w:rsid w:val="007A6F34"/>
    <w:rsid w:val="007A70BA"/>
    <w:rsid w:val="007A7127"/>
    <w:rsid w:val="007A77EF"/>
    <w:rsid w:val="007A7931"/>
    <w:rsid w:val="007A7A2C"/>
    <w:rsid w:val="007A7B33"/>
    <w:rsid w:val="007B02CF"/>
    <w:rsid w:val="007B0538"/>
    <w:rsid w:val="007B0D68"/>
    <w:rsid w:val="007B0E7C"/>
    <w:rsid w:val="007B113C"/>
    <w:rsid w:val="007B19FB"/>
    <w:rsid w:val="007B1A4D"/>
    <w:rsid w:val="007B1C14"/>
    <w:rsid w:val="007B1CA8"/>
    <w:rsid w:val="007B1F87"/>
    <w:rsid w:val="007B251D"/>
    <w:rsid w:val="007B26CC"/>
    <w:rsid w:val="007B2A28"/>
    <w:rsid w:val="007B2B52"/>
    <w:rsid w:val="007B2EE8"/>
    <w:rsid w:val="007B2F05"/>
    <w:rsid w:val="007B2F7E"/>
    <w:rsid w:val="007B333B"/>
    <w:rsid w:val="007B3533"/>
    <w:rsid w:val="007B35F6"/>
    <w:rsid w:val="007B3616"/>
    <w:rsid w:val="007B3790"/>
    <w:rsid w:val="007B3929"/>
    <w:rsid w:val="007B3D72"/>
    <w:rsid w:val="007B3FCD"/>
    <w:rsid w:val="007B4289"/>
    <w:rsid w:val="007B42C3"/>
    <w:rsid w:val="007B43BD"/>
    <w:rsid w:val="007B4586"/>
    <w:rsid w:val="007B4BAE"/>
    <w:rsid w:val="007B4BB4"/>
    <w:rsid w:val="007B4E03"/>
    <w:rsid w:val="007B4F58"/>
    <w:rsid w:val="007B51CD"/>
    <w:rsid w:val="007B528D"/>
    <w:rsid w:val="007B598D"/>
    <w:rsid w:val="007B63BD"/>
    <w:rsid w:val="007B63CA"/>
    <w:rsid w:val="007B679B"/>
    <w:rsid w:val="007B6BDC"/>
    <w:rsid w:val="007B6E45"/>
    <w:rsid w:val="007B6E68"/>
    <w:rsid w:val="007B75BD"/>
    <w:rsid w:val="007B77D1"/>
    <w:rsid w:val="007B7D25"/>
    <w:rsid w:val="007B7E3E"/>
    <w:rsid w:val="007C012E"/>
    <w:rsid w:val="007C01C4"/>
    <w:rsid w:val="007C03AD"/>
    <w:rsid w:val="007C04B0"/>
    <w:rsid w:val="007C0696"/>
    <w:rsid w:val="007C07C7"/>
    <w:rsid w:val="007C11CE"/>
    <w:rsid w:val="007C1576"/>
    <w:rsid w:val="007C15F0"/>
    <w:rsid w:val="007C1C68"/>
    <w:rsid w:val="007C1CD9"/>
    <w:rsid w:val="007C1CFC"/>
    <w:rsid w:val="007C20A2"/>
    <w:rsid w:val="007C277C"/>
    <w:rsid w:val="007C2B4F"/>
    <w:rsid w:val="007C32EF"/>
    <w:rsid w:val="007C3511"/>
    <w:rsid w:val="007C361D"/>
    <w:rsid w:val="007C39F0"/>
    <w:rsid w:val="007C3A4D"/>
    <w:rsid w:val="007C3A71"/>
    <w:rsid w:val="007C3A7F"/>
    <w:rsid w:val="007C3CFE"/>
    <w:rsid w:val="007C4141"/>
    <w:rsid w:val="007C4349"/>
    <w:rsid w:val="007C4A43"/>
    <w:rsid w:val="007C4B84"/>
    <w:rsid w:val="007C4D95"/>
    <w:rsid w:val="007C513B"/>
    <w:rsid w:val="007C5DF1"/>
    <w:rsid w:val="007C617C"/>
    <w:rsid w:val="007C66BB"/>
    <w:rsid w:val="007C6AD2"/>
    <w:rsid w:val="007C6EB1"/>
    <w:rsid w:val="007C6EE3"/>
    <w:rsid w:val="007C70FF"/>
    <w:rsid w:val="007C7A73"/>
    <w:rsid w:val="007C7C25"/>
    <w:rsid w:val="007C7C31"/>
    <w:rsid w:val="007C7E18"/>
    <w:rsid w:val="007C7FC2"/>
    <w:rsid w:val="007D004F"/>
    <w:rsid w:val="007D00CC"/>
    <w:rsid w:val="007D016D"/>
    <w:rsid w:val="007D035F"/>
    <w:rsid w:val="007D058B"/>
    <w:rsid w:val="007D0603"/>
    <w:rsid w:val="007D06B2"/>
    <w:rsid w:val="007D0B38"/>
    <w:rsid w:val="007D18C7"/>
    <w:rsid w:val="007D1ABB"/>
    <w:rsid w:val="007D1F48"/>
    <w:rsid w:val="007D2825"/>
    <w:rsid w:val="007D295D"/>
    <w:rsid w:val="007D2E94"/>
    <w:rsid w:val="007D422C"/>
    <w:rsid w:val="007D4595"/>
    <w:rsid w:val="007D486B"/>
    <w:rsid w:val="007D4D37"/>
    <w:rsid w:val="007D5440"/>
    <w:rsid w:val="007D544E"/>
    <w:rsid w:val="007D5A95"/>
    <w:rsid w:val="007D5AC4"/>
    <w:rsid w:val="007D5AC7"/>
    <w:rsid w:val="007D5C5F"/>
    <w:rsid w:val="007D5C96"/>
    <w:rsid w:val="007D600A"/>
    <w:rsid w:val="007D62F6"/>
    <w:rsid w:val="007D6431"/>
    <w:rsid w:val="007D666B"/>
    <w:rsid w:val="007D6782"/>
    <w:rsid w:val="007D67D3"/>
    <w:rsid w:val="007D69EB"/>
    <w:rsid w:val="007D70D2"/>
    <w:rsid w:val="007D7201"/>
    <w:rsid w:val="007D72D4"/>
    <w:rsid w:val="007D7539"/>
    <w:rsid w:val="007D7664"/>
    <w:rsid w:val="007D7BEA"/>
    <w:rsid w:val="007D7C4C"/>
    <w:rsid w:val="007E0362"/>
    <w:rsid w:val="007E03BF"/>
    <w:rsid w:val="007E03F0"/>
    <w:rsid w:val="007E079D"/>
    <w:rsid w:val="007E0A6A"/>
    <w:rsid w:val="007E0B34"/>
    <w:rsid w:val="007E0E5F"/>
    <w:rsid w:val="007E128F"/>
    <w:rsid w:val="007E1451"/>
    <w:rsid w:val="007E1506"/>
    <w:rsid w:val="007E1672"/>
    <w:rsid w:val="007E1873"/>
    <w:rsid w:val="007E1A91"/>
    <w:rsid w:val="007E2ACB"/>
    <w:rsid w:val="007E2BCE"/>
    <w:rsid w:val="007E3738"/>
    <w:rsid w:val="007E3830"/>
    <w:rsid w:val="007E3BF3"/>
    <w:rsid w:val="007E3C2E"/>
    <w:rsid w:val="007E431E"/>
    <w:rsid w:val="007E4354"/>
    <w:rsid w:val="007E456A"/>
    <w:rsid w:val="007E4728"/>
    <w:rsid w:val="007E49A5"/>
    <w:rsid w:val="007E4C24"/>
    <w:rsid w:val="007E4EBA"/>
    <w:rsid w:val="007E5222"/>
    <w:rsid w:val="007E5243"/>
    <w:rsid w:val="007E5C22"/>
    <w:rsid w:val="007E60BF"/>
    <w:rsid w:val="007E67FA"/>
    <w:rsid w:val="007E6A54"/>
    <w:rsid w:val="007E6D93"/>
    <w:rsid w:val="007E6E5B"/>
    <w:rsid w:val="007E7373"/>
    <w:rsid w:val="007E7533"/>
    <w:rsid w:val="007E7766"/>
    <w:rsid w:val="007E7982"/>
    <w:rsid w:val="007E7A8B"/>
    <w:rsid w:val="007E7C7D"/>
    <w:rsid w:val="007F01C1"/>
    <w:rsid w:val="007F05A8"/>
    <w:rsid w:val="007F0606"/>
    <w:rsid w:val="007F0866"/>
    <w:rsid w:val="007F0D0A"/>
    <w:rsid w:val="007F0E43"/>
    <w:rsid w:val="007F1017"/>
    <w:rsid w:val="007F102E"/>
    <w:rsid w:val="007F149B"/>
    <w:rsid w:val="007F157D"/>
    <w:rsid w:val="007F22C4"/>
    <w:rsid w:val="007F240F"/>
    <w:rsid w:val="007F362A"/>
    <w:rsid w:val="007F36D5"/>
    <w:rsid w:val="007F3ABA"/>
    <w:rsid w:val="007F3B65"/>
    <w:rsid w:val="007F3FCF"/>
    <w:rsid w:val="007F403C"/>
    <w:rsid w:val="007F40D6"/>
    <w:rsid w:val="007F4275"/>
    <w:rsid w:val="007F42A4"/>
    <w:rsid w:val="007F42E4"/>
    <w:rsid w:val="007F43AA"/>
    <w:rsid w:val="007F4439"/>
    <w:rsid w:val="007F4771"/>
    <w:rsid w:val="007F4A3F"/>
    <w:rsid w:val="007F4A61"/>
    <w:rsid w:val="007F4A6E"/>
    <w:rsid w:val="007F5192"/>
    <w:rsid w:val="007F5255"/>
    <w:rsid w:val="007F55A7"/>
    <w:rsid w:val="007F55F4"/>
    <w:rsid w:val="007F56CC"/>
    <w:rsid w:val="007F5ABF"/>
    <w:rsid w:val="007F5C9C"/>
    <w:rsid w:val="007F5DB6"/>
    <w:rsid w:val="007F61C2"/>
    <w:rsid w:val="007F6330"/>
    <w:rsid w:val="007F64EA"/>
    <w:rsid w:val="007F6964"/>
    <w:rsid w:val="007F6C9A"/>
    <w:rsid w:val="007F6D40"/>
    <w:rsid w:val="007F6E4D"/>
    <w:rsid w:val="007F7277"/>
    <w:rsid w:val="007F798C"/>
    <w:rsid w:val="007F7A28"/>
    <w:rsid w:val="007F7ABB"/>
    <w:rsid w:val="007F7BBC"/>
    <w:rsid w:val="008001A8"/>
    <w:rsid w:val="008005FD"/>
    <w:rsid w:val="008006AF"/>
    <w:rsid w:val="00800B8E"/>
    <w:rsid w:val="00800B93"/>
    <w:rsid w:val="00800E7D"/>
    <w:rsid w:val="0080100D"/>
    <w:rsid w:val="00801547"/>
    <w:rsid w:val="00801975"/>
    <w:rsid w:val="008029DD"/>
    <w:rsid w:val="0080310D"/>
    <w:rsid w:val="008037F0"/>
    <w:rsid w:val="008039E9"/>
    <w:rsid w:val="0080400E"/>
    <w:rsid w:val="0080414D"/>
    <w:rsid w:val="008043D7"/>
    <w:rsid w:val="008044C4"/>
    <w:rsid w:val="00804514"/>
    <w:rsid w:val="00804631"/>
    <w:rsid w:val="00804789"/>
    <w:rsid w:val="00804A75"/>
    <w:rsid w:val="00804B70"/>
    <w:rsid w:val="00805016"/>
    <w:rsid w:val="00805142"/>
    <w:rsid w:val="008052C6"/>
    <w:rsid w:val="00805999"/>
    <w:rsid w:val="00805B74"/>
    <w:rsid w:val="00805FCE"/>
    <w:rsid w:val="008062BC"/>
    <w:rsid w:val="0080684E"/>
    <w:rsid w:val="00806CB3"/>
    <w:rsid w:val="00806CD8"/>
    <w:rsid w:val="00806FC0"/>
    <w:rsid w:val="0080712A"/>
    <w:rsid w:val="008071E5"/>
    <w:rsid w:val="008079C2"/>
    <w:rsid w:val="008079F7"/>
    <w:rsid w:val="00807A8B"/>
    <w:rsid w:val="00807CCC"/>
    <w:rsid w:val="00807DC3"/>
    <w:rsid w:val="00810172"/>
    <w:rsid w:val="008108C0"/>
    <w:rsid w:val="00810A10"/>
    <w:rsid w:val="00811383"/>
    <w:rsid w:val="0081139D"/>
    <w:rsid w:val="008113DB"/>
    <w:rsid w:val="00811662"/>
    <w:rsid w:val="008116C1"/>
    <w:rsid w:val="00811B54"/>
    <w:rsid w:val="00812149"/>
    <w:rsid w:val="008125EC"/>
    <w:rsid w:val="00812617"/>
    <w:rsid w:val="008127DD"/>
    <w:rsid w:val="00812CAC"/>
    <w:rsid w:val="00812DA5"/>
    <w:rsid w:val="00812E45"/>
    <w:rsid w:val="008132F7"/>
    <w:rsid w:val="008135BC"/>
    <w:rsid w:val="00813C20"/>
    <w:rsid w:val="00813C7A"/>
    <w:rsid w:val="00813E4C"/>
    <w:rsid w:val="008140DB"/>
    <w:rsid w:val="00814B4B"/>
    <w:rsid w:val="00815310"/>
    <w:rsid w:val="008156C9"/>
    <w:rsid w:val="0081593A"/>
    <w:rsid w:val="00815A8F"/>
    <w:rsid w:val="00815C38"/>
    <w:rsid w:val="00815DB6"/>
    <w:rsid w:val="008162F4"/>
    <w:rsid w:val="00816361"/>
    <w:rsid w:val="008166EF"/>
    <w:rsid w:val="008167A4"/>
    <w:rsid w:val="008168A7"/>
    <w:rsid w:val="00816A1D"/>
    <w:rsid w:val="00816EB8"/>
    <w:rsid w:val="00816FEF"/>
    <w:rsid w:val="008172A7"/>
    <w:rsid w:val="00817601"/>
    <w:rsid w:val="00817722"/>
    <w:rsid w:val="00817C24"/>
    <w:rsid w:val="00817E44"/>
    <w:rsid w:val="00817FE1"/>
    <w:rsid w:val="008203A9"/>
    <w:rsid w:val="0082088B"/>
    <w:rsid w:val="0082088C"/>
    <w:rsid w:val="00820A8C"/>
    <w:rsid w:val="00820CC5"/>
    <w:rsid w:val="00821085"/>
    <w:rsid w:val="0082109E"/>
    <w:rsid w:val="00821205"/>
    <w:rsid w:val="00821444"/>
    <w:rsid w:val="008215FB"/>
    <w:rsid w:val="0082161F"/>
    <w:rsid w:val="00821B97"/>
    <w:rsid w:val="00821C14"/>
    <w:rsid w:val="008220CC"/>
    <w:rsid w:val="008221F4"/>
    <w:rsid w:val="008222DE"/>
    <w:rsid w:val="008222E4"/>
    <w:rsid w:val="008225AC"/>
    <w:rsid w:val="008227D5"/>
    <w:rsid w:val="00822996"/>
    <w:rsid w:val="00822B26"/>
    <w:rsid w:val="00822E40"/>
    <w:rsid w:val="008230D9"/>
    <w:rsid w:val="00823153"/>
    <w:rsid w:val="00823174"/>
    <w:rsid w:val="00823615"/>
    <w:rsid w:val="0082377C"/>
    <w:rsid w:val="00823976"/>
    <w:rsid w:val="00823BCE"/>
    <w:rsid w:val="00823F4D"/>
    <w:rsid w:val="008243DF"/>
    <w:rsid w:val="00824486"/>
    <w:rsid w:val="00824947"/>
    <w:rsid w:val="00824A0B"/>
    <w:rsid w:val="0082515A"/>
    <w:rsid w:val="00825315"/>
    <w:rsid w:val="00825515"/>
    <w:rsid w:val="0082560D"/>
    <w:rsid w:val="00825751"/>
    <w:rsid w:val="008257C9"/>
    <w:rsid w:val="0082592F"/>
    <w:rsid w:val="00825A1A"/>
    <w:rsid w:val="00825DD2"/>
    <w:rsid w:val="00825F05"/>
    <w:rsid w:val="008264EB"/>
    <w:rsid w:val="008268CE"/>
    <w:rsid w:val="00826A25"/>
    <w:rsid w:val="00826D41"/>
    <w:rsid w:val="00826F4F"/>
    <w:rsid w:val="008271CD"/>
    <w:rsid w:val="00827664"/>
    <w:rsid w:val="00827944"/>
    <w:rsid w:val="00827C23"/>
    <w:rsid w:val="00830793"/>
    <w:rsid w:val="00830798"/>
    <w:rsid w:val="00830A5A"/>
    <w:rsid w:val="00830B0A"/>
    <w:rsid w:val="00830D17"/>
    <w:rsid w:val="00830EDE"/>
    <w:rsid w:val="008311A9"/>
    <w:rsid w:val="00831256"/>
    <w:rsid w:val="008315E8"/>
    <w:rsid w:val="00831706"/>
    <w:rsid w:val="008318D6"/>
    <w:rsid w:val="00831CF7"/>
    <w:rsid w:val="00831D8C"/>
    <w:rsid w:val="00831F86"/>
    <w:rsid w:val="00831FD2"/>
    <w:rsid w:val="008320E4"/>
    <w:rsid w:val="008324AC"/>
    <w:rsid w:val="00832C86"/>
    <w:rsid w:val="00832E00"/>
    <w:rsid w:val="00833196"/>
    <w:rsid w:val="00833516"/>
    <w:rsid w:val="00833B05"/>
    <w:rsid w:val="00833CE4"/>
    <w:rsid w:val="00833CF8"/>
    <w:rsid w:val="0083478E"/>
    <w:rsid w:val="0083484E"/>
    <w:rsid w:val="00834BEC"/>
    <w:rsid w:val="00835C83"/>
    <w:rsid w:val="00835F39"/>
    <w:rsid w:val="00835FA1"/>
    <w:rsid w:val="00836169"/>
    <w:rsid w:val="008362B4"/>
    <w:rsid w:val="0083631A"/>
    <w:rsid w:val="00836895"/>
    <w:rsid w:val="008368CD"/>
    <w:rsid w:val="008368E6"/>
    <w:rsid w:val="008369FE"/>
    <w:rsid w:val="008373B1"/>
    <w:rsid w:val="008378C8"/>
    <w:rsid w:val="00837AB2"/>
    <w:rsid w:val="00837E8A"/>
    <w:rsid w:val="00840B3B"/>
    <w:rsid w:val="00840B48"/>
    <w:rsid w:val="00840CA2"/>
    <w:rsid w:val="00840F10"/>
    <w:rsid w:val="008412DF"/>
    <w:rsid w:val="00841389"/>
    <w:rsid w:val="00841567"/>
    <w:rsid w:val="00841644"/>
    <w:rsid w:val="0084176C"/>
    <w:rsid w:val="00841A8E"/>
    <w:rsid w:val="00841B82"/>
    <w:rsid w:val="00841C63"/>
    <w:rsid w:val="00841D4F"/>
    <w:rsid w:val="00841FEF"/>
    <w:rsid w:val="00842EA8"/>
    <w:rsid w:val="00842F20"/>
    <w:rsid w:val="008432C8"/>
    <w:rsid w:val="0084337B"/>
    <w:rsid w:val="0084374F"/>
    <w:rsid w:val="00843ACF"/>
    <w:rsid w:val="00843B58"/>
    <w:rsid w:val="00843D51"/>
    <w:rsid w:val="00844506"/>
    <w:rsid w:val="008446BD"/>
    <w:rsid w:val="00844A22"/>
    <w:rsid w:val="00844AFE"/>
    <w:rsid w:val="008453AD"/>
    <w:rsid w:val="0084559A"/>
    <w:rsid w:val="008455CF"/>
    <w:rsid w:val="00845697"/>
    <w:rsid w:val="008459C7"/>
    <w:rsid w:val="008460D3"/>
    <w:rsid w:val="0084628B"/>
    <w:rsid w:val="008464FF"/>
    <w:rsid w:val="008466C4"/>
    <w:rsid w:val="0084677D"/>
    <w:rsid w:val="008469D0"/>
    <w:rsid w:val="00846A77"/>
    <w:rsid w:val="00846E85"/>
    <w:rsid w:val="0084725D"/>
    <w:rsid w:val="0084733B"/>
    <w:rsid w:val="00847658"/>
    <w:rsid w:val="00847703"/>
    <w:rsid w:val="00847979"/>
    <w:rsid w:val="00847AF8"/>
    <w:rsid w:val="00847DC6"/>
    <w:rsid w:val="00847DD1"/>
    <w:rsid w:val="00847DF5"/>
    <w:rsid w:val="0085018D"/>
    <w:rsid w:val="008502EA"/>
    <w:rsid w:val="00850443"/>
    <w:rsid w:val="00850BC8"/>
    <w:rsid w:val="00850D76"/>
    <w:rsid w:val="00850E7D"/>
    <w:rsid w:val="00850EEC"/>
    <w:rsid w:val="00851710"/>
    <w:rsid w:val="00851869"/>
    <w:rsid w:val="00852011"/>
    <w:rsid w:val="00852093"/>
    <w:rsid w:val="00852275"/>
    <w:rsid w:val="00852B07"/>
    <w:rsid w:val="00852F03"/>
    <w:rsid w:val="00853009"/>
    <w:rsid w:val="0085309D"/>
    <w:rsid w:val="00854C69"/>
    <w:rsid w:val="00854D0C"/>
    <w:rsid w:val="00854D69"/>
    <w:rsid w:val="00854D90"/>
    <w:rsid w:val="00855060"/>
    <w:rsid w:val="008550D5"/>
    <w:rsid w:val="00855687"/>
    <w:rsid w:val="00855B60"/>
    <w:rsid w:val="00855E81"/>
    <w:rsid w:val="00856631"/>
    <w:rsid w:val="008566C9"/>
    <w:rsid w:val="00856897"/>
    <w:rsid w:val="008568C9"/>
    <w:rsid w:val="008568F2"/>
    <w:rsid w:val="00856B10"/>
    <w:rsid w:val="00856E9A"/>
    <w:rsid w:val="00856F10"/>
    <w:rsid w:val="00856F1A"/>
    <w:rsid w:val="00856FE4"/>
    <w:rsid w:val="0085772B"/>
    <w:rsid w:val="0085772C"/>
    <w:rsid w:val="00857B9A"/>
    <w:rsid w:val="00857C43"/>
    <w:rsid w:val="008600A0"/>
    <w:rsid w:val="00860108"/>
    <w:rsid w:val="008605F7"/>
    <w:rsid w:val="0086075D"/>
    <w:rsid w:val="00860975"/>
    <w:rsid w:val="00860A18"/>
    <w:rsid w:val="00860AC0"/>
    <w:rsid w:val="00860C43"/>
    <w:rsid w:val="00860E69"/>
    <w:rsid w:val="0086135B"/>
    <w:rsid w:val="008613B3"/>
    <w:rsid w:val="008613BD"/>
    <w:rsid w:val="0086186E"/>
    <w:rsid w:val="008618CC"/>
    <w:rsid w:val="0086191A"/>
    <w:rsid w:val="00861967"/>
    <w:rsid w:val="00861DE5"/>
    <w:rsid w:val="0086216B"/>
    <w:rsid w:val="008621E0"/>
    <w:rsid w:val="008622DF"/>
    <w:rsid w:val="00862502"/>
    <w:rsid w:val="008626EF"/>
    <w:rsid w:val="00862A20"/>
    <w:rsid w:val="00862BC4"/>
    <w:rsid w:val="00862CC1"/>
    <w:rsid w:val="00863329"/>
    <w:rsid w:val="00863B6E"/>
    <w:rsid w:val="00863CC5"/>
    <w:rsid w:val="00863F10"/>
    <w:rsid w:val="0086404C"/>
    <w:rsid w:val="0086405A"/>
    <w:rsid w:val="008641E0"/>
    <w:rsid w:val="008642A7"/>
    <w:rsid w:val="00864D10"/>
    <w:rsid w:val="00864D9B"/>
    <w:rsid w:val="00864E56"/>
    <w:rsid w:val="00864FD7"/>
    <w:rsid w:val="008652E4"/>
    <w:rsid w:val="00865505"/>
    <w:rsid w:val="00865733"/>
    <w:rsid w:val="008659E3"/>
    <w:rsid w:val="00865EF5"/>
    <w:rsid w:val="008660D4"/>
    <w:rsid w:val="00866163"/>
    <w:rsid w:val="00867541"/>
    <w:rsid w:val="008676E5"/>
    <w:rsid w:val="0086785F"/>
    <w:rsid w:val="00867B3E"/>
    <w:rsid w:val="008700E4"/>
    <w:rsid w:val="008703D1"/>
    <w:rsid w:val="008707B5"/>
    <w:rsid w:val="00870933"/>
    <w:rsid w:val="00870A46"/>
    <w:rsid w:val="00870B09"/>
    <w:rsid w:val="00870E8B"/>
    <w:rsid w:val="008711E7"/>
    <w:rsid w:val="0087163F"/>
    <w:rsid w:val="008716FD"/>
    <w:rsid w:val="00871F52"/>
    <w:rsid w:val="00871FA9"/>
    <w:rsid w:val="0087269D"/>
    <w:rsid w:val="00872756"/>
    <w:rsid w:val="0087275B"/>
    <w:rsid w:val="008727E8"/>
    <w:rsid w:val="008728E1"/>
    <w:rsid w:val="008728E9"/>
    <w:rsid w:val="00872A51"/>
    <w:rsid w:val="00872F4F"/>
    <w:rsid w:val="008731B1"/>
    <w:rsid w:val="0087364B"/>
    <w:rsid w:val="008743DF"/>
    <w:rsid w:val="00874B4E"/>
    <w:rsid w:val="00874F35"/>
    <w:rsid w:val="008750D5"/>
    <w:rsid w:val="008759C5"/>
    <w:rsid w:val="00875F2F"/>
    <w:rsid w:val="008761EC"/>
    <w:rsid w:val="008763CB"/>
    <w:rsid w:val="0087659E"/>
    <w:rsid w:val="00876A2A"/>
    <w:rsid w:val="00876A95"/>
    <w:rsid w:val="008778BA"/>
    <w:rsid w:val="00877D3C"/>
    <w:rsid w:val="00877DEB"/>
    <w:rsid w:val="008803AF"/>
    <w:rsid w:val="0088125A"/>
    <w:rsid w:val="00881587"/>
    <w:rsid w:val="00881B4D"/>
    <w:rsid w:val="008824D8"/>
    <w:rsid w:val="00882519"/>
    <w:rsid w:val="00882566"/>
    <w:rsid w:val="00882874"/>
    <w:rsid w:val="00882966"/>
    <w:rsid w:val="00882C93"/>
    <w:rsid w:val="00882E35"/>
    <w:rsid w:val="00882E3C"/>
    <w:rsid w:val="00883070"/>
    <w:rsid w:val="0088308A"/>
    <w:rsid w:val="00883616"/>
    <w:rsid w:val="00883787"/>
    <w:rsid w:val="00883AA2"/>
    <w:rsid w:val="00883ACC"/>
    <w:rsid w:val="00883B0F"/>
    <w:rsid w:val="00883F1E"/>
    <w:rsid w:val="00884072"/>
    <w:rsid w:val="008840F7"/>
    <w:rsid w:val="00884506"/>
    <w:rsid w:val="00884A55"/>
    <w:rsid w:val="00884B53"/>
    <w:rsid w:val="00884CC3"/>
    <w:rsid w:val="00884D4B"/>
    <w:rsid w:val="008855E4"/>
    <w:rsid w:val="008859FA"/>
    <w:rsid w:val="0088608B"/>
    <w:rsid w:val="00886A30"/>
    <w:rsid w:val="00886CD2"/>
    <w:rsid w:val="0088712E"/>
    <w:rsid w:val="00887733"/>
    <w:rsid w:val="0088784D"/>
    <w:rsid w:val="00887C04"/>
    <w:rsid w:val="00890115"/>
    <w:rsid w:val="00890169"/>
    <w:rsid w:val="0089068A"/>
    <w:rsid w:val="0089087A"/>
    <w:rsid w:val="00890E19"/>
    <w:rsid w:val="008911D3"/>
    <w:rsid w:val="00891749"/>
    <w:rsid w:val="00891ACA"/>
    <w:rsid w:val="00891E6F"/>
    <w:rsid w:val="00891EE4"/>
    <w:rsid w:val="008921DB"/>
    <w:rsid w:val="00892407"/>
    <w:rsid w:val="00892473"/>
    <w:rsid w:val="008924E7"/>
    <w:rsid w:val="0089275D"/>
    <w:rsid w:val="008928AB"/>
    <w:rsid w:val="00892A36"/>
    <w:rsid w:val="00892BC0"/>
    <w:rsid w:val="00892E22"/>
    <w:rsid w:val="00892EF0"/>
    <w:rsid w:val="00893239"/>
    <w:rsid w:val="0089333C"/>
    <w:rsid w:val="0089379F"/>
    <w:rsid w:val="00894218"/>
    <w:rsid w:val="00894489"/>
    <w:rsid w:val="008944DB"/>
    <w:rsid w:val="008944FA"/>
    <w:rsid w:val="0089453D"/>
    <w:rsid w:val="008945AF"/>
    <w:rsid w:val="008946EA"/>
    <w:rsid w:val="00894CD6"/>
    <w:rsid w:val="00894E87"/>
    <w:rsid w:val="008951DE"/>
    <w:rsid w:val="00895338"/>
    <w:rsid w:val="008953E6"/>
    <w:rsid w:val="0089558E"/>
    <w:rsid w:val="008955DD"/>
    <w:rsid w:val="00895821"/>
    <w:rsid w:val="00895A9E"/>
    <w:rsid w:val="00896032"/>
    <w:rsid w:val="00896124"/>
    <w:rsid w:val="008963A5"/>
    <w:rsid w:val="0089692F"/>
    <w:rsid w:val="00896B84"/>
    <w:rsid w:val="00896BD8"/>
    <w:rsid w:val="00896D5D"/>
    <w:rsid w:val="00897315"/>
    <w:rsid w:val="0089742C"/>
    <w:rsid w:val="0089791E"/>
    <w:rsid w:val="00897C38"/>
    <w:rsid w:val="008A0012"/>
    <w:rsid w:val="008A0545"/>
    <w:rsid w:val="008A06C8"/>
    <w:rsid w:val="008A07A3"/>
    <w:rsid w:val="008A0A45"/>
    <w:rsid w:val="008A0A90"/>
    <w:rsid w:val="008A1040"/>
    <w:rsid w:val="008A19F5"/>
    <w:rsid w:val="008A1A91"/>
    <w:rsid w:val="008A1DB3"/>
    <w:rsid w:val="008A2266"/>
    <w:rsid w:val="008A2337"/>
    <w:rsid w:val="008A2585"/>
    <w:rsid w:val="008A286E"/>
    <w:rsid w:val="008A2954"/>
    <w:rsid w:val="008A2C09"/>
    <w:rsid w:val="008A3158"/>
    <w:rsid w:val="008A3363"/>
    <w:rsid w:val="008A3371"/>
    <w:rsid w:val="008A36FA"/>
    <w:rsid w:val="008A3811"/>
    <w:rsid w:val="008A393E"/>
    <w:rsid w:val="008A3B73"/>
    <w:rsid w:val="008A3C3E"/>
    <w:rsid w:val="008A4368"/>
    <w:rsid w:val="008A4749"/>
    <w:rsid w:val="008A5009"/>
    <w:rsid w:val="008A509A"/>
    <w:rsid w:val="008A52DD"/>
    <w:rsid w:val="008A5781"/>
    <w:rsid w:val="008A5854"/>
    <w:rsid w:val="008A60A3"/>
    <w:rsid w:val="008A62D3"/>
    <w:rsid w:val="008A6354"/>
    <w:rsid w:val="008A654E"/>
    <w:rsid w:val="008A6CE4"/>
    <w:rsid w:val="008A718B"/>
    <w:rsid w:val="008A787A"/>
    <w:rsid w:val="008A79A3"/>
    <w:rsid w:val="008A79DE"/>
    <w:rsid w:val="008A7F87"/>
    <w:rsid w:val="008B0141"/>
    <w:rsid w:val="008B0160"/>
    <w:rsid w:val="008B0328"/>
    <w:rsid w:val="008B06E7"/>
    <w:rsid w:val="008B0A75"/>
    <w:rsid w:val="008B0B6D"/>
    <w:rsid w:val="008B0F47"/>
    <w:rsid w:val="008B13F9"/>
    <w:rsid w:val="008B14B6"/>
    <w:rsid w:val="008B1757"/>
    <w:rsid w:val="008B1C33"/>
    <w:rsid w:val="008B1D66"/>
    <w:rsid w:val="008B2025"/>
    <w:rsid w:val="008B2680"/>
    <w:rsid w:val="008B2CB9"/>
    <w:rsid w:val="008B2FD9"/>
    <w:rsid w:val="008B337F"/>
    <w:rsid w:val="008B3430"/>
    <w:rsid w:val="008B3684"/>
    <w:rsid w:val="008B43CE"/>
    <w:rsid w:val="008B43FA"/>
    <w:rsid w:val="008B4AA9"/>
    <w:rsid w:val="008B4B6F"/>
    <w:rsid w:val="008B4E15"/>
    <w:rsid w:val="008B52BA"/>
    <w:rsid w:val="008B5444"/>
    <w:rsid w:val="008B5695"/>
    <w:rsid w:val="008B5A53"/>
    <w:rsid w:val="008B5BFA"/>
    <w:rsid w:val="008B6100"/>
    <w:rsid w:val="008B611A"/>
    <w:rsid w:val="008B6B3B"/>
    <w:rsid w:val="008B6FFA"/>
    <w:rsid w:val="008B706A"/>
    <w:rsid w:val="008B71A8"/>
    <w:rsid w:val="008B7202"/>
    <w:rsid w:val="008B7687"/>
    <w:rsid w:val="008B772D"/>
    <w:rsid w:val="008B781C"/>
    <w:rsid w:val="008B7992"/>
    <w:rsid w:val="008B7A0A"/>
    <w:rsid w:val="008B7D7E"/>
    <w:rsid w:val="008C08C4"/>
    <w:rsid w:val="008C0D75"/>
    <w:rsid w:val="008C0E93"/>
    <w:rsid w:val="008C1116"/>
    <w:rsid w:val="008C17C4"/>
    <w:rsid w:val="008C1DAA"/>
    <w:rsid w:val="008C1F4B"/>
    <w:rsid w:val="008C23BA"/>
    <w:rsid w:val="008C2506"/>
    <w:rsid w:val="008C27C2"/>
    <w:rsid w:val="008C2924"/>
    <w:rsid w:val="008C2D9A"/>
    <w:rsid w:val="008C2ED1"/>
    <w:rsid w:val="008C3110"/>
    <w:rsid w:val="008C31B2"/>
    <w:rsid w:val="008C32C1"/>
    <w:rsid w:val="008C35A5"/>
    <w:rsid w:val="008C3CCE"/>
    <w:rsid w:val="008C4044"/>
    <w:rsid w:val="008C4396"/>
    <w:rsid w:val="008C4ABD"/>
    <w:rsid w:val="008C5013"/>
    <w:rsid w:val="008C53C4"/>
    <w:rsid w:val="008C53F4"/>
    <w:rsid w:val="008C5610"/>
    <w:rsid w:val="008C5739"/>
    <w:rsid w:val="008C58E6"/>
    <w:rsid w:val="008C59C7"/>
    <w:rsid w:val="008C5C85"/>
    <w:rsid w:val="008C5F6D"/>
    <w:rsid w:val="008C6121"/>
    <w:rsid w:val="008C63D4"/>
    <w:rsid w:val="008C65E2"/>
    <w:rsid w:val="008C6619"/>
    <w:rsid w:val="008C68D1"/>
    <w:rsid w:val="008C6A9D"/>
    <w:rsid w:val="008C6BFD"/>
    <w:rsid w:val="008C6C1F"/>
    <w:rsid w:val="008C6D1A"/>
    <w:rsid w:val="008C7282"/>
    <w:rsid w:val="008C72F3"/>
    <w:rsid w:val="008C738C"/>
    <w:rsid w:val="008C7C64"/>
    <w:rsid w:val="008C7EB7"/>
    <w:rsid w:val="008C7ECB"/>
    <w:rsid w:val="008D0173"/>
    <w:rsid w:val="008D02AD"/>
    <w:rsid w:val="008D06BB"/>
    <w:rsid w:val="008D128A"/>
    <w:rsid w:val="008D1523"/>
    <w:rsid w:val="008D19C0"/>
    <w:rsid w:val="008D1CE1"/>
    <w:rsid w:val="008D1D9D"/>
    <w:rsid w:val="008D2595"/>
    <w:rsid w:val="008D291B"/>
    <w:rsid w:val="008D29BB"/>
    <w:rsid w:val="008D2B1F"/>
    <w:rsid w:val="008D2BFF"/>
    <w:rsid w:val="008D33E5"/>
    <w:rsid w:val="008D3750"/>
    <w:rsid w:val="008D3B06"/>
    <w:rsid w:val="008D3B86"/>
    <w:rsid w:val="008D3FCC"/>
    <w:rsid w:val="008D42A1"/>
    <w:rsid w:val="008D43FD"/>
    <w:rsid w:val="008D450F"/>
    <w:rsid w:val="008D46F5"/>
    <w:rsid w:val="008D4755"/>
    <w:rsid w:val="008D4C3D"/>
    <w:rsid w:val="008D4D7F"/>
    <w:rsid w:val="008D50CD"/>
    <w:rsid w:val="008D566C"/>
    <w:rsid w:val="008D5DBB"/>
    <w:rsid w:val="008D5EEA"/>
    <w:rsid w:val="008D6387"/>
    <w:rsid w:val="008D649C"/>
    <w:rsid w:val="008D64B3"/>
    <w:rsid w:val="008D665A"/>
    <w:rsid w:val="008D6944"/>
    <w:rsid w:val="008D6B1D"/>
    <w:rsid w:val="008D6D09"/>
    <w:rsid w:val="008D743C"/>
    <w:rsid w:val="008D74F5"/>
    <w:rsid w:val="008D7A1C"/>
    <w:rsid w:val="008D7E9B"/>
    <w:rsid w:val="008E0125"/>
    <w:rsid w:val="008E0BAC"/>
    <w:rsid w:val="008E0D3C"/>
    <w:rsid w:val="008E0F48"/>
    <w:rsid w:val="008E132D"/>
    <w:rsid w:val="008E1897"/>
    <w:rsid w:val="008E1B9B"/>
    <w:rsid w:val="008E1B9E"/>
    <w:rsid w:val="008E1F98"/>
    <w:rsid w:val="008E2B51"/>
    <w:rsid w:val="008E2BD9"/>
    <w:rsid w:val="008E3446"/>
    <w:rsid w:val="008E3500"/>
    <w:rsid w:val="008E35EB"/>
    <w:rsid w:val="008E3848"/>
    <w:rsid w:val="008E3858"/>
    <w:rsid w:val="008E3AE6"/>
    <w:rsid w:val="008E3D89"/>
    <w:rsid w:val="008E3EDB"/>
    <w:rsid w:val="008E401F"/>
    <w:rsid w:val="008E45C8"/>
    <w:rsid w:val="008E4656"/>
    <w:rsid w:val="008E482E"/>
    <w:rsid w:val="008E4838"/>
    <w:rsid w:val="008E4E34"/>
    <w:rsid w:val="008E52FF"/>
    <w:rsid w:val="008E5359"/>
    <w:rsid w:val="008E5435"/>
    <w:rsid w:val="008E55AB"/>
    <w:rsid w:val="008E5A6A"/>
    <w:rsid w:val="008E5BFF"/>
    <w:rsid w:val="008E5E5C"/>
    <w:rsid w:val="008E653E"/>
    <w:rsid w:val="008E6D0E"/>
    <w:rsid w:val="008E7BC3"/>
    <w:rsid w:val="008F09C1"/>
    <w:rsid w:val="008F10AA"/>
    <w:rsid w:val="008F120A"/>
    <w:rsid w:val="008F20C4"/>
    <w:rsid w:val="008F210A"/>
    <w:rsid w:val="008F22F6"/>
    <w:rsid w:val="008F25E0"/>
    <w:rsid w:val="008F27E0"/>
    <w:rsid w:val="008F2BAD"/>
    <w:rsid w:val="008F2C4A"/>
    <w:rsid w:val="008F2FE2"/>
    <w:rsid w:val="008F31D9"/>
    <w:rsid w:val="008F36B0"/>
    <w:rsid w:val="008F3DED"/>
    <w:rsid w:val="008F4829"/>
    <w:rsid w:val="008F48EB"/>
    <w:rsid w:val="008F4AF0"/>
    <w:rsid w:val="008F4BB0"/>
    <w:rsid w:val="008F4E31"/>
    <w:rsid w:val="008F4F0B"/>
    <w:rsid w:val="008F5520"/>
    <w:rsid w:val="008F5997"/>
    <w:rsid w:val="008F5D56"/>
    <w:rsid w:val="008F6012"/>
    <w:rsid w:val="008F69E0"/>
    <w:rsid w:val="008F7840"/>
    <w:rsid w:val="008F7972"/>
    <w:rsid w:val="008F7C3E"/>
    <w:rsid w:val="008F7C4F"/>
    <w:rsid w:val="009003A4"/>
    <w:rsid w:val="009003F2"/>
    <w:rsid w:val="00901277"/>
    <w:rsid w:val="0090134F"/>
    <w:rsid w:val="009018B8"/>
    <w:rsid w:val="009019EE"/>
    <w:rsid w:val="00901C7F"/>
    <w:rsid w:val="00901CE3"/>
    <w:rsid w:val="00901DA7"/>
    <w:rsid w:val="0090257E"/>
    <w:rsid w:val="0090273E"/>
    <w:rsid w:val="009029A7"/>
    <w:rsid w:val="00902ADD"/>
    <w:rsid w:val="00902EF9"/>
    <w:rsid w:val="00903407"/>
    <w:rsid w:val="00903B85"/>
    <w:rsid w:val="00903CE3"/>
    <w:rsid w:val="0090406F"/>
    <w:rsid w:val="00904298"/>
    <w:rsid w:val="00904321"/>
    <w:rsid w:val="0090449E"/>
    <w:rsid w:val="009046C4"/>
    <w:rsid w:val="00904866"/>
    <w:rsid w:val="00904A31"/>
    <w:rsid w:val="0090511E"/>
    <w:rsid w:val="0090525C"/>
    <w:rsid w:val="00905953"/>
    <w:rsid w:val="009059B5"/>
    <w:rsid w:val="00905D8B"/>
    <w:rsid w:val="009062A5"/>
    <w:rsid w:val="00906445"/>
    <w:rsid w:val="00906E09"/>
    <w:rsid w:val="00906E1E"/>
    <w:rsid w:val="00906E41"/>
    <w:rsid w:val="00906F0A"/>
    <w:rsid w:val="0090720F"/>
    <w:rsid w:val="009072A4"/>
    <w:rsid w:val="00907699"/>
    <w:rsid w:val="0091040A"/>
    <w:rsid w:val="00910A29"/>
    <w:rsid w:val="00910CFD"/>
    <w:rsid w:val="00910D82"/>
    <w:rsid w:val="00910FA7"/>
    <w:rsid w:val="0091113F"/>
    <w:rsid w:val="00911272"/>
    <w:rsid w:val="00911339"/>
    <w:rsid w:val="009117D7"/>
    <w:rsid w:val="00911B92"/>
    <w:rsid w:val="009126CE"/>
    <w:rsid w:val="00912AFD"/>
    <w:rsid w:val="00912E67"/>
    <w:rsid w:val="0091310B"/>
    <w:rsid w:val="009134C5"/>
    <w:rsid w:val="009135D6"/>
    <w:rsid w:val="009137AB"/>
    <w:rsid w:val="009144B4"/>
    <w:rsid w:val="009144FD"/>
    <w:rsid w:val="009146FC"/>
    <w:rsid w:val="00914751"/>
    <w:rsid w:val="00914C77"/>
    <w:rsid w:val="00914CA1"/>
    <w:rsid w:val="0091511F"/>
    <w:rsid w:val="009151E7"/>
    <w:rsid w:val="0091525A"/>
    <w:rsid w:val="00915504"/>
    <w:rsid w:val="009156AC"/>
    <w:rsid w:val="0091572B"/>
    <w:rsid w:val="009159B7"/>
    <w:rsid w:val="00915A8C"/>
    <w:rsid w:val="00915CB6"/>
    <w:rsid w:val="00915EEE"/>
    <w:rsid w:val="00916185"/>
    <w:rsid w:val="00916240"/>
    <w:rsid w:val="009164B3"/>
    <w:rsid w:val="009165B4"/>
    <w:rsid w:val="00916D86"/>
    <w:rsid w:val="0091768F"/>
    <w:rsid w:val="00917998"/>
    <w:rsid w:val="00917A4E"/>
    <w:rsid w:val="0092013A"/>
    <w:rsid w:val="00920C15"/>
    <w:rsid w:val="00920C4D"/>
    <w:rsid w:val="00920CB3"/>
    <w:rsid w:val="00920D95"/>
    <w:rsid w:val="00920F61"/>
    <w:rsid w:val="00921178"/>
    <w:rsid w:val="0092117B"/>
    <w:rsid w:val="009212AB"/>
    <w:rsid w:val="00921389"/>
    <w:rsid w:val="009214EA"/>
    <w:rsid w:val="0092159D"/>
    <w:rsid w:val="00921ACB"/>
    <w:rsid w:val="00921B51"/>
    <w:rsid w:val="00922053"/>
    <w:rsid w:val="00922557"/>
    <w:rsid w:val="00922962"/>
    <w:rsid w:val="0092369B"/>
    <w:rsid w:val="00923A13"/>
    <w:rsid w:val="00923C1A"/>
    <w:rsid w:val="00923F33"/>
    <w:rsid w:val="00923FBF"/>
    <w:rsid w:val="00924027"/>
    <w:rsid w:val="0092405E"/>
    <w:rsid w:val="009248E5"/>
    <w:rsid w:val="009250DA"/>
    <w:rsid w:val="009251FC"/>
    <w:rsid w:val="00925A96"/>
    <w:rsid w:val="00925CDF"/>
    <w:rsid w:val="00926452"/>
    <w:rsid w:val="00927648"/>
    <w:rsid w:val="009276AB"/>
    <w:rsid w:val="00927939"/>
    <w:rsid w:val="00927A74"/>
    <w:rsid w:val="00930298"/>
    <w:rsid w:val="009303E5"/>
    <w:rsid w:val="0093098A"/>
    <w:rsid w:val="00931166"/>
    <w:rsid w:val="0093132D"/>
    <w:rsid w:val="00931BE2"/>
    <w:rsid w:val="00931FCF"/>
    <w:rsid w:val="009323E5"/>
    <w:rsid w:val="00932A4B"/>
    <w:rsid w:val="00932C38"/>
    <w:rsid w:val="00933023"/>
    <w:rsid w:val="00933364"/>
    <w:rsid w:val="00933367"/>
    <w:rsid w:val="009335CF"/>
    <w:rsid w:val="00933670"/>
    <w:rsid w:val="00933777"/>
    <w:rsid w:val="009337A5"/>
    <w:rsid w:val="00933ABA"/>
    <w:rsid w:val="00933D84"/>
    <w:rsid w:val="00934988"/>
    <w:rsid w:val="00935288"/>
    <w:rsid w:val="009355F4"/>
    <w:rsid w:val="00935830"/>
    <w:rsid w:val="009358E1"/>
    <w:rsid w:val="00935ED4"/>
    <w:rsid w:val="00936081"/>
    <w:rsid w:val="0093621C"/>
    <w:rsid w:val="00936270"/>
    <w:rsid w:val="009362E9"/>
    <w:rsid w:val="00936619"/>
    <w:rsid w:val="0093686C"/>
    <w:rsid w:val="00936F53"/>
    <w:rsid w:val="00937089"/>
    <w:rsid w:val="0093748C"/>
    <w:rsid w:val="00937506"/>
    <w:rsid w:val="009377E3"/>
    <w:rsid w:val="00937EE4"/>
    <w:rsid w:val="00937EFC"/>
    <w:rsid w:val="00940400"/>
    <w:rsid w:val="00940524"/>
    <w:rsid w:val="00941036"/>
    <w:rsid w:val="0094169C"/>
    <w:rsid w:val="009417D6"/>
    <w:rsid w:val="009419EE"/>
    <w:rsid w:val="00941C93"/>
    <w:rsid w:val="009422D4"/>
    <w:rsid w:val="00942823"/>
    <w:rsid w:val="0094299B"/>
    <w:rsid w:val="00942A86"/>
    <w:rsid w:val="00942D61"/>
    <w:rsid w:val="009431DA"/>
    <w:rsid w:val="00943286"/>
    <w:rsid w:val="00943371"/>
    <w:rsid w:val="0094344F"/>
    <w:rsid w:val="00943BE3"/>
    <w:rsid w:val="00943CAE"/>
    <w:rsid w:val="00943DC3"/>
    <w:rsid w:val="0094422C"/>
    <w:rsid w:val="00944492"/>
    <w:rsid w:val="00944854"/>
    <w:rsid w:val="00944F8A"/>
    <w:rsid w:val="0094508D"/>
    <w:rsid w:val="0094510C"/>
    <w:rsid w:val="00945154"/>
    <w:rsid w:val="00945902"/>
    <w:rsid w:val="00945918"/>
    <w:rsid w:val="0094599D"/>
    <w:rsid w:val="00945AE5"/>
    <w:rsid w:val="00945B04"/>
    <w:rsid w:val="00945F2D"/>
    <w:rsid w:val="00946395"/>
    <w:rsid w:val="00946743"/>
    <w:rsid w:val="00946967"/>
    <w:rsid w:val="00947384"/>
    <w:rsid w:val="0094789F"/>
    <w:rsid w:val="0094790D"/>
    <w:rsid w:val="00947B4F"/>
    <w:rsid w:val="00947FE4"/>
    <w:rsid w:val="00950209"/>
    <w:rsid w:val="009504FB"/>
    <w:rsid w:val="00950647"/>
    <w:rsid w:val="00950796"/>
    <w:rsid w:val="009510A2"/>
    <w:rsid w:val="00951F7B"/>
    <w:rsid w:val="009521DF"/>
    <w:rsid w:val="0095241A"/>
    <w:rsid w:val="00952955"/>
    <w:rsid w:val="00952AF4"/>
    <w:rsid w:val="00952BC9"/>
    <w:rsid w:val="00952ED5"/>
    <w:rsid w:val="00953257"/>
    <w:rsid w:val="00953DF1"/>
    <w:rsid w:val="0095428F"/>
    <w:rsid w:val="009543B0"/>
    <w:rsid w:val="009543B6"/>
    <w:rsid w:val="00954657"/>
    <w:rsid w:val="00954701"/>
    <w:rsid w:val="0095474C"/>
    <w:rsid w:val="009548B6"/>
    <w:rsid w:val="009549FE"/>
    <w:rsid w:val="00954E2A"/>
    <w:rsid w:val="00954F9C"/>
    <w:rsid w:val="0095591C"/>
    <w:rsid w:val="009559C1"/>
    <w:rsid w:val="00955F30"/>
    <w:rsid w:val="009560A8"/>
    <w:rsid w:val="009561AF"/>
    <w:rsid w:val="00956D0B"/>
    <w:rsid w:val="00957225"/>
    <w:rsid w:val="00957524"/>
    <w:rsid w:val="009577F3"/>
    <w:rsid w:val="009578D5"/>
    <w:rsid w:val="00957D53"/>
    <w:rsid w:val="00957D92"/>
    <w:rsid w:val="00957DD0"/>
    <w:rsid w:val="00957E96"/>
    <w:rsid w:val="00960077"/>
    <w:rsid w:val="009607E3"/>
    <w:rsid w:val="00960A71"/>
    <w:rsid w:val="009613D4"/>
    <w:rsid w:val="009614A3"/>
    <w:rsid w:val="00961535"/>
    <w:rsid w:val="0096181C"/>
    <w:rsid w:val="00962312"/>
    <w:rsid w:val="0096296D"/>
    <w:rsid w:val="00962CB9"/>
    <w:rsid w:val="00962D52"/>
    <w:rsid w:val="00963CDF"/>
    <w:rsid w:val="00963E57"/>
    <w:rsid w:val="009640E4"/>
    <w:rsid w:val="00964224"/>
    <w:rsid w:val="00964312"/>
    <w:rsid w:val="00964B38"/>
    <w:rsid w:val="00964E26"/>
    <w:rsid w:val="0096520B"/>
    <w:rsid w:val="00965B8A"/>
    <w:rsid w:val="00965CAA"/>
    <w:rsid w:val="00965E23"/>
    <w:rsid w:val="00965F4D"/>
    <w:rsid w:val="0096623C"/>
    <w:rsid w:val="009667C5"/>
    <w:rsid w:val="00967032"/>
    <w:rsid w:val="009673EE"/>
    <w:rsid w:val="0096787B"/>
    <w:rsid w:val="00967C65"/>
    <w:rsid w:val="0097071A"/>
    <w:rsid w:val="0097071F"/>
    <w:rsid w:val="00970AB3"/>
    <w:rsid w:val="009717AC"/>
    <w:rsid w:val="00971BAB"/>
    <w:rsid w:val="009727EE"/>
    <w:rsid w:val="00972929"/>
    <w:rsid w:val="009729A1"/>
    <w:rsid w:val="00973288"/>
    <w:rsid w:val="009733D3"/>
    <w:rsid w:val="00973488"/>
    <w:rsid w:val="0097357C"/>
    <w:rsid w:val="00973798"/>
    <w:rsid w:val="009738E5"/>
    <w:rsid w:val="00973A6F"/>
    <w:rsid w:val="0097451E"/>
    <w:rsid w:val="00974572"/>
    <w:rsid w:val="009747A5"/>
    <w:rsid w:val="00974A2E"/>
    <w:rsid w:val="009751C1"/>
    <w:rsid w:val="009754E9"/>
    <w:rsid w:val="00975910"/>
    <w:rsid w:val="0097591B"/>
    <w:rsid w:val="009759D7"/>
    <w:rsid w:val="00975CFA"/>
    <w:rsid w:val="00975E13"/>
    <w:rsid w:val="009766A7"/>
    <w:rsid w:val="00976B62"/>
    <w:rsid w:val="00976C0A"/>
    <w:rsid w:val="009770BF"/>
    <w:rsid w:val="009770E4"/>
    <w:rsid w:val="009770F0"/>
    <w:rsid w:val="0097717D"/>
    <w:rsid w:val="00977277"/>
    <w:rsid w:val="0098033B"/>
    <w:rsid w:val="00980625"/>
    <w:rsid w:val="00980719"/>
    <w:rsid w:val="00980999"/>
    <w:rsid w:val="00980F2D"/>
    <w:rsid w:val="00981016"/>
    <w:rsid w:val="0098109A"/>
    <w:rsid w:val="009811F1"/>
    <w:rsid w:val="00981257"/>
    <w:rsid w:val="009812D6"/>
    <w:rsid w:val="00981638"/>
    <w:rsid w:val="00981A42"/>
    <w:rsid w:val="00981CC3"/>
    <w:rsid w:val="00981DCF"/>
    <w:rsid w:val="00981E9C"/>
    <w:rsid w:val="009820B3"/>
    <w:rsid w:val="00982510"/>
    <w:rsid w:val="009826D2"/>
    <w:rsid w:val="00982EBE"/>
    <w:rsid w:val="0098301B"/>
    <w:rsid w:val="009836FE"/>
    <w:rsid w:val="00983C50"/>
    <w:rsid w:val="00983E57"/>
    <w:rsid w:val="00984A5A"/>
    <w:rsid w:val="0098552B"/>
    <w:rsid w:val="00985AA6"/>
    <w:rsid w:val="00985C3D"/>
    <w:rsid w:val="00985DE2"/>
    <w:rsid w:val="00985E10"/>
    <w:rsid w:val="009861E1"/>
    <w:rsid w:val="0098655F"/>
    <w:rsid w:val="0098657B"/>
    <w:rsid w:val="0098675D"/>
    <w:rsid w:val="00986BF2"/>
    <w:rsid w:val="00986EA1"/>
    <w:rsid w:val="0098791A"/>
    <w:rsid w:val="00987BA4"/>
    <w:rsid w:val="00987F54"/>
    <w:rsid w:val="00990A55"/>
    <w:rsid w:val="00990C68"/>
    <w:rsid w:val="00990E0D"/>
    <w:rsid w:val="00990EE9"/>
    <w:rsid w:val="009912FD"/>
    <w:rsid w:val="009913E2"/>
    <w:rsid w:val="009916BD"/>
    <w:rsid w:val="0099231D"/>
    <w:rsid w:val="009926E0"/>
    <w:rsid w:val="00992847"/>
    <w:rsid w:val="00992D20"/>
    <w:rsid w:val="0099342B"/>
    <w:rsid w:val="00993B45"/>
    <w:rsid w:val="00993E02"/>
    <w:rsid w:val="00993F34"/>
    <w:rsid w:val="0099432A"/>
    <w:rsid w:val="0099451E"/>
    <w:rsid w:val="00994C73"/>
    <w:rsid w:val="00995088"/>
    <w:rsid w:val="00995295"/>
    <w:rsid w:val="00995BFA"/>
    <w:rsid w:val="00996409"/>
    <w:rsid w:val="00996ABA"/>
    <w:rsid w:val="00996B1A"/>
    <w:rsid w:val="00996E6B"/>
    <w:rsid w:val="00996EAA"/>
    <w:rsid w:val="009973F3"/>
    <w:rsid w:val="009979FF"/>
    <w:rsid w:val="009A0198"/>
    <w:rsid w:val="009A07C8"/>
    <w:rsid w:val="009A094D"/>
    <w:rsid w:val="009A0DE0"/>
    <w:rsid w:val="009A11BF"/>
    <w:rsid w:val="009A13BE"/>
    <w:rsid w:val="009A1455"/>
    <w:rsid w:val="009A1605"/>
    <w:rsid w:val="009A16FB"/>
    <w:rsid w:val="009A17C0"/>
    <w:rsid w:val="009A18F6"/>
    <w:rsid w:val="009A214C"/>
    <w:rsid w:val="009A243C"/>
    <w:rsid w:val="009A283A"/>
    <w:rsid w:val="009A2952"/>
    <w:rsid w:val="009A29E4"/>
    <w:rsid w:val="009A2DCC"/>
    <w:rsid w:val="009A2FCB"/>
    <w:rsid w:val="009A34A7"/>
    <w:rsid w:val="009A373C"/>
    <w:rsid w:val="009A3B1C"/>
    <w:rsid w:val="009A3B4F"/>
    <w:rsid w:val="009A3C60"/>
    <w:rsid w:val="009A3EA3"/>
    <w:rsid w:val="009A402F"/>
    <w:rsid w:val="009A4200"/>
    <w:rsid w:val="009A4654"/>
    <w:rsid w:val="009A5071"/>
    <w:rsid w:val="009A52DC"/>
    <w:rsid w:val="009A5782"/>
    <w:rsid w:val="009A578B"/>
    <w:rsid w:val="009A5AB1"/>
    <w:rsid w:val="009A5ABC"/>
    <w:rsid w:val="009A601D"/>
    <w:rsid w:val="009A6474"/>
    <w:rsid w:val="009A6613"/>
    <w:rsid w:val="009A6DB2"/>
    <w:rsid w:val="009A71A8"/>
    <w:rsid w:val="009A781F"/>
    <w:rsid w:val="009A790F"/>
    <w:rsid w:val="009A7F10"/>
    <w:rsid w:val="009A7F18"/>
    <w:rsid w:val="009B008C"/>
    <w:rsid w:val="009B0255"/>
    <w:rsid w:val="009B034D"/>
    <w:rsid w:val="009B070A"/>
    <w:rsid w:val="009B09C5"/>
    <w:rsid w:val="009B09E5"/>
    <w:rsid w:val="009B0CF5"/>
    <w:rsid w:val="009B1568"/>
    <w:rsid w:val="009B18AD"/>
    <w:rsid w:val="009B1BB6"/>
    <w:rsid w:val="009B1EC0"/>
    <w:rsid w:val="009B1F68"/>
    <w:rsid w:val="009B218B"/>
    <w:rsid w:val="009B26A3"/>
    <w:rsid w:val="009B27F6"/>
    <w:rsid w:val="009B2C55"/>
    <w:rsid w:val="009B335A"/>
    <w:rsid w:val="009B379A"/>
    <w:rsid w:val="009B38B2"/>
    <w:rsid w:val="009B3BCB"/>
    <w:rsid w:val="009B3E26"/>
    <w:rsid w:val="009B3E6D"/>
    <w:rsid w:val="009B4000"/>
    <w:rsid w:val="009B403E"/>
    <w:rsid w:val="009B4365"/>
    <w:rsid w:val="009B4BC0"/>
    <w:rsid w:val="009B4E2A"/>
    <w:rsid w:val="009B59D9"/>
    <w:rsid w:val="009B59E0"/>
    <w:rsid w:val="009B619E"/>
    <w:rsid w:val="009B61DD"/>
    <w:rsid w:val="009B61FF"/>
    <w:rsid w:val="009B640B"/>
    <w:rsid w:val="009B6711"/>
    <w:rsid w:val="009B69EA"/>
    <w:rsid w:val="009B7131"/>
    <w:rsid w:val="009C1271"/>
    <w:rsid w:val="009C15EB"/>
    <w:rsid w:val="009C255C"/>
    <w:rsid w:val="009C2DD4"/>
    <w:rsid w:val="009C2F8D"/>
    <w:rsid w:val="009C3547"/>
    <w:rsid w:val="009C3706"/>
    <w:rsid w:val="009C3A3A"/>
    <w:rsid w:val="009C3F44"/>
    <w:rsid w:val="009C40E4"/>
    <w:rsid w:val="009C441C"/>
    <w:rsid w:val="009C5B00"/>
    <w:rsid w:val="009C5F86"/>
    <w:rsid w:val="009C6237"/>
    <w:rsid w:val="009C6243"/>
    <w:rsid w:val="009C6464"/>
    <w:rsid w:val="009C6588"/>
    <w:rsid w:val="009C6CEA"/>
    <w:rsid w:val="009C6E96"/>
    <w:rsid w:val="009C6F81"/>
    <w:rsid w:val="009C7B85"/>
    <w:rsid w:val="009C7BAE"/>
    <w:rsid w:val="009C7BC0"/>
    <w:rsid w:val="009C7D54"/>
    <w:rsid w:val="009D0254"/>
    <w:rsid w:val="009D04B7"/>
    <w:rsid w:val="009D04DB"/>
    <w:rsid w:val="009D0623"/>
    <w:rsid w:val="009D06D8"/>
    <w:rsid w:val="009D12CB"/>
    <w:rsid w:val="009D1385"/>
    <w:rsid w:val="009D159D"/>
    <w:rsid w:val="009D1694"/>
    <w:rsid w:val="009D1A64"/>
    <w:rsid w:val="009D1BBA"/>
    <w:rsid w:val="009D1EEA"/>
    <w:rsid w:val="009D210B"/>
    <w:rsid w:val="009D21EA"/>
    <w:rsid w:val="009D2292"/>
    <w:rsid w:val="009D257D"/>
    <w:rsid w:val="009D27A6"/>
    <w:rsid w:val="009D2AE3"/>
    <w:rsid w:val="009D2DCF"/>
    <w:rsid w:val="009D2E7C"/>
    <w:rsid w:val="009D2FC5"/>
    <w:rsid w:val="009D304B"/>
    <w:rsid w:val="009D314B"/>
    <w:rsid w:val="009D35BE"/>
    <w:rsid w:val="009D3DE0"/>
    <w:rsid w:val="009D3DF7"/>
    <w:rsid w:val="009D3F5C"/>
    <w:rsid w:val="009D40BB"/>
    <w:rsid w:val="009D42D0"/>
    <w:rsid w:val="009D4303"/>
    <w:rsid w:val="009D4493"/>
    <w:rsid w:val="009D4604"/>
    <w:rsid w:val="009D497B"/>
    <w:rsid w:val="009D49DD"/>
    <w:rsid w:val="009D5B7F"/>
    <w:rsid w:val="009D5B89"/>
    <w:rsid w:val="009D5B91"/>
    <w:rsid w:val="009D5D07"/>
    <w:rsid w:val="009D627E"/>
    <w:rsid w:val="009D62A9"/>
    <w:rsid w:val="009D6721"/>
    <w:rsid w:val="009D6E8F"/>
    <w:rsid w:val="009D6FE8"/>
    <w:rsid w:val="009D70D9"/>
    <w:rsid w:val="009D72D0"/>
    <w:rsid w:val="009D731D"/>
    <w:rsid w:val="009D7600"/>
    <w:rsid w:val="009D76BA"/>
    <w:rsid w:val="009D77C1"/>
    <w:rsid w:val="009D7836"/>
    <w:rsid w:val="009D792E"/>
    <w:rsid w:val="009D7E4D"/>
    <w:rsid w:val="009E01BC"/>
    <w:rsid w:val="009E04A9"/>
    <w:rsid w:val="009E07A4"/>
    <w:rsid w:val="009E0DFE"/>
    <w:rsid w:val="009E12A1"/>
    <w:rsid w:val="009E12FC"/>
    <w:rsid w:val="009E130E"/>
    <w:rsid w:val="009E15B5"/>
    <w:rsid w:val="009E15E8"/>
    <w:rsid w:val="009E1603"/>
    <w:rsid w:val="009E1B06"/>
    <w:rsid w:val="009E1CE3"/>
    <w:rsid w:val="009E24EE"/>
    <w:rsid w:val="009E26FF"/>
    <w:rsid w:val="009E2C98"/>
    <w:rsid w:val="009E2E38"/>
    <w:rsid w:val="009E2F83"/>
    <w:rsid w:val="009E3022"/>
    <w:rsid w:val="009E30A9"/>
    <w:rsid w:val="009E31F6"/>
    <w:rsid w:val="009E33D3"/>
    <w:rsid w:val="009E36E3"/>
    <w:rsid w:val="009E37D0"/>
    <w:rsid w:val="009E3D4F"/>
    <w:rsid w:val="009E3FC7"/>
    <w:rsid w:val="009E4049"/>
    <w:rsid w:val="009E408C"/>
    <w:rsid w:val="009E40F0"/>
    <w:rsid w:val="009E413C"/>
    <w:rsid w:val="009E4190"/>
    <w:rsid w:val="009E41A1"/>
    <w:rsid w:val="009E4762"/>
    <w:rsid w:val="009E4B34"/>
    <w:rsid w:val="009E4C07"/>
    <w:rsid w:val="009E5364"/>
    <w:rsid w:val="009E54F5"/>
    <w:rsid w:val="009E571E"/>
    <w:rsid w:val="009E5829"/>
    <w:rsid w:val="009E5A06"/>
    <w:rsid w:val="009E6003"/>
    <w:rsid w:val="009E6673"/>
    <w:rsid w:val="009E679D"/>
    <w:rsid w:val="009E6A13"/>
    <w:rsid w:val="009E6FFB"/>
    <w:rsid w:val="009E7205"/>
    <w:rsid w:val="009E7349"/>
    <w:rsid w:val="009E777F"/>
    <w:rsid w:val="009E77DE"/>
    <w:rsid w:val="009E7950"/>
    <w:rsid w:val="009E799D"/>
    <w:rsid w:val="009E7A3E"/>
    <w:rsid w:val="009E7AB2"/>
    <w:rsid w:val="009F066E"/>
    <w:rsid w:val="009F08D1"/>
    <w:rsid w:val="009F0C50"/>
    <w:rsid w:val="009F0E86"/>
    <w:rsid w:val="009F0F19"/>
    <w:rsid w:val="009F10D7"/>
    <w:rsid w:val="009F1650"/>
    <w:rsid w:val="009F16A4"/>
    <w:rsid w:val="009F1915"/>
    <w:rsid w:val="009F1A6A"/>
    <w:rsid w:val="009F1CC5"/>
    <w:rsid w:val="009F1EA6"/>
    <w:rsid w:val="009F239B"/>
    <w:rsid w:val="009F2435"/>
    <w:rsid w:val="009F287A"/>
    <w:rsid w:val="009F2AD2"/>
    <w:rsid w:val="009F3127"/>
    <w:rsid w:val="009F3385"/>
    <w:rsid w:val="009F35CC"/>
    <w:rsid w:val="009F395D"/>
    <w:rsid w:val="009F3DCE"/>
    <w:rsid w:val="009F3EF2"/>
    <w:rsid w:val="009F4327"/>
    <w:rsid w:val="009F4A1D"/>
    <w:rsid w:val="009F4B36"/>
    <w:rsid w:val="009F52BE"/>
    <w:rsid w:val="009F542B"/>
    <w:rsid w:val="009F56BD"/>
    <w:rsid w:val="009F5DBC"/>
    <w:rsid w:val="009F6120"/>
    <w:rsid w:val="009F618A"/>
    <w:rsid w:val="009F69C6"/>
    <w:rsid w:val="009F6CC5"/>
    <w:rsid w:val="009F712B"/>
    <w:rsid w:val="009F7300"/>
    <w:rsid w:val="009F7417"/>
    <w:rsid w:val="009F7F1D"/>
    <w:rsid w:val="009F7F7D"/>
    <w:rsid w:val="00A00088"/>
    <w:rsid w:val="00A0061D"/>
    <w:rsid w:val="00A006D5"/>
    <w:rsid w:val="00A00D76"/>
    <w:rsid w:val="00A00E2F"/>
    <w:rsid w:val="00A00F99"/>
    <w:rsid w:val="00A01184"/>
    <w:rsid w:val="00A01449"/>
    <w:rsid w:val="00A014D5"/>
    <w:rsid w:val="00A0167A"/>
    <w:rsid w:val="00A01959"/>
    <w:rsid w:val="00A01A6F"/>
    <w:rsid w:val="00A02064"/>
    <w:rsid w:val="00A02194"/>
    <w:rsid w:val="00A0230D"/>
    <w:rsid w:val="00A02345"/>
    <w:rsid w:val="00A0266D"/>
    <w:rsid w:val="00A026CF"/>
    <w:rsid w:val="00A027BD"/>
    <w:rsid w:val="00A02B96"/>
    <w:rsid w:val="00A02C4E"/>
    <w:rsid w:val="00A02CE4"/>
    <w:rsid w:val="00A02D6C"/>
    <w:rsid w:val="00A02E37"/>
    <w:rsid w:val="00A030AF"/>
    <w:rsid w:val="00A037C2"/>
    <w:rsid w:val="00A03AD4"/>
    <w:rsid w:val="00A03D43"/>
    <w:rsid w:val="00A03EA3"/>
    <w:rsid w:val="00A040E3"/>
    <w:rsid w:val="00A04258"/>
    <w:rsid w:val="00A04380"/>
    <w:rsid w:val="00A04786"/>
    <w:rsid w:val="00A04956"/>
    <w:rsid w:val="00A049C6"/>
    <w:rsid w:val="00A04B2B"/>
    <w:rsid w:val="00A05472"/>
    <w:rsid w:val="00A05C32"/>
    <w:rsid w:val="00A05DB5"/>
    <w:rsid w:val="00A05F84"/>
    <w:rsid w:val="00A0653F"/>
    <w:rsid w:val="00A06812"/>
    <w:rsid w:val="00A06C28"/>
    <w:rsid w:val="00A06E6D"/>
    <w:rsid w:val="00A06FB5"/>
    <w:rsid w:val="00A07041"/>
    <w:rsid w:val="00A07BFD"/>
    <w:rsid w:val="00A07FB5"/>
    <w:rsid w:val="00A10461"/>
    <w:rsid w:val="00A1054C"/>
    <w:rsid w:val="00A10837"/>
    <w:rsid w:val="00A10D09"/>
    <w:rsid w:val="00A110FD"/>
    <w:rsid w:val="00A116A9"/>
    <w:rsid w:val="00A1195D"/>
    <w:rsid w:val="00A11CD0"/>
    <w:rsid w:val="00A11F18"/>
    <w:rsid w:val="00A132F5"/>
    <w:rsid w:val="00A1375D"/>
    <w:rsid w:val="00A1385F"/>
    <w:rsid w:val="00A13948"/>
    <w:rsid w:val="00A139B0"/>
    <w:rsid w:val="00A13FED"/>
    <w:rsid w:val="00A140E6"/>
    <w:rsid w:val="00A1413D"/>
    <w:rsid w:val="00A14260"/>
    <w:rsid w:val="00A14C4B"/>
    <w:rsid w:val="00A14CB6"/>
    <w:rsid w:val="00A150D2"/>
    <w:rsid w:val="00A1555B"/>
    <w:rsid w:val="00A155C5"/>
    <w:rsid w:val="00A1575A"/>
    <w:rsid w:val="00A15A11"/>
    <w:rsid w:val="00A15B32"/>
    <w:rsid w:val="00A16012"/>
    <w:rsid w:val="00A16AD8"/>
    <w:rsid w:val="00A17AC8"/>
    <w:rsid w:val="00A17AEC"/>
    <w:rsid w:val="00A2018A"/>
    <w:rsid w:val="00A2021E"/>
    <w:rsid w:val="00A2093C"/>
    <w:rsid w:val="00A20CC8"/>
    <w:rsid w:val="00A211C3"/>
    <w:rsid w:val="00A2178D"/>
    <w:rsid w:val="00A21AF9"/>
    <w:rsid w:val="00A21BFF"/>
    <w:rsid w:val="00A21C70"/>
    <w:rsid w:val="00A21C95"/>
    <w:rsid w:val="00A21CF3"/>
    <w:rsid w:val="00A220EB"/>
    <w:rsid w:val="00A22250"/>
    <w:rsid w:val="00A22357"/>
    <w:rsid w:val="00A22667"/>
    <w:rsid w:val="00A22CE3"/>
    <w:rsid w:val="00A2307C"/>
    <w:rsid w:val="00A2312B"/>
    <w:rsid w:val="00A23538"/>
    <w:rsid w:val="00A2353B"/>
    <w:rsid w:val="00A235EC"/>
    <w:rsid w:val="00A23742"/>
    <w:rsid w:val="00A241DC"/>
    <w:rsid w:val="00A24469"/>
    <w:rsid w:val="00A245E2"/>
    <w:rsid w:val="00A24813"/>
    <w:rsid w:val="00A2499F"/>
    <w:rsid w:val="00A24EE9"/>
    <w:rsid w:val="00A24F21"/>
    <w:rsid w:val="00A251CA"/>
    <w:rsid w:val="00A2524E"/>
    <w:rsid w:val="00A25431"/>
    <w:rsid w:val="00A254F1"/>
    <w:rsid w:val="00A255CE"/>
    <w:rsid w:val="00A26804"/>
    <w:rsid w:val="00A26FEB"/>
    <w:rsid w:val="00A27071"/>
    <w:rsid w:val="00A27461"/>
    <w:rsid w:val="00A27AEC"/>
    <w:rsid w:val="00A27D5D"/>
    <w:rsid w:val="00A27E0D"/>
    <w:rsid w:val="00A27E2B"/>
    <w:rsid w:val="00A301D2"/>
    <w:rsid w:val="00A306D3"/>
    <w:rsid w:val="00A3077B"/>
    <w:rsid w:val="00A308BA"/>
    <w:rsid w:val="00A30BAB"/>
    <w:rsid w:val="00A30BAC"/>
    <w:rsid w:val="00A30C8C"/>
    <w:rsid w:val="00A30E52"/>
    <w:rsid w:val="00A3125C"/>
    <w:rsid w:val="00A312EC"/>
    <w:rsid w:val="00A31384"/>
    <w:rsid w:val="00A31A89"/>
    <w:rsid w:val="00A3200B"/>
    <w:rsid w:val="00A320DB"/>
    <w:rsid w:val="00A32225"/>
    <w:rsid w:val="00A322B9"/>
    <w:rsid w:val="00A325A4"/>
    <w:rsid w:val="00A32960"/>
    <w:rsid w:val="00A32EBB"/>
    <w:rsid w:val="00A32FC7"/>
    <w:rsid w:val="00A3301E"/>
    <w:rsid w:val="00A330DE"/>
    <w:rsid w:val="00A33FC2"/>
    <w:rsid w:val="00A3436A"/>
    <w:rsid w:val="00A343C1"/>
    <w:rsid w:val="00A344FC"/>
    <w:rsid w:val="00A34576"/>
    <w:rsid w:val="00A3545D"/>
    <w:rsid w:val="00A35B83"/>
    <w:rsid w:val="00A35C0F"/>
    <w:rsid w:val="00A35D16"/>
    <w:rsid w:val="00A3646E"/>
    <w:rsid w:val="00A3661F"/>
    <w:rsid w:val="00A366A3"/>
    <w:rsid w:val="00A366B8"/>
    <w:rsid w:val="00A3676A"/>
    <w:rsid w:val="00A370FE"/>
    <w:rsid w:val="00A37154"/>
    <w:rsid w:val="00A371D8"/>
    <w:rsid w:val="00A37A0B"/>
    <w:rsid w:val="00A37BCD"/>
    <w:rsid w:val="00A40006"/>
    <w:rsid w:val="00A40357"/>
    <w:rsid w:val="00A40E37"/>
    <w:rsid w:val="00A40E6B"/>
    <w:rsid w:val="00A414F9"/>
    <w:rsid w:val="00A41560"/>
    <w:rsid w:val="00A41689"/>
    <w:rsid w:val="00A41708"/>
    <w:rsid w:val="00A41773"/>
    <w:rsid w:val="00A418AE"/>
    <w:rsid w:val="00A41935"/>
    <w:rsid w:val="00A41F43"/>
    <w:rsid w:val="00A41FD6"/>
    <w:rsid w:val="00A4246E"/>
    <w:rsid w:val="00A42592"/>
    <w:rsid w:val="00A425BF"/>
    <w:rsid w:val="00A42675"/>
    <w:rsid w:val="00A427C4"/>
    <w:rsid w:val="00A431BF"/>
    <w:rsid w:val="00A4338D"/>
    <w:rsid w:val="00A433E8"/>
    <w:rsid w:val="00A43A23"/>
    <w:rsid w:val="00A43B78"/>
    <w:rsid w:val="00A43C59"/>
    <w:rsid w:val="00A44459"/>
    <w:rsid w:val="00A4445E"/>
    <w:rsid w:val="00A44C72"/>
    <w:rsid w:val="00A44D21"/>
    <w:rsid w:val="00A44F8D"/>
    <w:rsid w:val="00A44FEB"/>
    <w:rsid w:val="00A457F6"/>
    <w:rsid w:val="00A45CA7"/>
    <w:rsid w:val="00A45ED5"/>
    <w:rsid w:val="00A46CEE"/>
    <w:rsid w:val="00A4715B"/>
    <w:rsid w:val="00A471D0"/>
    <w:rsid w:val="00A47A76"/>
    <w:rsid w:val="00A502FC"/>
    <w:rsid w:val="00A50354"/>
    <w:rsid w:val="00A50378"/>
    <w:rsid w:val="00A50C18"/>
    <w:rsid w:val="00A50ECD"/>
    <w:rsid w:val="00A51282"/>
    <w:rsid w:val="00A51803"/>
    <w:rsid w:val="00A518F3"/>
    <w:rsid w:val="00A51B79"/>
    <w:rsid w:val="00A51DB4"/>
    <w:rsid w:val="00A52564"/>
    <w:rsid w:val="00A52729"/>
    <w:rsid w:val="00A5276D"/>
    <w:rsid w:val="00A52DCB"/>
    <w:rsid w:val="00A52F37"/>
    <w:rsid w:val="00A532EF"/>
    <w:rsid w:val="00A53675"/>
    <w:rsid w:val="00A53766"/>
    <w:rsid w:val="00A53B7D"/>
    <w:rsid w:val="00A53DC4"/>
    <w:rsid w:val="00A53EF5"/>
    <w:rsid w:val="00A53F47"/>
    <w:rsid w:val="00A544C4"/>
    <w:rsid w:val="00A54695"/>
    <w:rsid w:val="00A54814"/>
    <w:rsid w:val="00A54D57"/>
    <w:rsid w:val="00A55543"/>
    <w:rsid w:val="00A55AB8"/>
    <w:rsid w:val="00A55BC5"/>
    <w:rsid w:val="00A55F1A"/>
    <w:rsid w:val="00A564D7"/>
    <w:rsid w:val="00A56A91"/>
    <w:rsid w:val="00A56B6A"/>
    <w:rsid w:val="00A56D54"/>
    <w:rsid w:val="00A570F7"/>
    <w:rsid w:val="00A57770"/>
    <w:rsid w:val="00A578DC"/>
    <w:rsid w:val="00A57F48"/>
    <w:rsid w:val="00A57FD8"/>
    <w:rsid w:val="00A6036A"/>
    <w:rsid w:val="00A6092C"/>
    <w:rsid w:val="00A6112D"/>
    <w:rsid w:val="00A6118F"/>
    <w:rsid w:val="00A61523"/>
    <w:rsid w:val="00A61C4D"/>
    <w:rsid w:val="00A62439"/>
    <w:rsid w:val="00A62937"/>
    <w:rsid w:val="00A62BAF"/>
    <w:rsid w:val="00A62E22"/>
    <w:rsid w:val="00A62FB6"/>
    <w:rsid w:val="00A63353"/>
    <w:rsid w:val="00A637F9"/>
    <w:rsid w:val="00A63915"/>
    <w:rsid w:val="00A63ACD"/>
    <w:rsid w:val="00A640E2"/>
    <w:rsid w:val="00A64292"/>
    <w:rsid w:val="00A64ACA"/>
    <w:rsid w:val="00A64AF4"/>
    <w:rsid w:val="00A64B1E"/>
    <w:rsid w:val="00A64D65"/>
    <w:rsid w:val="00A6525A"/>
    <w:rsid w:val="00A65716"/>
    <w:rsid w:val="00A65E7F"/>
    <w:rsid w:val="00A660CC"/>
    <w:rsid w:val="00A66937"/>
    <w:rsid w:val="00A66B07"/>
    <w:rsid w:val="00A66F2E"/>
    <w:rsid w:val="00A6725B"/>
    <w:rsid w:val="00A67C2F"/>
    <w:rsid w:val="00A67CBC"/>
    <w:rsid w:val="00A67DE9"/>
    <w:rsid w:val="00A67F0C"/>
    <w:rsid w:val="00A70605"/>
    <w:rsid w:val="00A7064A"/>
    <w:rsid w:val="00A70673"/>
    <w:rsid w:val="00A70992"/>
    <w:rsid w:val="00A709BE"/>
    <w:rsid w:val="00A70A64"/>
    <w:rsid w:val="00A70F87"/>
    <w:rsid w:val="00A71170"/>
    <w:rsid w:val="00A71524"/>
    <w:rsid w:val="00A7156A"/>
    <w:rsid w:val="00A7187C"/>
    <w:rsid w:val="00A71EE3"/>
    <w:rsid w:val="00A7260B"/>
    <w:rsid w:val="00A72706"/>
    <w:rsid w:val="00A72868"/>
    <w:rsid w:val="00A72A37"/>
    <w:rsid w:val="00A73134"/>
    <w:rsid w:val="00A7365A"/>
    <w:rsid w:val="00A73B94"/>
    <w:rsid w:val="00A73CB0"/>
    <w:rsid w:val="00A74618"/>
    <w:rsid w:val="00A746CE"/>
    <w:rsid w:val="00A74BE3"/>
    <w:rsid w:val="00A7531E"/>
    <w:rsid w:val="00A754B2"/>
    <w:rsid w:val="00A756A7"/>
    <w:rsid w:val="00A75889"/>
    <w:rsid w:val="00A75BEF"/>
    <w:rsid w:val="00A75E94"/>
    <w:rsid w:val="00A75FD1"/>
    <w:rsid w:val="00A76001"/>
    <w:rsid w:val="00A76529"/>
    <w:rsid w:val="00A767CE"/>
    <w:rsid w:val="00A76F30"/>
    <w:rsid w:val="00A77071"/>
    <w:rsid w:val="00A776B8"/>
    <w:rsid w:val="00A777B2"/>
    <w:rsid w:val="00A801FD"/>
    <w:rsid w:val="00A804A2"/>
    <w:rsid w:val="00A810F3"/>
    <w:rsid w:val="00A812AA"/>
    <w:rsid w:val="00A81452"/>
    <w:rsid w:val="00A8159D"/>
    <w:rsid w:val="00A81978"/>
    <w:rsid w:val="00A81B56"/>
    <w:rsid w:val="00A81E52"/>
    <w:rsid w:val="00A81F14"/>
    <w:rsid w:val="00A825D4"/>
    <w:rsid w:val="00A8270B"/>
    <w:rsid w:val="00A828F6"/>
    <w:rsid w:val="00A829B3"/>
    <w:rsid w:val="00A82B73"/>
    <w:rsid w:val="00A82F02"/>
    <w:rsid w:val="00A8323A"/>
    <w:rsid w:val="00A83BC1"/>
    <w:rsid w:val="00A84180"/>
    <w:rsid w:val="00A843A6"/>
    <w:rsid w:val="00A843F8"/>
    <w:rsid w:val="00A854A4"/>
    <w:rsid w:val="00A85793"/>
    <w:rsid w:val="00A85A07"/>
    <w:rsid w:val="00A85D62"/>
    <w:rsid w:val="00A85F0B"/>
    <w:rsid w:val="00A8658A"/>
    <w:rsid w:val="00A86A2C"/>
    <w:rsid w:val="00A86A8F"/>
    <w:rsid w:val="00A86D53"/>
    <w:rsid w:val="00A86E8B"/>
    <w:rsid w:val="00A86ED4"/>
    <w:rsid w:val="00A87164"/>
    <w:rsid w:val="00A871A9"/>
    <w:rsid w:val="00A87693"/>
    <w:rsid w:val="00A876E3"/>
    <w:rsid w:val="00A878A7"/>
    <w:rsid w:val="00A87E1B"/>
    <w:rsid w:val="00A90203"/>
    <w:rsid w:val="00A90550"/>
    <w:rsid w:val="00A90633"/>
    <w:rsid w:val="00A90847"/>
    <w:rsid w:val="00A90B4E"/>
    <w:rsid w:val="00A90DFD"/>
    <w:rsid w:val="00A91063"/>
    <w:rsid w:val="00A911E3"/>
    <w:rsid w:val="00A915C0"/>
    <w:rsid w:val="00A91943"/>
    <w:rsid w:val="00A91E35"/>
    <w:rsid w:val="00A92324"/>
    <w:rsid w:val="00A92398"/>
    <w:rsid w:val="00A92BC6"/>
    <w:rsid w:val="00A92CB5"/>
    <w:rsid w:val="00A93072"/>
    <w:rsid w:val="00A933F1"/>
    <w:rsid w:val="00A93823"/>
    <w:rsid w:val="00A938BD"/>
    <w:rsid w:val="00A93953"/>
    <w:rsid w:val="00A93C82"/>
    <w:rsid w:val="00A93D2E"/>
    <w:rsid w:val="00A94528"/>
    <w:rsid w:val="00A945DF"/>
    <w:rsid w:val="00A94B95"/>
    <w:rsid w:val="00A94E4D"/>
    <w:rsid w:val="00A94F35"/>
    <w:rsid w:val="00A959D8"/>
    <w:rsid w:val="00A959F9"/>
    <w:rsid w:val="00A9607B"/>
    <w:rsid w:val="00A963A7"/>
    <w:rsid w:val="00A96526"/>
    <w:rsid w:val="00A96664"/>
    <w:rsid w:val="00A96690"/>
    <w:rsid w:val="00A96859"/>
    <w:rsid w:val="00A9696B"/>
    <w:rsid w:val="00A96B19"/>
    <w:rsid w:val="00A96B42"/>
    <w:rsid w:val="00A96C62"/>
    <w:rsid w:val="00A96DCD"/>
    <w:rsid w:val="00A96E1D"/>
    <w:rsid w:val="00A97055"/>
    <w:rsid w:val="00A974ED"/>
    <w:rsid w:val="00A97953"/>
    <w:rsid w:val="00A97AA7"/>
    <w:rsid w:val="00A97CA1"/>
    <w:rsid w:val="00A97DF9"/>
    <w:rsid w:val="00A97FCB"/>
    <w:rsid w:val="00AA0270"/>
    <w:rsid w:val="00AA08C4"/>
    <w:rsid w:val="00AA0989"/>
    <w:rsid w:val="00AA09B4"/>
    <w:rsid w:val="00AA0BFC"/>
    <w:rsid w:val="00AA0CC9"/>
    <w:rsid w:val="00AA0E85"/>
    <w:rsid w:val="00AA113D"/>
    <w:rsid w:val="00AA14EF"/>
    <w:rsid w:val="00AA17CC"/>
    <w:rsid w:val="00AA183D"/>
    <w:rsid w:val="00AA1D13"/>
    <w:rsid w:val="00AA23CC"/>
    <w:rsid w:val="00AA2448"/>
    <w:rsid w:val="00AA2BD4"/>
    <w:rsid w:val="00AA2C53"/>
    <w:rsid w:val="00AA2E88"/>
    <w:rsid w:val="00AA303D"/>
    <w:rsid w:val="00AA37FF"/>
    <w:rsid w:val="00AA3DB5"/>
    <w:rsid w:val="00AA4026"/>
    <w:rsid w:val="00AA41E6"/>
    <w:rsid w:val="00AA49D9"/>
    <w:rsid w:val="00AA4BDE"/>
    <w:rsid w:val="00AA4D02"/>
    <w:rsid w:val="00AA4FF4"/>
    <w:rsid w:val="00AA5032"/>
    <w:rsid w:val="00AA51A8"/>
    <w:rsid w:val="00AA51DA"/>
    <w:rsid w:val="00AA5611"/>
    <w:rsid w:val="00AA5A79"/>
    <w:rsid w:val="00AA5FBC"/>
    <w:rsid w:val="00AA62E4"/>
    <w:rsid w:val="00AA651D"/>
    <w:rsid w:val="00AA655A"/>
    <w:rsid w:val="00AA6900"/>
    <w:rsid w:val="00AA6BD5"/>
    <w:rsid w:val="00AA6BD8"/>
    <w:rsid w:val="00AA6C7D"/>
    <w:rsid w:val="00AA706F"/>
    <w:rsid w:val="00AA70AE"/>
    <w:rsid w:val="00AA70CA"/>
    <w:rsid w:val="00AA715E"/>
    <w:rsid w:val="00AA76F1"/>
    <w:rsid w:val="00AA7B46"/>
    <w:rsid w:val="00AA7C44"/>
    <w:rsid w:val="00AA7D8A"/>
    <w:rsid w:val="00AA7FD6"/>
    <w:rsid w:val="00AB01B9"/>
    <w:rsid w:val="00AB042A"/>
    <w:rsid w:val="00AB0919"/>
    <w:rsid w:val="00AB1132"/>
    <w:rsid w:val="00AB1134"/>
    <w:rsid w:val="00AB11AD"/>
    <w:rsid w:val="00AB12F0"/>
    <w:rsid w:val="00AB1712"/>
    <w:rsid w:val="00AB19EF"/>
    <w:rsid w:val="00AB22F7"/>
    <w:rsid w:val="00AB2495"/>
    <w:rsid w:val="00AB25A9"/>
    <w:rsid w:val="00AB2D34"/>
    <w:rsid w:val="00AB3430"/>
    <w:rsid w:val="00AB37B9"/>
    <w:rsid w:val="00AB3E81"/>
    <w:rsid w:val="00AB3EDA"/>
    <w:rsid w:val="00AB4114"/>
    <w:rsid w:val="00AB473B"/>
    <w:rsid w:val="00AB49EE"/>
    <w:rsid w:val="00AB4AB8"/>
    <w:rsid w:val="00AB4AD1"/>
    <w:rsid w:val="00AB4B2A"/>
    <w:rsid w:val="00AB4C7D"/>
    <w:rsid w:val="00AB543B"/>
    <w:rsid w:val="00AB5BDC"/>
    <w:rsid w:val="00AB5CFF"/>
    <w:rsid w:val="00AB5E07"/>
    <w:rsid w:val="00AB6093"/>
    <w:rsid w:val="00AB648B"/>
    <w:rsid w:val="00AB64B1"/>
    <w:rsid w:val="00AB6667"/>
    <w:rsid w:val="00AB698C"/>
    <w:rsid w:val="00AB72CA"/>
    <w:rsid w:val="00AB74ED"/>
    <w:rsid w:val="00AB77B6"/>
    <w:rsid w:val="00AB7CFA"/>
    <w:rsid w:val="00AC02F9"/>
    <w:rsid w:val="00AC0A16"/>
    <w:rsid w:val="00AC0DE0"/>
    <w:rsid w:val="00AC0ED1"/>
    <w:rsid w:val="00AC1413"/>
    <w:rsid w:val="00AC144D"/>
    <w:rsid w:val="00AC171C"/>
    <w:rsid w:val="00AC181F"/>
    <w:rsid w:val="00AC1DDE"/>
    <w:rsid w:val="00AC2286"/>
    <w:rsid w:val="00AC2821"/>
    <w:rsid w:val="00AC2B7B"/>
    <w:rsid w:val="00AC2CD7"/>
    <w:rsid w:val="00AC35BC"/>
    <w:rsid w:val="00AC364A"/>
    <w:rsid w:val="00AC3DE0"/>
    <w:rsid w:val="00AC3E89"/>
    <w:rsid w:val="00AC410C"/>
    <w:rsid w:val="00AC4555"/>
    <w:rsid w:val="00AC47F4"/>
    <w:rsid w:val="00AC51A5"/>
    <w:rsid w:val="00AC584A"/>
    <w:rsid w:val="00AC5B42"/>
    <w:rsid w:val="00AC5B48"/>
    <w:rsid w:val="00AC5EBC"/>
    <w:rsid w:val="00AC6127"/>
    <w:rsid w:val="00AC6165"/>
    <w:rsid w:val="00AC676A"/>
    <w:rsid w:val="00AC6931"/>
    <w:rsid w:val="00AC6D7C"/>
    <w:rsid w:val="00AC6DDC"/>
    <w:rsid w:val="00AC746A"/>
    <w:rsid w:val="00AC751A"/>
    <w:rsid w:val="00AC759B"/>
    <w:rsid w:val="00AC76C1"/>
    <w:rsid w:val="00AC7CAC"/>
    <w:rsid w:val="00AC7EB2"/>
    <w:rsid w:val="00AC7FEA"/>
    <w:rsid w:val="00AD001C"/>
    <w:rsid w:val="00AD0199"/>
    <w:rsid w:val="00AD07DE"/>
    <w:rsid w:val="00AD1450"/>
    <w:rsid w:val="00AD1456"/>
    <w:rsid w:val="00AD15E8"/>
    <w:rsid w:val="00AD1AE9"/>
    <w:rsid w:val="00AD1CCF"/>
    <w:rsid w:val="00AD1E14"/>
    <w:rsid w:val="00AD1F92"/>
    <w:rsid w:val="00AD2018"/>
    <w:rsid w:val="00AD21E1"/>
    <w:rsid w:val="00AD2641"/>
    <w:rsid w:val="00AD2818"/>
    <w:rsid w:val="00AD2CB9"/>
    <w:rsid w:val="00AD2E0E"/>
    <w:rsid w:val="00AD31BE"/>
    <w:rsid w:val="00AD356D"/>
    <w:rsid w:val="00AD36A3"/>
    <w:rsid w:val="00AD36B5"/>
    <w:rsid w:val="00AD3A64"/>
    <w:rsid w:val="00AD3A98"/>
    <w:rsid w:val="00AD3E79"/>
    <w:rsid w:val="00AD46A3"/>
    <w:rsid w:val="00AD477C"/>
    <w:rsid w:val="00AD508E"/>
    <w:rsid w:val="00AD54B0"/>
    <w:rsid w:val="00AD56D0"/>
    <w:rsid w:val="00AD5D9B"/>
    <w:rsid w:val="00AD5E21"/>
    <w:rsid w:val="00AD5F3E"/>
    <w:rsid w:val="00AD6006"/>
    <w:rsid w:val="00AD6502"/>
    <w:rsid w:val="00AD6975"/>
    <w:rsid w:val="00AD6A15"/>
    <w:rsid w:val="00AD6C62"/>
    <w:rsid w:val="00AD6DA7"/>
    <w:rsid w:val="00AD716C"/>
    <w:rsid w:val="00AD72C2"/>
    <w:rsid w:val="00AD7474"/>
    <w:rsid w:val="00AD748B"/>
    <w:rsid w:val="00AD7504"/>
    <w:rsid w:val="00AD77D6"/>
    <w:rsid w:val="00AE00FA"/>
    <w:rsid w:val="00AE020F"/>
    <w:rsid w:val="00AE0251"/>
    <w:rsid w:val="00AE0695"/>
    <w:rsid w:val="00AE089C"/>
    <w:rsid w:val="00AE0E92"/>
    <w:rsid w:val="00AE114A"/>
    <w:rsid w:val="00AE119D"/>
    <w:rsid w:val="00AE1946"/>
    <w:rsid w:val="00AE1C1E"/>
    <w:rsid w:val="00AE2484"/>
    <w:rsid w:val="00AE262A"/>
    <w:rsid w:val="00AE2673"/>
    <w:rsid w:val="00AE3E7E"/>
    <w:rsid w:val="00AE42CC"/>
    <w:rsid w:val="00AE4699"/>
    <w:rsid w:val="00AE4815"/>
    <w:rsid w:val="00AE4C2A"/>
    <w:rsid w:val="00AE4F42"/>
    <w:rsid w:val="00AE50E8"/>
    <w:rsid w:val="00AE548B"/>
    <w:rsid w:val="00AE58F2"/>
    <w:rsid w:val="00AE596B"/>
    <w:rsid w:val="00AE5B21"/>
    <w:rsid w:val="00AE5BB6"/>
    <w:rsid w:val="00AE6169"/>
    <w:rsid w:val="00AE6332"/>
    <w:rsid w:val="00AE660E"/>
    <w:rsid w:val="00AE69D4"/>
    <w:rsid w:val="00AE6EBC"/>
    <w:rsid w:val="00AE6FA9"/>
    <w:rsid w:val="00AE758E"/>
    <w:rsid w:val="00AE7804"/>
    <w:rsid w:val="00AE7C71"/>
    <w:rsid w:val="00AE7E53"/>
    <w:rsid w:val="00AE7F21"/>
    <w:rsid w:val="00AF08A7"/>
    <w:rsid w:val="00AF1315"/>
    <w:rsid w:val="00AF1353"/>
    <w:rsid w:val="00AF1545"/>
    <w:rsid w:val="00AF15BF"/>
    <w:rsid w:val="00AF19BF"/>
    <w:rsid w:val="00AF1C3C"/>
    <w:rsid w:val="00AF23D6"/>
    <w:rsid w:val="00AF2618"/>
    <w:rsid w:val="00AF26B0"/>
    <w:rsid w:val="00AF2D96"/>
    <w:rsid w:val="00AF2DC3"/>
    <w:rsid w:val="00AF330D"/>
    <w:rsid w:val="00AF3458"/>
    <w:rsid w:val="00AF3D19"/>
    <w:rsid w:val="00AF3EAE"/>
    <w:rsid w:val="00AF4939"/>
    <w:rsid w:val="00AF4B5A"/>
    <w:rsid w:val="00AF4C93"/>
    <w:rsid w:val="00AF5226"/>
    <w:rsid w:val="00AF56F7"/>
    <w:rsid w:val="00AF5C93"/>
    <w:rsid w:val="00AF5EFE"/>
    <w:rsid w:val="00AF611F"/>
    <w:rsid w:val="00AF65FD"/>
    <w:rsid w:val="00AF6EB5"/>
    <w:rsid w:val="00AF7329"/>
    <w:rsid w:val="00AF77E5"/>
    <w:rsid w:val="00AF7A60"/>
    <w:rsid w:val="00AF7C18"/>
    <w:rsid w:val="00AF7C1F"/>
    <w:rsid w:val="00AF7CDF"/>
    <w:rsid w:val="00B001BB"/>
    <w:rsid w:val="00B005A0"/>
    <w:rsid w:val="00B006E3"/>
    <w:rsid w:val="00B00930"/>
    <w:rsid w:val="00B0103E"/>
    <w:rsid w:val="00B01D42"/>
    <w:rsid w:val="00B01D88"/>
    <w:rsid w:val="00B0210B"/>
    <w:rsid w:val="00B021DE"/>
    <w:rsid w:val="00B024EC"/>
    <w:rsid w:val="00B027F4"/>
    <w:rsid w:val="00B02C34"/>
    <w:rsid w:val="00B02D52"/>
    <w:rsid w:val="00B02D7B"/>
    <w:rsid w:val="00B033E5"/>
    <w:rsid w:val="00B035B2"/>
    <w:rsid w:val="00B0374B"/>
    <w:rsid w:val="00B03A63"/>
    <w:rsid w:val="00B03F3C"/>
    <w:rsid w:val="00B03F74"/>
    <w:rsid w:val="00B040B1"/>
    <w:rsid w:val="00B04246"/>
    <w:rsid w:val="00B04CEE"/>
    <w:rsid w:val="00B057B6"/>
    <w:rsid w:val="00B05A43"/>
    <w:rsid w:val="00B05A6F"/>
    <w:rsid w:val="00B05C28"/>
    <w:rsid w:val="00B061A2"/>
    <w:rsid w:val="00B066EA"/>
    <w:rsid w:val="00B0674D"/>
    <w:rsid w:val="00B06811"/>
    <w:rsid w:val="00B06A3C"/>
    <w:rsid w:val="00B06C11"/>
    <w:rsid w:val="00B074C7"/>
    <w:rsid w:val="00B07689"/>
    <w:rsid w:val="00B077A3"/>
    <w:rsid w:val="00B07AB3"/>
    <w:rsid w:val="00B07C12"/>
    <w:rsid w:val="00B07DAA"/>
    <w:rsid w:val="00B1020F"/>
    <w:rsid w:val="00B109A5"/>
    <w:rsid w:val="00B10A85"/>
    <w:rsid w:val="00B10B82"/>
    <w:rsid w:val="00B10DC3"/>
    <w:rsid w:val="00B11195"/>
    <w:rsid w:val="00B116CB"/>
    <w:rsid w:val="00B117D5"/>
    <w:rsid w:val="00B11AC1"/>
    <w:rsid w:val="00B12253"/>
    <w:rsid w:val="00B12427"/>
    <w:rsid w:val="00B12769"/>
    <w:rsid w:val="00B129A4"/>
    <w:rsid w:val="00B12A92"/>
    <w:rsid w:val="00B12B48"/>
    <w:rsid w:val="00B13203"/>
    <w:rsid w:val="00B13303"/>
    <w:rsid w:val="00B1331F"/>
    <w:rsid w:val="00B138F2"/>
    <w:rsid w:val="00B13A4B"/>
    <w:rsid w:val="00B13C9B"/>
    <w:rsid w:val="00B13D2D"/>
    <w:rsid w:val="00B13EE0"/>
    <w:rsid w:val="00B140A1"/>
    <w:rsid w:val="00B14225"/>
    <w:rsid w:val="00B143E6"/>
    <w:rsid w:val="00B14490"/>
    <w:rsid w:val="00B1453E"/>
    <w:rsid w:val="00B14580"/>
    <w:rsid w:val="00B145BA"/>
    <w:rsid w:val="00B14760"/>
    <w:rsid w:val="00B14A4C"/>
    <w:rsid w:val="00B14AFC"/>
    <w:rsid w:val="00B14E33"/>
    <w:rsid w:val="00B14EEE"/>
    <w:rsid w:val="00B15835"/>
    <w:rsid w:val="00B1590C"/>
    <w:rsid w:val="00B15A38"/>
    <w:rsid w:val="00B15EC8"/>
    <w:rsid w:val="00B1626D"/>
    <w:rsid w:val="00B163E8"/>
    <w:rsid w:val="00B1660A"/>
    <w:rsid w:val="00B16AAB"/>
    <w:rsid w:val="00B16C52"/>
    <w:rsid w:val="00B16EA8"/>
    <w:rsid w:val="00B17A50"/>
    <w:rsid w:val="00B17C1A"/>
    <w:rsid w:val="00B200E4"/>
    <w:rsid w:val="00B20116"/>
    <w:rsid w:val="00B201A4"/>
    <w:rsid w:val="00B201D1"/>
    <w:rsid w:val="00B20260"/>
    <w:rsid w:val="00B209FE"/>
    <w:rsid w:val="00B210AA"/>
    <w:rsid w:val="00B211F6"/>
    <w:rsid w:val="00B213A6"/>
    <w:rsid w:val="00B21B8D"/>
    <w:rsid w:val="00B21BDC"/>
    <w:rsid w:val="00B21C23"/>
    <w:rsid w:val="00B2269B"/>
    <w:rsid w:val="00B22AEF"/>
    <w:rsid w:val="00B22B0A"/>
    <w:rsid w:val="00B22E04"/>
    <w:rsid w:val="00B22EC4"/>
    <w:rsid w:val="00B23375"/>
    <w:rsid w:val="00B235B0"/>
    <w:rsid w:val="00B2361D"/>
    <w:rsid w:val="00B239DF"/>
    <w:rsid w:val="00B23B25"/>
    <w:rsid w:val="00B23DD2"/>
    <w:rsid w:val="00B242DD"/>
    <w:rsid w:val="00B2452E"/>
    <w:rsid w:val="00B24944"/>
    <w:rsid w:val="00B24CF0"/>
    <w:rsid w:val="00B24DF6"/>
    <w:rsid w:val="00B24EB8"/>
    <w:rsid w:val="00B25201"/>
    <w:rsid w:val="00B253E9"/>
    <w:rsid w:val="00B25556"/>
    <w:rsid w:val="00B25923"/>
    <w:rsid w:val="00B25B95"/>
    <w:rsid w:val="00B25C6F"/>
    <w:rsid w:val="00B25E38"/>
    <w:rsid w:val="00B269B0"/>
    <w:rsid w:val="00B269BD"/>
    <w:rsid w:val="00B26A92"/>
    <w:rsid w:val="00B2722E"/>
    <w:rsid w:val="00B279D8"/>
    <w:rsid w:val="00B27A61"/>
    <w:rsid w:val="00B27F45"/>
    <w:rsid w:val="00B302CD"/>
    <w:rsid w:val="00B30EE2"/>
    <w:rsid w:val="00B310DF"/>
    <w:rsid w:val="00B3111F"/>
    <w:rsid w:val="00B314B9"/>
    <w:rsid w:val="00B314D2"/>
    <w:rsid w:val="00B32101"/>
    <w:rsid w:val="00B32129"/>
    <w:rsid w:val="00B32251"/>
    <w:rsid w:val="00B32B20"/>
    <w:rsid w:val="00B32F94"/>
    <w:rsid w:val="00B33157"/>
    <w:rsid w:val="00B33367"/>
    <w:rsid w:val="00B33AB7"/>
    <w:rsid w:val="00B33B1B"/>
    <w:rsid w:val="00B33B70"/>
    <w:rsid w:val="00B33F69"/>
    <w:rsid w:val="00B3418A"/>
    <w:rsid w:val="00B34222"/>
    <w:rsid w:val="00B34306"/>
    <w:rsid w:val="00B34465"/>
    <w:rsid w:val="00B34A9B"/>
    <w:rsid w:val="00B34B46"/>
    <w:rsid w:val="00B34FE2"/>
    <w:rsid w:val="00B35166"/>
    <w:rsid w:val="00B3564F"/>
    <w:rsid w:val="00B357D8"/>
    <w:rsid w:val="00B35DAA"/>
    <w:rsid w:val="00B35EE1"/>
    <w:rsid w:val="00B360F4"/>
    <w:rsid w:val="00B36A00"/>
    <w:rsid w:val="00B36E09"/>
    <w:rsid w:val="00B3738B"/>
    <w:rsid w:val="00B373BE"/>
    <w:rsid w:val="00B3792B"/>
    <w:rsid w:val="00B37A22"/>
    <w:rsid w:val="00B37BFC"/>
    <w:rsid w:val="00B37D24"/>
    <w:rsid w:val="00B37E89"/>
    <w:rsid w:val="00B40032"/>
    <w:rsid w:val="00B40119"/>
    <w:rsid w:val="00B40209"/>
    <w:rsid w:val="00B40358"/>
    <w:rsid w:val="00B40411"/>
    <w:rsid w:val="00B40417"/>
    <w:rsid w:val="00B4081A"/>
    <w:rsid w:val="00B40827"/>
    <w:rsid w:val="00B40A65"/>
    <w:rsid w:val="00B40AC0"/>
    <w:rsid w:val="00B40E44"/>
    <w:rsid w:val="00B41305"/>
    <w:rsid w:val="00B4140E"/>
    <w:rsid w:val="00B41614"/>
    <w:rsid w:val="00B416AB"/>
    <w:rsid w:val="00B41AC4"/>
    <w:rsid w:val="00B41FCF"/>
    <w:rsid w:val="00B42851"/>
    <w:rsid w:val="00B42EA4"/>
    <w:rsid w:val="00B42F80"/>
    <w:rsid w:val="00B4304D"/>
    <w:rsid w:val="00B43220"/>
    <w:rsid w:val="00B43451"/>
    <w:rsid w:val="00B435CB"/>
    <w:rsid w:val="00B4361C"/>
    <w:rsid w:val="00B441F7"/>
    <w:rsid w:val="00B44419"/>
    <w:rsid w:val="00B44560"/>
    <w:rsid w:val="00B44579"/>
    <w:rsid w:val="00B44783"/>
    <w:rsid w:val="00B447FD"/>
    <w:rsid w:val="00B448D4"/>
    <w:rsid w:val="00B44BC3"/>
    <w:rsid w:val="00B44D85"/>
    <w:rsid w:val="00B45216"/>
    <w:rsid w:val="00B4523B"/>
    <w:rsid w:val="00B45265"/>
    <w:rsid w:val="00B45448"/>
    <w:rsid w:val="00B45673"/>
    <w:rsid w:val="00B45865"/>
    <w:rsid w:val="00B45F76"/>
    <w:rsid w:val="00B46407"/>
    <w:rsid w:val="00B465EC"/>
    <w:rsid w:val="00B46834"/>
    <w:rsid w:val="00B46864"/>
    <w:rsid w:val="00B46ADB"/>
    <w:rsid w:val="00B46DF8"/>
    <w:rsid w:val="00B46F39"/>
    <w:rsid w:val="00B47323"/>
    <w:rsid w:val="00B479E2"/>
    <w:rsid w:val="00B47D8F"/>
    <w:rsid w:val="00B500AE"/>
    <w:rsid w:val="00B50264"/>
    <w:rsid w:val="00B5058D"/>
    <w:rsid w:val="00B505C8"/>
    <w:rsid w:val="00B506E6"/>
    <w:rsid w:val="00B508C0"/>
    <w:rsid w:val="00B509B6"/>
    <w:rsid w:val="00B509EA"/>
    <w:rsid w:val="00B50A24"/>
    <w:rsid w:val="00B50D1C"/>
    <w:rsid w:val="00B50DB8"/>
    <w:rsid w:val="00B51214"/>
    <w:rsid w:val="00B51323"/>
    <w:rsid w:val="00B51894"/>
    <w:rsid w:val="00B51C54"/>
    <w:rsid w:val="00B52484"/>
    <w:rsid w:val="00B525EE"/>
    <w:rsid w:val="00B526B2"/>
    <w:rsid w:val="00B5276E"/>
    <w:rsid w:val="00B5284C"/>
    <w:rsid w:val="00B5322B"/>
    <w:rsid w:val="00B53409"/>
    <w:rsid w:val="00B53654"/>
    <w:rsid w:val="00B5370E"/>
    <w:rsid w:val="00B53905"/>
    <w:rsid w:val="00B53B26"/>
    <w:rsid w:val="00B53D03"/>
    <w:rsid w:val="00B53FEC"/>
    <w:rsid w:val="00B5403A"/>
    <w:rsid w:val="00B541F5"/>
    <w:rsid w:val="00B546DB"/>
    <w:rsid w:val="00B54B5B"/>
    <w:rsid w:val="00B54B96"/>
    <w:rsid w:val="00B5500C"/>
    <w:rsid w:val="00B5562E"/>
    <w:rsid w:val="00B55696"/>
    <w:rsid w:val="00B55736"/>
    <w:rsid w:val="00B55862"/>
    <w:rsid w:val="00B55D65"/>
    <w:rsid w:val="00B55E32"/>
    <w:rsid w:val="00B5602A"/>
    <w:rsid w:val="00B56305"/>
    <w:rsid w:val="00B56D33"/>
    <w:rsid w:val="00B56E1B"/>
    <w:rsid w:val="00B57000"/>
    <w:rsid w:val="00B570C2"/>
    <w:rsid w:val="00B57140"/>
    <w:rsid w:val="00B57155"/>
    <w:rsid w:val="00B5716A"/>
    <w:rsid w:val="00B572B2"/>
    <w:rsid w:val="00B572F5"/>
    <w:rsid w:val="00B5787F"/>
    <w:rsid w:val="00B578F7"/>
    <w:rsid w:val="00B57918"/>
    <w:rsid w:val="00B57A41"/>
    <w:rsid w:val="00B57C22"/>
    <w:rsid w:val="00B57C40"/>
    <w:rsid w:val="00B57D8F"/>
    <w:rsid w:val="00B605AA"/>
    <w:rsid w:val="00B60939"/>
    <w:rsid w:val="00B60AA9"/>
    <w:rsid w:val="00B60AFD"/>
    <w:rsid w:val="00B60DEA"/>
    <w:rsid w:val="00B61229"/>
    <w:rsid w:val="00B619A1"/>
    <w:rsid w:val="00B61DD8"/>
    <w:rsid w:val="00B62210"/>
    <w:rsid w:val="00B62715"/>
    <w:rsid w:val="00B62F14"/>
    <w:rsid w:val="00B63646"/>
    <w:rsid w:val="00B6399B"/>
    <w:rsid w:val="00B63B30"/>
    <w:rsid w:val="00B63B8E"/>
    <w:rsid w:val="00B6413F"/>
    <w:rsid w:val="00B64186"/>
    <w:rsid w:val="00B64229"/>
    <w:rsid w:val="00B646AA"/>
    <w:rsid w:val="00B64895"/>
    <w:rsid w:val="00B64B6E"/>
    <w:rsid w:val="00B64C1D"/>
    <w:rsid w:val="00B64F2D"/>
    <w:rsid w:val="00B652BE"/>
    <w:rsid w:val="00B653F4"/>
    <w:rsid w:val="00B65611"/>
    <w:rsid w:val="00B657C2"/>
    <w:rsid w:val="00B65B59"/>
    <w:rsid w:val="00B65C2F"/>
    <w:rsid w:val="00B663DE"/>
    <w:rsid w:val="00B66813"/>
    <w:rsid w:val="00B6697D"/>
    <w:rsid w:val="00B66E7B"/>
    <w:rsid w:val="00B66EDB"/>
    <w:rsid w:val="00B66F73"/>
    <w:rsid w:val="00B67076"/>
    <w:rsid w:val="00B674C4"/>
    <w:rsid w:val="00B679F4"/>
    <w:rsid w:val="00B70204"/>
    <w:rsid w:val="00B70A27"/>
    <w:rsid w:val="00B70E8E"/>
    <w:rsid w:val="00B70FBF"/>
    <w:rsid w:val="00B71115"/>
    <w:rsid w:val="00B711C8"/>
    <w:rsid w:val="00B71972"/>
    <w:rsid w:val="00B71B26"/>
    <w:rsid w:val="00B71D89"/>
    <w:rsid w:val="00B71F34"/>
    <w:rsid w:val="00B71F3D"/>
    <w:rsid w:val="00B72154"/>
    <w:rsid w:val="00B730BB"/>
    <w:rsid w:val="00B7327B"/>
    <w:rsid w:val="00B7367E"/>
    <w:rsid w:val="00B73CAF"/>
    <w:rsid w:val="00B74486"/>
    <w:rsid w:val="00B7483B"/>
    <w:rsid w:val="00B74FB6"/>
    <w:rsid w:val="00B74FEE"/>
    <w:rsid w:val="00B755D3"/>
    <w:rsid w:val="00B755F1"/>
    <w:rsid w:val="00B75831"/>
    <w:rsid w:val="00B75847"/>
    <w:rsid w:val="00B75C19"/>
    <w:rsid w:val="00B75DCF"/>
    <w:rsid w:val="00B762A0"/>
    <w:rsid w:val="00B765A5"/>
    <w:rsid w:val="00B76AB6"/>
    <w:rsid w:val="00B76C92"/>
    <w:rsid w:val="00B76D83"/>
    <w:rsid w:val="00B76E74"/>
    <w:rsid w:val="00B7703F"/>
    <w:rsid w:val="00B77603"/>
    <w:rsid w:val="00B77B97"/>
    <w:rsid w:val="00B77FF7"/>
    <w:rsid w:val="00B80489"/>
    <w:rsid w:val="00B80A95"/>
    <w:rsid w:val="00B80B46"/>
    <w:rsid w:val="00B80EFD"/>
    <w:rsid w:val="00B815B5"/>
    <w:rsid w:val="00B818A4"/>
    <w:rsid w:val="00B81D20"/>
    <w:rsid w:val="00B81F63"/>
    <w:rsid w:val="00B82990"/>
    <w:rsid w:val="00B82DC2"/>
    <w:rsid w:val="00B83220"/>
    <w:rsid w:val="00B83739"/>
    <w:rsid w:val="00B83A54"/>
    <w:rsid w:val="00B83F2B"/>
    <w:rsid w:val="00B84053"/>
    <w:rsid w:val="00B84117"/>
    <w:rsid w:val="00B8511A"/>
    <w:rsid w:val="00B851E7"/>
    <w:rsid w:val="00B8547E"/>
    <w:rsid w:val="00B855B1"/>
    <w:rsid w:val="00B8579B"/>
    <w:rsid w:val="00B8587B"/>
    <w:rsid w:val="00B858F0"/>
    <w:rsid w:val="00B85A12"/>
    <w:rsid w:val="00B85AA2"/>
    <w:rsid w:val="00B85C49"/>
    <w:rsid w:val="00B85FE3"/>
    <w:rsid w:val="00B863E3"/>
    <w:rsid w:val="00B8649C"/>
    <w:rsid w:val="00B86662"/>
    <w:rsid w:val="00B8695D"/>
    <w:rsid w:val="00B86E0D"/>
    <w:rsid w:val="00B87220"/>
    <w:rsid w:val="00B8737F"/>
    <w:rsid w:val="00B877C2"/>
    <w:rsid w:val="00B87956"/>
    <w:rsid w:val="00B87EB2"/>
    <w:rsid w:val="00B87F0A"/>
    <w:rsid w:val="00B900A5"/>
    <w:rsid w:val="00B9029E"/>
    <w:rsid w:val="00B9055B"/>
    <w:rsid w:val="00B90BA0"/>
    <w:rsid w:val="00B90C96"/>
    <w:rsid w:val="00B90CF3"/>
    <w:rsid w:val="00B912F9"/>
    <w:rsid w:val="00B91434"/>
    <w:rsid w:val="00B91476"/>
    <w:rsid w:val="00B918F8"/>
    <w:rsid w:val="00B91EBB"/>
    <w:rsid w:val="00B91F2B"/>
    <w:rsid w:val="00B92377"/>
    <w:rsid w:val="00B9250F"/>
    <w:rsid w:val="00B92560"/>
    <w:rsid w:val="00B927B7"/>
    <w:rsid w:val="00B927D8"/>
    <w:rsid w:val="00B92D0B"/>
    <w:rsid w:val="00B92E4F"/>
    <w:rsid w:val="00B92ECC"/>
    <w:rsid w:val="00B93005"/>
    <w:rsid w:val="00B933F4"/>
    <w:rsid w:val="00B937FF"/>
    <w:rsid w:val="00B93E91"/>
    <w:rsid w:val="00B94176"/>
    <w:rsid w:val="00B9431A"/>
    <w:rsid w:val="00B9458D"/>
    <w:rsid w:val="00B947A3"/>
    <w:rsid w:val="00B94945"/>
    <w:rsid w:val="00B94AF9"/>
    <w:rsid w:val="00B94C3B"/>
    <w:rsid w:val="00B94DD6"/>
    <w:rsid w:val="00B95770"/>
    <w:rsid w:val="00B9592E"/>
    <w:rsid w:val="00B95A29"/>
    <w:rsid w:val="00B95AFC"/>
    <w:rsid w:val="00B963E4"/>
    <w:rsid w:val="00B964A4"/>
    <w:rsid w:val="00B96AC4"/>
    <w:rsid w:val="00B96BAB"/>
    <w:rsid w:val="00B96CE3"/>
    <w:rsid w:val="00B96D1E"/>
    <w:rsid w:val="00B9716A"/>
    <w:rsid w:val="00B97571"/>
    <w:rsid w:val="00B975D4"/>
    <w:rsid w:val="00B978A0"/>
    <w:rsid w:val="00B97C1D"/>
    <w:rsid w:val="00B97EF9"/>
    <w:rsid w:val="00BA0A19"/>
    <w:rsid w:val="00BA0DB0"/>
    <w:rsid w:val="00BA0F65"/>
    <w:rsid w:val="00BA1234"/>
    <w:rsid w:val="00BA1A84"/>
    <w:rsid w:val="00BA1F55"/>
    <w:rsid w:val="00BA223A"/>
    <w:rsid w:val="00BA23C2"/>
    <w:rsid w:val="00BA23CC"/>
    <w:rsid w:val="00BA2421"/>
    <w:rsid w:val="00BA31F5"/>
    <w:rsid w:val="00BA322D"/>
    <w:rsid w:val="00BA3478"/>
    <w:rsid w:val="00BA4005"/>
    <w:rsid w:val="00BA44E0"/>
    <w:rsid w:val="00BA44FA"/>
    <w:rsid w:val="00BA4615"/>
    <w:rsid w:val="00BA4659"/>
    <w:rsid w:val="00BA4CC5"/>
    <w:rsid w:val="00BA503D"/>
    <w:rsid w:val="00BA574B"/>
    <w:rsid w:val="00BA59B2"/>
    <w:rsid w:val="00BA5D7A"/>
    <w:rsid w:val="00BA5E00"/>
    <w:rsid w:val="00BA60B7"/>
    <w:rsid w:val="00BA63FA"/>
    <w:rsid w:val="00BA6436"/>
    <w:rsid w:val="00BA77FE"/>
    <w:rsid w:val="00BA7A00"/>
    <w:rsid w:val="00BA7B4A"/>
    <w:rsid w:val="00BA7D15"/>
    <w:rsid w:val="00BB00B3"/>
    <w:rsid w:val="00BB0368"/>
    <w:rsid w:val="00BB0957"/>
    <w:rsid w:val="00BB0BDD"/>
    <w:rsid w:val="00BB0F43"/>
    <w:rsid w:val="00BB1649"/>
    <w:rsid w:val="00BB176C"/>
    <w:rsid w:val="00BB2334"/>
    <w:rsid w:val="00BB25FC"/>
    <w:rsid w:val="00BB268F"/>
    <w:rsid w:val="00BB2975"/>
    <w:rsid w:val="00BB2A73"/>
    <w:rsid w:val="00BB2BA5"/>
    <w:rsid w:val="00BB3309"/>
    <w:rsid w:val="00BB335C"/>
    <w:rsid w:val="00BB34A9"/>
    <w:rsid w:val="00BB3594"/>
    <w:rsid w:val="00BB3A28"/>
    <w:rsid w:val="00BB3A45"/>
    <w:rsid w:val="00BB3BD9"/>
    <w:rsid w:val="00BB3D17"/>
    <w:rsid w:val="00BB4654"/>
    <w:rsid w:val="00BB4ACC"/>
    <w:rsid w:val="00BB4BA6"/>
    <w:rsid w:val="00BB4C54"/>
    <w:rsid w:val="00BB4EA8"/>
    <w:rsid w:val="00BB532B"/>
    <w:rsid w:val="00BB5910"/>
    <w:rsid w:val="00BB62EE"/>
    <w:rsid w:val="00BB6495"/>
    <w:rsid w:val="00BB649D"/>
    <w:rsid w:val="00BB64DD"/>
    <w:rsid w:val="00BB65CF"/>
    <w:rsid w:val="00BB6807"/>
    <w:rsid w:val="00BB681F"/>
    <w:rsid w:val="00BB6B35"/>
    <w:rsid w:val="00BB6BC7"/>
    <w:rsid w:val="00BB6C18"/>
    <w:rsid w:val="00BB6E57"/>
    <w:rsid w:val="00BB6E6B"/>
    <w:rsid w:val="00BB703E"/>
    <w:rsid w:val="00BB70EE"/>
    <w:rsid w:val="00BB7310"/>
    <w:rsid w:val="00BB732D"/>
    <w:rsid w:val="00BB7405"/>
    <w:rsid w:val="00BB767C"/>
    <w:rsid w:val="00BB7996"/>
    <w:rsid w:val="00BB7A62"/>
    <w:rsid w:val="00BB7ACE"/>
    <w:rsid w:val="00BB7D56"/>
    <w:rsid w:val="00BC09FA"/>
    <w:rsid w:val="00BC0B07"/>
    <w:rsid w:val="00BC1962"/>
    <w:rsid w:val="00BC1ABE"/>
    <w:rsid w:val="00BC2295"/>
    <w:rsid w:val="00BC249A"/>
    <w:rsid w:val="00BC2556"/>
    <w:rsid w:val="00BC2A34"/>
    <w:rsid w:val="00BC3631"/>
    <w:rsid w:val="00BC3A7E"/>
    <w:rsid w:val="00BC3FEF"/>
    <w:rsid w:val="00BC428F"/>
    <w:rsid w:val="00BC45D5"/>
    <w:rsid w:val="00BC4862"/>
    <w:rsid w:val="00BC4D90"/>
    <w:rsid w:val="00BC4FE3"/>
    <w:rsid w:val="00BC53D2"/>
    <w:rsid w:val="00BC54F3"/>
    <w:rsid w:val="00BC591F"/>
    <w:rsid w:val="00BC5A7D"/>
    <w:rsid w:val="00BC5DC7"/>
    <w:rsid w:val="00BC6170"/>
    <w:rsid w:val="00BC654B"/>
    <w:rsid w:val="00BC6681"/>
    <w:rsid w:val="00BC66A7"/>
    <w:rsid w:val="00BC66C1"/>
    <w:rsid w:val="00BC66CD"/>
    <w:rsid w:val="00BC681F"/>
    <w:rsid w:val="00BC748A"/>
    <w:rsid w:val="00BC75DB"/>
    <w:rsid w:val="00BC792D"/>
    <w:rsid w:val="00BC7D2B"/>
    <w:rsid w:val="00BC7D6D"/>
    <w:rsid w:val="00BC7DE6"/>
    <w:rsid w:val="00BD0574"/>
    <w:rsid w:val="00BD0D9B"/>
    <w:rsid w:val="00BD0EED"/>
    <w:rsid w:val="00BD18B2"/>
    <w:rsid w:val="00BD18FE"/>
    <w:rsid w:val="00BD1BA7"/>
    <w:rsid w:val="00BD2068"/>
    <w:rsid w:val="00BD2108"/>
    <w:rsid w:val="00BD2614"/>
    <w:rsid w:val="00BD270A"/>
    <w:rsid w:val="00BD2E28"/>
    <w:rsid w:val="00BD332D"/>
    <w:rsid w:val="00BD383D"/>
    <w:rsid w:val="00BD384E"/>
    <w:rsid w:val="00BD3921"/>
    <w:rsid w:val="00BD392D"/>
    <w:rsid w:val="00BD3DE8"/>
    <w:rsid w:val="00BD432A"/>
    <w:rsid w:val="00BD47F6"/>
    <w:rsid w:val="00BD4A97"/>
    <w:rsid w:val="00BD4C38"/>
    <w:rsid w:val="00BD4CBE"/>
    <w:rsid w:val="00BD53C2"/>
    <w:rsid w:val="00BD54E9"/>
    <w:rsid w:val="00BD59FA"/>
    <w:rsid w:val="00BD6653"/>
    <w:rsid w:val="00BD68A3"/>
    <w:rsid w:val="00BD6938"/>
    <w:rsid w:val="00BD6B1C"/>
    <w:rsid w:val="00BD6C6A"/>
    <w:rsid w:val="00BD6CF3"/>
    <w:rsid w:val="00BD6F2D"/>
    <w:rsid w:val="00BD738B"/>
    <w:rsid w:val="00BD7BC1"/>
    <w:rsid w:val="00BD7F72"/>
    <w:rsid w:val="00BE01D9"/>
    <w:rsid w:val="00BE02D9"/>
    <w:rsid w:val="00BE043E"/>
    <w:rsid w:val="00BE060F"/>
    <w:rsid w:val="00BE0644"/>
    <w:rsid w:val="00BE0ECA"/>
    <w:rsid w:val="00BE12DD"/>
    <w:rsid w:val="00BE1D14"/>
    <w:rsid w:val="00BE1EC4"/>
    <w:rsid w:val="00BE1F07"/>
    <w:rsid w:val="00BE2180"/>
    <w:rsid w:val="00BE21F2"/>
    <w:rsid w:val="00BE23DD"/>
    <w:rsid w:val="00BE242B"/>
    <w:rsid w:val="00BE2550"/>
    <w:rsid w:val="00BE2BF1"/>
    <w:rsid w:val="00BE2CED"/>
    <w:rsid w:val="00BE2E0D"/>
    <w:rsid w:val="00BE2F1C"/>
    <w:rsid w:val="00BE2F2C"/>
    <w:rsid w:val="00BE2F6A"/>
    <w:rsid w:val="00BE318D"/>
    <w:rsid w:val="00BE3398"/>
    <w:rsid w:val="00BE36F8"/>
    <w:rsid w:val="00BE4275"/>
    <w:rsid w:val="00BE4628"/>
    <w:rsid w:val="00BE466A"/>
    <w:rsid w:val="00BE485B"/>
    <w:rsid w:val="00BE4B81"/>
    <w:rsid w:val="00BE4C21"/>
    <w:rsid w:val="00BE4DAE"/>
    <w:rsid w:val="00BE51DF"/>
    <w:rsid w:val="00BE57FC"/>
    <w:rsid w:val="00BE59CB"/>
    <w:rsid w:val="00BE5D0D"/>
    <w:rsid w:val="00BE5E22"/>
    <w:rsid w:val="00BE6331"/>
    <w:rsid w:val="00BE6775"/>
    <w:rsid w:val="00BE6848"/>
    <w:rsid w:val="00BE6856"/>
    <w:rsid w:val="00BE690B"/>
    <w:rsid w:val="00BE6A81"/>
    <w:rsid w:val="00BE6DD8"/>
    <w:rsid w:val="00BE6E37"/>
    <w:rsid w:val="00BE7134"/>
    <w:rsid w:val="00BE729F"/>
    <w:rsid w:val="00BE72C2"/>
    <w:rsid w:val="00BE76D3"/>
    <w:rsid w:val="00BE7AFD"/>
    <w:rsid w:val="00BE7C85"/>
    <w:rsid w:val="00BF00D6"/>
    <w:rsid w:val="00BF01B2"/>
    <w:rsid w:val="00BF055B"/>
    <w:rsid w:val="00BF06AE"/>
    <w:rsid w:val="00BF079D"/>
    <w:rsid w:val="00BF09E7"/>
    <w:rsid w:val="00BF0DD9"/>
    <w:rsid w:val="00BF0F95"/>
    <w:rsid w:val="00BF111E"/>
    <w:rsid w:val="00BF140B"/>
    <w:rsid w:val="00BF1761"/>
    <w:rsid w:val="00BF1937"/>
    <w:rsid w:val="00BF1B71"/>
    <w:rsid w:val="00BF1C7E"/>
    <w:rsid w:val="00BF1C8E"/>
    <w:rsid w:val="00BF2329"/>
    <w:rsid w:val="00BF2397"/>
    <w:rsid w:val="00BF2433"/>
    <w:rsid w:val="00BF287D"/>
    <w:rsid w:val="00BF2AA4"/>
    <w:rsid w:val="00BF2AD4"/>
    <w:rsid w:val="00BF2E6E"/>
    <w:rsid w:val="00BF34FF"/>
    <w:rsid w:val="00BF358D"/>
    <w:rsid w:val="00BF3F9B"/>
    <w:rsid w:val="00BF45F4"/>
    <w:rsid w:val="00BF475B"/>
    <w:rsid w:val="00BF4A54"/>
    <w:rsid w:val="00BF4C71"/>
    <w:rsid w:val="00BF4CBC"/>
    <w:rsid w:val="00BF4FAF"/>
    <w:rsid w:val="00BF50D0"/>
    <w:rsid w:val="00BF5359"/>
    <w:rsid w:val="00BF55BB"/>
    <w:rsid w:val="00BF5955"/>
    <w:rsid w:val="00BF5961"/>
    <w:rsid w:val="00BF5B9E"/>
    <w:rsid w:val="00BF61C9"/>
    <w:rsid w:val="00BF61DF"/>
    <w:rsid w:val="00BF6258"/>
    <w:rsid w:val="00BF6311"/>
    <w:rsid w:val="00BF6753"/>
    <w:rsid w:val="00BF6C94"/>
    <w:rsid w:val="00BF6DD4"/>
    <w:rsid w:val="00BF7179"/>
    <w:rsid w:val="00BF7709"/>
    <w:rsid w:val="00BF7878"/>
    <w:rsid w:val="00BF79E4"/>
    <w:rsid w:val="00BF7E7F"/>
    <w:rsid w:val="00C00085"/>
    <w:rsid w:val="00C00318"/>
    <w:rsid w:val="00C00424"/>
    <w:rsid w:val="00C0091E"/>
    <w:rsid w:val="00C00BB0"/>
    <w:rsid w:val="00C010F5"/>
    <w:rsid w:val="00C018CD"/>
    <w:rsid w:val="00C024E7"/>
    <w:rsid w:val="00C02CCF"/>
    <w:rsid w:val="00C031FC"/>
    <w:rsid w:val="00C03225"/>
    <w:rsid w:val="00C0341C"/>
    <w:rsid w:val="00C0350C"/>
    <w:rsid w:val="00C03569"/>
    <w:rsid w:val="00C03601"/>
    <w:rsid w:val="00C03886"/>
    <w:rsid w:val="00C03D61"/>
    <w:rsid w:val="00C042D3"/>
    <w:rsid w:val="00C044B8"/>
    <w:rsid w:val="00C04615"/>
    <w:rsid w:val="00C04823"/>
    <w:rsid w:val="00C04B91"/>
    <w:rsid w:val="00C04C45"/>
    <w:rsid w:val="00C0538B"/>
    <w:rsid w:val="00C05982"/>
    <w:rsid w:val="00C0598E"/>
    <w:rsid w:val="00C05A34"/>
    <w:rsid w:val="00C06139"/>
    <w:rsid w:val="00C07A1F"/>
    <w:rsid w:val="00C07AB1"/>
    <w:rsid w:val="00C07ACA"/>
    <w:rsid w:val="00C1024F"/>
    <w:rsid w:val="00C10251"/>
    <w:rsid w:val="00C10914"/>
    <w:rsid w:val="00C11007"/>
    <w:rsid w:val="00C114B3"/>
    <w:rsid w:val="00C1179F"/>
    <w:rsid w:val="00C1183A"/>
    <w:rsid w:val="00C119EF"/>
    <w:rsid w:val="00C11A7C"/>
    <w:rsid w:val="00C11D56"/>
    <w:rsid w:val="00C11E84"/>
    <w:rsid w:val="00C11F3F"/>
    <w:rsid w:val="00C125AF"/>
    <w:rsid w:val="00C127B9"/>
    <w:rsid w:val="00C128FA"/>
    <w:rsid w:val="00C12C14"/>
    <w:rsid w:val="00C12CAC"/>
    <w:rsid w:val="00C12FE8"/>
    <w:rsid w:val="00C130AA"/>
    <w:rsid w:val="00C13B72"/>
    <w:rsid w:val="00C13FE7"/>
    <w:rsid w:val="00C14212"/>
    <w:rsid w:val="00C146D4"/>
    <w:rsid w:val="00C14A4F"/>
    <w:rsid w:val="00C14BB8"/>
    <w:rsid w:val="00C14D88"/>
    <w:rsid w:val="00C14F62"/>
    <w:rsid w:val="00C1517C"/>
    <w:rsid w:val="00C1562B"/>
    <w:rsid w:val="00C15679"/>
    <w:rsid w:val="00C15C03"/>
    <w:rsid w:val="00C15F04"/>
    <w:rsid w:val="00C1624F"/>
    <w:rsid w:val="00C166B3"/>
    <w:rsid w:val="00C16B47"/>
    <w:rsid w:val="00C16D90"/>
    <w:rsid w:val="00C17227"/>
    <w:rsid w:val="00C17492"/>
    <w:rsid w:val="00C179B3"/>
    <w:rsid w:val="00C17A12"/>
    <w:rsid w:val="00C17A6F"/>
    <w:rsid w:val="00C17E3F"/>
    <w:rsid w:val="00C200AA"/>
    <w:rsid w:val="00C203FE"/>
    <w:rsid w:val="00C20402"/>
    <w:rsid w:val="00C2064A"/>
    <w:rsid w:val="00C20A56"/>
    <w:rsid w:val="00C20B44"/>
    <w:rsid w:val="00C20E91"/>
    <w:rsid w:val="00C21022"/>
    <w:rsid w:val="00C2109E"/>
    <w:rsid w:val="00C213CE"/>
    <w:rsid w:val="00C21525"/>
    <w:rsid w:val="00C21D8C"/>
    <w:rsid w:val="00C21DDB"/>
    <w:rsid w:val="00C2272F"/>
    <w:rsid w:val="00C229FE"/>
    <w:rsid w:val="00C22EA6"/>
    <w:rsid w:val="00C233EC"/>
    <w:rsid w:val="00C235B8"/>
    <w:rsid w:val="00C235F2"/>
    <w:rsid w:val="00C237ED"/>
    <w:rsid w:val="00C23AA5"/>
    <w:rsid w:val="00C23EAF"/>
    <w:rsid w:val="00C24104"/>
    <w:rsid w:val="00C241AE"/>
    <w:rsid w:val="00C24632"/>
    <w:rsid w:val="00C246C1"/>
    <w:rsid w:val="00C24D7D"/>
    <w:rsid w:val="00C24F47"/>
    <w:rsid w:val="00C24FF3"/>
    <w:rsid w:val="00C25299"/>
    <w:rsid w:val="00C25418"/>
    <w:rsid w:val="00C255BD"/>
    <w:rsid w:val="00C257A3"/>
    <w:rsid w:val="00C2595B"/>
    <w:rsid w:val="00C25B9D"/>
    <w:rsid w:val="00C25D9C"/>
    <w:rsid w:val="00C2613A"/>
    <w:rsid w:val="00C26244"/>
    <w:rsid w:val="00C26379"/>
    <w:rsid w:val="00C2697E"/>
    <w:rsid w:val="00C26AAB"/>
    <w:rsid w:val="00C26C7C"/>
    <w:rsid w:val="00C26EA9"/>
    <w:rsid w:val="00C2708F"/>
    <w:rsid w:val="00C2751E"/>
    <w:rsid w:val="00C275BD"/>
    <w:rsid w:val="00C2778B"/>
    <w:rsid w:val="00C27EE3"/>
    <w:rsid w:val="00C30EBF"/>
    <w:rsid w:val="00C30F06"/>
    <w:rsid w:val="00C31354"/>
    <w:rsid w:val="00C31649"/>
    <w:rsid w:val="00C31DFE"/>
    <w:rsid w:val="00C32438"/>
    <w:rsid w:val="00C333C6"/>
    <w:rsid w:val="00C33C7E"/>
    <w:rsid w:val="00C33FF6"/>
    <w:rsid w:val="00C342E2"/>
    <w:rsid w:val="00C342E7"/>
    <w:rsid w:val="00C3434C"/>
    <w:rsid w:val="00C34DAA"/>
    <w:rsid w:val="00C357C5"/>
    <w:rsid w:val="00C35892"/>
    <w:rsid w:val="00C35BD4"/>
    <w:rsid w:val="00C35EEE"/>
    <w:rsid w:val="00C363A7"/>
    <w:rsid w:val="00C375DC"/>
    <w:rsid w:val="00C37656"/>
    <w:rsid w:val="00C4033D"/>
    <w:rsid w:val="00C40385"/>
    <w:rsid w:val="00C405F6"/>
    <w:rsid w:val="00C40605"/>
    <w:rsid w:val="00C40944"/>
    <w:rsid w:val="00C40AEE"/>
    <w:rsid w:val="00C40D3A"/>
    <w:rsid w:val="00C40E9E"/>
    <w:rsid w:val="00C4144D"/>
    <w:rsid w:val="00C41768"/>
    <w:rsid w:val="00C42486"/>
    <w:rsid w:val="00C434D9"/>
    <w:rsid w:val="00C435F4"/>
    <w:rsid w:val="00C43775"/>
    <w:rsid w:val="00C43A8F"/>
    <w:rsid w:val="00C43AF4"/>
    <w:rsid w:val="00C43C47"/>
    <w:rsid w:val="00C43F1D"/>
    <w:rsid w:val="00C44348"/>
    <w:rsid w:val="00C44890"/>
    <w:rsid w:val="00C44E11"/>
    <w:rsid w:val="00C44EAF"/>
    <w:rsid w:val="00C4527E"/>
    <w:rsid w:val="00C45627"/>
    <w:rsid w:val="00C45943"/>
    <w:rsid w:val="00C4597B"/>
    <w:rsid w:val="00C45EE0"/>
    <w:rsid w:val="00C45F5E"/>
    <w:rsid w:val="00C45F73"/>
    <w:rsid w:val="00C4633A"/>
    <w:rsid w:val="00C469B7"/>
    <w:rsid w:val="00C46A4E"/>
    <w:rsid w:val="00C46F94"/>
    <w:rsid w:val="00C475AA"/>
    <w:rsid w:val="00C475B6"/>
    <w:rsid w:val="00C47A13"/>
    <w:rsid w:val="00C47A9F"/>
    <w:rsid w:val="00C47B85"/>
    <w:rsid w:val="00C47CAD"/>
    <w:rsid w:val="00C501D3"/>
    <w:rsid w:val="00C501F8"/>
    <w:rsid w:val="00C50743"/>
    <w:rsid w:val="00C50882"/>
    <w:rsid w:val="00C50FF2"/>
    <w:rsid w:val="00C50FF4"/>
    <w:rsid w:val="00C510AC"/>
    <w:rsid w:val="00C513B8"/>
    <w:rsid w:val="00C516C6"/>
    <w:rsid w:val="00C51732"/>
    <w:rsid w:val="00C51B96"/>
    <w:rsid w:val="00C52064"/>
    <w:rsid w:val="00C52781"/>
    <w:rsid w:val="00C527C7"/>
    <w:rsid w:val="00C534F6"/>
    <w:rsid w:val="00C53584"/>
    <w:rsid w:val="00C53C98"/>
    <w:rsid w:val="00C5493B"/>
    <w:rsid w:val="00C54D26"/>
    <w:rsid w:val="00C54FF3"/>
    <w:rsid w:val="00C552EE"/>
    <w:rsid w:val="00C556CF"/>
    <w:rsid w:val="00C55A38"/>
    <w:rsid w:val="00C55C1E"/>
    <w:rsid w:val="00C56023"/>
    <w:rsid w:val="00C56233"/>
    <w:rsid w:val="00C564E2"/>
    <w:rsid w:val="00C5663B"/>
    <w:rsid w:val="00C56C76"/>
    <w:rsid w:val="00C56ED6"/>
    <w:rsid w:val="00C56FCF"/>
    <w:rsid w:val="00C57325"/>
    <w:rsid w:val="00C573AB"/>
    <w:rsid w:val="00C574C4"/>
    <w:rsid w:val="00C57549"/>
    <w:rsid w:val="00C57844"/>
    <w:rsid w:val="00C5790F"/>
    <w:rsid w:val="00C57B34"/>
    <w:rsid w:val="00C57B6C"/>
    <w:rsid w:val="00C57D7F"/>
    <w:rsid w:val="00C601E2"/>
    <w:rsid w:val="00C603B9"/>
    <w:rsid w:val="00C60809"/>
    <w:rsid w:val="00C60910"/>
    <w:rsid w:val="00C60F75"/>
    <w:rsid w:val="00C61206"/>
    <w:rsid w:val="00C612E5"/>
    <w:rsid w:val="00C6148C"/>
    <w:rsid w:val="00C617AD"/>
    <w:rsid w:val="00C61A59"/>
    <w:rsid w:val="00C6230A"/>
    <w:rsid w:val="00C62567"/>
    <w:rsid w:val="00C62812"/>
    <w:rsid w:val="00C628A6"/>
    <w:rsid w:val="00C62F7A"/>
    <w:rsid w:val="00C63319"/>
    <w:rsid w:val="00C6336A"/>
    <w:rsid w:val="00C6390E"/>
    <w:rsid w:val="00C63BE3"/>
    <w:rsid w:val="00C63EEC"/>
    <w:rsid w:val="00C63F67"/>
    <w:rsid w:val="00C6433E"/>
    <w:rsid w:val="00C64344"/>
    <w:rsid w:val="00C64DCB"/>
    <w:rsid w:val="00C65108"/>
    <w:rsid w:val="00C65576"/>
    <w:rsid w:val="00C65728"/>
    <w:rsid w:val="00C65ADD"/>
    <w:rsid w:val="00C65BA1"/>
    <w:rsid w:val="00C65E77"/>
    <w:rsid w:val="00C66165"/>
    <w:rsid w:val="00C666DA"/>
    <w:rsid w:val="00C667BA"/>
    <w:rsid w:val="00C66D08"/>
    <w:rsid w:val="00C66F9C"/>
    <w:rsid w:val="00C674B6"/>
    <w:rsid w:val="00C67C37"/>
    <w:rsid w:val="00C702A0"/>
    <w:rsid w:val="00C70448"/>
    <w:rsid w:val="00C7060A"/>
    <w:rsid w:val="00C7070D"/>
    <w:rsid w:val="00C7094E"/>
    <w:rsid w:val="00C70978"/>
    <w:rsid w:val="00C709EE"/>
    <w:rsid w:val="00C70C0C"/>
    <w:rsid w:val="00C70C5E"/>
    <w:rsid w:val="00C70CF3"/>
    <w:rsid w:val="00C710FC"/>
    <w:rsid w:val="00C7151A"/>
    <w:rsid w:val="00C71713"/>
    <w:rsid w:val="00C717DB"/>
    <w:rsid w:val="00C717E3"/>
    <w:rsid w:val="00C719C7"/>
    <w:rsid w:val="00C71D95"/>
    <w:rsid w:val="00C71F60"/>
    <w:rsid w:val="00C72106"/>
    <w:rsid w:val="00C72241"/>
    <w:rsid w:val="00C727C8"/>
    <w:rsid w:val="00C72E2C"/>
    <w:rsid w:val="00C72F90"/>
    <w:rsid w:val="00C7332D"/>
    <w:rsid w:val="00C733DA"/>
    <w:rsid w:val="00C734CB"/>
    <w:rsid w:val="00C73535"/>
    <w:rsid w:val="00C73BAD"/>
    <w:rsid w:val="00C73DC8"/>
    <w:rsid w:val="00C73E38"/>
    <w:rsid w:val="00C74047"/>
    <w:rsid w:val="00C7428D"/>
    <w:rsid w:val="00C74682"/>
    <w:rsid w:val="00C749EC"/>
    <w:rsid w:val="00C74DAF"/>
    <w:rsid w:val="00C74E91"/>
    <w:rsid w:val="00C74F1C"/>
    <w:rsid w:val="00C75007"/>
    <w:rsid w:val="00C750C6"/>
    <w:rsid w:val="00C750C8"/>
    <w:rsid w:val="00C7560F"/>
    <w:rsid w:val="00C75C0C"/>
    <w:rsid w:val="00C762C0"/>
    <w:rsid w:val="00C766EE"/>
    <w:rsid w:val="00C76ADC"/>
    <w:rsid w:val="00C76E7C"/>
    <w:rsid w:val="00C76F7D"/>
    <w:rsid w:val="00C770FE"/>
    <w:rsid w:val="00C7721C"/>
    <w:rsid w:val="00C77884"/>
    <w:rsid w:val="00C77BC6"/>
    <w:rsid w:val="00C803DD"/>
    <w:rsid w:val="00C80825"/>
    <w:rsid w:val="00C80A0E"/>
    <w:rsid w:val="00C80A83"/>
    <w:rsid w:val="00C80C91"/>
    <w:rsid w:val="00C80E89"/>
    <w:rsid w:val="00C80ECD"/>
    <w:rsid w:val="00C8123F"/>
    <w:rsid w:val="00C812B8"/>
    <w:rsid w:val="00C81642"/>
    <w:rsid w:val="00C81B1A"/>
    <w:rsid w:val="00C81FDC"/>
    <w:rsid w:val="00C820E4"/>
    <w:rsid w:val="00C8213F"/>
    <w:rsid w:val="00C8220C"/>
    <w:rsid w:val="00C82374"/>
    <w:rsid w:val="00C82467"/>
    <w:rsid w:val="00C824D1"/>
    <w:rsid w:val="00C82B4C"/>
    <w:rsid w:val="00C82BEC"/>
    <w:rsid w:val="00C82C84"/>
    <w:rsid w:val="00C82CD7"/>
    <w:rsid w:val="00C82DB3"/>
    <w:rsid w:val="00C82EED"/>
    <w:rsid w:val="00C82F55"/>
    <w:rsid w:val="00C8303F"/>
    <w:rsid w:val="00C83109"/>
    <w:rsid w:val="00C838D8"/>
    <w:rsid w:val="00C83EC2"/>
    <w:rsid w:val="00C83FC7"/>
    <w:rsid w:val="00C84067"/>
    <w:rsid w:val="00C840E8"/>
    <w:rsid w:val="00C848CC"/>
    <w:rsid w:val="00C84A9D"/>
    <w:rsid w:val="00C84FB4"/>
    <w:rsid w:val="00C85154"/>
    <w:rsid w:val="00C85838"/>
    <w:rsid w:val="00C85A70"/>
    <w:rsid w:val="00C86588"/>
    <w:rsid w:val="00C86824"/>
    <w:rsid w:val="00C86855"/>
    <w:rsid w:val="00C86DB5"/>
    <w:rsid w:val="00C86EB8"/>
    <w:rsid w:val="00C877BF"/>
    <w:rsid w:val="00C8797A"/>
    <w:rsid w:val="00C879C7"/>
    <w:rsid w:val="00C87ABA"/>
    <w:rsid w:val="00C87BB3"/>
    <w:rsid w:val="00C87EE9"/>
    <w:rsid w:val="00C87FA8"/>
    <w:rsid w:val="00C900B1"/>
    <w:rsid w:val="00C900B3"/>
    <w:rsid w:val="00C900B8"/>
    <w:rsid w:val="00C9016C"/>
    <w:rsid w:val="00C90197"/>
    <w:rsid w:val="00C90C71"/>
    <w:rsid w:val="00C90DF3"/>
    <w:rsid w:val="00C90EE5"/>
    <w:rsid w:val="00C91098"/>
    <w:rsid w:val="00C910F4"/>
    <w:rsid w:val="00C91104"/>
    <w:rsid w:val="00C912B2"/>
    <w:rsid w:val="00C9157A"/>
    <w:rsid w:val="00C91BC8"/>
    <w:rsid w:val="00C91C9B"/>
    <w:rsid w:val="00C91FD1"/>
    <w:rsid w:val="00C9212C"/>
    <w:rsid w:val="00C92357"/>
    <w:rsid w:val="00C925DF"/>
    <w:rsid w:val="00C92ADC"/>
    <w:rsid w:val="00C92BF1"/>
    <w:rsid w:val="00C9315C"/>
    <w:rsid w:val="00C931CF"/>
    <w:rsid w:val="00C932C7"/>
    <w:rsid w:val="00C938CF"/>
    <w:rsid w:val="00C93E15"/>
    <w:rsid w:val="00C93FA8"/>
    <w:rsid w:val="00C94053"/>
    <w:rsid w:val="00C9481F"/>
    <w:rsid w:val="00C949B9"/>
    <w:rsid w:val="00C94B5A"/>
    <w:rsid w:val="00C94C7B"/>
    <w:rsid w:val="00C953B6"/>
    <w:rsid w:val="00C953D7"/>
    <w:rsid w:val="00C959F4"/>
    <w:rsid w:val="00C95E2F"/>
    <w:rsid w:val="00C9624D"/>
    <w:rsid w:val="00C96475"/>
    <w:rsid w:val="00C9691E"/>
    <w:rsid w:val="00C96926"/>
    <w:rsid w:val="00C969DA"/>
    <w:rsid w:val="00C96CB3"/>
    <w:rsid w:val="00C96CEA"/>
    <w:rsid w:val="00C96DB4"/>
    <w:rsid w:val="00C96FFC"/>
    <w:rsid w:val="00C970D9"/>
    <w:rsid w:val="00C971A6"/>
    <w:rsid w:val="00C97846"/>
    <w:rsid w:val="00CA0058"/>
    <w:rsid w:val="00CA0605"/>
    <w:rsid w:val="00CA077D"/>
    <w:rsid w:val="00CA0891"/>
    <w:rsid w:val="00CA08B6"/>
    <w:rsid w:val="00CA0A32"/>
    <w:rsid w:val="00CA0DCD"/>
    <w:rsid w:val="00CA0E63"/>
    <w:rsid w:val="00CA13B8"/>
    <w:rsid w:val="00CA160C"/>
    <w:rsid w:val="00CA16A0"/>
    <w:rsid w:val="00CA1752"/>
    <w:rsid w:val="00CA1D27"/>
    <w:rsid w:val="00CA2839"/>
    <w:rsid w:val="00CA2C77"/>
    <w:rsid w:val="00CA3164"/>
    <w:rsid w:val="00CA3292"/>
    <w:rsid w:val="00CA33D7"/>
    <w:rsid w:val="00CA3A82"/>
    <w:rsid w:val="00CA3A97"/>
    <w:rsid w:val="00CA3BB9"/>
    <w:rsid w:val="00CA3E31"/>
    <w:rsid w:val="00CA3F66"/>
    <w:rsid w:val="00CA444F"/>
    <w:rsid w:val="00CA4641"/>
    <w:rsid w:val="00CA4661"/>
    <w:rsid w:val="00CA4C2C"/>
    <w:rsid w:val="00CA4C82"/>
    <w:rsid w:val="00CA4D3D"/>
    <w:rsid w:val="00CA51C4"/>
    <w:rsid w:val="00CA5245"/>
    <w:rsid w:val="00CA5FD6"/>
    <w:rsid w:val="00CA6507"/>
    <w:rsid w:val="00CA71F4"/>
    <w:rsid w:val="00CA7B09"/>
    <w:rsid w:val="00CA7B44"/>
    <w:rsid w:val="00CA7FB0"/>
    <w:rsid w:val="00CB020C"/>
    <w:rsid w:val="00CB0434"/>
    <w:rsid w:val="00CB0706"/>
    <w:rsid w:val="00CB08AA"/>
    <w:rsid w:val="00CB09AF"/>
    <w:rsid w:val="00CB10ED"/>
    <w:rsid w:val="00CB124B"/>
    <w:rsid w:val="00CB1256"/>
    <w:rsid w:val="00CB12A5"/>
    <w:rsid w:val="00CB141F"/>
    <w:rsid w:val="00CB1CAC"/>
    <w:rsid w:val="00CB1E85"/>
    <w:rsid w:val="00CB2C39"/>
    <w:rsid w:val="00CB2C94"/>
    <w:rsid w:val="00CB2CCC"/>
    <w:rsid w:val="00CB2E0B"/>
    <w:rsid w:val="00CB2F2A"/>
    <w:rsid w:val="00CB2F33"/>
    <w:rsid w:val="00CB3305"/>
    <w:rsid w:val="00CB3670"/>
    <w:rsid w:val="00CB3BDF"/>
    <w:rsid w:val="00CB41B5"/>
    <w:rsid w:val="00CB4211"/>
    <w:rsid w:val="00CB4461"/>
    <w:rsid w:val="00CB4468"/>
    <w:rsid w:val="00CB46AB"/>
    <w:rsid w:val="00CB488D"/>
    <w:rsid w:val="00CB4958"/>
    <w:rsid w:val="00CB5710"/>
    <w:rsid w:val="00CB5771"/>
    <w:rsid w:val="00CB5835"/>
    <w:rsid w:val="00CB5B1A"/>
    <w:rsid w:val="00CB5BD3"/>
    <w:rsid w:val="00CB6303"/>
    <w:rsid w:val="00CB64CB"/>
    <w:rsid w:val="00CB6B22"/>
    <w:rsid w:val="00CB6CDE"/>
    <w:rsid w:val="00CB7107"/>
    <w:rsid w:val="00CB727A"/>
    <w:rsid w:val="00CB75A9"/>
    <w:rsid w:val="00CB75CB"/>
    <w:rsid w:val="00CB7948"/>
    <w:rsid w:val="00CB79E2"/>
    <w:rsid w:val="00CB7F0D"/>
    <w:rsid w:val="00CB7F5F"/>
    <w:rsid w:val="00CC0160"/>
    <w:rsid w:val="00CC0369"/>
    <w:rsid w:val="00CC0C6C"/>
    <w:rsid w:val="00CC0E8D"/>
    <w:rsid w:val="00CC10B7"/>
    <w:rsid w:val="00CC1472"/>
    <w:rsid w:val="00CC14B3"/>
    <w:rsid w:val="00CC1571"/>
    <w:rsid w:val="00CC197F"/>
    <w:rsid w:val="00CC1B39"/>
    <w:rsid w:val="00CC1BFA"/>
    <w:rsid w:val="00CC1D15"/>
    <w:rsid w:val="00CC1DCC"/>
    <w:rsid w:val="00CC1E5B"/>
    <w:rsid w:val="00CC1EB3"/>
    <w:rsid w:val="00CC1EEE"/>
    <w:rsid w:val="00CC1F7F"/>
    <w:rsid w:val="00CC2192"/>
    <w:rsid w:val="00CC2453"/>
    <w:rsid w:val="00CC2756"/>
    <w:rsid w:val="00CC2A8F"/>
    <w:rsid w:val="00CC2DE2"/>
    <w:rsid w:val="00CC2E9F"/>
    <w:rsid w:val="00CC2EC6"/>
    <w:rsid w:val="00CC2F75"/>
    <w:rsid w:val="00CC3286"/>
    <w:rsid w:val="00CC32EE"/>
    <w:rsid w:val="00CC331B"/>
    <w:rsid w:val="00CC351B"/>
    <w:rsid w:val="00CC35A1"/>
    <w:rsid w:val="00CC35EA"/>
    <w:rsid w:val="00CC3634"/>
    <w:rsid w:val="00CC3848"/>
    <w:rsid w:val="00CC3A0D"/>
    <w:rsid w:val="00CC3E50"/>
    <w:rsid w:val="00CC3F73"/>
    <w:rsid w:val="00CC4242"/>
    <w:rsid w:val="00CC469C"/>
    <w:rsid w:val="00CC4D38"/>
    <w:rsid w:val="00CC4D72"/>
    <w:rsid w:val="00CC4D98"/>
    <w:rsid w:val="00CC4FEB"/>
    <w:rsid w:val="00CC5082"/>
    <w:rsid w:val="00CC51EA"/>
    <w:rsid w:val="00CC5F1D"/>
    <w:rsid w:val="00CC65FE"/>
    <w:rsid w:val="00CC68A5"/>
    <w:rsid w:val="00CC68B2"/>
    <w:rsid w:val="00CC6A35"/>
    <w:rsid w:val="00CC6A54"/>
    <w:rsid w:val="00CC6D1B"/>
    <w:rsid w:val="00CC6D3A"/>
    <w:rsid w:val="00CC6D5E"/>
    <w:rsid w:val="00CC73A9"/>
    <w:rsid w:val="00CC77A2"/>
    <w:rsid w:val="00CC786F"/>
    <w:rsid w:val="00CC7CF6"/>
    <w:rsid w:val="00CD01CB"/>
    <w:rsid w:val="00CD0200"/>
    <w:rsid w:val="00CD05B5"/>
    <w:rsid w:val="00CD08B8"/>
    <w:rsid w:val="00CD0919"/>
    <w:rsid w:val="00CD0A12"/>
    <w:rsid w:val="00CD0B26"/>
    <w:rsid w:val="00CD0F5E"/>
    <w:rsid w:val="00CD10C1"/>
    <w:rsid w:val="00CD1404"/>
    <w:rsid w:val="00CD1AA0"/>
    <w:rsid w:val="00CD21D2"/>
    <w:rsid w:val="00CD3104"/>
    <w:rsid w:val="00CD35F7"/>
    <w:rsid w:val="00CD37FE"/>
    <w:rsid w:val="00CD3879"/>
    <w:rsid w:val="00CD3F77"/>
    <w:rsid w:val="00CD46EE"/>
    <w:rsid w:val="00CD4CF6"/>
    <w:rsid w:val="00CD4D63"/>
    <w:rsid w:val="00CD4ECE"/>
    <w:rsid w:val="00CD533F"/>
    <w:rsid w:val="00CD5B2B"/>
    <w:rsid w:val="00CD5C89"/>
    <w:rsid w:val="00CD693B"/>
    <w:rsid w:val="00CD6AA2"/>
    <w:rsid w:val="00CD6ADC"/>
    <w:rsid w:val="00CD6EF1"/>
    <w:rsid w:val="00CD6F12"/>
    <w:rsid w:val="00CD7020"/>
    <w:rsid w:val="00CD7193"/>
    <w:rsid w:val="00CD7463"/>
    <w:rsid w:val="00CD7771"/>
    <w:rsid w:val="00CD7A50"/>
    <w:rsid w:val="00CD7AA4"/>
    <w:rsid w:val="00CD7AAB"/>
    <w:rsid w:val="00CD7AD2"/>
    <w:rsid w:val="00CE001D"/>
    <w:rsid w:val="00CE0F6F"/>
    <w:rsid w:val="00CE0FAD"/>
    <w:rsid w:val="00CE12D7"/>
    <w:rsid w:val="00CE144E"/>
    <w:rsid w:val="00CE1469"/>
    <w:rsid w:val="00CE162B"/>
    <w:rsid w:val="00CE17D6"/>
    <w:rsid w:val="00CE1936"/>
    <w:rsid w:val="00CE1BD2"/>
    <w:rsid w:val="00CE2022"/>
    <w:rsid w:val="00CE22FA"/>
    <w:rsid w:val="00CE2610"/>
    <w:rsid w:val="00CE2DEB"/>
    <w:rsid w:val="00CE38C8"/>
    <w:rsid w:val="00CE3C22"/>
    <w:rsid w:val="00CE434E"/>
    <w:rsid w:val="00CE473B"/>
    <w:rsid w:val="00CE4A6A"/>
    <w:rsid w:val="00CE524F"/>
    <w:rsid w:val="00CE5550"/>
    <w:rsid w:val="00CE5849"/>
    <w:rsid w:val="00CE58CC"/>
    <w:rsid w:val="00CE5EAF"/>
    <w:rsid w:val="00CE60A9"/>
    <w:rsid w:val="00CE6274"/>
    <w:rsid w:val="00CE6662"/>
    <w:rsid w:val="00CE68AB"/>
    <w:rsid w:val="00CE6B95"/>
    <w:rsid w:val="00CE6C04"/>
    <w:rsid w:val="00CE7295"/>
    <w:rsid w:val="00CE73A0"/>
    <w:rsid w:val="00CE73B0"/>
    <w:rsid w:val="00CE7705"/>
    <w:rsid w:val="00CE77B6"/>
    <w:rsid w:val="00CE7924"/>
    <w:rsid w:val="00CE7E28"/>
    <w:rsid w:val="00CE7E8A"/>
    <w:rsid w:val="00CE7FF8"/>
    <w:rsid w:val="00CF0C9A"/>
    <w:rsid w:val="00CF0EDB"/>
    <w:rsid w:val="00CF1181"/>
    <w:rsid w:val="00CF11FA"/>
    <w:rsid w:val="00CF1337"/>
    <w:rsid w:val="00CF196C"/>
    <w:rsid w:val="00CF25A5"/>
    <w:rsid w:val="00CF2677"/>
    <w:rsid w:val="00CF2B8D"/>
    <w:rsid w:val="00CF2E41"/>
    <w:rsid w:val="00CF3144"/>
    <w:rsid w:val="00CF3555"/>
    <w:rsid w:val="00CF3665"/>
    <w:rsid w:val="00CF380B"/>
    <w:rsid w:val="00CF3A1B"/>
    <w:rsid w:val="00CF3C1C"/>
    <w:rsid w:val="00CF3E13"/>
    <w:rsid w:val="00CF3EF7"/>
    <w:rsid w:val="00CF4111"/>
    <w:rsid w:val="00CF451C"/>
    <w:rsid w:val="00CF456B"/>
    <w:rsid w:val="00CF45EF"/>
    <w:rsid w:val="00CF4708"/>
    <w:rsid w:val="00CF4957"/>
    <w:rsid w:val="00CF4995"/>
    <w:rsid w:val="00CF4A69"/>
    <w:rsid w:val="00CF4FAF"/>
    <w:rsid w:val="00CF5522"/>
    <w:rsid w:val="00CF566A"/>
    <w:rsid w:val="00CF56FF"/>
    <w:rsid w:val="00CF5A22"/>
    <w:rsid w:val="00CF656D"/>
    <w:rsid w:val="00CF695B"/>
    <w:rsid w:val="00CF7222"/>
    <w:rsid w:val="00CF75A8"/>
    <w:rsid w:val="00CF7816"/>
    <w:rsid w:val="00CF789B"/>
    <w:rsid w:val="00CF78AF"/>
    <w:rsid w:val="00CF7969"/>
    <w:rsid w:val="00CF7F85"/>
    <w:rsid w:val="00D0046E"/>
    <w:rsid w:val="00D00502"/>
    <w:rsid w:val="00D0086A"/>
    <w:rsid w:val="00D009CB"/>
    <w:rsid w:val="00D00A3C"/>
    <w:rsid w:val="00D00B26"/>
    <w:rsid w:val="00D00CDB"/>
    <w:rsid w:val="00D0122C"/>
    <w:rsid w:val="00D0129C"/>
    <w:rsid w:val="00D01340"/>
    <w:rsid w:val="00D0173C"/>
    <w:rsid w:val="00D019CB"/>
    <w:rsid w:val="00D019D6"/>
    <w:rsid w:val="00D01D83"/>
    <w:rsid w:val="00D01E02"/>
    <w:rsid w:val="00D0262E"/>
    <w:rsid w:val="00D02630"/>
    <w:rsid w:val="00D02731"/>
    <w:rsid w:val="00D02830"/>
    <w:rsid w:val="00D02BD2"/>
    <w:rsid w:val="00D0303D"/>
    <w:rsid w:val="00D032DE"/>
    <w:rsid w:val="00D03342"/>
    <w:rsid w:val="00D0363E"/>
    <w:rsid w:val="00D03679"/>
    <w:rsid w:val="00D039A6"/>
    <w:rsid w:val="00D03D75"/>
    <w:rsid w:val="00D03F0D"/>
    <w:rsid w:val="00D0408D"/>
    <w:rsid w:val="00D0480B"/>
    <w:rsid w:val="00D04BE1"/>
    <w:rsid w:val="00D04BE2"/>
    <w:rsid w:val="00D04EBE"/>
    <w:rsid w:val="00D0535D"/>
    <w:rsid w:val="00D055A2"/>
    <w:rsid w:val="00D055F9"/>
    <w:rsid w:val="00D05E3D"/>
    <w:rsid w:val="00D06139"/>
    <w:rsid w:val="00D06AA9"/>
    <w:rsid w:val="00D0706F"/>
    <w:rsid w:val="00D071BF"/>
    <w:rsid w:val="00D07367"/>
    <w:rsid w:val="00D07420"/>
    <w:rsid w:val="00D076A6"/>
    <w:rsid w:val="00D078FC"/>
    <w:rsid w:val="00D07BD6"/>
    <w:rsid w:val="00D107EE"/>
    <w:rsid w:val="00D110B3"/>
    <w:rsid w:val="00D110BD"/>
    <w:rsid w:val="00D11148"/>
    <w:rsid w:val="00D111FF"/>
    <w:rsid w:val="00D1124A"/>
    <w:rsid w:val="00D11304"/>
    <w:rsid w:val="00D114D7"/>
    <w:rsid w:val="00D117A1"/>
    <w:rsid w:val="00D1184D"/>
    <w:rsid w:val="00D11E7C"/>
    <w:rsid w:val="00D122B0"/>
    <w:rsid w:val="00D127B1"/>
    <w:rsid w:val="00D127CC"/>
    <w:rsid w:val="00D13675"/>
    <w:rsid w:val="00D13CED"/>
    <w:rsid w:val="00D13F26"/>
    <w:rsid w:val="00D141E1"/>
    <w:rsid w:val="00D1422F"/>
    <w:rsid w:val="00D1463D"/>
    <w:rsid w:val="00D14C78"/>
    <w:rsid w:val="00D15314"/>
    <w:rsid w:val="00D153B4"/>
    <w:rsid w:val="00D15595"/>
    <w:rsid w:val="00D15987"/>
    <w:rsid w:val="00D15B48"/>
    <w:rsid w:val="00D15B9C"/>
    <w:rsid w:val="00D15BAA"/>
    <w:rsid w:val="00D15F7E"/>
    <w:rsid w:val="00D16550"/>
    <w:rsid w:val="00D16952"/>
    <w:rsid w:val="00D16ABA"/>
    <w:rsid w:val="00D16C27"/>
    <w:rsid w:val="00D16C69"/>
    <w:rsid w:val="00D16D5D"/>
    <w:rsid w:val="00D16E23"/>
    <w:rsid w:val="00D177F1"/>
    <w:rsid w:val="00D17D6C"/>
    <w:rsid w:val="00D17DA8"/>
    <w:rsid w:val="00D17E6F"/>
    <w:rsid w:val="00D2055A"/>
    <w:rsid w:val="00D20C8C"/>
    <w:rsid w:val="00D20D09"/>
    <w:rsid w:val="00D2155B"/>
    <w:rsid w:val="00D21892"/>
    <w:rsid w:val="00D21A64"/>
    <w:rsid w:val="00D21CE0"/>
    <w:rsid w:val="00D21DB4"/>
    <w:rsid w:val="00D21E47"/>
    <w:rsid w:val="00D2217C"/>
    <w:rsid w:val="00D222B3"/>
    <w:rsid w:val="00D22414"/>
    <w:rsid w:val="00D22522"/>
    <w:rsid w:val="00D2265A"/>
    <w:rsid w:val="00D2272F"/>
    <w:rsid w:val="00D22ABB"/>
    <w:rsid w:val="00D22F3C"/>
    <w:rsid w:val="00D23017"/>
    <w:rsid w:val="00D230A9"/>
    <w:rsid w:val="00D2376D"/>
    <w:rsid w:val="00D23B69"/>
    <w:rsid w:val="00D23D11"/>
    <w:rsid w:val="00D2435F"/>
    <w:rsid w:val="00D2442F"/>
    <w:rsid w:val="00D244B6"/>
    <w:rsid w:val="00D24545"/>
    <w:rsid w:val="00D2454C"/>
    <w:rsid w:val="00D248BC"/>
    <w:rsid w:val="00D254CF"/>
    <w:rsid w:val="00D256DC"/>
    <w:rsid w:val="00D25AB7"/>
    <w:rsid w:val="00D25F65"/>
    <w:rsid w:val="00D2623D"/>
    <w:rsid w:val="00D26286"/>
    <w:rsid w:val="00D2658C"/>
    <w:rsid w:val="00D268A5"/>
    <w:rsid w:val="00D26A82"/>
    <w:rsid w:val="00D26B71"/>
    <w:rsid w:val="00D26C03"/>
    <w:rsid w:val="00D26C8F"/>
    <w:rsid w:val="00D26F10"/>
    <w:rsid w:val="00D27198"/>
    <w:rsid w:val="00D2754D"/>
    <w:rsid w:val="00D27B27"/>
    <w:rsid w:val="00D30423"/>
    <w:rsid w:val="00D30849"/>
    <w:rsid w:val="00D30CE1"/>
    <w:rsid w:val="00D30D5B"/>
    <w:rsid w:val="00D312DD"/>
    <w:rsid w:val="00D31A90"/>
    <w:rsid w:val="00D31B17"/>
    <w:rsid w:val="00D31F8B"/>
    <w:rsid w:val="00D323C8"/>
    <w:rsid w:val="00D327A0"/>
    <w:rsid w:val="00D327EE"/>
    <w:rsid w:val="00D32D99"/>
    <w:rsid w:val="00D32EBE"/>
    <w:rsid w:val="00D33175"/>
    <w:rsid w:val="00D33BE9"/>
    <w:rsid w:val="00D33CCB"/>
    <w:rsid w:val="00D33CD1"/>
    <w:rsid w:val="00D33F93"/>
    <w:rsid w:val="00D34085"/>
    <w:rsid w:val="00D340CC"/>
    <w:rsid w:val="00D34AC9"/>
    <w:rsid w:val="00D34FA5"/>
    <w:rsid w:val="00D35002"/>
    <w:rsid w:val="00D355A8"/>
    <w:rsid w:val="00D3575C"/>
    <w:rsid w:val="00D357FF"/>
    <w:rsid w:val="00D3582B"/>
    <w:rsid w:val="00D36310"/>
    <w:rsid w:val="00D363C5"/>
    <w:rsid w:val="00D367BC"/>
    <w:rsid w:val="00D36859"/>
    <w:rsid w:val="00D36966"/>
    <w:rsid w:val="00D37525"/>
    <w:rsid w:val="00D37560"/>
    <w:rsid w:val="00D37D44"/>
    <w:rsid w:val="00D401BD"/>
    <w:rsid w:val="00D40584"/>
    <w:rsid w:val="00D40B64"/>
    <w:rsid w:val="00D41068"/>
    <w:rsid w:val="00D410E4"/>
    <w:rsid w:val="00D41190"/>
    <w:rsid w:val="00D4134C"/>
    <w:rsid w:val="00D41DE2"/>
    <w:rsid w:val="00D41FB7"/>
    <w:rsid w:val="00D42123"/>
    <w:rsid w:val="00D42215"/>
    <w:rsid w:val="00D422FC"/>
    <w:rsid w:val="00D42372"/>
    <w:rsid w:val="00D423CF"/>
    <w:rsid w:val="00D424C7"/>
    <w:rsid w:val="00D42911"/>
    <w:rsid w:val="00D431DC"/>
    <w:rsid w:val="00D4332E"/>
    <w:rsid w:val="00D43B2A"/>
    <w:rsid w:val="00D43CF1"/>
    <w:rsid w:val="00D43D83"/>
    <w:rsid w:val="00D43E44"/>
    <w:rsid w:val="00D44B59"/>
    <w:rsid w:val="00D450F6"/>
    <w:rsid w:val="00D45145"/>
    <w:rsid w:val="00D4565A"/>
    <w:rsid w:val="00D45772"/>
    <w:rsid w:val="00D457C5"/>
    <w:rsid w:val="00D4592D"/>
    <w:rsid w:val="00D45A13"/>
    <w:rsid w:val="00D4601E"/>
    <w:rsid w:val="00D460F6"/>
    <w:rsid w:val="00D46101"/>
    <w:rsid w:val="00D46109"/>
    <w:rsid w:val="00D46604"/>
    <w:rsid w:val="00D46BA8"/>
    <w:rsid w:val="00D46D56"/>
    <w:rsid w:val="00D46E21"/>
    <w:rsid w:val="00D47178"/>
    <w:rsid w:val="00D473E1"/>
    <w:rsid w:val="00D47575"/>
    <w:rsid w:val="00D478C3"/>
    <w:rsid w:val="00D47CBD"/>
    <w:rsid w:val="00D47E0A"/>
    <w:rsid w:val="00D50C96"/>
    <w:rsid w:val="00D50D0F"/>
    <w:rsid w:val="00D50F2D"/>
    <w:rsid w:val="00D50FF3"/>
    <w:rsid w:val="00D513F3"/>
    <w:rsid w:val="00D51CA1"/>
    <w:rsid w:val="00D52093"/>
    <w:rsid w:val="00D520E9"/>
    <w:rsid w:val="00D52242"/>
    <w:rsid w:val="00D5243B"/>
    <w:rsid w:val="00D52462"/>
    <w:rsid w:val="00D527EC"/>
    <w:rsid w:val="00D53062"/>
    <w:rsid w:val="00D53092"/>
    <w:rsid w:val="00D53309"/>
    <w:rsid w:val="00D533EC"/>
    <w:rsid w:val="00D535E8"/>
    <w:rsid w:val="00D53B1F"/>
    <w:rsid w:val="00D53BCE"/>
    <w:rsid w:val="00D53D26"/>
    <w:rsid w:val="00D53DBB"/>
    <w:rsid w:val="00D541EE"/>
    <w:rsid w:val="00D541F5"/>
    <w:rsid w:val="00D5472E"/>
    <w:rsid w:val="00D54B34"/>
    <w:rsid w:val="00D54C89"/>
    <w:rsid w:val="00D55000"/>
    <w:rsid w:val="00D550D2"/>
    <w:rsid w:val="00D552F1"/>
    <w:rsid w:val="00D5599E"/>
    <w:rsid w:val="00D55D23"/>
    <w:rsid w:val="00D55F9C"/>
    <w:rsid w:val="00D5633C"/>
    <w:rsid w:val="00D56738"/>
    <w:rsid w:val="00D56A95"/>
    <w:rsid w:val="00D57357"/>
    <w:rsid w:val="00D57475"/>
    <w:rsid w:val="00D5754E"/>
    <w:rsid w:val="00D6076E"/>
    <w:rsid w:val="00D607D1"/>
    <w:rsid w:val="00D60A8B"/>
    <w:rsid w:val="00D60C5A"/>
    <w:rsid w:val="00D6146B"/>
    <w:rsid w:val="00D61726"/>
    <w:rsid w:val="00D618EB"/>
    <w:rsid w:val="00D61AED"/>
    <w:rsid w:val="00D61F93"/>
    <w:rsid w:val="00D621B4"/>
    <w:rsid w:val="00D627D1"/>
    <w:rsid w:val="00D62987"/>
    <w:rsid w:val="00D62C5F"/>
    <w:rsid w:val="00D62DBA"/>
    <w:rsid w:val="00D62EB3"/>
    <w:rsid w:val="00D62EED"/>
    <w:rsid w:val="00D63192"/>
    <w:rsid w:val="00D634E9"/>
    <w:rsid w:val="00D63F6E"/>
    <w:rsid w:val="00D6449A"/>
    <w:rsid w:val="00D647E6"/>
    <w:rsid w:val="00D64920"/>
    <w:rsid w:val="00D64ACC"/>
    <w:rsid w:val="00D64C1F"/>
    <w:rsid w:val="00D64FD0"/>
    <w:rsid w:val="00D650D0"/>
    <w:rsid w:val="00D65A18"/>
    <w:rsid w:val="00D65AED"/>
    <w:rsid w:val="00D66662"/>
    <w:rsid w:val="00D6666B"/>
    <w:rsid w:val="00D6675B"/>
    <w:rsid w:val="00D66A4C"/>
    <w:rsid w:val="00D66D50"/>
    <w:rsid w:val="00D66E09"/>
    <w:rsid w:val="00D66F28"/>
    <w:rsid w:val="00D67470"/>
    <w:rsid w:val="00D678F3"/>
    <w:rsid w:val="00D6795A"/>
    <w:rsid w:val="00D67E9F"/>
    <w:rsid w:val="00D704F6"/>
    <w:rsid w:val="00D70AAB"/>
    <w:rsid w:val="00D70D07"/>
    <w:rsid w:val="00D70E18"/>
    <w:rsid w:val="00D70F16"/>
    <w:rsid w:val="00D7114F"/>
    <w:rsid w:val="00D71A50"/>
    <w:rsid w:val="00D71A75"/>
    <w:rsid w:val="00D71D6A"/>
    <w:rsid w:val="00D71E4F"/>
    <w:rsid w:val="00D72147"/>
    <w:rsid w:val="00D723BE"/>
    <w:rsid w:val="00D72617"/>
    <w:rsid w:val="00D7276A"/>
    <w:rsid w:val="00D728BA"/>
    <w:rsid w:val="00D72915"/>
    <w:rsid w:val="00D72F57"/>
    <w:rsid w:val="00D73046"/>
    <w:rsid w:val="00D733CD"/>
    <w:rsid w:val="00D733D1"/>
    <w:rsid w:val="00D7346E"/>
    <w:rsid w:val="00D7366A"/>
    <w:rsid w:val="00D74209"/>
    <w:rsid w:val="00D742DC"/>
    <w:rsid w:val="00D74475"/>
    <w:rsid w:val="00D747AE"/>
    <w:rsid w:val="00D74848"/>
    <w:rsid w:val="00D74D75"/>
    <w:rsid w:val="00D75483"/>
    <w:rsid w:val="00D75569"/>
    <w:rsid w:val="00D75E14"/>
    <w:rsid w:val="00D75E94"/>
    <w:rsid w:val="00D76A40"/>
    <w:rsid w:val="00D76A44"/>
    <w:rsid w:val="00D80232"/>
    <w:rsid w:val="00D8046E"/>
    <w:rsid w:val="00D80A2C"/>
    <w:rsid w:val="00D80A96"/>
    <w:rsid w:val="00D80E2D"/>
    <w:rsid w:val="00D8158B"/>
    <w:rsid w:val="00D815EF"/>
    <w:rsid w:val="00D81819"/>
    <w:rsid w:val="00D81949"/>
    <w:rsid w:val="00D819CC"/>
    <w:rsid w:val="00D81F26"/>
    <w:rsid w:val="00D81FEE"/>
    <w:rsid w:val="00D82098"/>
    <w:rsid w:val="00D822E2"/>
    <w:rsid w:val="00D823EC"/>
    <w:rsid w:val="00D82826"/>
    <w:rsid w:val="00D82959"/>
    <w:rsid w:val="00D829FE"/>
    <w:rsid w:val="00D82B97"/>
    <w:rsid w:val="00D82F63"/>
    <w:rsid w:val="00D83118"/>
    <w:rsid w:val="00D832F7"/>
    <w:rsid w:val="00D83535"/>
    <w:rsid w:val="00D837D2"/>
    <w:rsid w:val="00D83B2C"/>
    <w:rsid w:val="00D83EDB"/>
    <w:rsid w:val="00D84039"/>
    <w:rsid w:val="00D84248"/>
    <w:rsid w:val="00D843F2"/>
    <w:rsid w:val="00D84933"/>
    <w:rsid w:val="00D849F1"/>
    <w:rsid w:val="00D84B12"/>
    <w:rsid w:val="00D84CED"/>
    <w:rsid w:val="00D850F7"/>
    <w:rsid w:val="00D8519F"/>
    <w:rsid w:val="00D856ED"/>
    <w:rsid w:val="00D85B6B"/>
    <w:rsid w:val="00D85F04"/>
    <w:rsid w:val="00D85FA3"/>
    <w:rsid w:val="00D8602B"/>
    <w:rsid w:val="00D86231"/>
    <w:rsid w:val="00D86E86"/>
    <w:rsid w:val="00D872FA"/>
    <w:rsid w:val="00D875F3"/>
    <w:rsid w:val="00D87800"/>
    <w:rsid w:val="00D87C3B"/>
    <w:rsid w:val="00D87C86"/>
    <w:rsid w:val="00D90046"/>
    <w:rsid w:val="00D90CC4"/>
    <w:rsid w:val="00D90FA9"/>
    <w:rsid w:val="00D910A6"/>
    <w:rsid w:val="00D912AB"/>
    <w:rsid w:val="00D91331"/>
    <w:rsid w:val="00D91574"/>
    <w:rsid w:val="00D91579"/>
    <w:rsid w:val="00D9164C"/>
    <w:rsid w:val="00D91923"/>
    <w:rsid w:val="00D928E9"/>
    <w:rsid w:val="00D934FE"/>
    <w:rsid w:val="00D936A2"/>
    <w:rsid w:val="00D93753"/>
    <w:rsid w:val="00D937CE"/>
    <w:rsid w:val="00D93818"/>
    <w:rsid w:val="00D93D4B"/>
    <w:rsid w:val="00D9403F"/>
    <w:rsid w:val="00D94727"/>
    <w:rsid w:val="00D94C86"/>
    <w:rsid w:val="00D94D11"/>
    <w:rsid w:val="00D94DC3"/>
    <w:rsid w:val="00D94F8D"/>
    <w:rsid w:val="00D95FA4"/>
    <w:rsid w:val="00D962A7"/>
    <w:rsid w:val="00D96341"/>
    <w:rsid w:val="00D963B4"/>
    <w:rsid w:val="00D9695A"/>
    <w:rsid w:val="00D96C15"/>
    <w:rsid w:val="00D96C2C"/>
    <w:rsid w:val="00D96F9F"/>
    <w:rsid w:val="00D975D5"/>
    <w:rsid w:val="00D97910"/>
    <w:rsid w:val="00D979E5"/>
    <w:rsid w:val="00D97C82"/>
    <w:rsid w:val="00D97FA8"/>
    <w:rsid w:val="00DA0250"/>
    <w:rsid w:val="00DA037A"/>
    <w:rsid w:val="00DA1036"/>
    <w:rsid w:val="00DA10CB"/>
    <w:rsid w:val="00DA11C7"/>
    <w:rsid w:val="00DA137C"/>
    <w:rsid w:val="00DA14E9"/>
    <w:rsid w:val="00DA1630"/>
    <w:rsid w:val="00DA191C"/>
    <w:rsid w:val="00DA1A41"/>
    <w:rsid w:val="00DA1E24"/>
    <w:rsid w:val="00DA1E35"/>
    <w:rsid w:val="00DA2916"/>
    <w:rsid w:val="00DA29F7"/>
    <w:rsid w:val="00DA2D7E"/>
    <w:rsid w:val="00DA3167"/>
    <w:rsid w:val="00DA31FE"/>
    <w:rsid w:val="00DA341F"/>
    <w:rsid w:val="00DA3E4B"/>
    <w:rsid w:val="00DA3EFE"/>
    <w:rsid w:val="00DA429C"/>
    <w:rsid w:val="00DA482B"/>
    <w:rsid w:val="00DA4872"/>
    <w:rsid w:val="00DA4A85"/>
    <w:rsid w:val="00DA4AC3"/>
    <w:rsid w:val="00DA4CDC"/>
    <w:rsid w:val="00DA4DC3"/>
    <w:rsid w:val="00DA4EEE"/>
    <w:rsid w:val="00DA4FF8"/>
    <w:rsid w:val="00DA50AA"/>
    <w:rsid w:val="00DA553C"/>
    <w:rsid w:val="00DA57B5"/>
    <w:rsid w:val="00DA5DC8"/>
    <w:rsid w:val="00DA5E13"/>
    <w:rsid w:val="00DA5FD9"/>
    <w:rsid w:val="00DA6216"/>
    <w:rsid w:val="00DA6700"/>
    <w:rsid w:val="00DA6853"/>
    <w:rsid w:val="00DA6B64"/>
    <w:rsid w:val="00DA713F"/>
    <w:rsid w:val="00DA760C"/>
    <w:rsid w:val="00DA77A5"/>
    <w:rsid w:val="00DA7B10"/>
    <w:rsid w:val="00DA7F84"/>
    <w:rsid w:val="00DB0020"/>
    <w:rsid w:val="00DB02B5"/>
    <w:rsid w:val="00DB0505"/>
    <w:rsid w:val="00DB0A06"/>
    <w:rsid w:val="00DB0CBE"/>
    <w:rsid w:val="00DB0E36"/>
    <w:rsid w:val="00DB13D0"/>
    <w:rsid w:val="00DB19AF"/>
    <w:rsid w:val="00DB1BFE"/>
    <w:rsid w:val="00DB1FF6"/>
    <w:rsid w:val="00DB2150"/>
    <w:rsid w:val="00DB2DF2"/>
    <w:rsid w:val="00DB2EF4"/>
    <w:rsid w:val="00DB3333"/>
    <w:rsid w:val="00DB335D"/>
    <w:rsid w:val="00DB33C8"/>
    <w:rsid w:val="00DB342B"/>
    <w:rsid w:val="00DB35E6"/>
    <w:rsid w:val="00DB3C9F"/>
    <w:rsid w:val="00DB3CB9"/>
    <w:rsid w:val="00DB3DBF"/>
    <w:rsid w:val="00DB3FEF"/>
    <w:rsid w:val="00DB42E0"/>
    <w:rsid w:val="00DB4657"/>
    <w:rsid w:val="00DB479D"/>
    <w:rsid w:val="00DB484F"/>
    <w:rsid w:val="00DB48E4"/>
    <w:rsid w:val="00DB4D30"/>
    <w:rsid w:val="00DB4DA3"/>
    <w:rsid w:val="00DB4E63"/>
    <w:rsid w:val="00DB4EF4"/>
    <w:rsid w:val="00DB533A"/>
    <w:rsid w:val="00DB621F"/>
    <w:rsid w:val="00DB6F33"/>
    <w:rsid w:val="00DB7998"/>
    <w:rsid w:val="00DC0467"/>
    <w:rsid w:val="00DC04F6"/>
    <w:rsid w:val="00DC05FD"/>
    <w:rsid w:val="00DC0690"/>
    <w:rsid w:val="00DC0A24"/>
    <w:rsid w:val="00DC0E6F"/>
    <w:rsid w:val="00DC0F40"/>
    <w:rsid w:val="00DC16F3"/>
    <w:rsid w:val="00DC186B"/>
    <w:rsid w:val="00DC197D"/>
    <w:rsid w:val="00DC1AEA"/>
    <w:rsid w:val="00DC1D65"/>
    <w:rsid w:val="00DC1E7F"/>
    <w:rsid w:val="00DC1E91"/>
    <w:rsid w:val="00DC2128"/>
    <w:rsid w:val="00DC2DEA"/>
    <w:rsid w:val="00DC382C"/>
    <w:rsid w:val="00DC3A35"/>
    <w:rsid w:val="00DC3C57"/>
    <w:rsid w:val="00DC411D"/>
    <w:rsid w:val="00DC42B5"/>
    <w:rsid w:val="00DC49FC"/>
    <w:rsid w:val="00DC4E78"/>
    <w:rsid w:val="00DC5171"/>
    <w:rsid w:val="00DC52D6"/>
    <w:rsid w:val="00DC5416"/>
    <w:rsid w:val="00DC5501"/>
    <w:rsid w:val="00DC5D87"/>
    <w:rsid w:val="00DC5DE4"/>
    <w:rsid w:val="00DC681F"/>
    <w:rsid w:val="00DC6B33"/>
    <w:rsid w:val="00DC6CB3"/>
    <w:rsid w:val="00DC6DA9"/>
    <w:rsid w:val="00DC7154"/>
    <w:rsid w:val="00DC76BA"/>
    <w:rsid w:val="00DC7CD7"/>
    <w:rsid w:val="00DC7E8A"/>
    <w:rsid w:val="00DD0364"/>
    <w:rsid w:val="00DD04E7"/>
    <w:rsid w:val="00DD061C"/>
    <w:rsid w:val="00DD09E0"/>
    <w:rsid w:val="00DD0F78"/>
    <w:rsid w:val="00DD0F95"/>
    <w:rsid w:val="00DD1643"/>
    <w:rsid w:val="00DD175A"/>
    <w:rsid w:val="00DD1BE0"/>
    <w:rsid w:val="00DD1C2C"/>
    <w:rsid w:val="00DD1D15"/>
    <w:rsid w:val="00DD1EAC"/>
    <w:rsid w:val="00DD24B1"/>
    <w:rsid w:val="00DD2717"/>
    <w:rsid w:val="00DD273C"/>
    <w:rsid w:val="00DD27C6"/>
    <w:rsid w:val="00DD27C7"/>
    <w:rsid w:val="00DD2857"/>
    <w:rsid w:val="00DD2CC3"/>
    <w:rsid w:val="00DD2E95"/>
    <w:rsid w:val="00DD2EF0"/>
    <w:rsid w:val="00DD2EF7"/>
    <w:rsid w:val="00DD301C"/>
    <w:rsid w:val="00DD3B4A"/>
    <w:rsid w:val="00DD3BBD"/>
    <w:rsid w:val="00DD3C68"/>
    <w:rsid w:val="00DD3F28"/>
    <w:rsid w:val="00DD4446"/>
    <w:rsid w:val="00DD4537"/>
    <w:rsid w:val="00DD4570"/>
    <w:rsid w:val="00DD476B"/>
    <w:rsid w:val="00DD4925"/>
    <w:rsid w:val="00DD4A00"/>
    <w:rsid w:val="00DD4A83"/>
    <w:rsid w:val="00DD4A85"/>
    <w:rsid w:val="00DD4D72"/>
    <w:rsid w:val="00DD4E15"/>
    <w:rsid w:val="00DD4ED5"/>
    <w:rsid w:val="00DD4F60"/>
    <w:rsid w:val="00DD53A2"/>
    <w:rsid w:val="00DD5B17"/>
    <w:rsid w:val="00DD62B7"/>
    <w:rsid w:val="00DD6541"/>
    <w:rsid w:val="00DD693B"/>
    <w:rsid w:val="00DD6D77"/>
    <w:rsid w:val="00DD6ED8"/>
    <w:rsid w:val="00DD712F"/>
    <w:rsid w:val="00DD74C9"/>
    <w:rsid w:val="00DD74D4"/>
    <w:rsid w:val="00DD7632"/>
    <w:rsid w:val="00DD7C77"/>
    <w:rsid w:val="00DE068C"/>
    <w:rsid w:val="00DE06E8"/>
    <w:rsid w:val="00DE079A"/>
    <w:rsid w:val="00DE0C81"/>
    <w:rsid w:val="00DE0D36"/>
    <w:rsid w:val="00DE0F6B"/>
    <w:rsid w:val="00DE12AE"/>
    <w:rsid w:val="00DE18F7"/>
    <w:rsid w:val="00DE1B18"/>
    <w:rsid w:val="00DE1E43"/>
    <w:rsid w:val="00DE1F39"/>
    <w:rsid w:val="00DE1FB9"/>
    <w:rsid w:val="00DE2150"/>
    <w:rsid w:val="00DE2211"/>
    <w:rsid w:val="00DE224A"/>
    <w:rsid w:val="00DE2304"/>
    <w:rsid w:val="00DE24D8"/>
    <w:rsid w:val="00DE2549"/>
    <w:rsid w:val="00DE284E"/>
    <w:rsid w:val="00DE2ADB"/>
    <w:rsid w:val="00DE2BC1"/>
    <w:rsid w:val="00DE3138"/>
    <w:rsid w:val="00DE372A"/>
    <w:rsid w:val="00DE37BB"/>
    <w:rsid w:val="00DE37F8"/>
    <w:rsid w:val="00DE3A91"/>
    <w:rsid w:val="00DE3CEE"/>
    <w:rsid w:val="00DE3F17"/>
    <w:rsid w:val="00DE423D"/>
    <w:rsid w:val="00DE4273"/>
    <w:rsid w:val="00DE44E9"/>
    <w:rsid w:val="00DE484D"/>
    <w:rsid w:val="00DE4DAD"/>
    <w:rsid w:val="00DE4F1F"/>
    <w:rsid w:val="00DE4FC5"/>
    <w:rsid w:val="00DE4FCB"/>
    <w:rsid w:val="00DE5D07"/>
    <w:rsid w:val="00DE5EB7"/>
    <w:rsid w:val="00DE5F1A"/>
    <w:rsid w:val="00DE626F"/>
    <w:rsid w:val="00DE6677"/>
    <w:rsid w:val="00DE6A3C"/>
    <w:rsid w:val="00DE6EFF"/>
    <w:rsid w:val="00DE71B0"/>
    <w:rsid w:val="00DE72A7"/>
    <w:rsid w:val="00DE7516"/>
    <w:rsid w:val="00DE7832"/>
    <w:rsid w:val="00DE7883"/>
    <w:rsid w:val="00DE7CA7"/>
    <w:rsid w:val="00DF0993"/>
    <w:rsid w:val="00DF0CAD"/>
    <w:rsid w:val="00DF0F58"/>
    <w:rsid w:val="00DF12B7"/>
    <w:rsid w:val="00DF14E6"/>
    <w:rsid w:val="00DF17A2"/>
    <w:rsid w:val="00DF18AB"/>
    <w:rsid w:val="00DF18FC"/>
    <w:rsid w:val="00DF228F"/>
    <w:rsid w:val="00DF244B"/>
    <w:rsid w:val="00DF27E8"/>
    <w:rsid w:val="00DF2972"/>
    <w:rsid w:val="00DF3429"/>
    <w:rsid w:val="00DF4006"/>
    <w:rsid w:val="00DF4E7B"/>
    <w:rsid w:val="00DF4FA8"/>
    <w:rsid w:val="00DF576B"/>
    <w:rsid w:val="00DF5808"/>
    <w:rsid w:val="00DF5D2B"/>
    <w:rsid w:val="00DF5E48"/>
    <w:rsid w:val="00DF5E75"/>
    <w:rsid w:val="00DF6165"/>
    <w:rsid w:val="00DF6276"/>
    <w:rsid w:val="00DF6341"/>
    <w:rsid w:val="00DF6724"/>
    <w:rsid w:val="00DF6A1A"/>
    <w:rsid w:val="00DF6B08"/>
    <w:rsid w:val="00DF6CF9"/>
    <w:rsid w:val="00DF72A8"/>
    <w:rsid w:val="00DF76F4"/>
    <w:rsid w:val="00DF77EC"/>
    <w:rsid w:val="00DF7AFE"/>
    <w:rsid w:val="00E000C2"/>
    <w:rsid w:val="00E00E8E"/>
    <w:rsid w:val="00E011A8"/>
    <w:rsid w:val="00E01C23"/>
    <w:rsid w:val="00E01C62"/>
    <w:rsid w:val="00E01CBF"/>
    <w:rsid w:val="00E01DB6"/>
    <w:rsid w:val="00E01E94"/>
    <w:rsid w:val="00E02027"/>
    <w:rsid w:val="00E02043"/>
    <w:rsid w:val="00E0216E"/>
    <w:rsid w:val="00E02BCF"/>
    <w:rsid w:val="00E02C39"/>
    <w:rsid w:val="00E0318B"/>
    <w:rsid w:val="00E03560"/>
    <w:rsid w:val="00E03EF9"/>
    <w:rsid w:val="00E04932"/>
    <w:rsid w:val="00E04C3C"/>
    <w:rsid w:val="00E04CF3"/>
    <w:rsid w:val="00E04E38"/>
    <w:rsid w:val="00E05188"/>
    <w:rsid w:val="00E05630"/>
    <w:rsid w:val="00E05A83"/>
    <w:rsid w:val="00E05D47"/>
    <w:rsid w:val="00E05EA3"/>
    <w:rsid w:val="00E06371"/>
    <w:rsid w:val="00E06BE8"/>
    <w:rsid w:val="00E06DBB"/>
    <w:rsid w:val="00E073D7"/>
    <w:rsid w:val="00E07525"/>
    <w:rsid w:val="00E0767E"/>
    <w:rsid w:val="00E078B6"/>
    <w:rsid w:val="00E07D88"/>
    <w:rsid w:val="00E10149"/>
    <w:rsid w:val="00E108FF"/>
    <w:rsid w:val="00E11016"/>
    <w:rsid w:val="00E1110A"/>
    <w:rsid w:val="00E1114B"/>
    <w:rsid w:val="00E11340"/>
    <w:rsid w:val="00E1140A"/>
    <w:rsid w:val="00E1179B"/>
    <w:rsid w:val="00E1186F"/>
    <w:rsid w:val="00E11962"/>
    <w:rsid w:val="00E11A59"/>
    <w:rsid w:val="00E12176"/>
    <w:rsid w:val="00E122A1"/>
    <w:rsid w:val="00E12488"/>
    <w:rsid w:val="00E124C9"/>
    <w:rsid w:val="00E13157"/>
    <w:rsid w:val="00E13DDD"/>
    <w:rsid w:val="00E140B5"/>
    <w:rsid w:val="00E1448D"/>
    <w:rsid w:val="00E147FC"/>
    <w:rsid w:val="00E14EA4"/>
    <w:rsid w:val="00E154E4"/>
    <w:rsid w:val="00E1578C"/>
    <w:rsid w:val="00E15ADC"/>
    <w:rsid w:val="00E15D0B"/>
    <w:rsid w:val="00E15E42"/>
    <w:rsid w:val="00E16288"/>
    <w:rsid w:val="00E16372"/>
    <w:rsid w:val="00E163FD"/>
    <w:rsid w:val="00E169AF"/>
    <w:rsid w:val="00E16AD8"/>
    <w:rsid w:val="00E16C5E"/>
    <w:rsid w:val="00E17285"/>
    <w:rsid w:val="00E1739C"/>
    <w:rsid w:val="00E177E2"/>
    <w:rsid w:val="00E17B58"/>
    <w:rsid w:val="00E17BBC"/>
    <w:rsid w:val="00E17EE2"/>
    <w:rsid w:val="00E17FFA"/>
    <w:rsid w:val="00E20117"/>
    <w:rsid w:val="00E201B7"/>
    <w:rsid w:val="00E207DE"/>
    <w:rsid w:val="00E20A95"/>
    <w:rsid w:val="00E20E4D"/>
    <w:rsid w:val="00E20ED6"/>
    <w:rsid w:val="00E21228"/>
    <w:rsid w:val="00E21358"/>
    <w:rsid w:val="00E216BF"/>
    <w:rsid w:val="00E217AC"/>
    <w:rsid w:val="00E22377"/>
    <w:rsid w:val="00E223C1"/>
    <w:rsid w:val="00E2249B"/>
    <w:rsid w:val="00E2287B"/>
    <w:rsid w:val="00E22A0D"/>
    <w:rsid w:val="00E2301D"/>
    <w:rsid w:val="00E23182"/>
    <w:rsid w:val="00E23813"/>
    <w:rsid w:val="00E239A0"/>
    <w:rsid w:val="00E239B0"/>
    <w:rsid w:val="00E2429A"/>
    <w:rsid w:val="00E244F6"/>
    <w:rsid w:val="00E24A9B"/>
    <w:rsid w:val="00E25562"/>
    <w:rsid w:val="00E258DB"/>
    <w:rsid w:val="00E259E5"/>
    <w:rsid w:val="00E25A36"/>
    <w:rsid w:val="00E25B2B"/>
    <w:rsid w:val="00E26467"/>
    <w:rsid w:val="00E26510"/>
    <w:rsid w:val="00E2663A"/>
    <w:rsid w:val="00E2674D"/>
    <w:rsid w:val="00E269E7"/>
    <w:rsid w:val="00E26D43"/>
    <w:rsid w:val="00E27059"/>
    <w:rsid w:val="00E270ED"/>
    <w:rsid w:val="00E27192"/>
    <w:rsid w:val="00E27202"/>
    <w:rsid w:val="00E2753D"/>
    <w:rsid w:val="00E2771E"/>
    <w:rsid w:val="00E27F50"/>
    <w:rsid w:val="00E27FC9"/>
    <w:rsid w:val="00E30530"/>
    <w:rsid w:val="00E3098A"/>
    <w:rsid w:val="00E30A0C"/>
    <w:rsid w:val="00E30AA5"/>
    <w:rsid w:val="00E30DCF"/>
    <w:rsid w:val="00E311EF"/>
    <w:rsid w:val="00E312C6"/>
    <w:rsid w:val="00E314D1"/>
    <w:rsid w:val="00E31762"/>
    <w:rsid w:val="00E31887"/>
    <w:rsid w:val="00E31946"/>
    <w:rsid w:val="00E319B0"/>
    <w:rsid w:val="00E31B51"/>
    <w:rsid w:val="00E31D42"/>
    <w:rsid w:val="00E32180"/>
    <w:rsid w:val="00E324A8"/>
    <w:rsid w:val="00E32677"/>
    <w:rsid w:val="00E326E6"/>
    <w:rsid w:val="00E32D1E"/>
    <w:rsid w:val="00E32DFF"/>
    <w:rsid w:val="00E32E25"/>
    <w:rsid w:val="00E32F15"/>
    <w:rsid w:val="00E3315E"/>
    <w:rsid w:val="00E33166"/>
    <w:rsid w:val="00E33794"/>
    <w:rsid w:val="00E33AD0"/>
    <w:rsid w:val="00E33D9A"/>
    <w:rsid w:val="00E34115"/>
    <w:rsid w:val="00E3475D"/>
    <w:rsid w:val="00E34948"/>
    <w:rsid w:val="00E34DB0"/>
    <w:rsid w:val="00E34F9B"/>
    <w:rsid w:val="00E3507E"/>
    <w:rsid w:val="00E357C9"/>
    <w:rsid w:val="00E35E63"/>
    <w:rsid w:val="00E3660E"/>
    <w:rsid w:val="00E36639"/>
    <w:rsid w:val="00E36683"/>
    <w:rsid w:val="00E3668C"/>
    <w:rsid w:val="00E3681E"/>
    <w:rsid w:val="00E36CA0"/>
    <w:rsid w:val="00E36CE7"/>
    <w:rsid w:val="00E37088"/>
    <w:rsid w:val="00E37569"/>
    <w:rsid w:val="00E37BB3"/>
    <w:rsid w:val="00E40068"/>
    <w:rsid w:val="00E401B2"/>
    <w:rsid w:val="00E401C6"/>
    <w:rsid w:val="00E40260"/>
    <w:rsid w:val="00E406A6"/>
    <w:rsid w:val="00E408D1"/>
    <w:rsid w:val="00E417C3"/>
    <w:rsid w:val="00E41A03"/>
    <w:rsid w:val="00E41ADC"/>
    <w:rsid w:val="00E41E30"/>
    <w:rsid w:val="00E42DEE"/>
    <w:rsid w:val="00E42F73"/>
    <w:rsid w:val="00E42F95"/>
    <w:rsid w:val="00E43568"/>
    <w:rsid w:val="00E435A9"/>
    <w:rsid w:val="00E43813"/>
    <w:rsid w:val="00E43AFF"/>
    <w:rsid w:val="00E43D70"/>
    <w:rsid w:val="00E440C1"/>
    <w:rsid w:val="00E44230"/>
    <w:rsid w:val="00E44600"/>
    <w:rsid w:val="00E45018"/>
    <w:rsid w:val="00E4562D"/>
    <w:rsid w:val="00E45744"/>
    <w:rsid w:val="00E458D6"/>
    <w:rsid w:val="00E459AA"/>
    <w:rsid w:val="00E45F11"/>
    <w:rsid w:val="00E460FF"/>
    <w:rsid w:val="00E466F3"/>
    <w:rsid w:val="00E46809"/>
    <w:rsid w:val="00E469D5"/>
    <w:rsid w:val="00E46B24"/>
    <w:rsid w:val="00E46CEA"/>
    <w:rsid w:val="00E46F84"/>
    <w:rsid w:val="00E470EC"/>
    <w:rsid w:val="00E4778E"/>
    <w:rsid w:val="00E47971"/>
    <w:rsid w:val="00E47B04"/>
    <w:rsid w:val="00E47B2C"/>
    <w:rsid w:val="00E47B8F"/>
    <w:rsid w:val="00E50792"/>
    <w:rsid w:val="00E50854"/>
    <w:rsid w:val="00E50B29"/>
    <w:rsid w:val="00E50B63"/>
    <w:rsid w:val="00E51283"/>
    <w:rsid w:val="00E5133C"/>
    <w:rsid w:val="00E51560"/>
    <w:rsid w:val="00E51821"/>
    <w:rsid w:val="00E5186F"/>
    <w:rsid w:val="00E51A2F"/>
    <w:rsid w:val="00E51AB5"/>
    <w:rsid w:val="00E51AB6"/>
    <w:rsid w:val="00E51E99"/>
    <w:rsid w:val="00E52243"/>
    <w:rsid w:val="00E52918"/>
    <w:rsid w:val="00E529DE"/>
    <w:rsid w:val="00E52DF7"/>
    <w:rsid w:val="00E5361C"/>
    <w:rsid w:val="00E53829"/>
    <w:rsid w:val="00E538D2"/>
    <w:rsid w:val="00E53E87"/>
    <w:rsid w:val="00E53F20"/>
    <w:rsid w:val="00E53FC8"/>
    <w:rsid w:val="00E54347"/>
    <w:rsid w:val="00E54797"/>
    <w:rsid w:val="00E55252"/>
    <w:rsid w:val="00E55424"/>
    <w:rsid w:val="00E554C2"/>
    <w:rsid w:val="00E555D6"/>
    <w:rsid w:val="00E555D7"/>
    <w:rsid w:val="00E555F5"/>
    <w:rsid w:val="00E55915"/>
    <w:rsid w:val="00E55A3B"/>
    <w:rsid w:val="00E55BB5"/>
    <w:rsid w:val="00E55F87"/>
    <w:rsid w:val="00E563D1"/>
    <w:rsid w:val="00E56B06"/>
    <w:rsid w:val="00E56EAE"/>
    <w:rsid w:val="00E57AB2"/>
    <w:rsid w:val="00E57C3A"/>
    <w:rsid w:val="00E6002A"/>
    <w:rsid w:val="00E610A2"/>
    <w:rsid w:val="00E611DF"/>
    <w:rsid w:val="00E617A8"/>
    <w:rsid w:val="00E6218A"/>
    <w:rsid w:val="00E627C5"/>
    <w:rsid w:val="00E62F37"/>
    <w:rsid w:val="00E632CF"/>
    <w:rsid w:val="00E63350"/>
    <w:rsid w:val="00E635DF"/>
    <w:rsid w:val="00E6371F"/>
    <w:rsid w:val="00E6382A"/>
    <w:rsid w:val="00E63E13"/>
    <w:rsid w:val="00E64022"/>
    <w:rsid w:val="00E64098"/>
    <w:rsid w:val="00E641B1"/>
    <w:rsid w:val="00E643E5"/>
    <w:rsid w:val="00E64DF9"/>
    <w:rsid w:val="00E650CC"/>
    <w:rsid w:val="00E652A9"/>
    <w:rsid w:val="00E6558C"/>
    <w:rsid w:val="00E65E1B"/>
    <w:rsid w:val="00E65E79"/>
    <w:rsid w:val="00E660DE"/>
    <w:rsid w:val="00E6637D"/>
    <w:rsid w:val="00E66584"/>
    <w:rsid w:val="00E66BA2"/>
    <w:rsid w:val="00E6710C"/>
    <w:rsid w:val="00E67155"/>
    <w:rsid w:val="00E67416"/>
    <w:rsid w:val="00E675CA"/>
    <w:rsid w:val="00E676B0"/>
    <w:rsid w:val="00E678EE"/>
    <w:rsid w:val="00E67B6F"/>
    <w:rsid w:val="00E70281"/>
    <w:rsid w:val="00E70424"/>
    <w:rsid w:val="00E7062D"/>
    <w:rsid w:val="00E7114B"/>
    <w:rsid w:val="00E712B4"/>
    <w:rsid w:val="00E71525"/>
    <w:rsid w:val="00E715DE"/>
    <w:rsid w:val="00E7173B"/>
    <w:rsid w:val="00E71787"/>
    <w:rsid w:val="00E718B6"/>
    <w:rsid w:val="00E723BA"/>
    <w:rsid w:val="00E72528"/>
    <w:rsid w:val="00E7258F"/>
    <w:rsid w:val="00E729AE"/>
    <w:rsid w:val="00E72D8F"/>
    <w:rsid w:val="00E73207"/>
    <w:rsid w:val="00E73581"/>
    <w:rsid w:val="00E73AB4"/>
    <w:rsid w:val="00E73AD3"/>
    <w:rsid w:val="00E73FD1"/>
    <w:rsid w:val="00E74149"/>
    <w:rsid w:val="00E74AA4"/>
    <w:rsid w:val="00E74D97"/>
    <w:rsid w:val="00E7555B"/>
    <w:rsid w:val="00E75F40"/>
    <w:rsid w:val="00E75F9E"/>
    <w:rsid w:val="00E76027"/>
    <w:rsid w:val="00E7660A"/>
    <w:rsid w:val="00E767EF"/>
    <w:rsid w:val="00E76B58"/>
    <w:rsid w:val="00E76BA3"/>
    <w:rsid w:val="00E76C98"/>
    <w:rsid w:val="00E76D02"/>
    <w:rsid w:val="00E77128"/>
    <w:rsid w:val="00E77165"/>
    <w:rsid w:val="00E77A6D"/>
    <w:rsid w:val="00E80A16"/>
    <w:rsid w:val="00E80A41"/>
    <w:rsid w:val="00E815EF"/>
    <w:rsid w:val="00E81BE3"/>
    <w:rsid w:val="00E81E9A"/>
    <w:rsid w:val="00E829C7"/>
    <w:rsid w:val="00E82D55"/>
    <w:rsid w:val="00E833DD"/>
    <w:rsid w:val="00E833F7"/>
    <w:rsid w:val="00E83AEA"/>
    <w:rsid w:val="00E83BDF"/>
    <w:rsid w:val="00E83C2B"/>
    <w:rsid w:val="00E83E4D"/>
    <w:rsid w:val="00E848EC"/>
    <w:rsid w:val="00E84936"/>
    <w:rsid w:val="00E84ED7"/>
    <w:rsid w:val="00E852E4"/>
    <w:rsid w:val="00E85499"/>
    <w:rsid w:val="00E855EB"/>
    <w:rsid w:val="00E857E6"/>
    <w:rsid w:val="00E863FE"/>
    <w:rsid w:val="00E86506"/>
    <w:rsid w:val="00E86CF4"/>
    <w:rsid w:val="00E86D24"/>
    <w:rsid w:val="00E86E47"/>
    <w:rsid w:val="00E86EBB"/>
    <w:rsid w:val="00E86EE9"/>
    <w:rsid w:val="00E86FCC"/>
    <w:rsid w:val="00E8715D"/>
    <w:rsid w:val="00E87295"/>
    <w:rsid w:val="00E87442"/>
    <w:rsid w:val="00E8763C"/>
    <w:rsid w:val="00E87A1D"/>
    <w:rsid w:val="00E87A59"/>
    <w:rsid w:val="00E87A88"/>
    <w:rsid w:val="00E87B04"/>
    <w:rsid w:val="00E87DC1"/>
    <w:rsid w:val="00E900D2"/>
    <w:rsid w:val="00E906E8"/>
    <w:rsid w:val="00E90929"/>
    <w:rsid w:val="00E9094A"/>
    <w:rsid w:val="00E90B37"/>
    <w:rsid w:val="00E90D3C"/>
    <w:rsid w:val="00E90EB8"/>
    <w:rsid w:val="00E90F13"/>
    <w:rsid w:val="00E90FA7"/>
    <w:rsid w:val="00E91104"/>
    <w:rsid w:val="00E914A1"/>
    <w:rsid w:val="00E9163A"/>
    <w:rsid w:val="00E91BA8"/>
    <w:rsid w:val="00E91D35"/>
    <w:rsid w:val="00E92254"/>
    <w:rsid w:val="00E92459"/>
    <w:rsid w:val="00E926A5"/>
    <w:rsid w:val="00E92774"/>
    <w:rsid w:val="00E92A77"/>
    <w:rsid w:val="00E92BF7"/>
    <w:rsid w:val="00E9319E"/>
    <w:rsid w:val="00E9328D"/>
    <w:rsid w:val="00E9344F"/>
    <w:rsid w:val="00E9349F"/>
    <w:rsid w:val="00E93619"/>
    <w:rsid w:val="00E93865"/>
    <w:rsid w:val="00E939FE"/>
    <w:rsid w:val="00E93E36"/>
    <w:rsid w:val="00E94363"/>
    <w:rsid w:val="00E9446E"/>
    <w:rsid w:val="00E950E6"/>
    <w:rsid w:val="00E9520D"/>
    <w:rsid w:val="00E95788"/>
    <w:rsid w:val="00E957B1"/>
    <w:rsid w:val="00E95895"/>
    <w:rsid w:val="00E95ACC"/>
    <w:rsid w:val="00E95F07"/>
    <w:rsid w:val="00E962CC"/>
    <w:rsid w:val="00E9637A"/>
    <w:rsid w:val="00E96747"/>
    <w:rsid w:val="00E96B44"/>
    <w:rsid w:val="00E96DB7"/>
    <w:rsid w:val="00E9736D"/>
    <w:rsid w:val="00E974AE"/>
    <w:rsid w:val="00E976E2"/>
    <w:rsid w:val="00E97B76"/>
    <w:rsid w:val="00EA0035"/>
    <w:rsid w:val="00EA004E"/>
    <w:rsid w:val="00EA0202"/>
    <w:rsid w:val="00EA086F"/>
    <w:rsid w:val="00EA0B78"/>
    <w:rsid w:val="00EA1332"/>
    <w:rsid w:val="00EA171A"/>
    <w:rsid w:val="00EA17C3"/>
    <w:rsid w:val="00EA193F"/>
    <w:rsid w:val="00EA1E45"/>
    <w:rsid w:val="00EA1E75"/>
    <w:rsid w:val="00EA25B0"/>
    <w:rsid w:val="00EA27E9"/>
    <w:rsid w:val="00EA2994"/>
    <w:rsid w:val="00EA2C39"/>
    <w:rsid w:val="00EA2CAA"/>
    <w:rsid w:val="00EA3410"/>
    <w:rsid w:val="00EA36E6"/>
    <w:rsid w:val="00EA3864"/>
    <w:rsid w:val="00EA3916"/>
    <w:rsid w:val="00EA3BF9"/>
    <w:rsid w:val="00EA3D7C"/>
    <w:rsid w:val="00EA4095"/>
    <w:rsid w:val="00EA40FD"/>
    <w:rsid w:val="00EA4386"/>
    <w:rsid w:val="00EA469C"/>
    <w:rsid w:val="00EA480C"/>
    <w:rsid w:val="00EA483F"/>
    <w:rsid w:val="00EA48E9"/>
    <w:rsid w:val="00EA4BC3"/>
    <w:rsid w:val="00EA5037"/>
    <w:rsid w:val="00EA50B6"/>
    <w:rsid w:val="00EA51D9"/>
    <w:rsid w:val="00EA540D"/>
    <w:rsid w:val="00EA5B41"/>
    <w:rsid w:val="00EA5DC3"/>
    <w:rsid w:val="00EA5DCF"/>
    <w:rsid w:val="00EA6504"/>
    <w:rsid w:val="00EA6596"/>
    <w:rsid w:val="00EA669A"/>
    <w:rsid w:val="00EA6CC5"/>
    <w:rsid w:val="00EA6DF9"/>
    <w:rsid w:val="00EA74D4"/>
    <w:rsid w:val="00EA7582"/>
    <w:rsid w:val="00EA7C41"/>
    <w:rsid w:val="00EA7E3D"/>
    <w:rsid w:val="00EA7F1C"/>
    <w:rsid w:val="00EB0207"/>
    <w:rsid w:val="00EB0339"/>
    <w:rsid w:val="00EB035D"/>
    <w:rsid w:val="00EB0415"/>
    <w:rsid w:val="00EB074C"/>
    <w:rsid w:val="00EB11B3"/>
    <w:rsid w:val="00EB15B6"/>
    <w:rsid w:val="00EB1D9B"/>
    <w:rsid w:val="00EB23EB"/>
    <w:rsid w:val="00EB24DA"/>
    <w:rsid w:val="00EB285D"/>
    <w:rsid w:val="00EB29DA"/>
    <w:rsid w:val="00EB2AE3"/>
    <w:rsid w:val="00EB2DC3"/>
    <w:rsid w:val="00EB2EA1"/>
    <w:rsid w:val="00EB3130"/>
    <w:rsid w:val="00EB3235"/>
    <w:rsid w:val="00EB3A2E"/>
    <w:rsid w:val="00EB3B71"/>
    <w:rsid w:val="00EB3C90"/>
    <w:rsid w:val="00EB3D06"/>
    <w:rsid w:val="00EB4672"/>
    <w:rsid w:val="00EB4916"/>
    <w:rsid w:val="00EB4EB8"/>
    <w:rsid w:val="00EB4EC9"/>
    <w:rsid w:val="00EB4F28"/>
    <w:rsid w:val="00EB5233"/>
    <w:rsid w:val="00EB535C"/>
    <w:rsid w:val="00EB53EC"/>
    <w:rsid w:val="00EB58CA"/>
    <w:rsid w:val="00EB5A78"/>
    <w:rsid w:val="00EB65DF"/>
    <w:rsid w:val="00EB65FF"/>
    <w:rsid w:val="00EB6724"/>
    <w:rsid w:val="00EB67E2"/>
    <w:rsid w:val="00EB68FA"/>
    <w:rsid w:val="00EB69C6"/>
    <w:rsid w:val="00EB6AA4"/>
    <w:rsid w:val="00EB6C66"/>
    <w:rsid w:val="00EB6F98"/>
    <w:rsid w:val="00EB6FD4"/>
    <w:rsid w:val="00EB734B"/>
    <w:rsid w:val="00EB73C1"/>
    <w:rsid w:val="00EB792C"/>
    <w:rsid w:val="00EC00C9"/>
    <w:rsid w:val="00EC0163"/>
    <w:rsid w:val="00EC0687"/>
    <w:rsid w:val="00EC06B3"/>
    <w:rsid w:val="00EC0A4A"/>
    <w:rsid w:val="00EC0DD9"/>
    <w:rsid w:val="00EC0DFA"/>
    <w:rsid w:val="00EC0E88"/>
    <w:rsid w:val="00EC0F25"/>
    <w:rsid w:val="00EC0F76"/>
    <w:rsid w:val="00EC1170"/>
    <w:rsid w:val="00EC12B5"/>
    <w:rsid w:val="00EC13E5"/>
    <w:rsid w:val="00EC1B7B"/>
    <w:rsid w:val="00EC21EF"/>
    <w:rsid w:val="00EC224E"/>
    <w:rsid w:val="00EC231D"/>
    <w:rsid w:val="00EC2649"/>
    <w:rsid w:val="00EC31ED"/>
    <w:rsid w:val="00EC3202"/>
    <w:rsid w:val="00EC3274"/>
    <w:rsid w:val="00EC32B2"/>
    <w:rsid w:val="00EC33BB"/>
    <w:rsid w:val="00EC34D2"/>
    <w:rsid w:val="00EC35C6"/>
    <w:rsid w:val="00EC37B6"/>
    <w:rsid w:val="00EC383E"/>
    <w:rsid w:val="00EC446C"/>
    <w:rsid w:val="00EC4F86"/>
    <w:rsid w:val="00EC5126"/>
    <w:rsid w:val="00EC552E"/>
    <w:rsid w:val="00EC556B"/>
    <w:rsid w:val="00EC5836"/>
    <w:rsid w:val="00EC5B50"/>
    <w:rsid w:val="00EC5C3A"/>
    <w:rsid w:val="00EC5C77"/>
    <w:rsid w:val="00EC5F21"/>
    <w:rsid w:val="00EC5F64"/>
    <w:rsid w:val="00EC6394"/>
    <w:rsid w:val="00EC688C"/>
    <w:rsid w:val="00EC69A4"/>
    <w:rsid w:val="00EC6EC2"/>
    <w:rsid w:val="00EC7031"/>
    <w:rsid w:val="00EC7522"/>
    <w:rsid w:val="00EC759D"/>
    <w:rsid w:val="00EC7D3B"/>
    <w:rsid w:val="00EC7E34"/>
    <w:rsid w:val="00EC7F0A"/>
    <w:rsid w:val="00EC7FEF"/>
    <w:rsid w:val="00ED00A5"/>
    <w:rsid w:val="00ED03AF"/>
    <w:rsid w:val="00ED03C3"/>
    <w:rsid w:val="00ED0BE3"/>
    <w:rsid w:val="00ED0F1E"/>
    <w:rsid w:val="00ED101B"/>
    <w:rsid w:val="00ED12E3"/>
    <w:rsid w:val="00ED1725"/>
    <w:rsid w:val="00ED1C53"/>
    <w:rsid w:val="00ED1E15"/>
    <w:rsid w:val="00ED1E42"/>
    <w:rsid w:val="00ED2028"/>
    <w:rsid w:val="00ED20E0"/>
    <w:rsid w:val="00ED2193"/>
    <w:rsid w:val="00ED2AE6"/>
    <w:rsid w:val="00ED2D5A"/>
    <w:rsid w:val="00ED2E29"/>
    <w:rsid w:val="00ED3556"/>
    <w:rsid w:val="00ED35BA"/>
    <w:rsid w:val="00ED3A6A"/>
    <w:rsid w:val="00ED3BB7"/>
    <w:rsid w:val="00ED3C85"/>
    <w:rsid w:val="00ED3CF5"/>
    <w:rsid w:val="00ED435B"/>
    <w:rsid w:val="00ED4ABA"/>
    <w:rsid w:val="00ED4B04"/>
    <w:rsid w:val="00ED4BFF"/>
    <w:rsid w:val="00ED4DB7"/>
    <w:rsid w:val="00ED4EDB"/>
    <w:rsid w:val="00ED547C"/>
    <w:rsid w:val="00ED54E5"/>
    <w:rsid w:val="00ED5617"/>
    <w:rsid w:val="00ED57E0"/>
    <w:rsid w:val="00ED57EA"/>
    <w:rsid w:val="00ED5886"/>
    <w:rsid w:val="00ED5BD4"/>
    <w:rsid w:val="00ED6CAA"/>
    <w:rsid w:val="00ED6E33"/>
    <w:rsid w:val="00ED6E81"/>
    <w:rsid w:val="00ED7687"/>
    <w:rsid w:val="00ED77BA"/>
    <w:rsid w:val="00ED7D46"/>
    <w:rsid w:val="00ED7D88"/>
    <w:rsid w:val="00ED7FDD"/>
    <w:rsid w:val="00EE0307"/>
    <w:rsid w:val="00EE062C"/>
    <w:rsid w:val="00EE078B"/>
    <w:rsid w:val="00EE07D3"/>
    <w:rsid w:val="00EE0E97"/>
    <w:rsid w:val="00EE192C"/>
    <w:rsid w:val="00EE1996"/>
    <w:rsid w:val="00EE1C01"/>
    <w:rsid w:val="00EE20FD"/>
    <w:rsid w:val="00EE22AF"/>
    <w:rsid w:val="00EE25D6"/>
    <w:rsid w:val="00EE2638"/>
    <w:rsid w:val="00EE26AC"/>
    <w:rsid w:val="00EE2A42"/>
    <w:rsid w:val="00EE2E72"/>
    <w:rsid w:val="00EE3092"/>
    <w:rsid w:val="00EE3EF2"/>
    <w:rsid w:val="00EE4502"/>
    <w:rsid w:val="00EE4687"/>
    <w:rsid w:val="00EE4768"/>
    <w:rsid w:val="00EE4CE6"/>
    <w:rsid w:val="00EE4DED"/>
    <w:rsid w:val="00EE4FF0"/>
    <w:rsid w:val="00EE51B3"/>
    <w:rsid w:val="00EE5501"/>
    <w:rsid w:val="00EE55F9"/>
    <w:rsid w:val="00EE57F4"/>
    <w:rsid w:val="00EE5B7D"/>
    <w:rsid w:val="00EE5CBA"/>
    <w:rsid w:val="00EE6231"/>
    <w:rsid w:val="00EE6B43"/>
    <w:rsid w:val="00EE6B97"/>
    <w:rsid w:val="00EE6E13"/>
    <w:rsid w:val="00EE72C2"/>
    <w:rsid w:val="00EE7780"/>
    <w:rsid w:val="00EE77A4"/>
    <w:rsid w:val="00EE7938"/>
    <w:rsid w:val="00EF000D"/>
    <w:rsid w:val="00EF011C"/>
    <w:rsid w:val="00EF0143"/>
    <w:rsid w:val="00EF0171"/>
    <w:rsid w:val="00EF017B"/>
    <w:rsid w:val="00EF0A85"/>
    <w:rsid w:val="00EF0CB3"/>
    <w:rsid w:val="00EF1567"/>
    <w:rsid w:val="00EF1656"/>
    <w:rsid w:val="00EF16F7"/>
    <w:rsid w:val="00EF17A5"/>
    <w:rsid w:val="00EF1B25"/>
    <w:rsid w:val="00EF1B56"/>
    <w:rsid w:val="00EF1D9B"/>
    <w:rsid w:val="00EF1DA0"/>
    <w:rsid w:val="00EF1DB8"/>
    <w:rsid w:val="00EF21D9"/>
    <w:rsid w:val="00EF238D"/>
    <w:rsid w:val="00EF2453"/>
    <w:rsid w:val="00EF25F7"/>
    <w:rsid w:val="00EF28CD"/>
    <w:rsid w:val="00EF4373"/>
    <w:rsid w:val="00EF4747"/>
    <w:rsid w:val="00EF4A76"/>
    <w:rsid w:val="00EF4BF8"/>
    <w:rsid w:val="00EF4F7B"/>
    <w:rsid w:val="00EF5029"/>
    <w:rsid w:val="00EF5439"/>
    <w:rsid w:val="00EF54C2"/>
    <w:rsid w:val="00EF5988"/>
    <w:rsid w:val="00EF5B39"/>
    <w:rsid w:val="00EF61DE"/>
    <w:rsid w:val="00EF62AA"/>
    <w:rsid w:val="00EF62CE"/>
    <w:rsid w:val="00EF64A2"/>
    <w:rsid w:val="00EF674F"/>
    <w:rsid w:val="00EF6B01"/>
    <w:rsid w:val="00EF6FD3"/>
    <w:rsid w:val="00EF7375"/>
    <w:rsid w:val="00F00175"/>
    <w:rsid w:val="00F00673"/>
    <w:rsid w:val="00F00698"/>
    <w:rsid w:val="00F00A42"/>
    <w:rsid w:val="00F00A9F"/>
    <w:rsid w:val="00F00B4B"/>
    <w:rsid w:val="00F00B69"/>
    <w:rsid w:val="00F013FF"/>
    <w:rsid w:val="00F015D0"/>
    <w:rsid w:val="00F015D5"/>
    <w:rsid w:val="00F01638"/>
    <w:rsid w:val="00F016CE"/>
    <w:rsid w:val="00F019F9"/>
    <w:rsid w:val="00F01A3B"/>
    <w:rsid w:val="00F01D48"/>
    <w:rsid w:val="00F01DEB"/>
    <w:rsid w:val="00F01E09"/>
    <w:rsid w:val="00F01F47"/>
    <w:rsid w:val="00F020BD"/>
    <w:rsid w:val="00F02253"/>
    <w:rsid w:val="00F02545"/>
    <w:rsid w:val="00F025EB"/>
    <w:rsid w:val="00F02791"/>
    <w:rsid w:val="00F0284F"/>
    <w:rsid w:val="00F02C19"/>
    <w:rsid w:val="00F034D5"/>
    <w:rsid w:val="00F034F5"/>
    <w:rsid w:val="00F0385C"/>
    <w:rsid w:val="00F039B8"/>
    <w:rsid w:val="00F03B90"/>
    <w:rsid w:val="00F03C2E"/>
    <w:rsid w:val="00F041E0"/>
    <w:rsid w:val="00F04A66"/>
    <w:rsid w:val="00F04B4B"/>
    <w:rsid w:val="00F05039"/>
    <w:rsid w:val="00F0516C"/>
    <w:rsid w:val="00F052E1"/>
    <w:rsid w:val="00F05478"/>
    <w:rsid w:val="00F05489"/>
    <w:rsid w:val="00F054AE"/>
    <w:rsid w:val="00F0584B"/>
    <w:rsid w:val="00F05DEF"/>
    <w:rsid w:val="00F06363"/>
    <w:rsid w:val="00F063C7"/>
    <w:rsid w:val="00F067A2"/>
    <w:rsid w:val="00F06A63"/>
    <w:rsid w:val="00F06E2A"/>
    <w:rsid w:val="00F07222"/>
    <w:rsid w:val="00F072A5"/>
    <w:rsid w:val="00F072EE"/>
    <w:rsid w:val="00F07337"/>
    <w:rsid w:val="00F07B94"/>
    <w:rsid w:val="00F07B9E"/>
    <w:rsid w:val="00F07FA8"/>
    <w:rsid w:val="00F10006"/>
    <w:rsid w:val="00F10645"/>
    <w:rsid w:val="00F106D3"/>
    <w:rsid w:val="00F10F28"/>
    <w:rsid w:val="00F1116F"/>
    <w:rsid w:val="00F11336"/>
    <w:rsid w:val="00F11553"/>
    <w:rsid w:val="00F11840"/>
    <w:rsid w:val="00F11D23"/>
    <w:rsid w:val="00F1263A"/>
    <w:rsid w:val="00F12837"/>
    <w:rsid w:val="00F129F0"/>
    <w:rsid w:val="00F13079"/>
    <w:rsid w:val="00F1346E"/>
    <w:rsid w:val="00F13545"/>
    <w:rsid w:val="00F13767"/>
    <w:rsid w:val="00F139C5"/>
    <w:rsid w:val="00F13D55"/>
    <w:rsid w:val="00F1458B"/>
    <w:rsid w:val="00F15B68"/>
    <w:rsid w:val="00F15B77"/>
    <w:rsid w:val="00F15DD7"/>
    <w:rsid w:val="00F1658F"/>
    <w:rsid w:val="00F16590"/>
    <w:rsid w:val="00F16A6E"/>
    <w:rsid w:val="00F1720F"/>
    <w:rsid w:val="00F176DC"/>
    <w:rsid w:val="00F17A15"/>
    <w:rsid w:val="00F17CE7"/>
    <w:rsid w:val="00F202E9"/>
    <w:rsid w:val="00F203AD"/>
    <w:rsid w:val="00F207CF"/>
    <w:rsid w:val="00F2093D"/>
    <w:rsid w:val="00F20B50"/>
    <w:rsid w:val="00F20E7B"/>
    <w:rsid w:val="00F21024"/>
    <w:rsid w:val="00F21236"/>
    <w:rsid w:val="00F21317"/>
    <w:rsid w:val="00F214B9"/>
    <w:rsid w:val="00F21CF9"/>
    <w:rsid w:val="00F21E02"/>
    <w:rsid w:val="00F2236A"/>
    <w:rsid w:val="00F2247C"/>
    <w:rsid w:val="00F22725"/>
    <w:rsid w:val="00F22DD4"/>
    <w:rsid w:val="00F22E0C"/>
    <w:rsid w:val="00F22E60"/>
    <w:rsid w:val="00F234C3"/>
    <w:rsid w:val="00F2372F"/>
    <w:rsid w:val="00F23861"/>
    <w:rsid w:val="00F239DF"/>
    <w:rsid w:val="00F23A3F"/>
    <w:rsid w:val="00F23A42"/>
    <w:rsid w:val="00F23DA5"/>
    <w:rsid w:val="00F23F52"/>
    <w:rsid w:val="00F2424B"/>
    <w:rsid w:val="00F2424F"/>
    <w:rsid w:val="00F2444E"/>
    <w:rsid w:val="00F2459C"/>
    <w:rsid w:val="00F24797"/>
    <w:rsid w:val="00F24837"/>
    <w:rsid w:val="00F24EF3"/>
    <w:rsid w:val="00F25158"/>
    <w:rsid w:val="00F25494"/>
    <w:rsid w:val="00F2575F"/>
    <w:rsid w:val="00F2607D"/>
    <w:rsid w:val="00F2643F"/>
    <w:rsid w:val="00F264E7"/>
    <w:rsid w:val="00F26C11"/>
    <w:rsid w:val="00F26E6B"/>
    <w:rsid w:val="00F27153"/>
    <w:rsid w:val="00F2738C"/>
    <w:rsid w:val="00F27565"/>
    <w:rsid w:val="00F278B3"/>
    <w:rsid w:val="00F27ED6"/>
    <w:rsid w:val="00F3056A"/>
    <w:rsid w:val="00F30A55"/>
    <w:rsid w:val="00F30CEB"/>
    <w:rsid w:val="00F30F02"/>
    <w:rsid w:val="00F3102C"/>
    <w:rsid w:val="00F310C3"/>
    <w:rsid w:val="00F310D4"/>
    <w:rsid w:val="00F31C73"/>
    <w:rsid w:val="00F31D5A"/>
    <w:rsid w:val="00F31D96"/>
    <w:rsid w:val="00F3216F"/>
    <w:rsid w:val="00F3226B"/>
    <w:rsid w:val="00F32E19"/>
    <w:rsid w:val="00F32F12"/>
    <w:rsid w:val="00F33237"/>
    <w:rsid w:val="00F3371C"/>
    <w:rsid w:val="00F33975"/>
    <w:rsid w:val="00F33DE9"/>
    <w:rsid w:val="00F33E80"/>
    <w:rsid w:val="00F34589"/>
    <w:rsid w:val="00F34A28"/>
    <w:rsid w:val="00F34AB6"/>
    <w:rsid w:val="00F34D15"/>
    <w:rsid w:val="00F34D67"/>
    <w:rsid w:val="00F34DE1"/>
    <w:rsid w:val="00F34E3E"/>
    <w:rsid w:val="00F350DC"/>
    <w:rsid w:val="00F35AB1"/>
    <w:rsid w:val="00F35D63"/>
    <w:rsid w:val="00F35E6D"/>
    <w:rsid w:val="00F360BA"/>
    <w:rsid w:val="00F3619A"/>
    <w:rsid w:val="00F365E6"/>
    <w:rsid w:val="00F36609"/>
    <w:rsid w:val="00F36A39"/>
    <w:rsid w:val="00F370A1"/>
    <w:rsid w:val="00F3746B"/>
    <w:rsid w:val="00F37490"/>
    <w:rsid w:val="00F37602"/>
    <w:rsid w:val="00F37642"/>
    <w:rsid w:val="00F407F0"/>
    <w:rsid w:val="00F40805"/>
    <w:rsid w:val="00F40AAA"/>
    <w:rsid w:val="00F40BA7"/>
    <w:rsid w:val="00F40C5D"/>
    <w:rsid w:val="00F40D7C"/>
    <w:rsid w:val="00F40F9D"/>
    <w:rsid w:val="00F411A1"/>
    <w:rsid w:val="00F411B9"/>
    <w:rsid w:val="00F41296"/>
    <w:rsid w:val="00F41658"/>
    <w:rsid w:val="00F41781"/>
    <w:rsid w:val="00F419F6"/>
    <w:rsid w:val="00F41ACD"/>
    <w:rsid w:val="00F41BCF"/>
    <w:rsid w:val="00F41FA7"/>
    <w:rsid w:val="00F422C8"/>
    <w:rsid w:val="00F42304"/>
    <w:rsid w:val="00F428D3"/>
    <w:rsid w:val="00F42EBB"/>
    <w:rsid w:val="00F42F12"/>
    <w:rsid w:val="00F430E5"/>
    <w:rsid w:val="00F434FD"/>
    <w:rsid w:val="00F43600"/>
    <w:rsid w:val="00F43B13"/>
    <w:rsid w:val="00F43E1F"/>
    <w:rsid w:val="00F43EEC"/>
    <w:rsid w:val="00F44147"/>
    <w:rsid w:val="00F4425A"/>
    <w:rsid w:val="00F44812"/>
    <w:rsid w:val="00F449DE"/>
    <w:rsid w:val="00F44AA2"/>
    <w:rsid w:val="00F45020"/>
    <w:rsid w:val="00F45044"/>
    <w:rsid w:val="00F45A93"/>
    <w:rsid w:val="00F45C34"/>
    <w:rsid w:val="00F45F50"/>
    <w:rsid w:val="00F46213"/>
    <w:rsid w:val="00F46350"/>
    <w:rsid w:val="00F463E8"/>
    <w:rsid w:val="00F46530"/>
    <w:rsid w:val="00F465B5"/>
    <w:rsid w:val="00F46606"/>
    <w:rsid w:val="00F4670F"/>
    <w:rsid w:val="00F46AE3"/>
    <w:rsid w:val="00F46CB6"/>
    <w:rsid w:val="00F46FA5"/>
    <w:rsid w:val="00F471BB"/>
    <w:rsid w:val="00F4745E"/>
    <w:rsid w:val="00F4756D"/>
    <w:rsid w:val="00F47704"/>
    <w:rsid w:val="00F47761"/>
    <w:rsid w:val="00F47D54"/>
    <w:rsid w:val="00F47DE8"/>
    <w:rsid w:val="00F50013"/>
    <w:rsid w:val="00F501E3"/>
    <w:rsid w:val="00F50642"/>
    <w:rsid w:val="00F506F6"/>
    <w:rsid w:val="00F5072F"/>
    <w:rsid w:val="00F51440"/>
    <w:rsid w:val="00F514DD"/>
    <w:rsid w:val="00F514E2"/>
    <w:rsid w:val="00F514F9"/>
    <w:rsid w:val="00F51C4F"/>
    <w:rsid w:val="00F51CC7"/>
    <w:rsid w:val="00F51D43"/>
    <w:rsid w:val="00F51E36"/>
    <w:rsid w:val="00F52080"/>
    <w:rsid w:val="00F52091"/>
    <w:rsid w:val="00F52741"/>
    <w:rsid w:val="00F532EA"/>
    <w:rsid w:val="00F533C5"/>
    <w:rsid w:val="00F535A8"/>
    <w:rsid w:val="00F536C8"/>
    <w:rsid w:val="00F539EB"/>
    <w:rsid w:val="00F53CDA"/>
    <w:rsid w:val="00F53D83"/>
    <w:rsid w:val="00F53EA0"/>
    <w:rsid w:val="00F54013"/>
    <w:rsid w:val="00F5403D"/>
    <w:rsid w:val="00F54125"/>
    <w:rsid w:val="00F541B0"/>
    <w:rsid w:val="00F542C1"/>
    <w:rsid w:val="00F54324"/>
    <w:rsid w:val="00F5469E"/>
    <w:rsid w:val="00F54AC6"/>
    <w:rsid w:val="00F54B73"/>
    <w:rsid w:val="00F55059"/>
    <w:rsid w:val="00F550E3"/>
    <w:rsid w:val="00F55A4B"/>
    <w:rsid w:val="00F55DEC"/>
    <w:rsid w:val="00F55E73"/>
    <w:rsid w:val="00F55EDA"/>
    <w:rsid w:val="00F56B8F"/>
    <w:rsid w:val="00F56C80"/>
    <w:rsid w:val="00F57639"/>
    <w:rsid w:val="00F57BE3"/>
    <w:rsid w:val="00F57F71"/>
    <w:rsid w:val="00F60092"/>
    <w:rsid w:val="00F60109"/>
    <w:rsid w:val="00F61371"/>
    <w:rsid w:val="00F61C18"/>
    <w:rsid w:val="00F61E4F"/>
    <w:rsid w:val="00F623CE"/>
    <w:rsid w:val="00F6273A"/>
    <w:rsid w:val="00F628F9"/>
    <w:rsid w:val="00F62BB6"/>
    <w:rsid w:val="00F62F45"/>
    <w:rsid w:val="00F63355"/>
    <w:rsid w:val="00F63454"/>
    <w:rsid w:val="00F63523"/>
    <w:rsid w:val="00F636F0"/>
    <w:rsid w:val="00F6377D"/>
    <w:rsid w:val="00F63E56"/>
    <w:rsid w:val="00F63F86"/>
    <w:rsid w:val="00F640D7"/>
    <w:rsid w:val="00F6431F"/>
    <w:rsid w:val="00F64A64"/>
    <w:rsid w:val="00F64C68"/>
    <w:rsid w:val="00F64DE6"/>
    <w:rsid w:val="00F64FCB"/>
    <w:rsid w:val="00F650FE"/>
    <w:rsid w:val="00F657AB"/>
    <w:rsid w:val="00F658D5"/>
    <w:rsid w:val="00F65B7C"/>
    <w:rsid w:val="00F65B93"/>
    <w:rsid w:val="00F65F4B"/>
    <w:rsid w:val="00F65FC7"/>
    <w:rsid w:val="00F6608A"/>
    <w:rsid w:val="00F661C8"/>
    <w:rsid w:val="00F6628F"/>
    <w:rsid w:val="00F6681A"/>
    <w:rsid w:val="00F6691C"/>
    <w:rsid w:val="00F67605"/>
    <w:rsid w:val="00F67A1D"/>
    <w:rsid w:val="00F67A69"/>
    <w:rsid w:val="00F67A78"/>
    <w:rsid w:val="00F67BED"/>
    <w:rsid w:val="00F67C12"/>
    <w:rsid w:val="00F67CC1"/>
    <w:rsid w:val="00F70330"/>
    <w:rsid w:val="00F703E6"/>
    <w:rsid w:val="00F70449"/>
    <w:rsid w:val="00F70848"/>
    <w:rsid w:val="00F70989"/>
    <w:rsid w:val="00F70BFF"/>
    <w:rsid w:val="00F70C9D"/>
    <w:rsid w:val="00F70E00"/>
    <w:rsid w:val="00F71296"/>
    <w:rsid w:val="00F71484"/>
    <w:rsid w:val="00F715B7"/>
    <w:rsid w:val="00F718C6"/>
    <w:rsid w:val="00F71D3B"/>
    <w:rsid w:val="00F7290A"/>
    <w:rsid w:val="00F72C6E"/>
    <w:rsid w:val="00F73102"/>
    <w:rsid w:val="00F73518"/>
    <w:rsid w:val="00F7381E"/>
    <w:rsid w:val="00F739C4"/>
    <w:rsid w:val="00F73A64"/>
    <w:rsid w:val="00F73E08"/>
    <w:rsid w:val="00F73F3B"/>
    <w:rsid w:val="00F73FC0"/>
    <w:rsid w:val="00F74197"/>
    <w:rsid w:val="00F7476E"/>
    <w:rsid w:val="00F74CD9"/>
    <w:rsid w:val="00F74FF1"/>
    <w:rsid w:val="00F750FC"/>
    <w:rsid w:val="00F757FA"/>
    <w:rsid w:val="00F75E20"/>
    <w:rsid w:val="00F75E61"/>
    <w:rsid w:val="00F76366"/>
    <w:rsid w:val="00F768F2"/>
    <w:rsid w:val="00F76972"/>
    <w:rsid w:val="00F773A4"/>
    <w:rsid w:val="00F777CF"/>
    <w:rsid w:val="00F778ED"/>
    <w:rsid w:val="00F779EC"/>
    <w:rsid w:val="00F77A81"/>
    <w:rsid w:val="00F77B27"/>
    <w:rsid w:val="00F801EA"/>
    <w:rsid w:val="00F807C8"/>
    <w:rsid w:val="00F80A7B"/>
    <w:rsid w:val="00F80DED"/>
    <w:rsid w:val="00F80E5D"/>
    <w:rsid w:val="00F81252"/>
    <w:rsid w:val="00F812E4"/>
    <w:rsid w:val="00F81E78"/>
    <w:rsid w:val="00F8223C"/>
    <w:rsid w:val="00F825C4"/>
    <w:rsid w:val="00F82627"/>
    <w:rsid w:val="00F8278B"/>
    <w:rsid w:val="00F828C7"/>
    <w:rsid w:val="00F82ACF"/>
    <w:rsid w:val="00F82B4B"/>
    <w:rsid w:val="00F83905"/>
    <w:rsid w:val="00F83916"/>
    <w:rsid w:val="00F83B61"/>
    <w:rsid w:val="00F83C92"/>
    <w:rsid w:val="00F84169"/>
    <w:rsid w:val="00F844C7"/>
    <w:rsid w:val="00F8481B"/>
    <w:rsid w:val="00F851CE"/>
    <w:rsid w:val="00F851FA"/>
    <w:rsid w:val="00F854AE"/>
    <w:rsid w:val="00F8569F"/>
    <w:rsid w:val="00F85C81"/>
    <w:rsid w:val="00F85FDF"/>
    <w:rsid w:val="00F86E5E"/>
    <w:rsid w:val="00F86F56"/>
    <w:rsid w:val="00F87001"/>
    <w:rsid w:val="00F87025"/>
    <w:rsid w:val="00F87231"/>
    <w:rsid w:val="00F87575"/>
    <w:rsid w:val="00F87585"/>
    <w:rsid w:val="00F87B30"/>
    <w:rsid w:val="00F9005F"/>
    <w:rsid w:val="00F9026E"/>
    <w:rsid w:val="00F905B3"/>
    <w:rsid w:val="00F90995"/>
    <w:rsid w:val="00F90A51"/>
    <w:rsid w:val="00F90AD6"/>
    <w:rsid w:val="00F90B06"/>
    <w:rsid w:val="00F91219"/>
    <w:rsid w:val="00F9165B"/>
    <w:rsid w:val="00F917EB"/>
    <w:rsid w:val="00F91C46"/>
    <w:rsid w:val="00F91CC3"/>
    <w:rsid w:val="00F91DDC"/>
    <w:rsid w:val="00F92444"/>
    <w:rsid w:val="00F9260D"/>
    <w:rsid w:val="00F92771"/>
    <w:rsid w:val="00F92AD0"/>
    <w:rsid w:val="00F92FA8"/>
    <w:rsid w:val="00F931DA"/>
    <w:rsid w:val="00F93475"/>
    <w:rsid w:val="00F93613"/>
    <w:rsid w:val="00F9387E"/>
    <w:rsid w:val="00F9393E"/>
    <w:rsid w:val="00F939FB"/>
    <w:rsid w:val="00F93C89"/>
    <w:rsid w:val="00F93DF5"/>
    <w:rsid w:val="00F93F49"/>
    <w:rsid w:val="00F94307"/>
    <w:rsid w:val="00F943FD"/>
    <w:rsid w:val="00F9448D"/>
    <w:rsid w:val="00F9483B"/>
    <w:rsid w:val="00F94885"/>
    <w:rsid w:val="00F948C0"/>
    <w:rsid w:val="00F949B6"/>
    <w:rsid w:val="00F950F7"/>
    <w:rsid w:val="00F95481"/>
    <w:rsid w:val="00F9575D"/>
    <w:rsid w:val="00F95BA0"/>
    <w:rsid w:val="00F95C09"/>
    <w:rsid w:val="00F96E95"/>
    <w:rsid w:val="00F96FD0"/>
    <w:rsid w:val="00F97416"/>
    <w:rsid w:val="00F97854"/>
    <w:rsid w:val="00F97A78"/>
    <w:rsid w:val="00F97AFC"/>
    <w:rsid w:val="00F97F91"/>
    <w:rsid w:val="00FA02A2"/>
    <w:rsid w:val="00FA0975"/>
    <w:rsid w:val="00FA0B20"/>
    <w:rsid w:val="00FA0C8A"/>
    <w:rsid w:val="00FA104F"/>
    <w:rsid w:val="00FA179B"/>
    <w:rsid w:val="00FA1FE7"/>
    <w:rsid w:val="00FA200B"/>
    <w:rsid w:val="00FA24E7"/>
    <w:rsid w:val="00FA3143"/>
    <w:rsid w:val="00FA32FE"/>
    <w:rsid w:val="00FA33AF"/>
    <w:rsid w:val="00FA3665"/>
    <w:rsid w:val="00FA386C"/>
    <w:rsid w:val="00FA39A3"/>
    <w:rsid w:val="00FA3FC3"/>
    <w:rsid w:val="00FA4012"/>
    <w:rsid w:val="00FA4199"/>
    <w:rsid w:val="00FA47CA"/>
    <w:rsid w:val="00FA496C"/>
    <w:rsid w:val="00FA4F5D"/>
    <w:rsid w:val="00FA5195"/>
    <w:rsid w:val="00FA554D"/>
    <w:rsid w:val="00FA5A40"/>
    <w:rsid w:val="00FA5A7E"/>
    <w:rsid w:val="00FA5B08"/>
    <w:rsid w:val="00FA5E39"/>
    <w:rsid w:val="00FA5EE6"/>
    <w:rsid w:val="00FA5F8E"/>
    <w:rsid w:val="00FA60B7"/>
    <w:rsid w:val="00FA62B0"/>
    <w:rsid w:val="00FA6999"/>
    <w:rsid w:val="00FA6D17"/>
    <w:rsid w:val="00FA73EB"/>
    <w:rsid w:val="00FA7956"/>
    <w:rsid w:val="00FA7D19"/>
    <w:rsid w:val="00FA7D49"/>
    <w:rsid w:val="00FB0824"/>
    <w:rsid w:val="00FB098E"/>
    <w:rsid w:val="00FB0A59"/>
    <w:rsid w:val="00FB0CE5"/>
    <w:rsid w:val="00FB11DD"/>
    <w:rsid w:val="00FB12BC"/>
    <w:rsid w:val="00FB170B"/>
    <w:rsid w:val="00FB171D"/>
    <w:rsid w:val="00FB17A6"/>
    <w:rsid w:val="00FB1C75"/>
    <w:rsid w:val="00FB2135"/>
    <w:rsid w:val="00FB2857"/>
    <w:rsid w:val="00FB2A7B"/>
    <w:rsid w:val="00FB2CBC"/>
    <w:rsid w:val="00FB2E82"/>
    <w:rsid w:val="00FB2F85"/>
    <w:rsid w:val="00FB2FCB"/>
    <w:rsid w:val="00FB3456"/>
    <w:rsid w:val="00FB3612"/>
    <w:rsid w:val="00FB3C61"/>
    <w:rsid w:val="00FB41B8"/>
    <w:rsid w:val="00FB43D1"/>
    <w:rsid w:val="00FB45BE"/>
    <w:rsid w:val="00FB4704"/>
    <w:rsid w:val="00FB4C9C"/>
    <w:rsid w:val="00FB4ED4"/>
    <w:rsid w:val="00FB570E"/>
    <w:rsid w:val="00FB5894"/>
    <w:rsid w:val="00FB593C"/>
    <w:rsid w:val="00FB6B5A"/>
    <w:rsid w:val="00FB6E30"/>
    <w:rsid w:val="00FB7429"/>
    <w:rsid w:val="00FB74DB"/>
    <w:rsid w:val="00FB7823"/>
    <w:rsid w:val="00FB7B47"/>
    <w:rsid w:val="00FB7C55"/>
    <w:rsid w:val="00FC023D"/>
    <w:rsid w:val="00FC0D38"/>
    <w:rsid w:val="00FC1074"/>
    <w:rsid w:val="00FC1884"/>
    <w:rsid w:val="00FC2207"/>
    <w:rsid w:val="00FC2506"/>
    <w:rsid w:val="00FC274F"/>
    <w:rsid w:val="00FC310D"/>
    <w:rsid w:val="00FC371D"/>
    <w:rsid w:val="00FC43BA"/>
    <w:rsid w:val="00FC4493"/>
    <w:rsid w:val="00FC469F"/>
    <w:rsid w:val="00FC46A4"/>
    <w:rsid w:val="00FC494A"/>
    <w:rsid w:val="00FC4D07"/>
    <w:rsid w:val="00FC4D34"/>
    <w:rsid w:val="00FC4E3E"/>
    <w:rsid w:val="00FC505D"/>
    <w:rsid w:val="00FC56DB"/>
    <w:rsid w:val="00FC5838"/>
    <w:rsid w:val="00FC5941"/>
    <w:rsid w:val="00FC5A99"/>
    <w:rsid w:val="00FC5F0B"/>
    <w:rsid w:val="00FC6086"/>
    <w:rsid w:val="00FC6375"/>
    <w:rsid w:val="00FC68E6"/>
    <w:rsid w:val="00FC6B20"/>
    <w:rsid w:val="00FC6E20"/>
    <w:rsid w:val="00FC7AE3"/>
    <w:rsid w:val="00FD0604"/>
    <w:rsid w:val="00FD0AEC"/>
    <w:rsid w:val="00FD0CBB"/>
    <w:rsid w:val="00FD0FC5"/>
    <w:rsid w:val="00FD1800"/>
    <w:rsid w:val="00FD1F9F"/>
    <w:rsid w:val="00FD2100"/>
    <w:rsid w:val="00FD24B3"/>
    <w:rsid w:val="00FD2BD8"/>
    <w:rsid w:val="00FD30C1"/>
    <w:rsid w:val="00FD3230"/>
    <w:rsid w:val="00FD34F3"/>
    <w:rsid w:val="00FD3531"/>
    <w:rsid w:val="00FD3562"/>
    <w:rsid w:val="00FD3585"/>
    <w:rsid w:val="00FD3ADC"/>
    <w:rsid w:val="00FD4365"/>
    <w:rsid w:val="00FD436C"/>
    <w:rsid w:val="00FD446D"/>
    <w:rsid w:val="00FD4649"/>
    <w:rsid w:val="00FD47FE"/>
    <w:rsid w:val="00FD48E7"/>
    <w:rsid w:val="00FD4ED6"/>
    <w:rsid w:val="00FD4F2C"/>
    <w:rsid w:val="00FD509D"/>
    <w:rsid w:val="00FD50F7"/>
    <w:rsid w:val="00FD5323"/>
    <w:rsid w:val="00FD5412"/>
    <w:rsid w:val="00FD5789"/>
    <w:rsid w:val="00FD58B5"/>
    <w:rsid w:val="00FD59F6"/>
    <w:rsid w:val="00FD6245"/>
    <w:rsid w:val="00FD6394"/>
    <w:rsid w:val="00FD670F"/>
    <w:rsid w:val="00FD67FF"/>
    <w:rsid w:val="00FD69BB"/>
    <w:rsid w:val="00FD6A49"/>
    <w:rsid w:val="00FD70BF"/>
    <w:rsid w:val="00FD7CA9"/>
    <w:rsid w:val="00FD7D50"/>
    <w:rsid w:val="00FD7E7D"/>
    <w:rsid w:val="00FD7FFD"/>
    <w:rsid w:val="00FE05B8"/>
    <w:rsid w:val="00FE06D2"/>
    <w:rsid w:val="00FE0725"/>
    <w:rsid w:val="00FE0971"/>
    <w:rsid w:val="00FE0E6C"/>
    <w:rsid w:val="00FE0FBB"/>
    <w:rsid w:val="00FE0FE9"/>
    <w:rsid w:val="00FE1111"/>
    <w:rsid w:val="00FE1205"/>
    <w:rsid w:val="00FE14EA"/>
    <w:rsid w:val="00FE1528"/>
    <w:rsid w:val="00FE176C"/>
    <w:rsid w:val="00FE1A53"/>
    <w:rsid w:val="00FE1CDC"/>
    <w:rsid w:val="00FE1D9A"/>
    <w:rsid w:val="00FE1FA9"/>
    <w:rsid w:val="00FE21B8"/>
    <w:rsid w:val="00FE23E4"/>
    <w:rsid w:val="00FE25E2"/>
    <w:rsid w:val="00FE2B56"/>
    <w:rsid w:val="00FE2BDF"/>
    <w:rsid w:val="00FE2CF1"/>
    <w:rsid w:val="00FE2D9D"/>
    <w:rsid w:val="00FE2ED6"/>
    <w:rsid w:val="00FE3441"/>
    <w:rsid w:val="00FE3610"/>
    <w:rsid w:val="00FE3E16"/>
    <w:rsid w:val="00FE4501"/>
    <w:rsid w:val="00FE4509"/>
    <w:rsid w:val="00FE4E01"/>
    <w:rsid w:val="00FE4F94"/>
    <w:rsid w:val="00FE564A"/>
    <w:rsid w:val="00FE5E31"/>
    <w:rsid w:val="00FE6172"/>
    <w:rsid w:val="00FE65EC"/>
    <w:rsid w:val="00FE67EF"/>
    <w:rsid w:val="00FE68F4"/>
    <w:rsid w:val="00FE6F36"/>
    <w:rsid w:val="00FE70C3"/>
    <w:rsid w:val="00FE7610"/>
    <w:rsid w:val="00FE7EDF"/>
    <w:rsid w:val="00FE7F5C"/>
    <w:rsid w:val="00FF006A"/>
    <w:rsid w:val="00FF068D"/>
    <w:rsid w:val="00FF0A5A"/>
    <w:rsid w:val="00FF0B66"/>
    <w:rsid w:val="00FF0F22"/>
    <w:rsid w:val="00FF101B"/>
    <w:rsid w:val="00FF14BA"/>
    <w:rsid w:val="00FF1A8B"/>
    <w:rsid w:val="00FF1C9E"/>
    <w:rsid w:val="00FF2061"/>
    <w:rsid w:val="00FF208C"/>
    <w:rsid w:val="00FF2746"/>
    <w:rsid w:val="00FF2AD9"/>
    <w:rsid w:val="00FF2E91"/>
    <w:rsid w:val="00FF32AC"/>
    <w:rsid w:val="00FF3312"/>
    <w:rsid w:val="00FF359F"/>
    <w:rsid w:val="00FF37FB"/>
    <w:rsid w:val="00FF3DCF"/>
    <w:rsid w:val="00FF42BC"/>
    <w:rsid w:val="00FF42BE"/>
    <w:rsid w:val="00FF4446"/>
    <w:rsid w:val="00FF4815"/>
    <w:rsid w:val="00FF492C"/>
    <w:rsid w:val="00FF4A21"/>
    <w:rsid w:val="00FF4A61"/>
    <w:rsid w:val="00FF4A8D"/>
    <w:rsid w:val="00FF4AB0"/>
    <w:rsid w:val="00FF5427"/>
    <w:rsid w:val="00FF54C8"/>
    <w:rsid w:val="00FF5AA3"/>
    <w:rsid w:val="00FF5AD8"/>
    <w:rsid w:val="00FF5DB4"/>
    <w:rsid w:val="00FF6C65"/>
    <w:rsid w:val="00FF6C8C"/>
    <w:rsid w:val="00FF6E56"/>
    <w:rsid w:val="00FF6FE5"/>
    <w:rsid w:val="00FF7075"/>
    <w:rsid w:val="00FF711D"/>
    <w:rsid w:val="00FF71A5"/>
    <w:rsid w:val="00FF7388"/>
    <w:rsid w:val="00FF76B3"/>
    <w:rsid w:val="00FF79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E3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96EAA"/>
    <w:pPr>
      <w:keepNext/>
      <w:spacing w:after="240"/>
      <w:outlineLvl w:val="2"/>
    </w:pPr>
    <w:rPr>
      <w:b/>
      <w:iCs/>
      <w:sz w:val="28"/>
    </w:rPr>
  </w:style>
  <w:style w:type="paragraph" w:styleId="ListParagraph">
    <w:name w:val="List Paragraph"/>
    <w:aliases w:val="Bullet List,Table Legend,Bullet1,Bullet 1,Section 5,Numbered para,BulletPoints,Styl moj,Akapit z listą11,List Paragraph1,Bullet point,List Paragraph11,Recommendation,L,Bullet Point,Bulletr List Paragraph,Content descriptions,Footer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ullet List Char,Table Legend Char,Bullet1 Char,Bullet 1 Char,Section 5 Char,Numbered para Char,BulletPoints Char,Styl moj Char,Akapit z listą11 Char,List Paragraph1 Char,Bullet point Char,List Paragraph11 Char,Recommendation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D719E"/>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96EAA"/>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1"/>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6A74CB"/>
    <w:rPr>
      <w:color w:val="0000FF" w:themeColor="hyperlink"/>
      <w:u w:val="single"/>
    </w:rPr>
  </w:style>
  <w:style w:type="paragraph" w:styleId="TOC4">
    <w:name w:val="toc 4"/>
    <w:basedOn w:val="Normal"/>
    <w:next w:val="Normal"/>
    <w:autoRedefine/>
    <w:uiPriority w:val="39"/>
    <w:unhideWhenUsed/>
    <w:rsid w:val="006A74CB"/>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A74CB"/>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A74CB"/>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A74CB"/>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A74CB"/>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A74CB"/>
    <w:pPr>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6A74CB"/>
    <w:rPr>
      <w:color w:val="605E5C"/>
      <w:shd w:val="clear" w:color="auto" w:fill="E1DFDD"/>
    </w:rPr>
  </w:style>
  <w:style w:type="table" w:customStyle="1" w:styleId="TableGrid3">
    <w:name w:val="Table Grid3"/>
    <w:basedOn w:val="TableNormal"/>
    <w:next w:val="TableGrid"/>
    <w:rsid w:val="009018B8"/>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FDF"/>
    <w:rPr>
      <w:sz w:val="16"/>
      <w:szCs w:val="16"/>
    </w:rPr>
  </w:style>
  <w:style w:type="paragraph" w:styleId="CommentText">
    <w:name w:val="annotation text"/>
    <w:basedOn w:val="Normal"/>
    <w:link w:val="CommentTextChar"/>
    <w:uiPriority w:val="99"/>
    <w:unhideWhenUsed/>
    <w:rsid w:val="00F85FDF"/>
    <w:rPr>
      <w:sz w:val="20"/>
      <w:szCs w:val="20"/>
    </w:rPr>
  </w:style>
  <w:style w:type="character" w:customStyle="1" w:styleId="CommentTextChar">
    <w:name w:val="Comment Text Char"/>
    <w:basedOn w:val="DefaultParagraphFont"/>
    <w:link w:val="CommentText"/>
    <w:uiPriority w:val="99"/>
    <w:rsid w:val="00F85FDF"/>
    <w:rPr>
      <w:rFonts w:ascii="Calibri" w:hAnsi="Calibri" w:cs="Arial"/>
    </w:rPr>
  </w:style>
  <w:style w:type="paragraph" w:styleId="CommentSubject">
    <w:name w:val="annotation subject"/>
    <w:basedOn w:val="CommentText"/>
    <w:next w:val="CommentText"/>
    <w:link w:val="CommentSubjectChar"/>
    <w:semiHidden/>
    <w:unhideWhenUsed/>
    <w:rsid w:val="00F85FDF"/>
    <w:rPr>
      <w:b/>
      <w:bCs/>
    </w:rPr>
  </w:style>
  <w:style w:type="character" w:customStyle="1" w:styleId="CommentSubjectChar">
    <w:name w:val="Comment Subject Char"/>
    <w:basedOn w:val="CommentTextChar"/>
    <w:link w:val="CommentSubject"/>
    <w:semiHidden/>
    <w:rsid w:val="00F85FDF"/>
    <w:rPr>
      <w:rFonts w:ascii="Calibri" w:hAnsi="Calibri" w:cs="Arial"/>
      <w:b/>
      <w:bCs/>
    </w:rPr>
  </w:style>
  <w:style w:type="character" w:styleId="PlaceholderText">
    <w:name w:val="Placeholder Text"/>
    <w:basedOn w:val="DefaultParagraphFont"/>
    <w:uiPriority w:val="99"/>
    <w:semiHidden/>
    <w:rsid w:val="00B877C2"/>
    <w:rPr>
      <w:color w:val="808080"/>
    </w:rPr>
  </w:style>
  <w:style w:type="paragraph" w:styleId="Header">
    <w:name w:val="header"/>
    <w:aliases w:val="Page Header,Header title,he=header,cntr/bld"/>
    <w:basedOn w:val="Normal"/>
    <w:link w:val="HeaderChar"/>
    <w:uiPriority w:val="99"/>
    <w:unhideWhenUsed/>
    <w:qFormat/>
    <w:rsid w:val="00697952"/>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97952"/>
    <w:rPr>
      <w:rFonts w:ascii="Calibri" w:hAnsi="Calibri" w:cs="Arial"/>
      <w:sz w:val="24"/>
      <w:szCs w:val="24"/>
    </w:rPr>
  </w:style>
  <w:style w:type="paragraph" w:styleId="Footer">
    <w:name w:val="footer"/>
    <w:basedOn w:val="Normal"/>
    <w:link w:val="FooterChar"/>
    <w:uiPriority w:val="99"/>
    <w:unhideWhenUsed/>
    <w:rsid w:val="00697952"/>
    <w:pPr>
      <w:tabs>
        <w:tab w:val="center" w:pos="4513"/>
        <w:tab w:val="right" w:pos="9026"/>
      </w:tabs>
    </w:pPr>
  </w:style>
  <w:style w:type="character" w:customStyle="1" w:styleId="FooterChar">
    <w:name w:val="Footer Char"/>
    <w:basedOn w:val="DefaultParagraphFont"/>
    <w:link w:val="Footer"/>
    <w:uiPriority w:val="99"/>
    <w:rsid w:val="00697952"/>
    <w:rPr>
      <w:rFonts w:ascii="Calibri" w:hAnsi="Calibri" w:cs="Arial"/>
      <w:sz w:val="24"/>
      <w:szCs w:val="24"/>
    </w:rPr>
  </w:style>
  <w:style w:type="paragraph" w:styleId="Caption">
    <w:name w:val="caption"/>
    <w:basedOn w:val="Normal"/>
    <w:next w:val="Normal"/>
    <w:semiHidden/>
    <w:unhideWhenUsed/>
    <w:rsid w:val="005F4BC3"/>
    <w:pPr>
      <w:spacing w:after="200"/>
    </w:pPr>
    <w:rPr>
      <w:i/>
      <w:iCs/>
      <w:color w:val="1F497D" w:themeColor="text2"/>
      <w:sz w:val="18"/>
      <w:szCs w:val="18"/>
    </w:rPr>
  </w:style>
  <w:style w:type="paragraph" w:customStyle="1" w:styleId="5-SubsectionSubheading">
    <w:name w:val="5-Subsection Subheading"/>
    <w:basedOn w:val="Heading3"/>
    <w:next w:val="Normal"/>
    <w:link w:val="5-SubsectionSubheadingChar"/>
    <w:qFormat/>
    <w:rsid w:val="008750D5"/>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8750D5"/>
    <w:rPr>
      <w:rFonts w:asciiTheme="minorHAnsi" w:eastAsiaTheme="majorEastAsia" w:hAnsiTheme="minorHAnsi" w:cstheme="majorBidi"/>
      <w:b/>
      <w:color w:val="000000" w:themeColor="text1"/>
      <w:sz w:val="24"/>
      <w:szCs w:val="24"/>
    </w:rPr>
  </w:style>
  <w:style w:type="paragraph" w:styleId="NormalWeb">
    <w:name w:val="Normal (Web)"/>
    <w:basedOn w:val="Normal"/>
    <w:rsid w:val="00DE2150"/>
    <w:pPr>
      <w:spacing w:before="100" w:beforeAutospacing="1" w:after="100" w:afterAutospacing="1"/>
      <w:jc w:val="left"/>
    </w:pPr>
    <w:rPr>
      <w:rFonts w:ascii="Times New Roman" w:hAnsi="Times New Roman" w:cs="Times New Roman"/>
    </w:rPr>
  </w:style>
  <w:style w:type="paragraph" w:customStyle="1" w:styleId="PBACHeading1">
    <w:name w:val="PBAC Heading 1"/>
    <w:qFormat/>
    <w:rsid w:val="00A27E0D"/>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BC6681"/>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896124"/>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96124"/>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F6377D"/>
    <w:rPr>
      <w:sz w:val="24"/>
      <w:szCs w:val="24"/>
      <w:lang w:eastAsia="en-US"/>
    </w:rPr>
  </w:style>
  <w:style w:type="paragraph" w:customStyle="1" w:styleId="2-SectionHeading">
    <w:name w:val="2-Section Heading"/>
    <w:qFormat/>
    <w:rsid w:val="00F6377D"/>
    <w:pPr>
      <w:keepNext/>
      <w:spacing w:before="240" w:after="120"/>
      <w:outlineLvl w:val="1"/>
    </w:pPr>
    <w:rPr>
      <w:rFonts w:asciiTheme="minorHAnsi" w:hAnsiTheme="minorHAnsi" w:cs="Arial"/>
      <w:b/>
      <w:snapToGrid w:val="0"/>
      <w:sz w:val="32"/>
      <w:szCs w:val="32"/>
    </w:rPr>
  </w:style>
  <w:style w:type="character" w:styleId="FootnoteReference">
    <w:name w:val="footnote reference"/>
    <w:basedOn w:val="DefaultParagraphFont"/>
    <w:semiHidden/>
    <w:unhideWhenUsed/>
    <w:rsid w:val="00D94DC3"/>
    <w:rPr>
      <w:vertAlign w:val="superscript"/>
    </w:rPr>
  </w:style>
  <w:style w:type="paragraph" w:customStyle="1" w:styleId="Tabletitle">
    <w:name w:val="Table title"/>
    <w:basedOn w:val="Normal"/>
    <w:link w:val="TabletitleChar"/>
    <w:qFormat/>
    <w:rsid w:val="00D94DC3"/>
    <w:pPr>
      <w:jc w:val="left"/>
    </w:pPr>
    <w:rPr>
      <w:rFonts w:ascii="Arial Narrow" w:eastAsia="Calibri" w:hAnsi="Arial Narrow"/>
      <w:b/>
      <w:sz w:val="20"/>
      <w:szCs w:val="20"/>
    </w:rPr>
  </w:style>
  <w:style w:type="character" w:customStyle="1" w:styleId="TabletitleChar">
    <w:name w:val="Table title Char"/>
    <w:basedOn w:val="DefaultParagraphFont"/>
    <w:link w:val="Tabletitle"/>
    <w:rsid w:val="00D94DC3"/>
    <w:rPr>
      <w:rFonts w:ascii="Arial Narrow" w:eastAsia="Calibri" w:hAnsi="Arial Narrow" w:cs="Arial"/>
      <w:b/>
    </w:rPr>
  </w:style>
  <w:style w:type="paragraph" w:customStyle="1" w:styleId="TableFigureHeading">
    <w:name w:val="Table/Figure Heading"/>
    <w:next w:val="Normal"/>
    <w:link w:val="TableFigureHeadingChar"/>
    <w:qFormat/>
    <w:rsid w:val="006D026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D0263"/>
    <w:rPr>
      <w:rFonts w:ascii="Arial Narrow" w:eastAsiaTheme="majorEastAsia" w:hAnsi="Arial Narrow" w:cstheme="majorBidi"/>
      <w:b/>
      <w:bCs/>
      <w:szCs w:val="24"/>
    </w:rPr>
  </w:style>
  <w:style w:type="paragraph" w:customStyle="1" w:styleId="Numberbullet2">
    <w:name w:val="Number bullet 2"/>
    <w:basedOn w:val="ListBullet2"/>
    <w:qFormat/>
    <w:rsid w:val="002D76F2"/>
    <w:pPr>
      <w:numPr>
        <w:numId w:val="0"/>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2D76F2"/>
    <w:pPr>
      <w:numPr>
        <w:numId w:val="0"/>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2D76F2"/>
    <w:pPr>
      <w:numPr>
        <w:numId w:val="26"/>
      </w:numPr>
    </w:pPr>
  </w:style>
  <w:style w:type="paragraph" w:styleId="ListBullet2">
    <w:name w:val="List Bullet 2"/>
    <w:basedOn w:val="Normal"/>
    <w:semiHidden/>
    <w:unhideWhenUsed/>
    <w:rsid w:val="002D76F2"/>
    <w:pPr>
      <w:numPr>
        <w:numId w:val="26"/>
      </w:numPr>
      <w:contextualSpacing/>
    </w:pPr>
  </w:style>
  <w:style w:type="paragraph" w:styleId="ListBullet3">
    <w:name w:val="List Bullet 3"/>
    <w:basedOn w:val="Normal"/>
    <w:semiHidden/>
    <w:unhideWhenUsed/>
    <w:rsid w:val="002D76F2"/>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0894773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rvicesaustrali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16267</Words>
  <Characters>90450</Characters>
  <Application>Microsoft Office Word</Application>
  <DocSecurity>0</DocSecurity>
  <Lines>2444</Lines>
  <Paragraphs>1569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2024-06-13T03:49:00Z</dcterms:created>
  <dcterms:modified xsi:type="dcterms:W3CDTF">2024-07-03T04:56:00Z</dcterms:modified>
</cp:coreProperties>
</file>