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2867B14B" w:rsidR="00872E8F" w:rsidRPr="009C0C6D" w:rsidRDefault="007F5838" w:rsidP="00C634D8">
      <w:pPr>
        <w:pStyle w:val="1MainTitle"/>
        <w:jc w:val="left"/>
      </w:pPr>
      <w:r w:rsidRPr="009C0C6D">
        <w:t>5.21</w:t>
      </w:r>
      <w:r w:rsidR="00872E8F" w:rsidRPr="009C0C6D">
        <w:tab/>
      </w:r>
      <w:r w:rsidRPr="009C0C6D">
        <w:t>BEVACIZUMAB</w:t>
      </w:r>
      <w:r w:rsidR="70971A32" w:rsidRPr="009C0C6D">
        <w:t>,</w:t>
      </w:r>
      <w:r w:rsidR="00F27755" w:rsidRPr="009C0C6D">
        <w:br/>
      </w:r>
      <w:r w:rsidR="00286EB5" w:rsidRPr="009C0C6D">
        <w:t>Solution for I.V. infusion 100 mg in 4 mL,</w:t>
      </w:r>
      <w:r w:rsidR="00F27755" w:rsidRPr="009C0C6D">
        <w:br/>
      </w:r>
      <w:r w:rsidR="00286EB5" w:rsidRPr="009C0C6D">
        <w:t>Solution for I.V. infusion 400 mg in 16 mL</w:t>
      </w:r>
      <w:r w:rsidR="70971A32" w:rsidRPr="009C0C6D">
        <w:t>,</w:t>
      </w:r>
      <w:r w:rsidR="00F27755" w:rsidRPr="009C0C6D">
        <w:br/>
      </w:r>
      <w:r w:rsidR="00406252" w:rsidRPr="009C0C6D">
        <w:t>Vegzelma</w:t>
      </w:r>
      <w:r w:rsidR="70971A32" w:rsidRPr="009C0C6D">
        <w:t>®,</w:t>
      </w:r>
      <w:r w:rsidR="00F27755" w:rsidRPr="009C0C6D">
        <w:br/>
      </w:r>
      <w:r w:rsidR="007831F4" w:rsidRPr="009C0C6D">
        <w:t>Celltrion Healthcare Australia Pty Ltd</w:t>
      </w:r>
    </w:p>
    <w:p w14:paraId="5F4D54C1" w14:textId="41E8155C" w:rsidR="00E11F44" w:rsidRPr="009C0C6D" w:rsidRDefault="007E490F" w:rsidP="00F00002">
      <w:pPr>
        <w:pStyle w:val="2-SectionHeading"/>
        <w:rPr>
          <w:rFonts w:cstheme="minorHAnsi"/>
          <w:color w:val="FF0000"/>
        </w:rPr>
      </w:pPr>
      <w:r w:rsidRPr="009C0C6D">
        <w:t xml:space="preserve">Purpose of </w:t>
      </w:r>
      <w:r w:rsidR="00FA0B04" w:rsidRPr="009C0C6D">
        <w:t>Submission</w:t>
      </w:r>
      <w:r w:rsidRPr="009C0C6D">
        <w:t xml:space="preserve"> </w:t>
      </w:r>
    </w:p>
    <w:p w14:paraId="48B5DA3D" w14:textId="41FD0D4F" w:rsidR="004515D3" w:rsidRPr="009C0C6D" w:rsidRDefault="006C6C10" w:rsidP="00E456FD">
      <w:pPr>
        <w:pStyle w:val="3Bodytext"/>
      </w:pPr>
      <w:r w:rsidRPr="009C0C6D">
        <w:t xml:space="preserve">The Category </w:t>
      </w:r>
      <w:r w:rsidR="007C32BF" w:rsidRPr="009C0C6D">
        <w:t>3</w:t>
      </w:r>
      <w:r w:rsidRPr="009C0C6D">
        <w:t xml:space="preserve"> submission </w:t>
      </w:r>
      <w:r w:rsidR="00244BEC" w:rsidRPr="009C0C6D">
        <w:t>requested</w:t>
      </w:r>
      <w:r w:rsidRPr="009C0C6D">
        <w:t xml:space="preserve"> </w:t>
      </w:r>
      <w:r w:rsidR="00DC6AD6" w:rsidRPr="009C0C6D">
        <w:t xml:space="preserve">a </w:t>
      </w:r>
      <w:r w:rsidR="00467A01" w:rsidRPr="009C0C6D">
        <w:t>Section 100 Efficient Funding of Chemotherapy Program (EFC), U</w:t>
      </w:r>
      <w:r w:rsidR="00C010B7" w:rsidRPr="009C0C6D">
        <w:t xml:space="preserve">nrestricted Benefit listing of </w:t>
      </w:r>
      <w:r w:rsidR="002A5FA3">
        <w:t xml:space="preserve">a new biosimilar brand of </w:t>
      </w:r>
      <w:r w:rsidR="00C010B7" w:rsidRPr="009C0C6D">
        <w:t>bevacizumab</w:t>
      </w:r>
      <w:r w:rsidR="005A289D" w:rsidRPr="009C0C6D">
        <w:t xml:space="preserve"> </w:t>
      </w:r>
      <w:r w:rsidR="00697253" w:rsidRPr="009C0C6D">
        <w:t>s</w:t>
      </w:r>
      <w:r w:rsidR="005A289D" w:rsidRPr="009C0C6D">
        <w:t>olution for I.V. infusion 100 mg in 4 mL</w:t>
      </w:r>
      <w:r w:rsidR="006C1C9C" w:rsidRPr="009C0C6D">
        <w:t xml:space="preserve"> and </w:t>
      </w:r>
      <w:r w:rsidR="005A289D" w:rsidRPr="009C0C6D">
        <w:t>400 mg in 16 mL</w:t>
      </w:r>
      <w:r w:rsidR="00566DD7" w:rsidRPr="009C0C6D">
        <w:t xml:space="preserve"> </w:t>
      </w:r>
      <w:r w:rsidR="008E3DDB" w:rsidRPr="009C0C6D">
        <w:t>(hereafter referred to as Vegzelma</w:t>
      </w:r>
      <w:r w:rsidR="00A05914" w:rsidRPr="009C0C6D">
        <w:t>®</w:t>
      </w:r>
      <w:r w:rsidR="008E3DDB" w:rsidRPr="009C0C6D">
        <w:t xml:space="preserve">) </w:t>
      </w:r>
      <w:r w:rsidR="0073736F" w:rsidRPr="009C0C6D">
        <w:t xml:space="preserve">under the same circumstances </w:t>
      </w:r>
      <w:r w:rsidR="00F30120" w:rsidRPr="009C0C6D">
        <w:t xml:space="preserve">and at the same price </w:t>
      </w:r>
      <w:r w:rsidR="0073736F" w:rsidRPr="009C0C6D">
        <w:t xml:space="preserve">as the PBS-listed </w:t>
      </w:r>
      <w:r w:rsidR="00B47947" w:rsidRPr="009C0C6D">
        <w:t>biosimilar</w:t>
      </w:r>
      <w:r w:rsidR="00F15337" w:rsidRPr="009C0C6D">
        <w:t xml:space="preserve"> brands of</w:t>
      </w:r>
      <w:r w:rsidR="00285452" w:rsidRPr="009C0C6D">
        <w:t xml:space="preserve"> bevacizumab (</w:t>
      </w:r>
      <w:r w:rsidR="00526724" w:rsidRPr="009C0C6D">
        <w:t>A</w:t>
      </w:r>
      <w:r w:rsidR="00CB152A" w:rsidRPr="009C0C6D">
        <w:t>bevmy</w:t>
      </w:r>
      <w:r w:rsidR="0073736F" w:rsidRPr="009C0C6D">
        <w:t>®</w:t>
      </w:r>
      <w:r w:rsidR="00CB152A" w:rsidRPr="009C0C6D">
        <w:t xml:space="preserve">, </w:t>
      </w:r>
      <w:r w:rsidR="00285452" w:rsidRPr="009C0C6D">
        <w:t>Bevaciptin®, Mvasi®)</w:t>
      </w:r>
      <w:r w:rsidR="0073736F" w:rsidRPr="009C0C6D">
        <w:t xml:space="preserve"> </w:t>
      </w:r>
      <w:r w:rsidR="00451D8D" w:rsidRPr="009C0C6D">
        <w:t xml:space="preserve">and </w:t>
      </w:r>
      <w:r w:rsidR="00A909EE" w:rsidRPr="009C0C6D">
        <w:t xml:space="preserve">to </w:t>
      </w:r>
      <w:r w:rsidR="00451D8D" w:rsidRPr="009C0C6D">
        <w:t>be treated as equivalent for the purpose of sub</w:t>
      </w:r>
      <w:r w:rsidR="00B80367" w:rsidRPr="009C0C6D">
        <w:t>stitution</w:t>
      </w:r>
      <w:r w:rsidR="00451D8D" w:rsidRPr="009C0C6D">
        <w:t>.</w:t>
      </w:r>
    </w:p>
    <w:p w14:paraId="3D1D4320" w14:textId="604DC6A9" w:rsidR="007E490F" w:rsidRPr="009C0C6D" w:rsidRDefault="007E490F" w:rsidP="005D3788">
      <w:pPr>
        <w:pStyle w:val="2-SectionHeading"/>
      </w:pPr>
      <w:r w:rsidRPr="009C0C6D">
        <w:t>Background</w:t>
      </w:r>
    </w:p>
    <w:p w14:paraId="196FAD9C" w14:textId="047D6FBA" w:rsidR="001F2311" w:rsidRPr="009C0C6D" w:rsidRDefault="00C3032B" w:rsidP="00E456FD">
      <w:pPr>
        <w:pStyle w:val="3Bodytext"/>
      </w:pPr>
      <w:r w:rsidRPr="009C0C6D">
        <w:t>Abevmy, Bevaciptin and Mvasi</w:t>
      </w:r>
      <w:r w:rsidR="00483D4C" w:rsidRPr="009C0C6D">
        <w:t xml:space="preserve"> are</w:t>
      </w:r>
      <w:r w:rsidR="001F2311" w:rsidRPr="009C0C6D">
        <w:t xml:space="preserve"> currently listed on the </w:t>
      </w:r>
      <w:r w:rsidR="00145BF3" w:rsidRPr="009C0C6D">
        <w:t xml:space="preserve">PBS </w:t>
      </w:r>
      <w:r w:rsidR="001F2311" w:rsidRPr="009C0C6D">
        <w:t>as</w:t>
      </w:r>
      <w:r w:rsidR="00F73819" w:rsidRPr="009C0C6D">
        <w:t xml:space="preserve"> Section 100 EFC,</w:t>
      </w:r>
      <w:r w:rsidR="001F2311" w:rsidRPr="009C0C6D">
        <w:t xml:space="preserve"> </w:t>
      </w:r>
      <w:r w:rsidR="002B28D4" w:rsidRPr="009C0C6D">
        <w:t>U</w:t>
      </w:r>
      <w:r w:rsidR="001F2311" w:rsidRPr="009C0C6D">
        <w:t>nrestricted</w:t>
      </w:r>
      <w:r w:rsidR="00D96376" w:rsidRPr="009C0C6D">
        <w:t xml:space="preserve"> </w:t>
      </w:r>
      <w:r w:rsidR="002B28D4" w:rsidRPr="009C0C6D">
        <w:t xml:space="preserve">Benefit </w:t>
      </w:r>
      <w:r w:rsidR="001F2311" w:rsidRPr="009C0C6D">
        <w:t>listing</w:t>
      </w:r>
      <w:r w:rsidR="002B28D4" w:rsidRPr="009C0C6D">
        <w:t>s</w:t>
      </w:r>
      <w:r w:rsidR="00F30120" w:rsidRPr="009C0C6D">
        <w:t>.</w:t>
      </w:r>
      <w:r w:rsidR="001F2311" w:rsidRPr="009C0C6D">
        <w:t xml:space="preserve"> </w:t>
      </w:r>
    </w:p>
    <w:p w14:paraId="52DD1E76" w14:textId="686773C7" w:rsidR="00593413" w:rsidRPr="009C0C6D" w:rsidRDefault="00BF5456" w:rsidP="00E456FD">
      <w:pPr>
        <w:pStyle w:val="3Bodytext"/>
      </w:pPr>
      <w:r w:rsidRPr="009C0C6D">
        <w:t>Avastin</w:t>
      </w:r>
      <w:r w:rsidR="002B28D4" w:rsidRPr="009C0C6D">
        <w:t xml:space="preserve">, the </w:t>
      </w:r>
      <w:r w:rsidR="00025BFF">
        <w:t>reference</w:t>
      </w:r>
      <w:r w:rsidR="00025BFF" w:rsidRPr="009C0C6D">
        <w:t xml:space="preserve"> </w:t>
      </w:r>
      <w:r w:rsidR="002B28D4" w:rsidRPr="009C0C6D">
        <w:t>brand,</w:t>
      </w:r>
      <w:r w:rsidRPr="009C0C6D">
        <w:t xml:space="preserve"> was delisted at the request of its sponsor, Roche Products Pty Ltd, </w:t>
      </w:r>
      <w:r w:rsidR="00B145FA" w:rsidRPr="009C0C6D">
        <w:t>on 1 June 2021,</w:t>
      </w:r>
      <w:r w:rsidRPr="009C0C6D">
        <w:t xml:space="preserve"> the same </w:t>
      </w:r>
      <w:r w:rsidR="00B145FA" w:rsidRPr="009C0C6D">
        <w:t xml:space="preserve">date that </w:t>
      </w:r>
      <w:r w:rsidRPr="009C0C6D">
        <w:t>the biosimilar brand Mvasi was listed.</w:t>
      </w:r>
    </w:p>
    <w:p w14:paraId="15F42A85" w14:textId="4B18E6CC" w:rsidR="00B252BE" w:rsidRPr="009C0C6D" w:rsidRDefault="00B252BE" w:rsidP="0001228F">
      <w:pPr>
        <w:pStyle w:val="TableFigureHeading"/>
      </w:pPr>
      <w:bookmarkStart w:id="0" w:name="_Ref149560660"/>
      <w:bookmarkStart w:id="1" w:name="_Toc149216261"/>
      <w:r w:rsidRPr="009C0C6D">
        <w:lastRenderedPageBreak/>
        <w:t xml:space="preserve">Table </w:t>
      </w:r>
      <w:r w:rsidR="00C37028">
        <w:fldChar w:fldCharType="begin" w:fldLock="1"/>
      </w:r>
      <w:r w:rsidR="00C37028">
        <w:instrText xml:space="preserve"> STYLEREF 1 \s </w:instrText>
      </w:r>
      <w:r w:rsidR="00C37028">
        <w:fldChar w:fldCharType="separate"/>
      </w:r>
      <w:r w:rsidRPr="009C0C6D">
        <w:t>1</w:t>
      </w:r>
      <w:r w:rsidR="00C37028">
        <w:fldChar w:fldCharType="end"/>
      </w:r>
      <w:bookmarkEnd w:id="0"/>
      <w:r w:rsidRPr="009C0C6D">
        <w:t>: Key components of the clinical issue addressed by the submission</w:t>
      </w:r>
      <w:bookmarkEnd w:id="1"/>
      <w:r w:rsidR="005C3741" w:rsidRPr="009C0C6D">
        <w:t xml:space="preserve"> (as stated in the submission)</w:t>
      </w:r>
    </w:p>
    <w:tbl>
      <w:tblPr>
        <w:tblStyle w:val="Submissionstandard"/>
        <w:tblW w:w="0" w:type="auto"/>
        <w:tblLook w:val="04A0" w:firstRow="1" w:lastRow="0" w:firstColumn="1" w:lastColumn="0" w:noHBand="0" w:noVBand="1"/>
        <w:tblCaption w:val="Table 1: Key components of the clinical issue addressed by the submission (as stated in the submission)"/>
      </w:tblPr>
      <w:tblGrid>
        <w:gridCol w:w="1386"/>
        <w:gridCol w:w="7630"/>
      </w:tblGrid>
      <w:tr w:rsidR="00B252BE" w:rsidRPr="009C0C6D" w14:paraId="1612A921" w14:textId="77777777" w:rsidTr="000474A4">
        <w:trPr>
          <w:cnfStyle w:val="100000000000" w:firstRow="1" w:lastRow="0" w:firstColumn="0" w:lastColumn="0" w:oddVBand="0" w:evenVBand="0" w:oddHBand="0" w:evenHBand="0" w:firstRowFirstColumn="0" w:firstRowLastColumn="0" w:lastRowFirstColumn="0" w:lastRowLastColumn="0"/>
        </w:trPr>
        <w:tc>
          <w:tcPr>
            <w:tcW w:w="1386" w:type="dxa"/>
          </w:tcPr>
          <w:p w14:paraId="530FF0E7" w14:textId="77777777" w:rsidR="00B252BE" w:rsidRPr="009C0C6D" w:rsidRDefault="00B252BE" w:rsidP="0001228F">
            <w:pPr>
              <w:pStyle w:val="KMC16-TableHeading"/>
              <w:keepNext/>
              <w:rPr>
                <w:b/>
                <w:bCs/>
                <w:lang w:val="en-AU"/>
              </w:rPr>
            </w:pPr>
            <w:r w:rsidRPr="009C0C6D">
              <w:rPr>
                <w:bCs/>
              </w:rPr>
              <w:t>Component</w:t>
            </w:r>
          </w:p>
        </w:tc>
        <w:tc>
          <w:tcPr>
            <w:tcW w:w="7630" w:type="dxa"/>
          </w:tcPr>
          <w:p w14:paraId="2599BDCA" w14:textId="77777777" w:rsidR="00B252BE" w:rsidRPr="009C0C6D" w:rsidRDefault="00B252BE" w:rsidP="0001228F">
            <w:pPr>
              <w:pStyle w:val="KMC16-TableHeading"/>
              <w:keepNext/>
              <w:rPr>
                <w:b/>
                <w:bCs/>
                <w:lang w:val="en-AU"/>
              </w:rPr>
            </w:pPr>
            <w:r w:rsidRPr="009C0C6D">
              <w:rPr>
                <w:bCs/>
              </w:rPr>
              <w:t>Description</w:t>
            </w:r>
          </w:p>
        </w:tc>
      </w:tr>
      <w:tr w:rsidR="00B252BE" w:rsidRPr="009C0C6D" w14:paraId="4B3CA891" w14:textId="77777777" w:rsidTr="000474A4">
        <w:tc>
          <w:tcPr>
            <w:tcW w:w="1386" w:type="dxa"/>
          </w:tcPr>
          <w:p w14:paraId="64EF1A0C" w14:textId="77777777" w:rsidR="00B252BE" w:rsidRPr="009C0C6D" w:rsidRDefault="00B252BE" w:rsidP="0001228F">
            <w:pPr>
              <w:pStyle w:val="KMC16-Tablecontent"/>
              <w:keepNext/>
              <w:rPr>
                <w:lang w:val="en-AU"/>
              </w:rPr>
            </w:pPr>
            <w:r w:rsidRPr="009C0C6D">
              <w:rPr>
                <w:lang w:val="en-AU"/>
              </w:rPr>
              <w:t xml:space="preserve">Population </w:t>
            </w:r>
          </w:p>
        </w:tc>
        <w:tc>
          <w:tcPr>
            <w:tcW w:w="7630" w:type="dxa"/>
          </w:tcPr>
          <w:p w14:paraId="43C72E01" w14:textId="01C570D3" w:rsidR="00B252BE" w:rsidRPr="009C0C6D" w:rsidRDefault="00B252BE" w:rsidP="0001228F">
            <w:pPr>
              <w:pStyle w:val="KMC16-Tablecontent"/>
              <w:keepNext/>
              <w:rPr>
                <w:lang w:val="en-AU"/>
              </w:rPr>
            </w:pPr>
            <w:r w:rsidRPr="009C0C6D">
              <w:rPr>
                <w:lang w:val="en-AU"/>
              </w:rPr>
              <w:t>Patients with metastatic colorectal cancer, locally recurrent or metastatic breast cancer, advanced, metastatic or recurrent non-squamous Non-Small Cell Lung Cancer, advanced and/or metastatic renal cell cancer, grade IV glioma, epithelial ovarian, fallopian tube or primary peritoneal cancer, recurrent epithelial ovarian, fallopian tube or primary peritoneal cancer and cervical cancer.</w:t>
            </w:r>
          </w:p>
        </w:tc>
      </w:tr>
      <w:tr w:rsidR="00B252BE" w:rsidRPr="009C0C6D" w14:paraId="045DBDDE" w14:textId="77777777" w:rsidTr="000474A4">
        <w:tc>
          <w:tcPr>
            <w:tcW w:w="1386" w:type="dxa"/>
          </w:tcPr>
          <w:p w14:paraId="711B9219" w14:textId="77777777" w:rsidR="00B252BE" w:rsidRPr="009C0C6D" w:rsidRDefault="00B252BE" w:rsidP="0001228F">
            <w:pPr>
              <w:pStyle w:val="KMC16-Tablecontent"/>
              <w:keepNext/>
              <w:rPr>
                <w:lang w:val="en-AU"/>
              </w:rPr>
            </w:pPr>
            <w:r w:rsidRPr="009C0C6D">
              <w:rPr>
                <w:lang w:val="en-AU"/>
              </w:rPr>
              <w:t xml:space="preserve">Intervention </w:t>
            </w:r>
          </w:p>
        </w:tc>
        <w:tc>
          <w:tcPr>
            <w:tcW w:w="7630" w:type="dxa"/>
          </w:tcPr>
          <w:p w14:paraId="49C0B79A" w14:textId="77777777" w:rsidR="00B252BE" w:rsidRPr="009C0C6D" w:rsidRDefault="00B252BE" w:rsidP="0001228F">
            <w:pPr>
              <w:pStyle w:val="KMC16-Tablecontent"/>
              <w:keepNext/>
              <w:rPr>
                <w:lang w:val="en-AU"/>
              </w:rPr>
            </w:pPr>
            <w:r w:rsidRPr="009C0C6D">
              <w:rPr>
                <w:lang w:val="en-AU"/>
              </w:rPr>
              <w:t>Vegzelma 100mg in 4mL single dose vial; and</w:t>
            </w:r>
          </w:p>
          <w:p w14:paraId="015065CB" w14:textId="77777777" w:rsidR="00B252BE" w:rsidRPr="009C0C6D" w:rsidRDefault="00B252BE" w:rsidP="0001228F">
            <w:pPr>
              <w:pStyle w:val="KMC16-Tablecontent"/>
              <w:keepNext/>
              <w:rPr>
                <w:lang w:val="en-AU"/>
              </w:rPr>
            </w:pPr>
            <w:r w:rsidRPr="009C0C6D">
              <w:rPr>
                <w:lang w:val="en-AU"/>
              </w:rPr>
              <w:t>Vegzelma 400mg in 16mL single dose vial.</w:t>
            </w:r>
          </w:p>
        </w:tc>
      </w:tr>
      <w:tr w:rsidR="00B252BE" w:rsidRPr="009C0C6D" w14:paraId="5B5A212D" w14:textId="77777777" w:rsidTr="000474A4">
        <w:tc>
          <w:tcPr>
            <w:tcW w:w="1386" w:type="dxa"/>
          </w:tcPr>
          <w:p w14:paraId="1B49AC11" w14:textId="77777777" w:rsidR="00B252BE" w:rsidRPr="009C0C6D" w:rsidRDefault="00B252BE" w:rsidP="0001228F">
            <w:pPr>
              <w:pStyle w:val="KMC16-Tablecontent"/>
              <w:keepNext/>
              <w:rPr>
                <w:lang w:val="en-AU"/>
              </w:rPr>
            </w:pPr>
            <w:r w:rsidRPr="009C0C6D">
              <w:rPr>
                <w:lang w:val="en-AU"/>
              </w:rPr>
              <w:t>Comparator</w:t>
            </w:r>
          </w:p>
        </w:tc>
        <w:tc>
          <w:tcPr>
            <w:tcW w:w="7630" w:type="dxa"/>
          </w:tcPr>
          <w:p w14:paraId="745AD2E9" w14:textId="77777777" w:rsidR="00B252BE" w:rsidRPr="009C0C6D" w:rsidRDefault="00B252BE" w:rsidP="0001228F">
            <w:pPr>
              <w:pStyle w:val="KMC16-Tablecontent"/>
              <w:keepNext/>
              <w:rPr>
                <w:lang w:val="en-AU"/>
              </w:rPr>
            </w:pPr>
            <w:r w:rsidRPr="009C0C6D">
              <w:rPr>
                <w:lang w:val="en-AU"/>
              </w:rPr>
              <w:t>Bevacizumab 100mg in 4mL and 400mg in 16mL injections.</w:t>
            </w:r>
          </w:p>
        </w:tc>
      </w:tr>
      <w:tr w:rsidR="00B252BE" w:rsidRPr="009C0C6D" w14:paraId="5B5DB657" w14:textId="77777777" w:rsidTr="000474A4">
        <w:tc>
          <w:tcPr>
            <w:tcW w:w="1386" w:type="dxa"/>
          </w:tcPr>
          <w:p w14:paraId="2BB7AC91" w14:textId="77777777" w:rsidR="00B252BE" w:rsidRPr="009C0C6D" w:rsidRDefault="00B252BE" w:rsidP="0001228F">
            <w:pPr>
              <w:pStyle w:val="KMC16-Tablecontent"/>
              <w:keepNext/>
              <w:rPr>
                <w:lang w:val="en-AU"/>
              </w:rPr>
            </w:pPr>
            <w:r w:rsidRPr="009C0C6D">
              <w:rPr>
                <w:lang w:val="en-AU"/>
              </w:rPr>
              <w:t>Outcomes</w:t>
            </w:r>
          </w:p>
        </w:tc>
        <w:tc>
          <w:tcPr>
            <w:tcW w:w="7630" w:type="dxa"/>
          </w:tcPr>
          <w:p w14:paraId="4063FBC3" w14:textId="0BEF86A3" w:rsidR="00B252BE" w:rsidRPr="009C0C6D" w:rsidRDefault="00B252BE" w:rsidP="0001228F">
            <w:pPr>
              <w:pStyle w:val="KMC16-Tablecontent"/>
              <w:keepNext/>
              <w:rPr>
                <w:lang w:val="en-AU"/>
              </w:rPr>
            </w:pPr>
            <w:r w:rsidRPr="009C0C6D">
              <w:rPr>
                <w:lang w:val="en-AU"/>
              </w:rPr>
              <w:t xml:space="preserve">Biosimilarity to Avastin. </w:t>
            </w:r>
          </w:p>
          <w:p w14:paraId="56BE2D72" w14:textId="77777777" w:rsidR="00B252BE" w:rsidRPr="009C0C6D" w:rsidRDefault="00B252BE" w:rsidP="0001228F">
            <w:pPr>
              <w:pStyle w:val="KMC16-Tablecontent"/>
              <w:keepNext/>
              <w:rPr>
                <w:b/>
                <w:lang w:val="en-AU"/>
              </w:rPr>
            </w:pPr>
            <w:r w:rsidRPr="009C0C6D">
              <w:rPr>
                <w:b/>
                <w:lang w:val="en-AU"/>
              </w:rPr>
              <w:t xml:space="preserve">Primary Outcome: </w:t>
            </w:r>
          </w:p>
          <w:p w14:paraId="58E264CD" w14:textId="77777777" w:rsidR="00B252BE" w:rsidRPr="009C0C6D" w:rsidRDefault="00B252BE" w:rsidP="0001228F">
            <w:pPr>
              <w:pStyle w:val="KMC16-Tablecontent"/>
              <w:keepNext/>
              <w:rPr>
                <w:lang w:val="en-AU"/>
              </w:rPr>
            </w:pPr>
            <w:r w:rsidRPr="009C0C6D">
              <w:rPr>
                <w:lang w:val="en-AU"/>
              </w:rPr>
              <w:t>Objective Response Rate (ORR) based on the Best Overall Response (BOR) during the Induction Study Period by the Response Evaluation Criteria in Solid Tumours (RECIST) version 1.1.</w:t>
            </w:r>
          </w:p>
          <w:p w14:paraId="0041E604" w14:textId="77777777" w:rsidR="00B252BE" w:rsidRPr="009C0C6D" w:rsidRDefault="00B252BE" w:rsidP="0001228F">
            <w:pPr>
              <w:pStyle w:val="KMC16-Tablecontent"/>
              <w:keepNext/>
              <w:rPr>
                <w:b/>
                <w:lang w:val="en-AU"/>
              </w:rPr>
            </w:pPr>
            <w:r w:rsidRPr="009C0C6D">
              <w:rPr>
                <w:b/>
                <w:lang w:val="en-AU"/>
              </w:rPr>
              <w:t xml:space="preserve">Secondary Outcomes: </w:t>
            </w:r>
          </w:p>
          <w:p w14:paraId="7B21DD40" w14:textId="77777777" w:rsidR="00B252BE" w:rsidRPr="009C0C6D" w:rsidRDefault="00B252BE" w:rsidP="0001228F">
            <w:pPr>
              <w:pStyle w:val="KMC16-Tablecontent"/>
              <w:keepNext/>
              <w:numPr>
                <w:ilvl w:val="0"/>
                <w:numId w:val="31"/>
              </w:numPr>
              <w:rPr>
                <w:lang w:val="en-AU"/>
              </w:rPr>
            </w:pPr>
            <w:r w:rsidRPr="009C0C6D">
              <w:rPr>
                <w:lang w:val="en-AU"/>
              </w:rPr>
              <w:t>ORR based on the BOR during the Whole Study Period by the RECIST version 1.1.</w:t>
            </w:r>
          </w:p>
          <w:p w14:paraId="5D31CA20" w14:textId="77777777" w:rsidR="00B252BE" w:rsidRPr="009C0C6D" w:rsidRDefault="00B252BE" w:rsidP="0001228F">
            <w:pPr>
              <w:pStyle w:val="KMC16-Tablecontent"/>
              <w:keepNext/>
              <w:numPr>
                <w:ilvl w:val="0"/>
                <w:numId w:val="31"/>
              </w:numPr>
              <w:rPr>
                <w:lang w:val="en-AU"/>
              </w:rPr>
            </w:pPr>
            <w:r w:rsidRPr="009C0C6D">
              <w:rPr>
                <w:lang w:val="en-AU"/>
              </w:rPr>
              <w:t>Pharmacokinetics: C</w:t>
            </w:r>
            <w:r w:rsidRPr="009C0C6D">
              <w:rPr>
                <w:vertAlign w:val="subscript"/>
                <w:lang w:val="en-AU"/>
              </w:rPr>
              <w:t>trough</w:t>
            </w:r>
          </w:p>
          <w:p w14:paraId="5A2408D0" w14:textId="77777777" w:rsidR="00B252BE" w:rsidRPr="009C0C6D" w:rsidRDefault="00B252BE" w:rsidP="0001228F">
            <w:pPr>
              <w:pStyle w:val="KMC16-Tablecontent"/>
              <w:keepNext/>
              <w:numPr>
                <w:ilvl w:val="0"/>
                <w:numId w:val="31"/>
              </w:numPr>
              <w:rPr>
                <w:lang w:val="en-AU"/>
              </w:rPr>
            </w:pPr>
            <w:r w:rsidRPr="009C0C6D">
              <w:rPr>
                <w:lang w:val="en-AU"/>
              </w:rPr>
              <w:t>Quality of life questionnaire scores.</w:t>
            </w:r>
          </w:p>
          <w:p w14:paraId="3372EF93" w14:textId="77777777" w:rsidR="00B252BE" w:rsidRPr="009C0C6D" w:rsidRDefault="00B252BE" w:rsidP="0001228F">
            <w:pPr>
              <w:pStyle w:val="KMC16-Tablecontent"/>
              <w:keepNext/>
              <w:numPr>
                <w:ilvl w:val="0"/>
                <w:numId w:val="31"/>
              </w:numPr>
              <w:rPr>
                <w:lang w:val="en-AU"/>
              </w:rPr>
            </w:pPr>
            <w:r w:rsidRPr="009C0C6D">
              <w:rPr>
                <w:lang w:val="en-AU"/>
              </w:rPr>
              <w:t>Safety outcomes: incidence and severity of adverse events (AEs), serious AEs (SAEs), treatment-emergent AEs (TEAEs) and immunogenicity.</w:t>
            </w:r>
          </w:p>
        </w:tc>
      </w:tr>
      <w:tr w:rsidR="00B252BE" w:rsidRPr="009C0C6D" w14:paraId="1BB0F5A7" w14:textId="77777777" w:rsidTr="000474A4">
        <w:tc>
          <w:tcPr>
            <w:tcW w:w="1386" w:type="dxa"/>
          </w:tcPr>
          <w:p w14:paraId="3528FC93" w14:textId="77777777" w:rsidR="00B252BE" w:rsidRPr="009C0C6D" w:rsidRDefault="00B252BE" w:rsidP="0001228F">
            <w:pPr>
              <w:pStyle w:val="KMC16-Tablecontent"/>
              <w:keepNext/>
              <w:rPr>
                <w:lang w:val="en-AU"/>
              </w:rPr>
            </w:pPr>
            <w:r w:rsidRPr="009C0C6D">
              <w:rPr>
                <w:lang w:val="en-AU"/>
              </w:rPr>
              <w:t xml:space="preserve">Clinical claim </w:t>
            </w:r>
          </w:p>
        </w:tc>
        <w:tc>
          <w:tcPr>
            <w:tcW w:w="7630" w:type="dxa"/>
          </w:tcPr>
          <w:p w14:paraId="006E6C7F" w14:textId="2273E4F7" w:rsidR="00B252BE" w:rsidRPr="009C0C6D" w:rsidRDefault="00B252BE" w:rsidP="0001228F">
            <w:pPr>
              <w:pStyle w:val="KMC16-Tablecontent"/>
              <w:keepNext/>
              <w:rPr>
                <w:lang w:val="en-AU"/>
              </w:rPr>
            </w:pPr>
            <w:r w:rsidRPr="009C0C6D">
              <w:rPr>
                <w:lang w:val="en-AU"/>
              </w:rPr>
              <w:t>Vegzelma is biosimilar Avastin and non-inferior in terms of comparative efficacy and safety.</w:t>
            </w:r>
          </w:p>
          <w:p w14:paraId="2744F67E" w14:textId="53238E6D" w:rsidR="00B252BE" w:rsidRPr="009C0C6D" w:rsidRDefault="00B252BE" w:rsidP="0001228F">
            <w:pPr>
              <w:pStyle w:val="KMC16-Tablecontent"/>
              <w:keepNext/>
              <w:rPr>
                <w:lang w:val="en-AU"/>
              </w:rPr>
            </w:pPr>
            <w:r w:rsidRPr="009C0C6D">
              <w:rPr>
                <w:lang w:val="en-AU"/>
              </w:rPr>
              <w:t>As the currently PBS-listed biosimilars were also compared to Avastin, Vegzelma has been demonstrated to be therapeutically equivalent to these products.</w:t>
            </w:r>
          </w:p>
        </w:tc>
      </w:tr>
    </w:tbl>
    <w:p w14:paraId="0CC4B9FB" w14:textId="2874FE41" w:rsidR="000474A4" w:rsidRPr="009C0C6D" w:rsidRDefault="000474A4" w:rsidP="00A24BC7">
      <w:pPr>
        <w:pStyle w:val="TableFigureFooter"/>
        <w:spacing w:after="0"/>
      </w:pPr>
      <w:r w:rsidRPr="009C0C6D">
        <w:t>Source: Table 1-1, p</w:t>
      </w:r>
      <w:r w:rsidR="00593413" w:rsidRPr="009C0C6D">
        <w:t>13</w:t>
      </w:r>
      <w:r w:rsidRPr="009C0C6D">
        <w:t xml:space="preserve"> of the submission.</w:t>
      </w:r>
    </w:p>
    <w:p w14:paraId="33C2C319" w14:textId="45E21176" w:rsidR="007E490F" w:rsidRPr="009C0C6D" w:rsidRDefault="007E490F" w:rsidP="007E490F">
      <w:pPr>
        <w:pStyle w:val="4-SubsectionHeading"/>
      </w:pPr>
      <w:r w:rsidRPr="009C0C6D">
        <w:t>Registration status</w:t>
      </w:r>
    </w:p>
    <w:p w14:paraId="749BB932" w14:textId="77777777" w:rsidR="003F039E" w:rsidRPr="009C0C6D" w:rsidRDefault="00C617B3" w:rsidP="00E456FD">
      <w:pPr>
        <w:pStyle w:val="3Bodytext"/>
      </w:pPr>
      <w:bookmarkStart w:id="2" w:name="_Hlk158040471"/>
      <w:r w:rsidRPr="009C0C6D">
        <w:t xml:space="preserve">Vegzelma </w:t>
      </w:r>
      <w:r w:rsidR="007E490F" w:rsidRPr="009C0C6D">
        <w:t>was T</w:t>
      </w:r>
      <w:r w:rsidR="000A7662" w:rsidRPr="009C0C6D">
        <w:t xml:space="preserve">herapeutic </w:t>
      </w:r>
      <w:r w:rsidR="007E490F" w:rsidRPr="009C0C6D">
        <w:t>G</w:t>
      </w:r>
      <w:r w:rsidR="000A7662" w:rsidRPr="009C0C6D">
        <w:t xml:space="preserve">oods </w:t>
      </w:r>
      <w:r w:rsidR="007E490F" w:rsidRPr="009C0C6D">
        <w:t>A</w:t>
      </w:r>
      <w:r w:rsidR="000A7662" w:rsidRPr="009C0C6D">
        <w:t>dministration (TGA)</w:t>
      </w:r>
      <w:r w:rsidR="007E490F" w:rsidRPr="009C0C6D">
        <w:t xml:space="preserve"> registered on </w:t>
      </w:r>
      <w:r w:rsidR="003B1F00" w:rsidRPr="009C0C6D">
        <w:t>5</w:t>
      </w:r>
      <w:r w:rsidR="00A909EE" w:rsidRPr="009C0C6D">
        <w:t> September </w:t>
      </w:r>
      <w:r w:rsidR="003B1F00" w:rsidRPr="009C0C6D">
        <w:t xml:space="preserve">2023 </w:t>
      </w:r>
      <w:r w:rsidR="00674C55" w:rsidRPr="009C0C6D">
        <w:t>and was determined to be a biosimilar to Avastin</w:t>
      </w:r>
      <w:r w:rsidR="009731F8" w:rsidRPr="009C0C6D">
        <w:t>. Vegzelma has the same indications as Abevmy, Bevaciptin, Mvasi</w:t>
      </w:r>
      <w:r w:rsidR="001F1368" w:rsidRPr="009C0C6D">
        <w:t>, that is</w:t>
      </w:r>
      <w:r w:rsidR="003F039E" w:rsidRPr="009C0C6D">
        <w:t>:</w:t>
      </w:r>
    </w:p>
    <w:p w14:paraId="30821939" w14:textId="1F9A1170" w:rsidR="003F039E" w:rsidRPr="009C0C6D" w:rsidRDefault="003F039E" w:rsidP="003F039E">
      <w:pPr>
        <w:pStyle w:val="ListParagraph"/>
        <w:numPr>
          <w:ilvl w:val="0"/>
          <w:numId w:val="39"/>
        </w:numPr>
        <w:rPr>
          <w:rFonts w:eastAsiaTheme="minorHAnsi"/>
        </w:rPr>
      </w:pPr>
      <w:r w:rsidRPr="009C0C6D">
        <w:rPr>
          <w:rFonts w:eastAsiaTheme="minorHAnsi"/>
        </w:rPr>
        <w:t xml:space="preserve">Metastatic Colorectal Cancer </w:t>
      </w:r>
    </w:p>
    <w:p w14:paraId="6942970E" w14:textId="77777777" w:rsidR="003F039E" w:rsidRPr="009C0C6D" w:rsidRDefault="003F039E" w:rsidP="003F039E">
      <w:pPr>
        <w:pStyle w:val="ListParagraph"/>
        <w:numPr>
          <w:ilvl w:val="0"/>
          <w:numId w:val="39"/>
        </w:numPr>
        <w:rPr>
          <w:rFonts w:eastAsiaTheme="minorHAnsi"/>
        </w:rPr>
      </w:pPr>
      <w:r w:rsidRPr="009C0C6D">
        <w:rPr>
          <w:rFonts w:eastAsiaTheme="minorHAnsi"/>
        </w:rPr>
        <w:t xml:space="preserve">Locally recurrent or metastatic Breast Cancer </w:t>
      </w:r>
    </w:p>
    <w:p w14:paraId="20F45BC3" w14:textId="708A3652" w:rsidR="003F039E" w:rsidRPr="009C0C6D" w:rsidRDefault="003F039E" w:rsidP="003F039E">
      <w:pPr>
        <w:pStyle w:val="ListParagraph"/>
        <w:numPr>
          <w:ilvl w:val="0"/>
          <w:numId w:val="39"/>
        </w:numPr>
        <w:rPr>
          <w:rFonts w:eastAsiaTheme="minorHAnsi"/>
        </w:rPr>
      </w:pPr>
      <w:r w:rsidRPr="009C0C6D">
        <w:rPr>
          <w:rFonts w:eastAsiaTheme="minorHAnsi"/>
        </w:rPr>
        <w:t>Advanced, metastatic or recurrent non-squamous Non-Small Cell Lung Cancer</w:t>
      </w:r>
    </w:p>
    <w:p w14:paraId="5F887709" w14:textId="77777777" w:rsidR="003F039E" w:rsidRPr="009C0C6D" w:rsidRDefault="003F039E" w:rsidP="003F039E">
      <w:pPr>
        <w:pStyle w:val="ListParagraph"/>
        <w:numPr>
          <w:ilvl w:val="0"/>
          <w:numId w:val="39"/>
        </w:numPr>
        <w:rPr>
          <w:rFonts w:eastAsiaTheme="minorHAnsi"/>
        </w:rPr>
      </w:pPr>
      <w:r w:rsidRPr="009C0C6D">
        <w:rPr>
          <w:rFonts w:eastAsiaTheme="minorHAnsi"/>
        </w:rPr>
        <w:t xml:space="preserve">Advanced and/or metastatic Renal Cell Cancer </w:t>
      </w:r>
    </w:p>
    <w:p w14:paraId="169810AA" w14:textId="77777777" w:rsidR="003F039E" w:rsidRPr="009C0C6D" w:rsidRDefault="003F039E" w:rsidP="003F039E">
      <w:pPr>
        <w:pStyle w:val="ListParagraph"/>
        <w:numPr>
          <w:ilvl w:val="0"/>
          <w:numId w:val="39"/>
        </w:numPr>
        <w:rPr>
          <w:rFonts w:eastAsiaTheme="minorHAnsi"/>
        </w:rPr>
      </w:pPr>
      <w:r w:rsidRPr="009C0C6D">
        <w:rPr>
          <w:rFonts w:eastAsiaTheme="minorHAnsi"/>
        </w:rPr>
        <w:t xml:space="preserve">Grade IV Glioma </w:t>
      </w:r>
    </w:p>
    <w:p w14:paraId="4CF4D3F2" w14:textId="3E02EFD4" w:rsidR="003F039E" w:rsidRPr="009C0C6D" w:rsidRDefault="003F039E" w:rsidP="003F039E">
      <w:pPr>
        <w:pStyle w:val="ListParagraph"/>
        <w:numPr>
          <w:ilvl w:val="0"/>
          <w:numId w:val="39"/>
        </w:numPr>
        <w:rPr>
          <w:rFonts w:eastAsiaTheme="minorHAnsi"/>
        </w:rPr>
      </w:pPr>
      <w:r w:rsidRPr="009C0C6D">
        <w:rPr>
          <w:rFonts w:eastAsiaTheme="minorHAnsi"/>
        </w:rPr>
        <w:t xml:space="preserve">Epithelial Ovarian, Fallopian Tube or Primary Peritoneal Cancer </w:t>
      </w:r>
    </w:p>
    <w:p w14:paraId="6773CF3E" w14:textId="77777777" w:rsidR="003F039E" w:rsidRPr="009C0C6D" w:rsidRDefault="003F039E" w:rsidP="003F039E">
      <w:pPr>
        <w:pStyle w:val="ListParagraph"/>
        <w:numPr>
          <w:ilvl w:val="0"/>
          <w:numId w:val="39"/>
        </w:numPr>
        <w:rPr>
          <w:rFonts w:eastAsiaTheme="minorHAnsi"/>
        </w:rPr>
      </w:pPr>
      <w:r w:rsidRPr="009C0C6D">
        <w:rPr>
          <w:rFonts w:eastAsiaTheme="minorHAnsi"/>
        </w:rPr>
        <w:t xml:space="preserve">Recurrent Epithelial Ovarian, Fallopian Tube or Primary Peritoneal Cancer </w:t>
      </w:r>
    </w:p>
    <w:p w14:paraId="677D6E1A" w14:textId="77777777" w:rsidR="003F039E" w:rsidRPr="009C0C6D" w:rsidRDefault="003F039E" w:rsidP="003F039E">
      <w:pPr>
        <w:pStyle w:val="ListParagraph"/>
        <w:numPr>
          <w:ilvl w:val="0"/>
          <w:numId w:val="39"/>
        </w:numPr>
        <w:rPr>
          <w:rFonts w:eastAsiaTheme="minorHAnsi"/>
        </w:rPr>
      </w:pPr>
      <w:r w:rsidRPr="009C0C6D">
        <w:rPr>
          <w:rFonts w:eastAsiaTheme="minorHAnsi"/>
        </w:rPr>
        <w:t xml:space="preserve">Cervical Cancer </w:t>
      </w:r>
    </w:p>
    <w:bookmarkEnd w:id="2"/>
    <w:p w14:paraId="0094486E" w14:textId="77777777" w:rsidR="007E490F" w:rsidRPr="009C0C6D" w:rsidRDefault="007E490F" w:rsidP="007E490F">
      <w:pPr>
        <w:pStyle w:val="4-SubsectionHeading"/>
      </w:pPr>
      <w:r w:rsidRPr="009C0C6D">
        <w:t xml:space="preserve">Previous PBAC consideration </w:t>
      </w:r>
    </w:p>
    <w:p w14:paraId="54C2B47F" w14:textId="2EF66139" w:rsidR="007F1567" w:rsidRPr="009C0C6D" w:rsidRDefault="007F1567" w:rsidP="00E456FD">
      <w:pPr>
        <w:pStyle w:val="3Bodytext"/>
      </w:pPr>
      <w:r w:rsidRPr="009C0C6D">
        <w:t xml:space="preserve">Vegzelma has not been considered by the </w:t>
      </w:r>
      <w:r w:rsidR="00145BF3" w:rsidRPr="009C0C6D">
        <w:t xml:space="preserve">PBAC </w:t>
      </w:r>
      <w:r w:rsidRPr="009C0C6D">
        <w:t>previously.</w:t>
      </w:r>
    </w:p>
    <w:p w14:paraId="32F4A95D" w14:textId="77777777" w:rsidR="008A7671" w:rsidRPr="009C0C6D" w:rsidRDefault="00B73C94" w:rsidP="00E456FD">
      <w:pPr>
        <w:pStyle w:val="3Bodytext"/>
      </w:pPr>
      <w:r w:rsidRPr="009C0C6D">
        <w:lastRenderedPageBreak/>
        <w:t>The biosimilar</w:t>
      </w:r>
      <w:r w:rsidR="00257E9B" w:rsidRPr="009C0C6D">
        <w:t xml:space="preserve"> be</w:t>
      </w:r>
      <w:r w:rsidR="002D090C" w:rsidRPr="009C0C6D">
        <w:t>vacizumab</w:t>
      </w:r>
      <w:r w:rsidRPr="009C0C6D">
        <w:t xml:space="preserve"> products, Mvasi, Abevmy</w:t>
      </w:r>
      <w:r w:rsidR="002D090C" w:rsidRPr="009C0C6D">
        <w:t xml:space="preserve"> and </w:t>
      </w:r>
      <w:r w:rsidR="00FA6216" w:rsidRPr="009C0C6D">
        <w:t>Bevaciptin</w:t>
      </w:r>
      <w:r w:rsidR="00F04EDC" w:rsidRPr="009C0C6D">
        <w:t>,</w:t>
      </w:r>
      <w:r w:rsidR="00FA6216" w:rsidRPr="009C0C6D">
        <w:t xml:space="preserve"> </w:t>
      </w:r>
      <w:r w:rsidRPr="009C0C6D">
        <w:t xml:space="preserve">were recommended </w:t>
      </w:r>
      <w:r w:rsidR="002D7AC7" w:rsidRPr="009C0C6D">
        <w:t xml:space="preserve">for </w:t>
      </w:r>
      <w:r w:rsidR="008D68B8" w:rsidRPr="009C0C6D">
        <w:t>PBS</w:t>
      </w:r>
      <w:r w:rsidR="00145BF3" w:rsidRPr="009C0C6D">
        <w:t xml:space="preserve"> </w:t>
      </w:r>
      <w:r w:rsidR="008D68B8" w:rsidRPr="009C0C6D">
        <w:t xml:space="preserve">listing </w:t>
      </w:r>
      <w:r w:rsidRPr="009C0C6D">
        <w:t xml:space="preserve">by the </w:t>
      </w:r>
      <w:r w:rsidR="00145BF3" w:rsidRPr="009C0C6D">
        <w:t xml:space="preserve">PBAC </w:t>
      </w:r>
      <w:r w:rsidRPr="009C0C6D">
        <w:t xml:space="preserve">in </w:t>
      </w:r>
      <w:r w:rsidR="00523342" w:rsidRPr="009C0C6D">
        <w:t>November</w:t>
      </w:r>
      <w:r w:rsidRPr="009C0C6D">
        <w:t xml:space="preserve"> 2020</w:t>
      </w:r>
      <w:r w:rsidR="00523342" w:rsidRPr="009C0C6D">
        <w:t xml:space="preserve">, </w:t>
      </w:r>
      <w:r w:rsidRPr="009C0C6D">
        <w:t xml:space="preserve">November </w:t>
      </w:r>
      <w:r w:rsidR="00401099" w:rsidRPr="009C0C6D">
        <w:t>2021,</w:t>
      </w:r>
      <w:r w:rsidR="00523342" w:rsidRPr="009C0C6D">
        <w:t xml:space="preserve"> and </w:t>
      </w:r>
      <w:r w:rsidR="00312772" w:rsidRPr="009C0C6D">
        <w:t>March 2022</w:t>
      </w:r>
      <w:r w:rsidR="007E653F" w:rsidRPr="009C0C6D">
        <w:t>,</w:t>
      </w:r>
      <w:r w:rsidRPr="009C0C6D">
        <w:t xml:space="preserve"> respectively. </w:t>
      </w:r>
      <w:r w:rsidR="00312772" w:rsidRPr="009C0C6D">
        <w:t>Mvasi, Bevaciptin</w:t>
      </w:r>
      <w:r w:rsidR="007E653F" w:rsidRPr="009C0C6D">
        <w:t xml:space="preserve"> and </w:t>
      </w:r>
      <w:r w:rsidR="008D68B8" w:rsidRPr="009C0C6D">
        <w:t>Abevmy</w:t>
      </w:r>
      <w:r w:rsidR="00312772" w:rsidRPr="009C0C6D">
        <w:t xml:space="preserve"> were listed</w:t>
      </w:r>
      <w:r w:rsidR="005E500A" w:rsidRPr="009C0C6D">
        <w:t xml:space="preserve"> on the PBS</w:t>
      </w:r>
      <w:r w:rsidR="00E13A53" w:rsidRPr="009C0C6D">
        <w:t xml:space="preserve"> in </w:t>
      </w:r>
      <w:r w:rsidR="00A909EE" w:rsidRPr="009C0C6D">
        <w:t>June </w:t>
      </w:r>
      <w:r w:rsidR="00312772" w:rsidRPr="009C0C6D">
        <w:t>2021</w:t>
      </w:r>
      <w:r w:rsidR="00E13A53" w:rsidRPr="009C0C6D">
        <w:t>,</w:t>
      </w:r>
      <w:r w:rsidR="008D68B8" w:rsidRPr="009C0C6D">
        <w:t xml:space="preserve"> November 2022</w:t>
      </w:r>
      <w:r w:rsidR="007E653F" w:rsidRPr="009C0C6D">
        <w:t xml:space="preserve"> and</w:t>
      </w:r>
      <w:r w:rsidR="00E13A53" w:rsidRPr="009C0C6D">
        <w:t xml:space="preserve"> </w:t>
      </w:r>
      <w:r w:rsidR="00786247" w:rsidRPr="009C0C6D">
        <w:t>December 2022</w:t>
      </w:r>
      <w:r w:rsidR="007E653F" w:rsidRPr="009C0C6D">
        <w:t>,</w:t>
      </w:r>
      <w:r w:rsidR="00786247" w:rsidRPr="009C0C6D">
        <w:t xml:space="preserve"> </w:t>
      </w:r>
      <w:r w:rsidR="00BE66E4" w:rsidRPr="009C0C6D">
        <w:t>respectively.</w:t>
      </w:r>
    </w:p>
    <w:p w14:paraId="58F7BCF0" w14:textId="4BF4E902" w:rsidR="00B73C94" w:rsidRPr="009C0C6D" w:rsidRDefault="00433581" w:rsidP="00E456FD">
      <w:pPr>
        <w:pStyle w:val="3Bodytext"/>
      </w:pPr>
      <w:r w:rsidRPr="009C0C6D">
        <w:t>The bevacizumab biosimilar product, Zirabev®, was recommended by the PBAC in July</w:t>
      </w:r>
      <w:r w:rsidR="007E653F" w:rsidRPr="009C0C6D">
        <w:t> </w:t>
      </w:r>
      <w:r w:rsidRPr="009C0C6D">
        <w:t xml:space="preserve">2020. </w:t>
      </w:r>
      <w:r w:rsidR="007E653F" w:rsidRPr="009C0C6D">
        <w:t>Zirabev</w:t>
      </w:r>
      <w:r w:rsidRPr="009C0C6D">
        <w:t xml:space="preserve"> </w:t>
      </w:r>
      <w:r w:rsidR="00F04EDC" w:rsidRPr="009C0C6D">
        <w:t xml:space="preserve">has </w:t>
      </w:r>
      <w:r w:rsidRPr="009C0C6D">
        <w:t>not yet listed on the PBS.</w:t>
      </w:r>
    </w:p>
    <w:p w14:paraId="7C0FB264" w14:textId="12A06EA8" w:rsidR="00B74D0F" w:rsidRPr="009C0C6D" w:rsidRDefault="00964A9F" w:rsidP="00F00002">
      <w:pPr>
        <w:pStyle w:val="2-SectionHeading"/>
      </w:pPr>
      <w:r w:rsidRPr="009C0C6D">
        <w:t>Requested listing</w:t>
      </w:r>
    </w:p>
    <w:p w14:paraId="2941EBBB" w14:textId="60CFC5D7" w:rsidR="00C50961" w:rsidRPr="009C0C6D" w:rsidRDefault="00B74D0F" w:rsidP="0095222E">
      <w:pPr>
        <w:pStyle w:val="3Bodytext"/>
        <w:rPr>
          <w:rFonts w:cstheme="minorHAnsi"/>
          <w:i/>
        </w:rPr>
      </w:pPr>
      <w:r w:rsidRPr="009C0C6D">
        <w:t xml:space="preserve">The submission requested the listing of Vegzelma under the same conditions as the existing </w:t>
      </w:r>
      <w:r w:rsidR="002E2C7D" w:rsidRPr="009C0C6D">
        <w:t xml:space="preserve">bevacizumab </w:t>
      </w:r>
      <w:r w:rsidR="00A13CDF" w:rsidRPr="009C0C6D">
        <w:rPr>
          <w:iCs/>
        </w:rPr>
        <w:t>listings</w:t>
      </w:r>
      <w:r w:rsidRPr="009C0C6D">
        <w:t>.</w:t>
      </w:r>
      <w:r w:rsidR="00FF0DE8" w:rsidRPr="009C0C6D">
        <w:t xml:space="preserve"> Suggested additions are </w:t>
      </w:r>
      <w:r w:rsidR="00F15C94" w:rsidRPr="009C0C6D">
        <w:t>presented below</w:t>
      </w:r>
      <w:r w:rsidR="00FF0DE8" w:rsidRPr="009C0C6D">
        <w:t xml:space="preserve"> in </w:t>
      </w:r>
      <w:r w:rsidR="00FF0DE8" w:rsidRPr="009C0C6D">
        <w:rPr>
          <w:iCs/>
        </w:rPr>
        <w:t>italics.</w:t>
      </w:r>
    </w:p>
    <w:p w14:paraId="73A70A7B" w14:textId="7BE4EEC2" w:rsidR="00984A67" w:rsidRPr="009C0C6D" w:rsidRDefault="00984A67" w:rsidP="00984A67">
      <w:pPr>
        <w:spacing w:after="120"/>
        <w:rPr>
          <w:rFonts w:asciiTheme="minorHAnsi" w:hAnsiTheme="minorHAnsi" w:cstheme="minorHAnsi"/>
          <w:i/>
        </w:rPr>
      </w:pPr>
      <w:r w:rsidRPr="009C0C6D">
        <w:rPr>
          <w:rFonts w:asciiTheme="minorHAnsi" w:hAnsiTheme="minorHAnsi" w:cstheme="minorHAnsi"/>
          <w:i/>
        </w:rPr>
        <w:t>Add brand to existing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2"/>
        <w:gridCol w:w="1156"/>
        <w:gridCol w:w="851"/>
        <w:gridCol w:w="849"/>
        <w:gridCol w:w="2218"/>
      </w:tblGrid>
      <w:tr w:rsidR="00984A67" w:rsidRPr="009C0C6D" w14:paraId="5497A3D7" w14:textId="77777777" w:rsidTr="00EB623D">
        <w:trPr>
          <w:cantSplit/>
          <w:trHeight w:val="471"/>
        </w:trPr>
        <w:tc>
          <w:tcPr>
            <w:tcW w:w="2186" w:type="pct"/>
          </w:tcPr>
          <w:p w14:paraId="6A4A123B" w14:textId="77777777" w:rsidR="00984A67" w:rsidRPr="009C0C6D" w:rsidRDefault="00984A67" w:rsidP="00EB623D">
            <w:pPr>
              <w:keepNext/>
              <w:ind w:left="-57"/>
              <w:rPr>
                <w:rFonts w:ascii="Arial Narrow" w:hAnsi="Arial Narrow" w:cs="Arial"/>
                <w:b/>
                <w:bCs/>
                <w:sz w:val="20"/>
                <w:szCs w:val="20"/>
              </w:rPr>
            </w:pPr>
            <w:r w:rsidRPr="009C0C6D">
              <w:rPr>
                <w:rFonts w:ascii="Arial Narrow" w:hAnsi="Arial Narrow" w:cs="Arial"/>
                <w:b/>
                <w:bCs/>
                <w:sz w:val="20"/>
                <w:szCs w:val="20"/>
              </w:rPr>
              <w:t>MEDICINAL PRODUCT</w:t>
            </w:r>
          </w:p>
          <w:p w14:paraId="36AA63E2" w14:textId="77777777" w:rsidR="00984A67" w:rsidRPr="009C0C6D" w:rsidRDefault="00984A67" w:rsidP="00EB623D">
            <w:pPr>
              <w:keepNext/>
              <w:ind w:left="-57"/>
              <w:rPr>
                <w:rFonts w:ascii="Arial Narrow" w:hAnsi="Arial Narrow" w:cs="Arial"/>
                <w:b/>
                <w:sz w:val="20"/>
                <w:szCs w:val="20"/>
              </w:rPr>
            </w:pPr>
            <w:r w:rsidRPr="009C0C6D">
              <w:rPr>
                <w:rFonts w:ascii="Arial Narrow" w:hAnsi="Arial Narrow" w:cs="Arial"/>
                <w:b/>
                <w:bCs/>
                <w:sz w:val="20"/>
                <w:szCs w:val="20"/>
              </w:rPr>
              <w:t>medicinal product pack</w:t>
            </w:r>
          </w:p>
        </w:tc>
        <w:tc>
          <w:tcPr>
            <w:tcW w:w="641" w:type="pct"/>
          </w:tcPr>
          <w:p w14:paraId="41C6B802" w14:textId="77777777" w:rsidR="00984A67" w:rsidRPr="009C0C6D" w:rsidRDefault="00984A67" w:rsidP="00EB623D">
            <w:pPr>
              <w:keepNext/>
              <w:ind w:left="-108"/>
              <w:jc w:val="center"/>
              <w:rPr>
                <w:rFonts w:ascii="Arial Narrow" w:hAnsi="Arial Narrow" w:cs="Arial"/>
                <w:b/>
                <w:sz w:val="20"/>
                <w:szCs w:val="20"/>
              </w:rPr>
            </w:pPr>
            <w:r w:rsidRPr="009C0C6D">
              <w:rPr>
                <w:rFonts w:ascii="Arial Narrow" w:hAnsi="Arial Narrow" w:cs="Arial"/>
                <w:b/>
                <w:sz w:val="20"/>
                <w:szCs w:val="20"/>
              </w:rPr>
              <w:t>PBS item code</w:t>
            </w:r>
          </w:p>
        </w:tc>
        <w:tc>
          <w:tcPr>
            <w:tcW w:w="472" w:type="pct"/>
          </w:tcPr>
          <w:p w14:paraId="7F8DF592" w14:textId="77777777" w:rsidR="00984A67" w:rsidRPr="009C0C6D" w:rsidRDefault="00984A67" w:rsidP="00EB623D">
            <w:pPr>
              <w:keepNext/>
              <w:ind w:left="-108"/>
              <w:jc w:val="center"/>
              <w:rPr>
                <w:rFonts w:ascii="Arial Narrow" w:hAnsi="Arial Narrow" w:cs="Arial"/>
                <w:b/>
                <w:sz w:val="20"/>
                <w:szCs w:val="20"/>
              </w:rPr>
            </w:pPr>
            <w:r w:rsidRPr="009C0C6D">
              <w:rPr>
                <w:rFonts w:ascii="Arial Narrow" w:hAnsi="Arial Narrow" w:cs="Arial"/>
                <w:b/>
                <w:sz w:val="20"/>
                <w:szCs w:val="20"/>
              </w:rPr>
              <w:t>Max. amount</w:t>
            </w:r>
          </w:p>
        </w:tc>
        <w:tc>
          <w:tcPr>
            <w:tcW w:w="471" w:type="pct"/>
          </w:tcPr>
          <w:p w14:paraId="0412E1DF" w14:textId="77777777" w:rsidR="00984A67" w:rsidRPr="009C0C6D" w:rsidRDefault="00984A67" w:rsidP="00EB623D">
            <w:pPr>
              <w:keepNext/>
              <w:ind w:left="-108"/>
              <w:jc w:val="center"/>
              <w:rPr>
                <w:rFonts w:ascii="Arial Narrow" w:hAnsi="Arial Narrow" w:cs="Arial"/>
                <w:b/>
                <w:sz w:val="20"/>
                <w:szCs w:val="20"/>
              </w:rPr>
            </w:pPr>
            <w:r w:rsidRPr="009C0C6D">
              <w:rPr>
                <w:rFonts w:ascii="Arial Narrow" w:hAnsi="Arial Narrow" w:cs="Arial"/>
                <w:b/>
                <w:sz w:val="20"/>
                <w:szCs w:val="20"/>
              </w:rPr>
              <w:t>No. of Rpts</w:t>
            </w:r>
          </w:p>
        </w:tc>
        <w:tc>
          <w:tcPr>
            <w:tcW w:w="1230" w:type="pct"/>
          </w:tcPr>
          <w:p w14:paraId="636FD6FD" w14:textId="77777777" w:rsidR="00984A67" w:rsidRPr="009C0C6D" w:rsidRDefault="00984A67" w:rsidP="00EB623D">
            <w:pPr>
              <w:keepNext/>
              <w:rPr>
                <w:rFonts w:ascii="Arial Narrow" w:hAnsi="Arial Narrow" w:cs="Arial"/>
                <w:b/>
                <w:sz w:val="20"/>
                <w:szCs w:val="20"/>
              </w:rPr>
            </w:pPr>
            <w:r w:rsidRPr="009C0C6D">
              <w:rPr>
                <w:rFonts w:ascii="Arial Narrow" w:hAnsi="Arial Narrow" w:cs="Arial"/>
                <w:b/>
                <w:sz w:val="20"/>
                <w:szCs w:val="20"/>
              </w:rPr>
              <w:t>Available brands</w:t>
            </w:r>
          </w:p>
        </w:tc>
      </w:tr>
      <w:tr w:rsidR="00984A67" w:rsidRPr="009C0C6D" w14:paraId="28FA60E1" w14:textId="77777777" w:rsidTr="00EB623D">
        <w:trPr>
          <w:cantSplit/>
          <w:trHeight w:val="224"/>
        </w:trPr>
        <w:tc>
          <w:tcPr>
            <w:tcW w:w="5000" w:type="pct"/>
            <w:gridSpan w:val="5"/>
          </w:tcPr>
          <w:p w14:paraId="58755994" w14:textId="77777777" w:rsidR="00984A67" w:rsidRPr="009C0C6D" w:rsidRDefault="00984A67" w:rsidP="00EB623D">
            <w:pPr>
              <w:keepNext/>
              <w:ind w:left="-57"/>
              <w:rPr>
                <w:rFonts w:ascii="Arial Narrow" w:hAnsi="Arial Narrow" w:cs="Arial"/>
                <w:sz w:val="20"/>
                <w:szCs w:val="20"/>
              </w:rPr>
            </w:pPr>
            <w:r w:rsidRPr="009C0C6D">
              <w:rPr>
                <w:rFonts w:ascii="Arial Narrow" w:hAnsi="Arial Narrow" w:cs="Arial"/>
                <w:sz w:val="20"/>
                <w:szCs w:val="20"/>
              </w:rPr>
              <w:t>BEVACIZUMAB</w:t>
            </w:r>
          </w:p>
        </w:tc>
      </w:tr>
      <w:tr w:rsidR="00984A67" w:rsidRPr="009C0C6D" w14:paraId="7E3AF664" w14:textId="77777777" w:rsidTr="00EB623D">
        <w:trPr>
          <w:cantSplit/>
          <w:trHeight w:val="504"/>
        </w:trPr>
        <w:tc>
          <w:tcPr>
            <w:tcW w:w="2186" w:type="pct"/>
          </w:tcPr>
          <w:p w14:paraId="2863509C" w14:textId="77777777" w:rsidR="00984A67" w:rsidRPr="009C0C6D" w:rsidRDefault="00984A67" w:rsidP="00EB623D">
            <w:pPr>
              <w:keepNext/>
              <w:rPr>
                <w:rFonts w:ascii="Arial Narrow" w:hAnsi="Arial Narrow" w:cs="Arial"/>
                <w:sz w:val="20"/>
                <w:szCs w:val="20"/>
              </w:rPr>
            </w:pPr>
            <w:r w:rsidRPr="009C0C6D">
              <w:rPr>
                <w:rFonts w:ascii="Arial Narrow" w:hAnsi="Arial Narrow" w:cs="Arial"/>
                <w:sz w:val="20"/>
                <w:szCs w:val="20"/>
              </w:rPr>
              <w:t>bevacizumab 100 mg/4 mL injection, 4 mL vial</w:t>
            </w:r>
          </w:p>
        </w:tc>
        <w:tc>
          <w:tcPr>
            <w:tcW w:w="641" w:type="pct"/>
            <w:vMerge w:val="restart"/>
          </w:tcPr>
          <w:p w14:paraId="05184558" w14:textId="77777777" w:rsidR="00984A67" w:rsidRPr="009C0C6D" w:rsidRDefault="00984A67" w:rsidP="00EB623D">
            <w:pPr>
              <w:keepNext/>
              <w:jc w:val="center"/>
              <w:rPr>
                <w:rFonts w:ascii="Arial Narrow" w:hAnsi="Arial Narrow" w:cs="Arial"/>
                <w:sz w:val="20"/>
                <w:szCs w:val="20"/>
              </w:rPr>
            </w:pPr>
          </w:p>
          <w:p w14:paraId="0F28FE30" w14:textId="77777777" w:rsidR="00984A67" w:rsidRPr="009C0C6D" w:rsidRDefault="00984A67" w:rsidP="00EB623D">
            <w:pPr>
              <w:keepNext/>
              <w:jc w:val="center"/>
              <w:rPr>
                <w:rFonts w:ascii="Arial Narrow" w:hAnsi="Arial Narrow" w:cs="Arial"/>
                <w:sz w:val="20"/>
                <w:szCs w:val="20"/>
              </w:rPr>
            </w:pPr>
          </w:p>
          <w:p w14:paraId="32AC3A46" w14:textId="77777777" w:rsidR="00984A67" w:rsidRPr="009C0C6D" w:rsidRDefault="00984A67" w:rsidP="00EB623D">
            <w:pPr>
              <w:keepNext/>
              <w:jc w:val="center"/>
              <w:rPr>
                <w:rFonts w:ascii="Arial Narrow" w:hAnsi="Arial Narrow" w:cs="Arial"/>
                <w:sz w:val="20"/>
                <w:szCs w:val="20"/>
              </w:rPr>
            </w:pPr>
            <w:r w:rsidRPr="009C0C6D">
              <w:rPr>
                <w:rFonts w:ascii="Arial Narrow" w:hAnsi="Arial Narrow" w:cs="Arial"/>
                <w:sz w:val="20"/>
                <w:szCs w:val="20"/>
              </w:rPr>
              <w:t>12479T (IP)</w:t>
            </w:r>
          </w:p>
        </w:tc>
        <w:tc>
          <w:tcPr>
            <w:tcW w:w="472" w:type="pct"/>
            <w:vMerge w:val="restart"/>
          </w:tcPr>
          <w:p w14:paraId="14446A2C" w14:textId="77777777" w:rsidR="00984A67" w:rsidRPr="009C0C6D" w:rsidRDefault="00984A67" w:rsidP="00EB623D">
            <w:pPr>
              <w:keepNext/>
              <w:jc w:val="center"/>
              <w:rPr>
                <w:rFonts w:ascii="Arial Narrow" w:hAnsi="Arial Narrow" w:cs="Arial"/>
                <w:sz w:val="20"/>
                <w:szCs w:val="20"/>
              </w:rPr>
            </w:pPr>
          </w:p>
          <w:p w14:paraId="1FA9CC30" w14:textId="77777777" w:rsidR="00984A67" w:rsidRPr="009C0C6D" w:rsidRDefault="00984A67" w:rsidP="00EB623D">
            <w:pPr>
              <w:keepNext/>
              <w:jc w:val="center"/>
              <w:rPr>
                <w:rFonts w:ascii="Arial Narrow" w:hAnsi="Arial Narrow" w:cs="Arial"/>
                <w:sz w:val="20"/>
                <w:szCs w:val="20"/>
              </w:rPr>
            </w:pPr>
          </w:p>
          <w:p w14:paraId="500B1BBD" w14:textId="77777777" w:rsidR="00984A67" w:rsidRPr="009C0C6D" w:rsidRDefault="00984A67" w:rsidP="00EB623D">
            <w:pPr>
              <w:keepNext/>
              <w:jc w:val="center"/>
              <w:rPr>
                <w:rFonts w:ascii="Arial Narrow" w:hAnsi="Arial Narrow" w:cs="Arial"/>
                <w:sz w:val="20"/>
                <w:szCs w:val="20"/>
              </w:rPr>
            </w:pPr>
            <w:r w:rsidRPr="009C0C6D">
              <w:rPr>
                <w:rFonts w:ascii="Arial Narrow" w:hAnsi="Arial Narrow" w:cs="Arial"/>
                <w:sz w:val="20"/>
                <w:szCs w:val="20"/>
              </w:rPr>
              <w:t>1800mg</w:t>
            </w:r>
          </w:p>
        </w:tc>
        <w:tc>
          <w:tcPr>
            <w:tcW w:w="471" w:type="pct"/>
            <w:vMerge w:val="restart"/>
          </w:tcPr>
          <w:p w14:paraId="5533F461" w14:textId="77777777" w:rsidR="00984A67" w:rsidRPr="009C0C6D" w:rsidRDefault="00984A67" w:rsidP="00EB623D">
            <w:pPr>
              <w:keepNext/>
              <w:jc w:val="center"/>
              <w:rPr>
                <w:rFonts w:ascii="Arial Narrow" w:hAnsi="Arial Narrow" w:cs="Arial"/>
                <w:sz w:val="20"/>
                <w:szCs w:val="20"/>
              </w:rPr>
            </w:pPr>
          </w:p>
          <w:p w14:paraId="45331B75" w14:textId="77777777" w:rsidR="00984A67" w:rsidRPr="009C0C6D" w:rsidRDefault="00984A67" w:rsidP="00EB623D">
            <w:pPr>
              <w:keepNext/>
              <w:jc w:val="center"/>
              <w:rPr>
                <w:rFonts w:ascii="Arial Narrow" w:hAnsi="Arial Narrow" w:cs="Arial"/>
                <w:sz w:val="20"/>
                <w:szCs w:val="20"/>
              </w:rPr>
            </w:pPr>
          </w:p>
          <w:p w14:paraId="54B138C3" w14:textId="77777777" w:rsidR="00984A67" w:rsidRPr="009C0C6D" w:rsidRDefault="00984A67" w:rsidP="00EB623D">
            <w:pPr>
              <w:keepNext/>
              <w:jc w:val="center"/>
              <w:rPr>
                <w:rFonts w:ascii="Arial Narrow" w:hAnsi="Arial Narrow" w:cs="Arial"/>
                <w:sz w:val="20"/>
                <w:szCs w:val="20"/>
              </w:rPr>
            </w:pPr>
            <w:r w:rsidRPr="009C0C6D">
              <w:rPr>
                <w:rFonts w:ascii="Arial Narrow" w:hAnsi="Arial Narrow" w:cs="Arial"/>
                <w:sz w:val="20"/>
                <w:szCs w:val="20"/>
              </w:rPr>
              <w:t>7</w:t>
            </w:r>
          </w:p>
        </w:tc>
        <w:tc>
          <w:tcPr>
            <w:tcW w:w="1230" w:type="pct"/>
            <w:vMerge w:val="restart"/>
          </w:tcPr>
          <w:p w14:paraId="2DDB61D7" w14:textId="38834292" w:rsidR="00984A67" w:rsidRPr="009C0C6D" w:rsidRDefault="00984A67" w:rsidP="00EB623D">
            <w:pPr>
              <w:keepNext/>
              <w:rPr>
                <w:rFonts w:ascii="Arial Narrow" w:hAnsi="Arial Narrow" w:cs="Arial"/>
                <w:sz w:val="20"/>
                <w:szCs w:val="20"/>
              </w:rPr>
            </w:pPr>
            <w:r w:rsidRPr="009C0C6D">
              <w:rPr>
                <w:rFonts w:ascii="Arial Narrow" w:hAnsi="Arial Narrow" w:cs="Arial"/>
                <w:sz w:val="20"/>
                <w:szCs w:val="20"/>
              </w:rPr>
              <w:t>Abevmy</w:t>
            </w:r>
            <w:r w:rsidRPr="009C0C6D">
              <w:rPr>
                <w:rFonts w:ascii="Arial Narrow" w:hAnsi="Arial Narrow" w:cs="Arial"/>
                <w:sz w:val="20"/>
                <w:szCs w:val="20"/>
              </w:rPr>
              <w:br/>
              <w:t>Bevaciptin</w:t>
            </w:r>
            <w:r w:rsidRPr="009C0C6D">
              <w:rPr>
                <w:rFonts w:ascii="Arial Narrow" w:hAnsi="Arial Narrow" w:cs="Arial"/>
                <w:sz w:val="20"/>
                <w:szCs w:val="20"/>
              </w:rPr>
              <w:br/>
              <w:t>Mvasi</w:t>
            </w:r>
          </w:p>
          <w:p w14:paraId="54453624" w14:textId="77777777" w:rsidR="00984A67" w:rsidRPr="009C0C6D" w:rsidRDefault="00984A67" w:rsidP="00EB623D">
            <w:pPr>
              <w:keepNext/>
              <w:rPr>
                <w:rFonts w:ascii="Arial Narrow" w:hAnsi="Arial Narrow" w:cs="Arial"/>
                <w:i/>
                <w:iCs/>
                <w:sz w:val="20"/>
                <w:szCs w:val="20"/>
              </w:rPr>
            </w:pPr>
            <w:r w:rsidRPr="009C0C6D">
              <w:rPr>
                <w:rFonts w:ascii="Arial Narrow" w:hAnsi="Arial Narrow" w:cs="Arial"/>
                <w:i/>
                <w:iCs/>
                <w:sz w:val="20"/>
                <w:szCs w:val="20"/>
              </w:rPr>
              <w:t>Vegzelma</w:t>
            </w:r>
          </w:p>
        </w:tc>
      </w:tr>
      <w:tr w:rsidR="00984A67" w:rsidRPr="009C0C6D" w14:paraId="61F96E72" w14:textId="77777777" w:rsidTr="00EB623D">
        <w:trPr>
          <w:cantSplit/>
          <w:trHeight w:val="567"/>
        </w:trPr>
        <w:tc>
          <w:tcPr>
            <w:tcW w:w="2186" w:type="pct"/>
          </w:tcPr>
          <w:p w14:paraId="370B4913" w14:textId="77777777" w:rsidR="00984A67" w:rsidRPr="009C0C6D" w:rsidRDefault="00984A67" w:rsidP="00EB623D">
            <w:pPr>
              <w:keepNext/>
              <w:rPr>
                <w:rFonts w:ascii="Arial Narrow" w:hAnsi="Arial Narrow" w:cs="Arial"/>
                <w:sz w:val="20"/>
                <w:szCs w:val="20"/>
              </w:rPr>
            </w:pPr>
            <w:r w:rsidRPr="009C0C6D">
              <w:rPr>
                <w:rFonts w:ascii="Arial Narrow" w:hAnsi="Arial Narrow" w:cs="Arial"/>
                <w:sz w:val="20"/>
                <w:szCs w:val="20"/>
              </w:rPr>
              <w:t>bevacizumab 400 mg/16 mL injection, 16 mL vial</w:t>
            </w:r>
          </w:p>
        </w:tc>
        <w:tc>
          <w:tcPr>
            <w:tcW w:w="641" w:type="pct"/>
            <w:vMerge/>
          </w:tcPr>
          <w:p w14:paraId="46FF235C" w14:textId="77777777" w:rsidR="00984A67" w:rsidRPr="009C0C6D" w:rsidRDefault="00984A67" w:rsidP="00EB623D">
            <w:pPr>
              <w:keepNext/>
              <w:jc w:val="center"/>
              <w:rPr>
                <w:rFonts w:ascii="Arial Narrow" w:hAnsi="Arial Narrow" w:cs="Arial"/>
                <w:sz w:val="20"/>
                <w:szCs w:val="20"/>
              </w:rPr>
            </w:pPr>
          </w:p>
        </w:tc>
        <w:tc>
          <w:tcPr>
            <w:tcW w:w="472" w:type="pct"/>
            <w:vMerge/>
          </w:tcPr>
          <w:p w14:paraId="44FC68DF" w14:textId="77777777" w:rsidR="00984A67" w:rsidRPr="009C0C6D" w:rsidRDefault="00984A67" w:rsidP="00EB623D">
            <w:pPr>
              <w:keepNext/>
              <w:jc w:val="center"/>
              <w:rPr>
                <w:rFonts w:ascii="Arial Narrow" w:hAnsi="Arial Narrow" w:cs="Arial"/>
                <w:sz w:val="20"/>
                <w:szCs w:val="20"/>
              </w:rPr>
            </w:pPr>
          </w:p>
        </w:tc>
        <w:tc>
          <w:tcPr>
            <w:tcW w:w="471" w:type="pct"/>
            <w:vMerge/>
          </w:tcPr>
          <w:p w14:paraId="225014CC" w14:textId="77777777" w:rsidR="00984A67" w:rsidRPr="009C0C6D" w:rsidRDefault="00984A67" w:rsidP="00EB623D">
            <w:pPr>
              <w:keepNext/>
              <w:jc w:val="center"/>
              <w:rPr>
                <w:rFonts w:ascii="Arial Narrow" w:hAnsi="Arial Narrow" w:cs="Arial"/>
                <w:sz w:val="20"/>
                <w:szCs w:val="20"/>
              </w:rPr>
            </w:pPr>
          </w:p>
        </w:tc>
        <w:tc>
          <w:tcPr>
            <w:tcW w:w="1230" w:type="pct"/>
            <w:vMerge/>
          </w:tcPr>
          <w:p w14:paraId="753A8B28" w14:textId="77777777" w:rsidR="00984A67" w:rsidRPr="009C0C6D" w:rsidRDefault="00984A67" w:rsidP="00EB623D">
            <w:pPr>
              <w:keepNext/>
              <w:rPr>
                <w:rFonts w:ascii="Arial Narrow" w:hAnsi="Arial Narrow" w:cs="Arial"/>
                <w:sz w:val="20"/>
                <w:szCs w:val="20"/>
              </w:rPr>
            </w:pPr>
          </w:p>
        </w:tc>
      </w:tr>
      <w:tr w:rsidR="00984A67" w:rsidRPr="009C0C6D" w14:paraId="12A9851B" w14:textId="77777777" w:rsidTr="00EB623D">
        <w:trPr>
          <w:cantSplit/>
          <w:trHeight w:val="561"/>
        </w:trPr>
        <w:tc>
          <w:tcPr>
            <w:tcW w:w="2186" w:type="pct"/>
          </w:tcPr>
          <w:p w14:paraId="390F016D" w14:textId="77777777" w:rsidR="00984A67" w:rsidRPr="009C0C6D" w:rsidRDefault="00984A67" w:rsidP="00EB623D">
            <w:pPr>
              <w:keepNext/>
              <w:ind w:left="-57"/>
              <w:rPr>
                <w:rFonts w:ascii="Arial Narrow" w:hAnsi="Arial Narrow" w:cs="Arial"/>
                <w:sz w:val="20"/>
                <w:szCs w:val="20"/>
              </w:rPr>
            </w:pPr>
            <w:r w:rsidRPr="009C0C6D">
              <w:rPr>
                <w:rFonts w:ascii="Arial Narrow" w:hAnsi="Arial Narrow" w:cs="Arial"/>
                <w:sz w:val="20"/>
                <w:szCs w:val="20"/>
              </w:rPr>
              <w:t>bevacizumab 100 mg/4 mL injection, 4 mL vial</w:t>
            </w:r>
          </w:p>
        </w:tc>
        <w:tc>
          <w:tcPr>
            <w:tcW w:w="641" w:type="pct"/>
            <w:vMerge w:val="restart"/>
          </w:tcPr>
          <w:p w14:paraId="0FB68FA9" w14:textId="77777777" w:rsidR="00984A67" w:rsidRPr="009C0C6D" w:rsidRDefault="00984A67" w:rsidP="00EB623D">
            <w:pPr>
              <w:keepNext/>
              <w:jc w:val="center"/>
              <w:rPr>
                <w:rFonts w:ascii="Arial Narrow" w:hAnsi="Arial Narrow" w:cs="Arial"/>
                <w:sz w:val="20"/>
                <w:szCs w:val="20"/>
              </w:rPr>
            </w:pPr>
          </w:p>
          <w:p w14:paraId="69B210CC" w14:textId="77777777" w:rsidR="00984A67" w:rsidRPr="009C0C6D" w:rsidRDefault="00984A67" w:rsidP="00EB623D">
            <w:pPr>
              <w:keepNext/>
              <w:jc w:val="center"/>
              <w:rPr>
                <w:rFonts w:ascii="Arial Narrow" w:hAnsi="Arial Narrow" w:cs="Arial"/>
                <w:sz w:val="20"/>
                <w:szCs w:val="20"/>
              </w:rPr>
            </w:pPr>
          </w:p>
          <w:p w14:paraId="6F3B4A1B" w14:textId="77777777" w:rsidR="00984A67" w:rsidRPr="009C0C6D" w:rsidRDefault="00984A67" w:rsidP="00EB623D">
            <w:pPr>
              <w:keepNext/>
              <w:jc w:val="center"/>
              <w:rPr>
                <w:rFonts w:ascii="Arial Narrow" w:hAnsi="Arial Narrow" w:cs="Arial"/>
                <w:sz w:val="20"/>
                <w:szCs w:val="20"/>
              </w:rPr>
            </w:pPr>
            <w:r w:rsidRPr="009C0C6D">
              <w:rPr>
                <w:rFonts w:ascii="Arial Narrow" w:hAnsi="Arial Narrow" w:cs="Arial"/>
                <w:sz w:val="20"/>
                <w:szCs w:val="20"/>
              </w:rPr>
              <w:t>12508H (IN)</w:t>
            </w:r>
          </w:p>
        </w:tc>
        <w:tc>
          <w:tcPr>
            <w:tcW w:w="472" w:type="pct"/>
            <w:vMerge w:val="restart"/>
          </w:tcPr>
          <w:p w14:paraId="5096F282" w14:textId="77777777" w:rsidR="00984A67" w:rsidRPr="009C0C6D" w:rsidRDefault="00984A67" w:rsidP="00EB623D">
            <w:pPr>
              <w:keepNext/>
              <w:jc w:val="center"/>
              <w:rPr>
                <w:rFonts w:ascii="Arial Narrow" w:hAnsi="Arial Narrow" w:cs="Arial"/>
                <w:sz w:val="20"/>
                <w:szCs w:val="20"/>
              </w:rPr>
            </w:pPr>
          </w:p>
          <w:p w14:paraId="49E23314" w14:textId="77777777" w:rsidR="00984A67" w:rsidRPr="009C0C6D" w:rsidRDefault="00984A67" w:rsidP="00EB623D">
            <w:pPr>
              <w:keepNext/>
              <w:jc w:val="center"/>
              <w:rPr>
                <w:rFonts w:ascii="Arial Narrow" w:hAnsi="Arial Narrow" w:cs="Arial"/>
                <w:sz w:val="20"/>
                <w:szCs w:val="20"/>
              </w:rPr>
            </w:pPr>
          </w:p>
          <w:p w14:paraId="05CE558B" w14:textId="77777777" w:rsidR="00984A67" w:rsidRPr="009C0C6D" w:rsidRDefault="00984A67" w:rsidP="00EB623D">
            <w:pPr>
              <w:keepNext/>
              <w:jc w:val="center"/>
              <w:rPr>
                <w:rFonts w:ascii="Arial Narrow" w:hAnsi="Arial Narrow" w:cs="Arial"/>
                <w:sz w:val="20"/>
                <w:szCs w:val="20"/>
              </w:rPr>
            </w:pPr>
            <w:r w:rsidRPr="009C0C6D">
              <w:rPr>
                <w:rFonts w:ascii="Arial Narrow" w:hAnsi="Arial Narrow" w:cs="Arial"/>
                <w:sz w:val="20"/>
                <w:szCs w:val="20"/>
              </w:rPr>
              <w:t>1800mg</w:t>
            </w:r>
          </w:p>
        </w:tc>
        <w:tc>
          <w:tcPr>
            <w:tcW w:w="471" w:type="pct"/>
            <w:vMerge w:val="restart"/>
          </w:tcPr>
          <w:p w14:paraId="57B46FB7" w14:textId="77777777" w:rsidR="00984A67" w:rsidRPr="009C0C6D" w:rsidRDefault="00984A67" w:rsidP="00EB623D">
            <w:pPr>
              <w:keepNext/>
              <w:jc w:val="center"/>
              <w:rPr>
                <w:rFonts w:ascii="Arial Narrow" w:hAnsi="Arial Narrow" w:cs="Arial"/>
                <w:sz w:val="20"/>
                <w:szCs w:val="20"/>
              </w:rPr>
            </w:pPr>
          </w:p>
          <w:p w14:paraId="402E9E7D" w14:textId="77777777" w:rsidR="00984A67" w:rsidRPr="009C0C6D" w:rsidRDefault="00984A67" w:rsidP="00EB623D">
            <w:pPr>
              <w:keepNext/>
              <w:jc w:val="center"/>
              <w:rPr>
                <w:rFonts w:ascii="Arial Narrow" w:hAnsi="Arial Narrow" w:cs="Arial"/>
                <w:sz w:val="20"/>
                <w:szCs w:val="20"/>
              </w:rPr>
            </w:pPr>
          </w:p>
          <w:p w14:paraId="57830789" w14:textId="77777777" w:rsidR="00984A67" w:rsidRPr="009C0C6D" w:rsidRDefault="00984A67" w:rsidP="00EB623D">
            <w:pPr>
              <w:keepNext/>
              <w:jc w:val="center"/>
              <w:rPr>
                <w:rFonts w:ascii="Arial Narrow" w:hAnsi="Arial Narrow" w:cs="Arial"/>
                <w:sz w:val="20"/>
                <w:szCs w:val="20"/>
              </w:rPr>
            </w:pPr>
            <w:r w:rsidRPr="009C0C6D">
              <w:rPr>
                <w:rFonts w:ascii="Arial Narrow" w:hAnsi="Arial Narrow" w:cs="Arial"/>
                <w:sz w:val="20"/>
                <w:szCs w:val="20"/>
              </w:rPr>
              <w:t>7</w:t>
            </w:r>
          </w:p>
        </w:tc>
        <w:tc>
          <w:tcPr>
            <w:tcW w:w="1230" w:type="pct"/>
            <w:vMerge w:val="restart"/>
          </w:tcPr>
          <w:p w14:paraId="58C502B6" w14:textId="65FE1F65" w:rsidR="00984A67" w:rsidRPr="009C0C6D" w:rsidRDefault="00984A67" w:rsidP="00EB623D">
            <w:pPr>
              <w:keepNext/>
              <w:rPr>
                <w:rFonts w:ascii="Arial Narrow" w:hAnsi="Arial Narrow" w:cs="Arial"/>
                <w:sz w:val="20"/>
                <w:szCs w:val="20"/>
              </w:rPr>
            </w:pPr>
            <w:r w:rsidRPr="009C0C6D">
              <w:rPr>
                <w:rFonts w:ascii="Arial Narrow" w:hAnsi="Arial Narrow" w:cs="Arial"/>
                <w:sz w:val="20"/>
                <w:szCs w:val="20"/>
              </w:rPr>
              <w:t>Abevmy</w:t>
            </w:r>
            <w:r w:rsidRPr="009C0C6D">
              <w:rPr>
                <w:rFonts w:ascii="Arial Narrow" w:hAnsi="Arial Narrow" w:cs="Arial"/>
                <w:sz w:val="20"/>
                <w:szCs w:val="20"/>
              </w:rPr>
              <w:br/>
              <w:t>Bevaciptin</w:t>
            </w:r>
            <w:r w:rsidRPr="009C0C6D">
              <w:rPr>
                <w:rFonts w:ascii="Arial Narrow" w:hAnsi="Arial Narrow" w:cs="Arial"/>
                <w:sz w:val="20"/>
                <w:szCs w:val="20"/>
              </w:rPr>
              <w:br/>
              <w:t>Mvasi</w:t>
            </w:r>
          </w:p>
          <w:p w14:paraId="1905E832" w14:textId="77777777" w:rsidR="00984A67" w:rsidRPr="009C0C6D" w:rsidRDefault="00984A67" w:rsidP="00EB623D">
            <w:pPr>
              <w:keepNext/>
              <w:rPr>
                <w:rFonts w:ascii="Arial Narrow" w:hAnsi="Arial Narrow" w:cs="Arial"/>
                <w:sz w:val="20"/>
                <w:szCs w:val="20"/>
              </w:rPr>
            </w:pPr>
            <w:r w:rsidRPr="009C0C6D">
              <w:rPr>
                <w:rFonts w:ascii="Arial Narrow" w:hAnsi="Arial Narrow" w:cs="Arial"/>
                <w:i/>
                <w:iCs/>
                <w:sz w:val="20"/>
                <w:szCs w:val="20"/>
              </w:rPr>
              <w:t>Vegzelma</w:t>
            </w:r>
          </w:p>
        </w:tc>
      </w:tr>
      <w:tr w:rsidR="00984A67" w:rsidRPr="009C0C6D" w14:paraId="11166AC9" w14:textId="77777777" w:rsidTr="00EB623D">
        <w:trPr>
          <w:cantSplit/>
          <w:trHeight w:val="553"/>
        </w:trPr>
        <w:tc>
          <w:tcPr>
            <w:tcW w:w="2186" w:type="pct"/>
          </w:tcPr>
          <w:p w14:paraId="0C642677" w14:textId="77777777" w:rsidR="00984A67" w:rsidRPr="009C0C6D" w:rsidRDefault="00984A67" w:rsidP="00EB623D">
            <w:pPr>
              <w:keepNext/>
              <w:ind w:left="-57"/>
              <w:rPr>
                <w:rFonts w:ascii="Arial Narrow" w:hAnsi="Arial Narrow" w:cs="Arial"/>
                <w:sz w:val="20"/>
                <w:szCs w:val="20"/>
              </w:rPr>
            </w:pPr>
            <w:r w:rsidRPr="009C0C6D">
              <w:rPr>
                <w:rFonts w:ascii="Arial Narrow" w:hAnsi="Arial Narrow" w:cs="Arial"/>
                <w:sz w:val="20"/>
                <w:szCs w:val="20"/>
              </w:rPr>
              <w:t>bevacizumab 400 mg/16 mL injection, 16 mL vial</w:t>
            </w:r>
          </w:p>
        </w:tc>
        <w:tc>
          <w:tcPr>
            <w:tcW w:w="641" w:type="pct"/>
            <w:vMerge/>
          </w:tcPr>
          <w:p w14:paraId="79246BE8" w14:textId="77777777" w:rsidR="00984A67" w:rsidRPr="009C0C6D" w:rsidRDefault="00984A67" w:rsidP="00EB623D">
            <w:pPr>
              <w:keepNext/>
              <w:jc w:val="center"/>
              <w:rPr>
                <w:rFonts w:ascii="Arial Narrow" w:hAnsi="Arial Narrow" w:cs="Arial"/>
                <w:sz w:val="20"/>
                <w:szCs w:val="20"/>
              </w:rPr>
            </w:pPr>
          </w:p>
        </w:tc>
        <w:tc>
          <w:tcPr>
            <w:tcW w:w="472" w:type="pct"/>
            <w:vMerge/>
          </w:tcPr>
          <w:p w14:paraId="054CAAD5" w14:textId="77777777" w:rsidR="00984A67" w:rsidRPr="009C0C6D" w:rsidRDefault="00984A67" w:rsidP="00EB623D">
            <w:pPr>
              <w:keepNext/>
              <w:jc w:val="center"/>
              <w:rPr>
                <w:rFonts w:ascii="Arial Narrow" w:hAnsi="Arial Narrow" w:cs="Arial"/>
                <w:sz w:val="20"/>
                <w:szCs w:val="20"/>
              </w:rPr>
            </w:pPr>
          </w:p>
        </w:tc>
        <w:tc>
          <w:tcPr>
            <w:tcW w:w="471" w:type="pct"/>
            <w:vMerge/>
          </w:tcPr>
          <w:p w14:paraId="6942511E" w14:textId="77777777" w:rsidR="00984A67" w:rsidRPr="009C0C6D" w:rsidRDefault="00984A67" w:rsidP="00EB623D">
            <w:pPr>
              <w:keepNext/>
              <w:jc w:val="center"/>
              <w:rPr>
                <w:rFonts w:ascii="Arial Narrow" w:hAnsi="Arial Narrow" w:cs="Arial"/>
                <w:sz w:val="20"/>
                <w:szCs w:val="20"/>
              </w:rPr>
            </w:pPr>
          </w:p>
        </w:tc>
        <w:tc>
          <w:tcPr>
            <w:tcW w:w="1230" w:type="pct"/>
            <w:vMerge/>
          </w:tcPr>
          <w:p w14:paraId="302EDE64" w14:textId="77777777" w:rsidR="00984A67" w:rsidRPr="009C0C6D" w:rsidRDefault="00984A67" w:rsidP="00EB623D">
            <w:pPr>
              <w:keepNext/>
              <w:rPr>
                <w:rFonts w:ascii="Arial Narrow" w:hAnsi="Arial Narrow" w:cs="Arial"/>
                <w:sz w:val="20"/>
                <w:szCs w:val="20"/>
              </w:rPr>
            </w:pPr>
          </w:p>
        </w:tc>
      </w:tr>
      <w:tr w:rsidR="00984A67" w:rsidRPr="009C0C6D" w14:paraId="656CD300" w14:textId="77777777" w:rsidTr="00EB623D">
        <w:tblPrEx>
          <w:tblCellMar>
            <w:top w:w="15" w:type="dxa"/>
            <w:left w:w="15" w:type="dxa"/>
            <w:bottom w:w="15" w:type="dxa"/>
            <w:right w:w="15" w:type="dxa"/>
          </w:tblCellMar>
          <w:tblLook w:val="04A0" w:firstRow="1" w:lastRow="0" w:firstColumn="1" w:lastColumn="0" w:noHBand="0" w:noVBand="1"/>
        </w:tblPrEx>
        <w:tc>
          <w:tcPr>
            <w:tcW w:w="5000" w:type="pct"/>
            <w:gridSpan w:val="5"/>
            <w:tcBorders>
              <w:top w:val="single" w:sz="4" w:space="0" w:color="auto"/>
              <w:left w:val="single" w:sz="4" w:space="0" w:color="auto"/>
              <w:right w:val="single" w:sz="4" w:space="0" w:color="auto"/>
            </w:tcBorders>
          </w:tcPr>
          <w:p w14:paraId="240B6D4C" w14:textId="77777777" w:rsidR="00984A67" w:rsidRPr="009C0C6D" w:rsidRDefault="00984A67" w:rsidP="00EB623D">
            <w:pPr>
              <w:rPr>
                <w:rFonts w:ascii="Arial Narrow" w:hAnsi="Arial Narrow" w:cs="Arial"/>
                <w:sz w:val="20"/>
                <w:szCs w:val="20"/>
              </w:rPr>
            </w:pPr>
          </w:p>
        </w:tc>
      </w:tr>
      <w:tr w:rsidR="00984A67" w:rsidRPr="009C0C6D" w14:paraId="40C1CD32" w14:textId="77777777" w:rsidTr="00E957BA">
        <w:tblPrEx>
          <w:tblCellMar>
            <w:top w:w="15" w:type="dxa"/>
            <w:left w:w="15" w:type="dxa"/>
            <w:bottom w:w="15" w:type="dxa"/>
            <w:right w:w="15" w:type="dxa"/>
          </w:tblCellMar>
          <w:tblLook w:val="04A0" w:firstRow="1" w:lastRow="0" w:firstColumn="1" w:lastColumn="0" w:noHBand="0" w:noVBand="1"/>
        </w:tblPrEx>
        <w:trPr>
          <w:trHeight w:val="299"/>
        </w:trPr>
        <w:tc>
          <w:tcPr>
            <w:tcW w:w="5000" w:type="pct"/>
            <w:gridSpan w:val="5"/>
            <w:tcBorders>
              <w:top w:val="single" w:sz="4" w:space="0" w:color="auto"/>
              <w:left w:val="single" w:sz="4" w:space="0" w:color="auto"/>
              <w:right w:val="single" w:sz="4" w:space="0" w:color="auto"/>
            </w:tcBorders>
          </w:tcPr>
          <w:p w14:paraId="1AE79167" w14:textId="77777777" w:rsidR="00984A67" w:rsidRPr="009C0C6D" w:rsidRDefault="00984A67" w:rsidP="00EB623D">
            <w:pPr>
              <w:rPr>
                <w:rFonts w:ascii="Arial Narrow" w:hAnsi="Arial Narrow" w:cs="Arial"/>
                <w:sz w:val="20"/>
                <w:szCs w:val="20"/>
              </w:rPr>
            </w:pPr>
            <w:r w:rsidRPr="009C0C6D">
              <w:rPr>
                <w:rFonts w:ascii="Arial Narrow" w:hAnsi="Arial Narrow" w:cs="Arial"/>
                <w:b/>
                <w:sz w:val="20"/>
                <w:szCs w:val="20"/>
              </w:rPr>
              <w:t>Category / Program: S100 – Section 100 (Efficient Funding of Chemotherapy) – Public/Private</w:t>
            </w:r>
          </w:p>
        </w:tc>
      </w:tr>
      <w:tr w:rsidR="00984A67" w:rsidRPr="009C0C6D" w14:paraId="5770F49C" w14:textId="77777777" w:rsidTr="00EB623D">
        <w:tblPrEx>
          <w:tblCellMar>
            <w:top w:w="15" w:type="dxa"/>
            <w:left w:w="15" w:type="dxa"/>
            <w:bottom w:w="15" w:type="dxa"/>
            <w:right w:w="15" w:type="dxa"/>
          </w:tblCellMar>
          <w:tblLook w:val="04A0" w:firstRow="1" w:lastRow="0" w:firstColumn="1" w:lastColumn="0" w:noHBand="0" w:noVBand="1"/>
        </w:tblPrEx>
        <w:tc>
          <w:tcPr>
            <w:tcW w:w="5000" w:type="pct"/>
            <w:gridSpan w:val="5"/>
            <w:tcBorders>
              <w:top w:val="single" w:sz="4" w:space="0" w:color="auto"/>
              <w:left w:val="single" w:sz="4" w:space="0" w:color="auto"/>
              <w:right w:val="single" w:sz="4" w:space="0" w:color="auto"/>
            </w:tcBorders>
          </w:tcPr>
          <w:p w14:paraId="65E9DA84" w14:textId="44D3E69D" w:rsidR="00984A67" w:rsidRPr="009C0C6D" w:rsidRDefault="00984A67" w:rsidP="00EB623D">
            <w:pPr>
              <w:rPr>
                <w:rFonts w:ascii="Arial Narrow" w:hAnsi="Arial Narrow" w:cs="Arial"/>
                <w:sz w:val="20"/>
                <w:szCs w:val="20"/>
              </w:rPr>
            </w:pPr>
            <w:r w:rsidRPr="009C0C6D">
              <w:rPr>
                <w:rFonts w:ascii="Arial Narrow" w:hAnsi="Arial Narrow" w:cs="Arial"/>
                <w:b/>
                <w:sz w:val="20"/>
                <w:szCs w:val="20"/>
              </w:rPr>
              <w:t>Prescriber type:</w:t>
            </w:r>
            <w:r w:rsidRPr="009C0C6D">
              <w:rPr>
                <w:rFonts w:ascii="Arial Narrow" w:hAnsi="Arial Narrow" w:cs="Arial"/>
                <w:sz w:val="20"/>
                <w:szCs w:val="20"/>
              </w:rPr>
              <w:t xml:space="preserve"> </w:t>
            </w:r>
            <w:r w:rsidRPr="009C0C6D">
              <w:rPr>
                <w:rFonts w:ascii="Arial Narrow" w:hAnsi="Arial Narrow" w:cs="Arial"/>
                <w:sz w:val="20"/>
                <w:szCs w:val="20"/>
              </w:rPr>
              <w:fldChar w:fldCharType="begin" w:fldLock="1">
                <w:ffData>
                  <w:name w:val=""/>
                  <w:enabled/>
                  <w:calcOnExit w:val="0"/>
                  <w:checkBox>
                    <w:sizeAuto/>
                    <w:default w:val="1"/>
                  </w:checkBox>
                </w:ffData>
              </w:fldChar>
            </w:r>
            <w:r w:rsidRPr="009C0C6D">
              <w:rPr>
                <w:rFonts w:ascii="Arial Narrow" w:hAnsi="Arial Narrow" w:cs="Arial"/>
                <w:sz w:val="20"/>
                <w:szCs w:val="20"/>
              </w:rPr>
              <w:instrText xml:space="preserve"> FORMCHECKBOX </w:instrText>
            </w:r>
            <w:r w:rsidR="00C37028">
              <w:rPr>
                <w:rFonts w:ascii="Arial Narrow" w:hAnsi="Arial Narrow" w:cs="Arial"/>
                <w:sz w:val="20"/>
                <w:szCs w:val="20"/>
              </w:rPr>
            </w:r>
            <w:r w:rsidR="00C37028">
              <w:rPr>
                <w:rFonts w:ascii="Arial Narrow" w:hAnsi="Arial Narrow" w:cs="Arial"/>
                <w:sz w:val="20"/>
                <w:szCs w:val="20"/>
              </w:rPr>
              <w:fldChar w:fldCharType="separate"/>
            </w:r>
            <w:r w:rsidRPr="009C0C6D">
              <w:rPr>
                <w:rFonts w:ascii="Arial Narrow" w:hAnsi="Arial Narrow" w:cs="Arial"/>
                <w:sz w:val="20"/>
                <w:szCs w:val="20"/>
              </w:rPr>
              <w:fldChar w:fldCharType="end"/>
            </w:r>
            <w:r w:rsidRPr="009C0C6D">
              <w:rPr>
                <w:rFonts w:ascii="Arial Narrow" w:hAnsi="Arial Narrow" w:cs="Arial"/>
                <w:sz w:val="20"/>
                <w:szCs w:val="20"/>
              </w:rPr>
              <w:t>Medical Practitioners</w:t>
            </w:r>
          </w:p>
        </w:tc>
      </w:tr>
      <w:tr w:rsidR="00984A67" w:rsidRPr="009C0C6D" w14:paraId="71B5E25E" w14:textId="77777777" w:rsidTr="00EB623D">
        <w:tblPrEx>
          <w:tblCellMar>
            <w:top w:w="15" w:type="dxa"/>
            <w:left w:w="15" w:type="dxa"/>
            <w:bottom w:w="15" w:type="dxa"/>
            <w:right w:w="15" w:type="dxa"/>
          </w:tblCellMar>
          <w:tblLook w:val="04A0" w:firstRow="1" w:lastRow="0" w:firstColumn="1" w:lastColumn="0" w:noHBand="0" w:noVBand="1"/>
        </w:tblPrEx>
        <w:tc>
          <w:tcPr>
            <w:tcW w:w="5000" w:type="pct"/>
            <w:gridSpan w:val="5"/>
            <w:tcBorders>
              <w:top w:val="single" w:sz="4" w:space="0" w:color="auto"/>
              <w:left w:val="single" w:sz="4" w:space="0" w:color="auto"/>
              <w:right w:val="single" w:sz="4" w:space="0" w:color="auto"/>
            </w:tcBorders>
          </w:tcPr>
          <w:p w14:paraId="2364EBC6" w14:textId="77777777" w:rsidR="00984A67" w:rsidRPr="009C0C6D" w:rsidRDefault="00984A67" w:rsidP="00EB623D">
            <w:pPr>
              <w:rPr>
                <w:rFonts w:ascii="Arial Narrow" w:hAnsi="Arial Narrow" w:cs="Arial"/>
                <w:sz w:val="20"/>
                <w:szCs w:val="20"/>
              </w:rPr>
            </w:pPr>
            <w:r w:rsidRPr="009C0C6D">
              <w:rPr>
                <w:rFonts w:ascii="Arial Narrow" w:hAnsi="Arial Narrow" w:cs="Arial"/>
                <w:b/>
                <w:sz w:val="20"/>
                <w:szCs w:val="20"/>
              </w:rPr>
              <w:t xml:space="preserve">Restriction type: </w:t>
            </w:r>
            <w:r w:rsidRPr="009C0C6D">
              <w:rPr>
                <w:rFonts w:ascii="Arial Narrow" w:eastAsia="Calibri" w:hAnsi="Arial Narrow" w:cs="Arial"/>
                <w:sz w:val="20"/>
                <w:szCs w:val="20"/>
              </w:rPr>
              <w:fldChar w:fldCharType="begin" w:fldLock="1">
                <w:ffData>
                  <w:name w:val=""/>
                  <w:enabled/>
                  <w:calcOnExit w:val="0"/>
                  <w:checkBox>
                    <w:sizeAuto/>
                    <w:default w:val="1"/>
                  </w:checkBox>
                </w:ffData>
              </w:fldChar>
            </w:r>
            <w:r w:rsidRPr="009C0C6D">
              <w:rPr>
                <w:rFonts w:ascii="Arial Narrow" w:eastAsia="Calibri" w:hAnsi="Arial Narrow" w:cs="Arial"/>
                <w:sz w:val="20"/>
                <w:szCs w:val="20"/>
              </w:rPr>
              <w:instrText xml:space="preserve"> FORMCHECKBOX </w:instrText>
            </w:r>
            <w:r w:rsidR="00C37028">
              <w:rPr>
                <w:rFonts w:ascii="Arial Narrow" w:eastAsia="Calibri" w:hAnsi="Arial Narrow" w:cs="Arial"/>
                <w:sz w:val="20"/>
                <w:szCs w:val="20"/>
              </w:rPr>
            </w:r>
            <w:r w:rsidR="00C37028">
              <w:rPr>
                <w:rFonts w:ascii="Arial Narrow" w:eastAsia="Calibri" w:hAnsi="Arial Narrow" w:cs="Arial"/>
                <w:sz w:val="20"/>
                <w:szCs w:val="20"/>
              </w:rPr>
              <w:fldChar w:fldCharType="separate"/>
            </w:r>
            <w:r w:rsidRPr="009C0C6D">
              <w:rPr>
                <w:rFonts w:ascii="Arial Narrow" w:eastAsia="Calibri" w:hAnsi="Arial Narrow" w:cs="Arial"/>
                <w:sz w:val="20"/>
                <w:szCs w:val="20"/>
              </w:rPr>
              <w:fldChar w:fldCharType="end"/>
            </w:r>
            <w:r w:rsidRPr="009C0C6D">
              <w:rPr>
                <w:rFonts w:ascii="Arial Narrow" w:eastAsia="Calibri" w:hAnsi="Arial Narrow" w:cs="Arial"/>
                <w:sz w:val="20"/>
                <w:szCs w:val="20"/>
              </w:rPr>
              <w:t xml:space="preserve"> Unrestricted</w:t>
            </w:r>
          </w:p>
        </w:tc>
      </w:tr>
    </w:tbl>
    <w:p w14:paraId="06968258" w14:textId="5E46D209" w:rsidR="00E93A85" w:rsidRPr="009C0C6D" w:rsidRDefault="00E93A85" w:rsidP="005D3788">
      <w:pPr>
        <w:pStyle w:val="3Bodytext"/>
        <w:spacing w:before="120"/>
      </w:pPr>
      <w:r w:rsidRPr="009C0C6D">
        <w:t>The submission requested that Vegzelma be treated as equivalent to Mvasi, Bevaciptin and Abevmy for the purpose of substitution</w:t>
      </w:r>
      <w:r w:rsidR="00DA2E58">
        <w:t>.</w:t>
      </w:r>
      <w:r w:rsidR="00175C72">
        <w:t xml:space="preserve"> </w:t>
      </w:r>
      <w:bookmarkStart w:id="3" w:name="_Hlk158041088"/>
      <w:r w:rsidRPr="009C0C6D">
        <w:t xml:space="preserve">EFC medicines are governed by the </w:t>
      </w:r>
      <w:r w:rsidRPr="009C0C6D">
        <w:rPr>
          <w:i/>
          <w:iCs/>
          <w:color w:val="000000" w:themeColor="text1"/>
        </w:rPr>
        <w:t>National Health (Efficient Funding of Chemotherapy) Special Arrangement 2011</w:t>
      </w:r>
      <w:r w:rsidR="00E62666" w:rsidRPr="009C0C6D">
        <w:t>.</w:t>
      </w:r>
      <w:r w:rsidR="00712714" w:rsidRPr="009C0C6D">
        <w:t xml:space="preserve"> </w:t>
      </w:r>
      <w:r w:rsidR="00E62666" w:rsidRPr="009C0C6D">
        <w:t xml:space="preserve">Subsection </w:t>
      </w:r>
      <w:r w:rsidRPr="009C0C6D">
        <w:t>33(2)</w:t>
      </w:r>
      <w:r w:rsidR="008A7671" w:rsidRPr="009C0C6D">
        <w:t xml:space="preserve"> of that agreement</w:t>
      </w:r>
      <w:r w:rsidRPr="009C0C6D">
        <w:t xml:space="preserve"> allows </w:t>
      </w:r>
      <w:r w:rsidR="00712714" w:rsidRPr="009C0C6D">
        <w:t xml:space="preserve">the </w:t>
      </w:r>
      <w:r w:rsidRPr="009C0C6D">
        <w:t>substitution of brands with the same chemotherapy drug</w:t>
      </w:r>
      <w:r w:rsidR="008A7671" w:rsidRPr="009C0C6D">
        <w:t>. This</w:t>
      </w:r>
      <w:r w:rsidR="008B0C7E" w:rsidRPr="009C0C6D">
        <w:t xml:space="preserve"> mean</w:t>
      </w:r>
      <w:r w:rsidR="008A7671" w:rsidRPr="009C0C6D">
        <w:t>s</w:t>
      </w:r>
      <w:r w:rsidR="008B0C7E" w:rsidRPr="009C0C6D">
        <w:t xml:space="preserve"> that any PBS listed brand of bevacizumab </w:t>
      </w:r>
      <w:r w:rsidR="0004000D" w:rsidRPr="009C0C6D">
        <w:t>is already considered equivalent for the purpose of substitution under this arrangement, irrespective of biosimilarity or bioequivalence</w:t>
      </w:r>
      <w:r w:rsidRPr="009C0C6D">
        <w:rPr>
          <w:i/>
          <w:iCs/>
        </w:rPr>
        <w:t>.</w:t>
      </w:r>
      <w:r w:rsidR="0004000D" w:rsidRPr="009C0C6D">
        <w:rPr>
          <w:i/>
          <w:iCs/>
          <w:color w:val="000000" w:themeColor="text1"/>
        </w:rPr>
        <w:t xml:space="preserve"> </w:t>
      </w:r>
      <w:r w:rsidR="0004000D" w:rsidRPr="009C0C6D">
        <w:rPr>
          <w:color w:val="000000" w:themeColor="text1"/>
        </w:rPr>
        <w:t xml:space="preserve">Substitution is still at the discretion of the </w:t>
      </w:r>
      <w:r w:rsidR="00043C2E" w:rsidRPr="009C0C6D">
        <w:rPr>
          <w:color w:val="000000" w:themeColor="text1"/>
        </w:rPr>
        <w:t>pharmacist and clinical judgement about the suitability of the substitute should still apply.</w:t>
      </w:r>
    </w:p>
    <w:p w14:paraId="2F4B9BD3" w14:textId="7F196C34" w:rsidR="00433973" w:rsidRPr="009C0C6D" w:rsidRDefault="00040086" w:rsidP="0095222E">
      <w:pPr>
        <w:pStyle w:val="3Bodytext"/>
      </w:pPr>
      <w:r w:rsidRPr="009C0C6D">
        <w:t xml:space="preserve">The submission </w:t>
      </w:r>
      <w:r w:rsidR="00593FF3" w:rsidRPr="009C0C6D">
        <w:t xml:space="preserve">requested </w:t>
      </w:r>
      <w:r w:rsidRPr="009C0C6D">
        <w:t xml:space="preserve">the implementation of biosimilar uptake drivers </w:t>
      </w:r>
      <w:r w:rsidR="0067252E" w:rsidRPr="009C0C6D">
        <w:t xml:space="preserve">apply to </w:t>
      </w:r>
      <w:r w:rsidRPr="009C0C6D">
        <w:t>Vegzelma</w:t>
      </w:r>
      <w:r w:rsidR="0067252E" w:rsidRPr="009C0C6D">
        <w:t xml:space="preserve"> if listed,</w:t>
      </w:r>
      <w:r w:rsidRPr="009C0C6D">
        <w:t xml:space="preserve"> </w:t>
      </w:r>
      <w:r w:rsidR="0067252E" w:rsidRPr="009C0C6D">
        <w:t>h</w:t>
      </w:r>
      <w:r w:rsidR="00A93F62" w:rsidRPr="009C0C6D">
        <w:t>owever,</w:t>
      </w:r>
      <w:r w:rsidR="00DB4EB4" w:rsidRPr="009C0C6D">
        <w:t xml:space="preserve"> </w:t>
      </w:r>
      <w:r w:rsidR="006C5998" w:rsidRPr="009C0C6D">
        <w:t xml:space="preserve">no uptake drivers can be applied as the </w:t>
      </w:r>
      <w:r w:rsidR="007E653F" w:rsidRPr="009C0C6D">
        <w:t xml:space="preserve">requested </w:t>
      </w:r>
      <w:r w:rsidR="006C5998" w:rsidRPr="009C0C6D">
        <w:t xml:space="preserve">listing is </w:t>
      </w:r>
      <w:r w:rsidR="007E653F" w:rsidRPr="009C0C6D">
        <w:t>U</w:t>
      </w:r>
      <w:r w:rsidR="006C5998" w:rsidRPr="009C0C6D">
        <w:t>nrestricted and Avastin</w:t>
      </w:r>
      <w:r w:rsidR="00DB2EAB">
        <w:t xml:space="preserve"> (reference brand)</w:t>
      </w:r>
      <w:r w:rsidR="006C5998" w:rsidRPr="009C0C6D">
        <w:t xml:space="preserve"> is no longer PBS-listed.</w:t>
      </w:r>
    </w:p>
    <w:bookmarkEnd w:id="3"/>
    <w:p w14:paraId="29A96004" w14:textId="0D9BD802" w:rsidR="00C27C1C" w:rsidRPr="009C0C6D" w:rsidRDefault="00C27C1C" w:rsidP="005D3788">
      <w:pPr>
        <w:pStyle w:val="2-SectionHeading"/>
        <w:rPr>
          <w:color w:val="FF0000"/>
        </w:rPr>
      </w:pPr>
      <w:r w:rsidRPr="009C0C6D">
        <w:lastRenderedPageBreak/>
        <w:t>Comparator</w:t>
      </w:r>
    </w:p>
    <w:p w14:paraId="62835B8C" w14:textId="1CF96039" w:rsidR="00E732C4" w:rsidRPr="009C0C6D" w:rsidRDefault="00C27C1C" w:rsidP="00E456FD">
      <w:pPr>
        <w:pStyle w:val="3Bodytext"/>
      </w:pPr>
      <w:r w:rsidRPr="009C0C6D">
        <w:t xml:space="preserve">The submission nominated </w:t>
      </w:r>
      <w:r w:rsidR="00E514B1" w:rsidRPr="009C0C6D">
        <w:t>Avastin</w:t>
      </w:r>
      <w:r w:rsidR="00A75AF7" w:rsidRPr="009C0C6D">
        <w:t xml:space="preserve"> </w:t>
      </w:r>
      <w:r w:rsidRPr="009C0C6D">
        <w:t>as the main comparator.</w:t>
      </w:r>
      <w:r w:rsidR="00EB7210" w:rsidRPr="009C0C6D">
        <w:t xml:space="preserve"> </w:t>
      </w:r>
      <w:r w:rsidR="00BC2F6F" w:rsidRPr="009C0C6D">
        <w:t>This was appropriate noting that the PBAC recommended listing Mvasi on a cost-minimisation basis to Avastin in November 2020.</w:t>
      </w:r>
    </w:p>
    <w:p w14:paraId="0436B7D8" w14:textId="77777777" w:rsidR="00C27C1C" w:rsidRPr="009C0C6D" w:rsidRDefault="00C27C1C" w:rsidP="005D3788">
      <w:pPr>
        <w:pStyle w:val="2-SectionHeading"/>
      </w:pPr>
      <w:r w:rsidRPr="009C0C6D">
        <w:t>Consideration of the evidence</w:t>
      </w:r>
    </w:p>
    <w:p w14:paraId="2381D57B" w14:textId="77777777" w:rsidR="00873DAE" w:rsidRPr="009C0C6D" w:rsidRDefault="00873DAE" w:rsidP="00873DAE">
      <w:pPr>
        <w:pStyle w:val="4-SubsectionHeading"/>
        <w:rPr>
          <w:lang w:eastAsia="en-US"/>
        </w:rPr>
      </w:pPr>
      <w:r w:rsidRPr="009C0C6D">
        <w:rPr>
          <w:lang w:eastAsia="en-US"/>
        </w:rPr>
        <w:t>Sponsor hearing</w:t>
      </w:r>
    </w:p>
    <w:p w14:paraId="46E79BBC" w14:textId="70E5F304" w:rsidR="00873DAE" w:rsidRPr="009C0C6D" w:rsidRDefault="00873DAE" w:rsidP="00873DAE">
      <w:pPr>
        <w:pStyle w:val="3Bodytext"/>
      </w:pPr>
      <w:r w:rsidRPr="009C0C6D">
        <w:t>There was no hearing for this item</w:t>
      </w:r>
      <w:r w:rsidR="001F14A4">
        <w:t>.</w:t>
      </w:r>
    </w:p>
    <w:p w14:paraId="3E4E6326" w14:textId="77777777" w:rsidR="00873DAE" w:rsidRPr="009C0C6D" w:rsidRDefault="00873DAE" w:rsidP="00873DAE">
      <w:pPr>
        <w:pStyle w:val="4-SubsectionHeading"/>
        <w:rPr>
          <w:lang w:eastAsia="en-US"/>
        </w:rPr>
      </w:pPr>
      <w:r w:rsidRPr="009C0C6D">
        <w:rPr>
          <w:lang w:eastAsia="en-US"/>
        </w:rPr>
        <w:t>Consumer comments</w:t>
      </w:r>
    </w:p>
    <w:p w14:paraId="3EA15325" w14:textId="59820A3A" w:rsidR="003911B8" w:rsidRPr="009C0C6D" w:rsidRDefault="00873DAE" w:rsidP="000E2E4E">
      <w:pPr>
        <w:widowControl w:val="0"/>
        <w:numPr>
          <w:ilvl w:val="1"/>
          <w:numId w:val="2"/>
        </w:numPr>
        <w:spacing w:after="120"/>
      </w:pPr>
      <w:r w:rsidRPr="009C0C6D">
        <w:t>The PBAC noted and welcomed the input from individuals (</w:t>
      </w:r>
      <w:r w:rsidR="00F86886" w:rsidRPr="009C0C6D">
        <w:t>1</w:t>
      </w:r>
      <w:r w:rsidRPr="009C0C6D">
        <w:t>) and organisations (</w:t>
      </w:r>
      <w:r w:rsidR="00F86886" w:rsidRPr="009C0C6D">
        <w:t>2</w:t>
      </w:r>
      <w:r w:rsidRPr="009C0C6D">
        <w:t xml:space="preserve">) via the Consumer Comments facility on the PBS website. The comments described </w:t>
      </w:r>
      <w:r w:rsidR="000564FD" w:rsidRPr="009C0C6D">
        <w:t xml:space="preserve">the </w:t>
      </w:r>
      <w:r w:rsidRPr="009C0C6D">
        <w:t xml:space="preserve">benefits of </w:t>
      </w:r>
      <w:r w:rsidR="00785273">
        <w:t xml:space="preserve">having additional </w:t>
      </w:r>
      <w:r w:rsidR="00E513A0">
        <w:t>t</w:t>
      </w:r>
      <w:r w:rsidR="00785273">
        <w:t>reatment options</w:t>
      </w:r>
      <w:r w:rsidR="00785273" w:rsidRPr="009C0C6D">
        <w:t xml:space="preserve"> </w:t>
      </w:r>
      <w:r w:rsidR="00E513A0">
        <w:t>such as</w:t>
      </w:r>
      <w:r w:rsidRPr="009C0C6D">
        <w:t xml:space="preserve"> </w:t>
      </w:r>
      <w:bookmarkStart w:id="4" w:name="_Hlk161943792"/>
      <w:r w:rsidR="00547891" w:rsidRPr="009C0C6D">
        <w:t>Vegzelma</w:t>
      </w:r>
      <w:r w:rsidR="00B23303">
        <w:t xml:space="preserve"> on the PBS</w:t>
      </w:r>
      <w:r w:rsidRPr="009C0C6D">
        <w:t xml:space="preserve"> </w:t>
      </w:r>
      <w:bookmarkEnd w:id="4"/>
      <w:r w:rsidRPr="009C0C6D">
        <w:t xml:space="preserve">including </w:t>
      </w:r>
      <w:r w:rsidR="006364B1" w:rsidRPr="009C0C6D">
        <w:t xml:space="preserve">flexibility in treatment </w:t>
      </w:r>
      <w:bookmarkStart w:id="5" w:name="_Hlk161944587"/>
      <w:r w:rsidR="003911B8" w:rsidRPr="009C0C6D">
        <w:t xml:space="preserve">and </w:t>
      </w:r>
      <w:r w:rsidR="006364B1" w:rsidRPr="009C0C6D">
        <w:t>potential affordability</w:t>
      </w:r>
      <w:r w:rsidR="003911B8" w:rsidRPr="009C0C6D">
        <w:t>.</w:t>
      </w:r>
    </w:p>
    <w:p w14:paraId="049957E5" w14:textId="33ED053E" w:rsidR="00FE70F2" w:rsidRPr="009C0C6D" w:rsidRDefault="00D50CB9" w:rsidP="005658B1">
      <w:pPr>
        <w:pStyle w:val="3Bodytext"/>
        <w:rPr>
          <w:rFonts w:ascii="Calibri" w:eastAsia="Times New Roman" w:hAnsi="Calibri" w:cs="Times New Roman"/>
          <w:szCs w:val="24"/>
        </w:rPr>
      </w:pPr>
      <w:r w:rsidRPr="009C0C6D">
        <w:t>The PBAC noted that the Medical Oncology Group of Australia (MOGA) strongly support</w:t>
      </w:r>
      <w:r w:rsidR="000564FD" w:rsidRPr="009C0C6D">
        <w:t>ed</w:t>
      </w:r>
      <w:r w:rsidRPr="009C0C6D">
        <w:t xml:space="preserve"> the listing of Vegzelma. </w:t>
      </w:r>
      <w:bookmarkEnd w:id="5"/>
    </w:p>
    <w:p w14:paraId="40CECBAD" w14:textId="76E9A167" w:rsidR="00F6590A" w:rsidRPr="009C0C6D" w:rsidRDefault="00F6590A" w:rsidP="00F6590A">
      <w:pPr>
        <w:pStyle w:val="4-SubsectionHeading"/>
        <w:rPr>
          <w:lang w:eastAsia="en-US"/>
        </w:rPr>
      </w:pPr>
      <w:r w:rsidRPr="009C0C6D">
        <w:rPr>
          <w:lang w:eastAsia="en-US"/>
        </w:rPr>
        <w:t xml:space="preserve">Clinical trails </w:t>
      </w:r>
    </w:p>
    <w:p w14:paraId="58687FD7" w14:textId="1561F2F9" w:rsidR="00F6590A" w:rsidRPr="009C0C6D" w:rsidRDefault="00F6590A" w:rsidP="00E456FD">
      <w:pPr>
        <w:pStyle w:val="3Bodytext"/>
      </w:pPr>
      <w:r w:rsidRPr="009C0C6D">
        <w:t xml:space="preserve">The submission presented the following clinical trials to support the claim that Vegzelma is similar to Avastin in terms of its pharmacokinetics, efficacy, </w:t>
      </w:r>
      <w:r w:rsidR="00401099" w:rsidRPr="009C0C6D">
        <w:t>immunogenicity,</w:t>
      </w:r>
      <w:r w:rsidRPr="009C0C6D">
        <w:t xml:space="preserve"> and safety. Details of the trials are summarised in </w:t>
      </w:r>
      <w:r w:rsidRPr="009C0C6D">
        <w:fldChar w:fldCharType="begin" w:fldLock="1"/>
      </w:r>
      <w:r w:rsidRPr="009C0C6D">
        <w:instrText xml:space="preserve"> REF _Ref112414542 \h  \* MERGEFORMAT </w:instrText>
      </w:r>
      <w:r w:rsidRPr="009C0C6D">
        <w:fldChar w:fldCharType="separate"/>
      </w:r>
      <w:r w:rsidRPr="009C0C6D">
        <w:t xml:space="preserve">Table </w:t>
      </w:r>
      <w:r w:rsidRPr="009C0C6D">
        <w:fldChar w:fldCharType="end"/>
      </w:r>
      <w:r w:rsidRPr="009C0C6D">
        <w:t>2.</w:t>
      </w:r>
    </w:p>
    <w:p w14:paraId="3BFD4CB3" w14:textId="77777777" w:rsidR="00F6590A" w:rsidRPr="009C0C6D" w:rsidRDefault="00F6590A" w:rsidP="0095222E">
      <w:pPr>
        <w:pStyle w:val="TableFigureHeading"/>
        <w:rPr>
          <w:rStyle w:val="CommentReference"/>
          <w:sz w:val="20"/>
          <w:szCs w:val="24"/>
        </w:rPr>
      </w:pPr>
      <w:r w:rsidRPr="009C0C6D">
        <w:t>Table 2: Trial presented in the submission and associated report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 presented in the submission and associated report presented in the submission"/>
      </w:tblPr>
      <w:tblGrid>
        <w:gridCol w:w="1434"/>
        <w:gridCol w:w="5054"/>
        <w:gridCol w:w="2528"/>
      </w:tblGrid>
      <w:tr w:rsidR="00F6590A" w:rsidRPr="009C0C6D" w14:paraId="76CA55FA" w14:textId="77777777" w:rsidTr="00C5359C">
        <w:trPr>
          <w:cantSplit/>
          <w:tblHeader/>
        </w:trPr>
        <w:tc>
          <w:tcPr>
            <w:tcW w:w="795" w:type="pct"/>
            <w:vAlign w:val="center"/>
          </w:tcPr>
          <w:p w14:paraId="7F743096" w14:textId="77777777" w:rsidR="00F6590A" w:rsidRPr="009C0C6D" w:rsidRDefault="00F6590A" w:rsidP="00C5359C">
            <w:pPr>
              <w:pStyle w:val="In-tableHeading"/>
              <w:jc w:val="center"/>
              <w:rPr>
                <w:szCs w:val="20"/>
                <w:lang w:val="en-AU"/>
              </w:rPr>
            </w:pPr>
            <w:r w:rsidRPr="009C0C6D">
              <w:rPr>
                <w:szCs w:val="20"/>
                <w:lang w:val="en-AU"/>
              </w:rPr>
              <w:t>Trial ID</w:t>
            </w:r>
          </w:p>
        </w:tc>
        <w:tc>
          <w:tcPr>
            <w:tcW w:w="2803" w:type="pct"/>
            <w:vAlign w:val="center"/>
          </w:tcPr>
          <w:p w14:paraId="2778E839" w14:textId="77777777" w:rsidR="00F6590A" w:rsidRPr="009C0C6D" w:rsidRDefault="00F6590A" w:rsidP="00C5359C">
            <w:pPr>
              <w:pStyle w:val="In-tableHeading"/>
              <w:rPr>
                <w:szCs w:val="20"/>
                <w:lang w:val="en-AU"/>
              </w:rPr>
            </w:pPr>
            <w:r w:rsidRPr="009C0C6D">
              <w:rPr>
                <w:szCs w:val="20"/>
                <w:lang w:val="en-AU"/>
              </w:rPr>
              <w:t>Protocol title/ Publication title</w:t>
            </w:r>
          </w:p>
        </w:tc>
        <w:tc>
          <w:tcPr>
            <w:tcW w:w="1402" w:type="pct"/>
            <w:vAlign w:val="center"/>
          </w:tcPr>
          <w:p w14:paraId="6471A4C0" w14:textId="77777777" w:rsidR="00F6590A" w:rsidRPr="009C0C6D" w:rsidRDefault="00F6590A" w:rsidP="00C5359C">
            <w:pPr>
              <w:pStyle w:val="In-tableHeading"/>
              <w:rPr>
                <w:szCs w:val="20"/>
                <w:lang w:val="en-AU"/>
              </w:rPr>
            </w:pPr>
            <w:r w:rsidRPr="009C0C6D">
              <w:rPr>
                <w:szCs w:val="20"/>
                <w:lang w:val="en-AU"/>
              </w:rPr>
              <w:t>Publication citation</w:t>
            </w:r>
          </w:p>
        </w:tc>
      </w:tr>
      <w:tr w:rsidR="00F6590A" w:rsidRPr="009C0C6D" w14:paraId="0EB8E20F" w14:textId="77777777" w:rsidTr="00C5359C">
        <w:trPr>
          <w:cantSplit/>
        </w:trPr>
        <w:tc>
          <w:tcPr>
            <w:tcW w:w="795" w:type="pct"/>
            <w:vMerge w:val="restart"/>
            <w:vAlign w:val="center"/>
          </w:tcPr>
          <w:p w14:paraId="4B515E2B" w14:textId="77777777" w:rsidR="00F6590A" w:rsidRPr="009C0C6D" w:rsidRDefault="00F6590A" w:rsidP="00C5359C">
            <w:pPr>
              <w:pStyle w:val="TableText0"/>
              <w:jc w:val="center"/>
              <w:rPr>
                <w:szCs w:val="20"/>
              </w:rPr>
            </w:pPr>
            <w:r w:rsidRPr="009C0C6D">
              <w:rPr>
                <w:szCs w:val="20"/>
              </w:rPr>
              <w:t>Trial 1</w:t>
            </w:r>
          </w:p>
          <w:p w14:paraId="0B966553" w14:textId="77777777" w:rsidR="00F6590A" w:rsidRPr="009C0C6D" w:rsidRDefault="00F6590A" w:rsidP="00C5359C">
            <w:pPr>
              <w:pStyle w:val="TableText0"/>
              <w:jc w:val="center"/>
              <w:rPr>
                <w:szCs w:val="20"/>
              </w:rPr>
            </w:pPr>
            <w:r w:rsidRPr="009C0C6D">
              <w:rPr>
                <w:szCs w:val="20"/>
              </w:rPr>
              <w:t>NCT03247673</w:t>
            </w:r>
          </w:p>
        </w:tc>
        <w:tc>
          <w:tcPr>
            <w:tcW w:w="2803" w:type="pct"/>
            <w:vMerge w:val="restart"/>
          </w:tcPr>
          <w:p w14:paraId="23B9E27E" w14:textId="77777777" w:rsidR="00F6590A" w:rsidRPr="009C0C6D" w:rsidRDefault="00F6590A" w:rsidP="00C5359C">
            <w:pPr>
              <w:pStyle w:val="TableText0"/>
              <w:rPr>
                <w:szCs w:val="20"/>
              </w:rPr>
            </w:pPr>
            <w:r w:rsidRPr="009C0C6D">
              <w:rPr>
                <w:szCs w:val="20"/>
              </w:rPr>
              <w:t>Phase 1 Randomized, Double-blind, Three-arm, Parallel Group, Single-dose Study to Compare the Pharmacokinetics and Safety of Three Formulations of Bevacizumab (CT-P16, EU-approved Avastin® and US-licensed Avastin®) in Healthy Male Subjects.</w:t>
            </w:r>
          </w:p>
        </w:tc>
        <w:tc>
          <w:tcPr>
            <w:tcW w:w="1402" w:type="pct"/>
            <w:tcBorders>
              <w:bottom w:val="nil"/>
            </w:tcBorders>
            <w:vAlign w:val="center"/>
          </w:tcPr>
          <w:p w14:paraId="2D32BE3C" w14:textId="77777777" w:rsidR="00F6590A" w:rsidRPr="009C0C6D" w:rsidRDefault="00F6590A" w:rsidP="00C5359C">
            <w:pPr>
              <w:pStyle w:val="TableText0"/>
              <w:rPr>
                <w:rFonts w:ascii="Times" w:hAnsi="Times"/>
                <w:szCs w:val="20"/>
              </w:rPr>
            </w:pPr>
            <w:r w:rsidRPr="009C0C6D">
              <w:rPr>
                <w:szCs w:val="20"/>
              </w:rPr>
              <w:t>03/02/2021</w:t>
            </w:r>
          </w:p>
        </w:tc>
      </w:tr>
      <w:tr w:rsidR="00F6590A" w:rsidRPr="009C0C6D" w14:paraId="5B5F788B" w14:textId="77777777" w:rsidTr="00C5359C">
        <w:trPr>
          <w:cantSplit/>
          <w:trHeight w:val="469"/>
        </w:trPr>
        <w:tc>
          <w:tcPr>
            <w:tcW w:w="795" w:type="pct"/>
            <w:vMerge/>
            <w:vAlign w:val="center"/>
          </w:tcPr>
          <w:p w14:paraId="65C52041" w14:textId="77777777" w:rsidR="00F6590A" w:rsidRPr="009C0C6D" w:rsidRDefault="00F6590A" w:rsidP="00C5359C">
            <w:pPr>
              <w:pStyle w:val="TableText0"/>
              <w:jc w:val="center"/>
              <w:rPr>
                <w:szCs w:val="20"/>
              </w:rPr>
            </w:pPr>
          </w:p>
        </w:tc>
        <w:tc>
          <w:tcPr>
            <w:tcW w:w="2803" w:type="pct"/>
            <w:vMerge/>
          </w:tcPr>
          <w:p w14:paraId="56735067" w14:textId="77777777" w:rsidR="00F6590A" w:rsidRPr="009C0C6D" w:rsidRDefault="00F6590A" w:rsidP="00C5359C">
            <w:pPr>
              <w:pStyle w:val="TableText0"/>
              <w:rPr>
                <w:szCs w:val="20"/>
              </w:rPr>
            </w:pPr>
          </w:p>
        </w:tc>
        <w:tc>
          <w:tcPr>
            <w:tcW w:w="1402" w:type="pct"/>
            <w:tcBorders>
              <w:top w:val="nil"/>
            </w:tcBorders>
            <w:vAlign w:val="center"/>
          </w:tcPr>
          <w:p w14:paraId="20E063C0" w14:textId="77777777" w:rsidR="00F6590A" w:rsidRPr="009C0C6D" w:rsidRDefault="00F6590A" w:rsidP="00C5359C">
            <w:pPr>
              <w:pStyle w:val="TableText0"/>
              <w:rPr>
                <w:szCs w:val="20"/>
              </w:rPr>
            </w:pPr>
            <w:r w:rsidRPr="009C0C6D">
              <w:rPr>
                <w:i/>
                <w:iCs/>
                <w:szCs w:val="20"/>
              </w:rPr>
              <w:t xml:space="preserve">Celltrion </w:t>
            </w:r>
            <w:r w:rsidRPr="009C0C6D">
              <w:rPr>
                <w:szCs w:val="20"/>
              </w:rPr>
              <w:t>2021;Version.1: pages1-499</w:t>
            </w:r>
          </w:p>
        </w:tc>
      </w:tr>
      <w:tr w:rsidR="00F6590A" w:rsidRPr="009C0C6D" w14:paraId="1363A603" w14:textId="77777777" w:rsidTr="00C5359C">
        <w:trPr>
          <w:cantSplit/>
        </w:trPr>
        <w:tc>
          <w:tcPr>
            <w:tcW w:w="795" w:type="pct"/>
            <w:vMerge w:val="restart"/>
            <w:vAlign w:val="center"/>
          </w:tcPr>
          <w:p w14:paraId="78A04462" w14:textId="77777777" w:rsidR="00F6590A" w:rsidRPr="009C0C6D" w:rsidRDefault="00F6590A" w:rsidP="00C5359C">
            <w:pPr>
              <w:pStyle w:val="TableText0"/>
              <w:jc w:val="center"/>
              <w:rPr>
                <w:rFonts w:ascii="Times" w:hAnsi="Times"/>
                <w:szCs w:val="20"/>
              </w:rPr>
            </w:pPr>
            <w:r w:rsidRPr="009C0C6D">
              <w:rPr>
                <w:szCs w:val="20"/>
              </w:rPr>
              <w:t>Trial 2</w:t>
            </w:r>
          </w:p>
        </w:tc>
        <w:tc>
          <w:tcPr>
            <w:tcW w:w="2803" w:type="pct"/>
            <w:vMerge w:val="restart"/>
            <w:vAlign w:val="center"/>
          </w:tcPr>
          <w:p w14:paraId="376C6647" w14:textId="77777777" w:rsidR="00F6590A" w:rsidRPr="009C0C6D" w:rsidRDefault="00F6590A" w:rsidP="00C5359C">
            <w:pPr>
              <w:pStyle w:val="TableText0"/>
              <w:rPr>
                <w:rFonts w:ascii="Times" w:hAnsi="Times"/>
                <w:szCs w:val="20"/>
              </w:rPr>
            </w:pPr>
            <w:r w:rsidRPr="009C0C6D">
              <w:rPr>
                <w:szCs w:val="20"/>
              </w:rPr>
              <w:t>Phase 1, randomized, double-blind, parallel group, single-dose study to compare the PK and safety of CT-P16 and EU-Avastin in healthy Japanese male subjects.</w:t>
            </w:r>
          </w:p>
        </w:tc>
        <w:tc>
          <w:tcPr>
            <w:tcW w:w="1402" w:type="pct"/>
            <w:tcBorders>
              <w:bottom w:val="nil"/>
            </w:tcBorders>
            <w:vAlign w:val="center"/>
          </w:tcPr>
          <w:p w14:paraId="549C833D" w14:textId="77777777" w:rsidR="00F6590A" w:rsidRPr="009C0C6D" w:rsidRDefault="00F6590A" w:rsidP="00C5359C">
            <w:pPr>
              <w:pStyle w:val="TableText0"/>
              <w:rPr>
                <w:szCs w:val="20"/>
              </w:rPr>
            </w:pPr>
            <w:r w:rsidRPr="009C0C6D">
              <w:rPr>
                <w:szCs w:val="20"/>
              </w:rPr>
              <w:t>06/10/2021</w:t>
            </w:r>
          </w:p>
        </w:tc>
      </w:tr>
      <w:tr w:rsidR="00F6590A" w:rsidRPr="009C0C6D" w14:paraId="0632EC77" w14:textId="77777777" w:rsidTr="005D3788">
        <w:trPr>
          <w:cantSplit/>
          <w:trHeight w:val="508"/>
        </w:trPr>
        <w:tc>
          <w:tcPr>
            <w:tcW w:w="795" w:type="pct"/>
            <w:vMerge/>
            <w:vAlign w:val="center"/>
          </w:tcPr>
          <w:p w14:paraId="70E47550" w14:textId="77777777" w:rsidR="00F6590A" w:rsidRPr="009C0C6D" w:rsidRDefault="00F6590A" w:rsidP="00C5359C">
            <w:pPr>
              <w:pStyle w:val="TableText0"/>
              <w:jc w:val="center"/>
              <w:rPr>
                <w:szCs w:val="20"/>
              </w:rPr>
            </w:pPr>
          </w:p>
        </w:tc>
        <w:tc>
          <w:tcPr>
            <w:tcW w:w="2803" w:type="pct"/>
            <w:vMerge/>
            <w:vAlign w:val="center"/>
          </w:tcPr>
          <w:p w14:paraId="07756F0F" w14:textId="77777777" w:rsidR="00F6590A" w:rsidRPr="009C0C6D" w:rsidRDefault="00F6590A" w:rsidP="00C5359C">
            <w:pPr>
              <w:pStyle w:val="TableText0"/>
              <w:rPr>
                <w:szCs w:val="20"/>
              </w:rPr>
            </w:pPr>
          </w:p>
        </w:tc>
        <w:tc>
          <w:tcPr>
            <w:tcW w:w="1402" w:type="pct"/>
            <w:tcBorders>
              <w:top w:val="nil"/>
            </w:tcBorders>
            <w:vAlign w:val="center"/>
          </w:tcPr>
          <w:p w14:paraId="3F3242A1" w14:textId="77777777" w:rsidR="00F6590A" w:rsidRPr="009C0C6D" w:rsidRDefault="00F6590A" w:rsidP="00C5359C">
            <w:pPr>
              <w:pStyle w:val="TableText0"/>
              <w:rPr>
                <w:i/>
                <w:szCs w:val="20"/>
              </w:rPr>
            </w:pPr>
            <w:r w:rsidRPr="009C0C6D">
              <w:rPr>
                <w:i/>
                <w:iCs/>
                <w:szCs w:val="20"/>
              </w:rPr>
              <w:t xml:space="preserve">Celltrion </w:t>
            </w:r>
            <w:r w:rsidRPr="009C0C6D">
              <w:rPr>
                <w:szCs w:val="20"/>
              </w:rPr>
              <w:t>2021;Version.1: pages1-140</w:t>
            </w:r>
          </w:p>
        </w:tc>
      </w:tr>
      <w:tr w:rsidR="00F6590A" w:rsidRPr="009C0C6D" w14:paraId="391C6598" w14:textId="77777777" w:rsidTr="00C5359C">
        <w:trPr>
          <w:cantSplit/>
        </w:trPr>
        <w:tc>
          <w:tcPr>
            <w:tcW w:w="795" w:type="pct"/>
            <w:vMerge w:val="restart"/>
            <w:vAlign w:val="center"/>
          </w:tcPr>
          <w:p w14:paraId="6AA639C4" w14:textId="77777777" w:rsidR="00F6590A" w:rsidRPr="009C0C6D" w:rsidRDefault="00F6590A" w:rsidP="00C5359C">
            <w:pPr>
              <w:pStyle w:val="TableText0"/>
              <w:jc w:val="center"/>
              <w:rPr>
                <w:szCs w:val="20"/>
              </w:rPr>
            </w:pPr>
            <w:r w:rsidRPr="009C0C6D">
              <w:rPr>
                <w:szCs w:val="20"/>
              </w:rPr>
              <w:t>Trial 3</w:t>
            </w:r>
          </w:p>
          <w:p w14:paraId="0602F850" w14:textId="77777777" w:rsidR="00F6590A" w:rsidRPr="009C0C6D" w:rsidRDefault="00F6590A" w:rsidP="00C5359C">
            <w:pPr>
              <w:pStyle w:val="TableText0"/>
              <w:jc w:val="center"/>
              <w:rPr>
                <w:szCs w:val="20"/>
              </w:rPr>
            </w:pPr>
            <w:r w:rsidRPr="009C0C6D">
              <w:rPr>
                <w:szCs w:val="20"/>
              </w:rPr>
              <w:t>NCT03676192</w:t>
            </w:r>
          </w:p>
        </w:tc>
        <w:tc>
          <w:tcPr>
            <w:tcW w:w="2803" w:type="pct"/>
            <w:vMerge w:val="restart"/>
            <w:vAlign w:val="center"/>
          </w:tcPr>
          <w:p w14:paraId="3AFCBBF3" w14:textId="77777777" w:rsidR="00F6590A" w:rsidRPr="009C0C6D" w:rsidRDefault="00F6590A" w:rsidP="00C5359C">
            <w:pPr>
              <w:pStyle w:val="TableText0"/>
              <w:rPr>
                <w:rFonts w:ascii="Times" w:hAnsi="Times"/>
                <w:szCs w:val="20"/>
              </w:rPr>
            </w:pPr>
            <w:r w:rsidRPr="009C0C6D">
              <w:rPr>
                <w:szCs w:val="20"/>
              </w:rPr>
              <w:t xml:space="preserve">A Double-Blind, Randomized, Active-Controlled, Parallel-Group, Phase 3 Study to Compare Efficacy and Safety of CT-P16 and EU-Approved Avastin® as First-Line Treatment for Metastatic or Recurrent </w:t>
            </w:r>
            <w:r w:rsidRPr="009C0C6D">
              <w:t>non-squamous non-small cell lung cancer</w:t>
            </w:r>
          </w:p>
        </w:tc>
        <w:tc>
          <w:tcPr>
            <w:tcW w:w="1402" w:type="pct"/>
            <w:tcBorders>
              <w:bottom w:val="nil"/>
            </w:tcBorders>
            <w:vAlign w:val="center"/>
          </w:tcPr>
          <w:p w14:paraId="0CC33D89" w14:textId="77777777" w:rsidR="00F6590A" w:rsidRPr="009C0C6D" w:rsidRDefault="00F6590A" w:rsidP="00C5359C">
            <w:pPr>
              <w:pStyle w:val="TableText0"/>
              <w:rPr>
                <w:rFonts w:ascii="Times" w:hAnsi="Times"/>
                <w:szCs w:val="20"/>
              </w:rPr>
            </w:pPr>
            <w:r w:rsidRPr="009C0C6D">
              <w:rPr>
                <w:szCs w:val="20"/>
              </w:rPr>
              <w:t>22/02/2022</w:t>
            </w:r>
          </w:p>
        </w:tc>
      </w:tr>
      <w:tr w:rsidR="00F6590A" w:rsidRPr="009C0C6D" w14:paraId="3386A3C6" w14:textId="77777777" w:rsidTr="00C5359C">
        <w:trPr>
          <w:cantSplit/>
        </w:trPr>
        <w:tc>
          <w:tcPr>
            <w:tcW w:w="795" w:type="pct"/>
            <w:vMerge/>
            <w:tcBorders>
              <w:bottom w:val="single" w:sz="4" w:space="0" w:color="auto"/>
            </w:tcBorders>
            <w:vAlign w:val="center"/>
          </w:tcPr>
          <w:p w14:paraId="1172543C" w14:textId="77777777" w:rsidR="00F6590A" w:rsidRPr="009C0C6D" w:rsidRDefault="00F6590A" w:rsidP="00C5359C">
            <w:pPr>
              <w:pStyle w:val="Tabletext"/>
              <w:keepNext/>
              <w:keepLines/>
            </w:pPr>
          </w:p>
        </w:tc>
        <w:tc>
          <w:tcPr>
            <w:tcW w:w="2803" w:type="pct"/>
            <w:vMerge/>
            <w:tcBorders>
              <w:bottom w:val="single" w:sz="4" w:space="0" w:color="auto"/>
            </w:tcBorders>
            <w:vAlign w:val="center"/>
          </w:tcPr>
          <w:p w14:paraId="6A16375E" w14:textId="77777777" w:rsidR="00F6590A" w:rsidRPr="009C0C6D" w:rsidRDefault="00F6590A" w:rsidP="00C5359C">
            <w:pPr>
              <w:pStyle w:val="TableText0"/>
              <w:rPr>
                <w:szCs w:val="20"/>
              </w:rPr>
            </w:pPr>
          </w:p>
        </w:tc>
        <w:tc>
          <w:tcPr>
            <w:tcW w:w="1402" w:type="pct"/>
            <w:tcBorders>
              <w:top w:val="nil"/>
              <w:bottom w:val="single" w:sz="4" w:space="0" w:color="auto"/>
            </w:tcBorders>
            <w:vAlign w:val="center"/>
          </w:tcPr>
          <w:p w14:paraId="71570C7A" w14:textId="77777777" w:rsidR="00F6590A" w:rsidRPr="009C0C6D" w:rsidRDefault="00F6590A" w:rsidP="00C5359C">
            <w:pPr>
              <w:pStyle w:val="TableText0"/>
              <w:rPr>
                <w:szCs w:val="20"/>
              </w:rPr>
            </w:pPr>
            <w:r w:rsidRPr="009C0C6D">
              <w:rPr>
                <w:i/>
                <w:szCs w:val="20"/>
              </w:rPr>
              <w:t>Celltrion 2022: pages1-218</w:t>
            </w:r>
          </w:p>
        </w:tc>
      </w:tr>
    </w:tbl>
    <w:p w14:paraId="4F45BBB8" w14:textId="77777777" w:rsidR="00F6590A" w:rsidRPr="009C0C6D" w:rsidRDefault="00F6590A" w:rsidP="00F6590A">
      <w:pPr>
        <w:pStyle w:val="FooterTableFigure"/>
      </w:pPr>
      <w:r w:rsidRPr="009C0C6D">
        <w:t>PK = pharmacokinetics</w:t>
      </w:r>
    </w:p>
    <w:p w14:paraId="413F650D" w14:textId="77777777" w:rsidR="00F6590A" w:rsidRPr="009C0C6D" w:rsidRDefault="00F6590A" w:rsidP="00F6590A">
      <w:pPr>
        <w:pStyle w:val="FooterTableFigure"/>
      </w:pPr>
      <w:r w:rsidRPr="009C0C6D">
        <w:t>Source: Table 2-4, p26 of the submission</w:t>
      </w:r>
    </w:p>
    <w:p w14:paraId="38146A15" w14:textId="77777777" w:rsidR="00F6590A" w:rsidRPr="009C0C6D" w:rsidRDefault="00F6590A" w:rsidP="0095222E">
      <w:pPr>
        <w:pStyle w:val="3Bodytext"/>
      </w:pPr>
      <w:r w:rsidRPr="009C0C6D">
        <w:rPr>
          <w:lang w:eastAsia="en-US"/>
        </w:rPr>
        <w:t xml:space="preserve">As a Category 3 submission, </w:t>
      </w:r>
      <w:r w:rsidRPr="009C0C6D">
        <w:t>no</w:t>
      </w:r>
      <w:r w:rsidRPr="009C0C6D">
        <w:rPr>
          <w:lang w:eastAsia="en-US"/>
        </w:rPr>
        <w:t xml:space="preserve"> evaluation of the clinical evidence was undertaken</w:t>
      </w:r>
      <w:r w:rsidRPr="009C0C6D">
        <w:t>.</w:t>
      </w:r>
    </w:p>
    <w:p w14:paraId="3F679FE9" w14:textId="1760CD57" w:rsidR="00C27C1C" w:rsidRPr="009C0C6D" w:rsidRDefault="00C27C1C" w:rsidP="00021A8E">
      <w:pPr>
        <w:pStyle w:val="4-SubsectionHeading"/>
        <w:rPr>
          <w:lang w:eastAsia="en-US"/>
        </w:rPr>
      </w:pPr>
      <w:r w:rsidRPr="009C0C6D">
        <w:rPr>
          <w:lang w:eastAsia="en-US"/>
        </w:rPr>
        <w:lastRenderedPageBreak/>
        <w:t xml:space="preserve">Clinical </w:t>
      </w:r>
      <w:r w:rsidR="00E12512" w:rsidRPr="009C0C6D">
        <w:rPr>
          <w:lang w:eastAsia="en-US"/>
        </w:rPr>
        <w:t>claim</w:t>
      </w:r>
      <w:r w:rsidRPr="009C0C6D">
        <w:rPr>
          <w:lang w:eastAsia="en-US"/>
        </w:rPr>
        <w:t xml:space="preserve"> </w:t>
      </w:r>
    </w:p>
    <w:p w14:paraId="41FF6CE7" w14:textId="47D60A20" w:rsidR="00E12512" w:rsidRPr="009C0C6D" w:rsidRDefault="00E12512" w:rsidP="00021A8E">
      <w:pPr>
        <w:pStyle w:val="3Bodytext"/>
        <w:keepNext/>
      </w:pPr>
      <w:bookmarkStart w:id="6" w:name="_Hlk86163265"/>
      <w:r w:rsidRPr="009C0C6D">
        <w:t xml:space="preserve">The submission noted that the TGA found Vegzelma to be biosimilar to Avastin and that the TGA Delegate </w:t>
      </w:r>
      <w:r w:rsidR="00C07F56" w:rsidRPr="009C0C6D">
        <w:t xml:space="preserve">considered </w:t>
      </w:r>
      <w:r w:rsidRPr="009C0C6D">
        <w:t xml:space="preserve">that Vegzelma </w:t>
      </w:r>
      <w:r w:rsidR="003D0628">
        <w:t>had</w:t>
      </w:r>
      <w:r w:rsidRPr="009C0C6D">
        <w:t xml:space="preserve"> comparable pharmacokinetics, efficacy, safety, and immunogenicity</w:t>
      </w:r>
      <w:r w:rsidR="003D0628">
        <w:t xml:space="preserve"> to Avastin</w:t>
      </w:r>
      <w:r w:rsidRPr="009C0C6D">
        <w:t>.</w:t>
      </w:r>
    </w:p>
    <w:p w14:paraId="6BA550AA" w14:textId="15290C2E" w:rsidR="00F6590A" w:rsidRPr="009C0C6D" w:rsidRDefault="00F6590A" w:rsidP="00E456FD">
      <w:pPr>
        <w:pStyle w:val="3Bodytext"/>
      </w:pPr>
      <w:r w:rsidRPr="009C0C6D">
        <w:t>The submission therefore claimed the non-inferior comparative effectiveness and non-inferior comparative safety of Vegzelma compared with Avastin</w:t>
      </w:r>
      <w:r w:rsidR="006C5998" w:rsidRPr="009C0C6D">
        <w:t xml:space="preserve"> and other bevacizumab biosim</w:t>
      </w:r>
      <w:r w:rsidR="00D91E78" w:rsidRPr="009C0C6D">
        <w:t>i</w:t>
      </w:r>
      <w:r w:rsidR="006C5998" w:rsidRPr="009C0C6D">
        <w:t>lars</w:t>
      </w:r>
      <w:r w:rsidR="00A81DBA" w:rsidRPr="009C0C6D">
        <w:t xml:space="preserve"> by extension</w:t>
      </w:r>
      <w:r w:rsidRPr="009C0C6D">
        <w:t>.</w:t>
      </w:r>
    </w:p>
    <w:p w14:paraId="4010D19A" w14:textId="7F3E81C5" w:rsidR="000E42DC" w:rsidRPr="009C0C6D" w:rsidRDefault="000E42DC" w:rsidP="00CF27B4">
      <w:pPr>
        <w:pStyle w:val="3Bodytext"/>
      </w:pPr>
      <w:bookmarkStart w:id="7" w:name="_Hlk76376200"/>
      <w:r w:rsidRPr="009C0C6D">
        <w:t>The PBAC considered that the claim of non-inferior</w:t>
      </w:r>
      <w:r w:rsidR="00CF27B4" w:rsidRPr="009C0C6D">
        <w:t xml:space="preserve"> </w:t>
      </w:r>
      <w:r w:rsidRPr="009C0C6D">
        <w:t xml:space="preserve">comparative effectiveness </w:t>
      </w:r>
      <w:r w:rsidR="00A81DBA" w:rsidRPr="009C0C6D">
        <w:t>and</w:t>
      </w:r>
      <w:r w:rsidR="00CF27B4" w:rsidRPr="009C0C6D">
        <w:t xml:space="preserve"> safety </w:t>
      </w:r>
      <w:r w:rsidRPr="009C0C6D">
        <w:t>was reasonable</w:t>
      </w:r>
      <w:r w:rsidR="00CF27B4" w:rsidRPr="009C0C6D">
        <w:t>.</w:t>
      </w:r>
    </w:p>
    <w:bookmarkEnd w:id="6"/>
    <w:bookmarkEnd w:id="7"/>
    <w:p w14:paraId="45D181E4" w14:textId="77777777" w:rsidR="00C27C1C" w:rsidRPr="009C0C6D" w:rsidRDefault="00C27C1C" w:rsidP="00C27C1C">
      <w:pPr>
        <w:pStyle w:val="4-SubsectionHeading"/>
        <w:rPr>
          <w:lang w:eastAsia="en-US"/>
        </w:rPr>
      </w:pPr>
      <w:r w:rsidRPr="009C0C6D">
        <w:rPr>
          <w:lang w:eastAsia="en-US"/>
        </w:rPr>
        <w:t xml:space="preserve">Economic analysis </w:t>
      </w:r>
    </w:p>
    <w:p w14:paraId="1A7CAF7D" w14:textId="794F39F9" w:rsidR="00EF4580" w:rsidRPr="009C0C6D" w:rsidRDefault="00C27C1C" w:rsidP="00E456FD">
      <w:pPr>
        <w:pStyle w:val="3Bodytext"/>
      </w:pPr>
      <w:r w:rsidRPr="009C0C6D">
        <w:t xml:space="preserve">The submission presented a cost-minimisation analysis of </w:t>
      </w:r>
      <w:r w:rsidR="00F242A4" w:rsidRPr="009C0C6D">
        <w:t>Vegzelma</w:t>
      </w:r>
      <w:r w:rsidRPr="009C0C6D">
        <w:t xml:space="preserve"> compared with </w:t>
      </w:r>
      <w:r w:rsidR="005428B7" w:rsidRPr="009C0C6D">
        <w:t>Avas</w:t>
      </w:r>
      <w:r w:rsidR="00127BC2" w:rsidRPr="009C0C6D">
        <w:t>tin</w:t>
      </w:r>
      <w:r w:rsidR="00753EC2" w:rsidRPr="009C0C6D">
        <w:t xml:space="preserve"> based on the clinical evidence </w:t>
      </w:r>
      <w:r w:rsidR="006E37A3" w:rsidRPr="009C0C6D">
        <w:t>demonstrating biosimilarity between Vegzelma and Avastin</w:t>
      </w:r>
      <w:r w:rsidRPr="009C0C6D">
        <w:t xml:space="preserve">. The equi-effective doses were estimated as </w:t>
      </w:r>
      <w:r w:rsidR="00DC57FC" w:rsidRPr="009C0C6D">
        <w:t xml:space="preserve">1 mg </w:t>
      </w:r>
      <w:r w:rsidR="002A7456" w:rsidRPr="009C0C6D">
        <w:t xml:space="preserve">Vegzelma </w:t>
      </w:r>
      <w:r w:rsidR="001F14A4">
        <w:t>and</w:t>
      </w:r>
      <w:r w:rsidR="001F14A4" w:rsidRPr="009C0C6D">
        <w:t xml:space="preserve"> </w:t>
      </w:r>
      <w:r w:rsidR="00DC57FC" w:rsidRPr="009C0C6D">
        <w:t>1 mg Avastin</w:t>
      </w:r>
      <w:r w:rsidR="00310D43" w:rsidRPr="009C0C6D">
        <w:t xml:space="preserve"> (</w:t>
      </w:r>
      <w:r w:rsidR="007117EA" w:rsidRPr="009C0C6D">
        <w:t>and</w:t>
      </w:r>
      <w:r w:rsidR="00750FCE" w:rsidRPr="009C0C6D">
        <w:t xml:space="preserve"> the</w:t>
      </w:r>
      <w:r w:rsidR="007117EA" w:rsidRPr="009C0C6D">
        <w:t xml:space="preserve"> other </w:t>
      </w:r>
      <w:r w:rsidR="00750FCE" w:rsidRPr="009C0C6D">
        <w:t xml:space="preserve">PBS-listed </w:t>
      </w:r>
      <w:r w:rsidR="007117EA" w:rsidRPr="009C0C6D">
        <w:t>brands of bevacizumab)</w:t>
      </w:r>
      <w:r w:rsidR="003B5250" w:rsidRPr="009C0C6D">
        <w:t>.</w:t>
      </w:r>
    </w:p>
    <w:p w14:paraId="4A5D8EA0" w14:textId="1F644FA6" w:rsidR="00392A81" w:rsidRPr="009C0C6D" w:rsidRDefault="00392A81" w:rsidP="0095222E">
      <w:pPr>
        <w:pStyle w:val="3Bodytext"/>
      </w:pPr>
      <w:r w:rsidRPr="009C0C6D">
        <w:t xml:space="preserve">The submission stated that the proposed listing would </w:t>
      </w:r>
      <w:r w:rsidR="00B7260E" w:rsidRPr="009C0C6D">
        <w:t xml:space="preserve">not </w:t>
      </w:r>
      <w:r w:rsidRPr="009C0C6D">
        <w:t xml:space="preserve">result in additional </w:t>
      </w:r>
      <w:r w:rsidR="006C1031" w:rsidRPr="009C0C6D">
        <w:t>cost</w:t>
      </w:r>
      <w:r w:rsidR="00B7260E" w:rsidRPr="009C0C6D">
        <w:t>s</w:t>
      </w:r>
      <w:r w:rsidR="006C1031" w:rsidRPr="009C0C6D">
        <w:t xml:space="preserve"> </w:t>
      </w:r>
      <w:r w:rsidRPr="009C0C6D">
        <w:t xml:space="preserve">associated with </w:t>
      </w:r>
      <w:r w:rsidR="006C1031" w:rsidRPr="009C0C6D">
        <w:t xml:space="preserve">ongoing </w:t>
      </w:r>
      <w:r w:rsidR="00374040" w:rsidRPr="009C0C6D">
        <w:t xml:space="preserve">patient </w:t>
      </w:r>
      <w:r w:rsidRPr="009C0C6D">
        <w:t>management</w:t>
      </w:r>
      <w:r w:rsidR="007F57A2" w:rsidRPr="009C0C6D">
        <w:t xml:space="preserve"> and </w:t>
      </w:r>
      <w:r w:rsidR="00E64854" w:rsidRPr="009C0C6D">
        <w:t>monitoring</w:t>
      </w:r>
      <w:r w:rsidR="00AC6E66" w:rsidRPr="009C0C6D">
        <w:t>, co-administered treatments</w:t>
      </w:r>
      <w:r w:rsidR="00B7260E" w:rsidRPr="009C0C6D">
        <w:t>,</w:t>
      </w:r>
      <w:r w:rsidR="00AC6E66" w:rsidRPr="009C0C6D">
        <w:t xml:space="preserve"> and other related costs</w:t>
      </w:r>
      <w:r w:rsidRPr="009C0C6D">
        <w:t>.</w:t>
      </w:r>
    </w:p>
    <w:p w14:paraId="5622A43D" w14:textId="5F668A30" w:rsidR="004D05BD" w:rsidRPr="009C0C6D" w:rsidRDefault="00E64854" w:rsidP="004D05BD">
      <w:pPr>
        <w:pStyle w:val="3Bodytext"/>
      </w:pPr>
      <w:r w:rsidRPr="009C0C6D">
        <w:t xml:space="preserve">The submission requested the same approved ex-manufacturer price (AEMP) for Vegzelma </w:t>
      </w:r>
      <w:r w:rsidRPr="009C0C6D">
        <w:rPr>
          <w:rFonts w:cstheme="minorHAnsi"/>
          <w:iCs/>
          <w:szCs w:val="24"/>
        </w:rPr>
        <w:t>as that of</w:t>
      </w:r>
      <w:r w:rsidR="0073203B" w:rsidRPr="009C0C6D">
        <w:rPr>
          <w:rFonts w:cstheme="minorHAnsi"/>
          <w:iCs/>
          <w:szCs w:val="24"/>
        </w:rPr>
        <w:t xml:space="preserve"> the</w:t>
      </w:r>
      <w:r w:rsidRPr="009C0C6D">
        <w:rPr>
          <w:rFonts w:cstheme="minorHAnsi"/>
          <w:iCs/>
          <w:szCs w:val="24"/>
        </w:rPr>
        <w:t xml:space="preserve"> currently PBS-listed bevacizumab brands.</w:t>
      </w:r>
      <w:r w:rsidR="004D05BD" w:rsidRPr="009C0C6D">
        <w:t xml:space="preserve"> A price disclosure reduction of 25.97% </w:t>
      </w:r>
      <w:r w:rsidR="001F14A4">
        <w:t>i</w:t>
      </w:r>
      <w:r w:rsidR="001F14A4" w:rsidRPr="009C0C6D">
        <w:t xml:space="preserve">s </w:t>
      </w:r>
      <w:r w:rsidR="004D05BD" w:rsidRPr="009C0C6D">
        <w:t>scheduled to apply to the PBS-listed bevacizumab brands on 1 April 2024.</w:t>
      </w:r>
    </w:p>
    <w:p w14:paraId="73FFFA14" w14:textId="2C53CB24" w:rsidR="00BD50CE" w:rsidRPr="009C0C6D" w:rsidRDefault="00392A81" w:rsidP="00E456FD">
      <w:pPr>
        <w:pStyle w:val="3Bodytext"/>
      </w:pPr>
      <w:r w:rsidRPr="009C0C6D">
        <w:t xml:space="preserve">As a Category </w:t>
      </w:r>
      <w:r w:rsidR="00B40E26" w:rsidRPr="009C0C6D">
        <w:t xml:space="preserve">3 </w:t>
      </w:r>
      <w:r w:rsidRPr="009C0C6D">
        <w:t>submission, the economic analysis has not been independently evaluated.</w:t>
      </w:r>
    </w:p>
    <w:p w14:paraId="5EB16602" w14:textId="2F583206" w:rsidR="00D70349" w:rsidRPr="009C0C6D" w:rsidRDefault="00D70349" w:rsidP="00D70349">
      <w:pPr>
        <w:pStyle w:val="4-SubsectionHeading"/>
        <w:rPr>
          <w:lang w:eastAsia="en-US"/>
        </w:rPr>
      </w:pPr>
      <w:r w:rsidRPr="009C0C6D">
        <w:rPr>
          <w:lang w:eastAsia="en-US"/>
        </w:rPr>
        <w:t xml:space="preserve">Estimated PBS </w:t>
      </w:r>
      <w:r w:rsidR="00276BE3" w:rsidRPr="009C0C6D">
        <w:rPr>
          <w:lang w:eastAsia="en-US"/>
        </w:rPr>
        <w:t>usage</w:t>
      </w:r>
      <w:r w:rsidRPr="009C0C6D">
        <w:rPr>
          <w:lang w:eastAsia="en-US"/>
        </w:rPr>
        <w:t xml:space="preserve"> and financial implications</w:t>
      </w:r>
    </w:p>
    <w:p w14:paraId="7B8F1E90" w14:textId="134B225F" w:rsidR="00670B39" w:rsidRPr="009C0C6D" w:rsidRDefault="003111EB" w:rsidP="00E456FD">
      <w:pPr>
        <w:pStyle w:val="3Bodytext"/>
      </w:pPr>
      <w:r w:rsidRPr="009C0C6D">
        <w:t xml:space="preserve">The submission adopted a market share approach to estimate the utilisation and financial impact of listing </w:t>
      </w:r>
      <w:r w:rsidR="00611F5B" w:rsidRPr="009C0C6D">
        <w:t>Vegzelma</w:t>
      </w:r>
      <w:r w:rsidRPr="009C0C6D">
        <w:t xml:space="preserve">. The submission assumed that </w:t>
      </w:r>
      <w:r w:rsidR="00CF2092" w:rsidRPr="009C0C6D">
        <w:t xml:space="preserve">Vegzelma </w:t>
      </w:r>
      <w:r w:rsidRPr="009C0C6D">
        <w:t xml:space="preserve">would substitute for </w:t>
      </w:r>
      <w:r w:rsidR="00202DE0" w:rsidRPr="009C0C6D">
        <w:t xml:space="preserve">the </w:t>
      </w:r>
      <w:r w:rsidRPr="009C0C6D">
        <w:t xml:space="preserve">existing use of </w:t>
      </w:r>
      <w:r w:rsidR="00D04E82" w:rsidRPr="009C0C6D">
        <w:t xml:space="preserve">the </w:t>
      </w:r>
      <w:r w:rsidR="002F55D7" w:rsidRPr="009C0C6D">
        <w:t xml:space="preserve">other brands of PBS listed bevacizumab </w:t>
      </w:r>
      <w:r w:rsidRPr="009C0C6D">
        <w:t xml:space="preserve">on a 1:1 basis. As such, the submission estimated the requested listing of </w:t>
      </w:r>
      <w:r w:rsidR="005804DC" w:rsidRPr="009C0C6D">
        <w:t xml:space="preserve">Vegzelma </w:t>
      </w:r>
      <w:r w:rsidRPr="009C0C6D">
        <w:t>to be cost neutral to the PBS/RPBS.</w:t>
      </w:r>
    </w:p>
    <w:p w14:paraId="1A676655" w14:textId="7108D57A" w:rsidR="004255A6" w:rsidRPr="009C0C6D" w:rsidRDefault="004255A6" w:rsidP="00E456FD">
      <w:pPr>
        <w:pStyle w:val="3Bodytext"/>
      </w:pPr>
      <w:r w:rsidRPr="009C0C6D">
        <w:t>The submission considered listing Vegzelma on the PBS is not expected to increase the overall use of bevacizumab on the PBS</w:t>
      </w:r>
      <w:r w:rsidR="00663620" w:rsidRPr="009C0C6D">
        <w:t xml:space="preserve"> noting the current market is in a mature and stable state</w:t>
      </w:r>
      <w:r w:rsidRPr="009C0C6D">
        <w:t xml:space="preserve">. This is appropriate as it is expected that Vegzelma would substitute for </w:t>
      </w:r>
      <w:r w:rsidR="00F14EAD" w:rsidRPr="009C0C6D">
        <w:t>the other brands of PBS listed bevacizumab</w:t>
      </w:r>
      <w:r w:rsidRPr="009C0C6D">
        <w:t>.</w:t>
      </w:r>
      <w:r w:rsidR="00A87B57" w:rsidRPr="009C0C6D">
        <w:rPr>
          <w:i/>
        </w:rPr>
        <w:t xml:space="preserve"> </w:t>
      </w:r>
    </w:p>
    <w:p w14:paraId="74D393C1" w14:textId="77777777" w:rsidR="006C5998" w:rsidRPr="009C0C6D" w:rsidRDefault="006C5998" w:rsidP="00E456FD">
      <w:pPr>
        <w:pStyle w:val="3Bodytext"/>
      </w:pPr>
      <w:r w:rsidRPr="009C0C6D">
        <w:t>Table 3 presents the estimated extent of use, cost of Vegzelma to the PBS/RPBS, and the net financial implications to the PBS/RPBS.</w:t>
      </w:r>
    </w:p>
    <w:p w14:paraId="4D011C2C" w14:textId="5DB9F0F9" w:rsidR="006C5998" w:rsidRPr="009C0C6D" w:rsidRDefault="006C5998" w:rsidP="00E456FD">
      <w:pPr>
        <w:pStyle w:val="3Bodytext"/>
      </w:pPr>
      <w:r w:rsidRPr="009C0C6D">
        <w:t xml:space="preserve">The submission claimed that the estimated net financial impact to the PBS/RPBS over six years for the listing Vegzelma </w:t>
      </w:r>
      <w:r w:rsidR="00145C82" w:rsidRPr="009C0C6D">
        <w:t>would be</w:t>
      </w:r>
      <w:r w:rsidRPr="009C0C6D">
        <w:t xml:space="preserve"> nil.</w:t>
      </w:r>
    </w:p>
    <w:p w14:paraId="3EA2A46B" w14:textId="77777777" w:rsidR="006C5998" w:rsidRPr="009C0C6D" w:rsidRDefault="006C5998" w:rsidP="006C5998">
      <w:pPr>
        <w:pStyle w:val="TableFigureHeading"/>
        <w:rPr>
          <w:rFonts w:asciiTheme="minorHAnsi" w:hAnsiTheme="minorHAnsi" w:cstheme="minorHAnsi"/>
          <w:sz w:val="24"/>
        </w:rPr>
      </w:pPr>
      <w:r w:rsidRPr="009C0C6D">
        <w:rPr>
          <w:rStyle w:val="CommentReference"/>
          <w:sz w:val="20"/>
          <w:szCs w:val="22"/>
        </w:rPr>
        <w:lastRenderedPageBreak/>
        <w:t>Table</w:t>
      </w:r>
      <w:r w:rsidRPr="009C0C6D">
        <w:t xml:space="preserve"> 3: </w:t>
      </w:r>
      <w:r w:rsidRPr="009C0C6D">
        <w:rPr>
          <w:rStyle w:val="CommentReference"/>
          <w:sz w:val="20"/>
          <w:szCs w:val="22"/>
        </w:rPr>
        <w:t xml:space="preserve">Estimated use and financial implications </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Estimated use and financial implications "/>
      </w:tblPr>
      <w:tblGrid>
        <w:gridCol w:w="1998"/>
        <w:gridCol w:w="1156"/>
        <w:gridCol w:w="1156"/>
        <w:gridCol w:w="1157"/>
        <w:gridCol w:w="1157"/>
        <w:gridCol w:w="1157"/>
        <w:gridCol w:w="1157"/>
      </w:tblGrid>
      <w:tr w:rsidR="006C5998" w:rsidRPr="009C0C6D" w14:paraId="48E4DACB" w14:textId="77777777" w:rsidTr="00C24952">
        <w:trPr>
          <w:cantSplit/>
          <w:tblHeader/>
          <w:jc w:val="center"/>
        </w:trPr>
        <w:tc>
          <w:tcPr>
            <w:tcW w:w="1118" w:type="pct"/>
            <w:shd w:val="clear" w:color="auto" w:fill="auto"/>
            <w:vAlign w:val="center"/>
          </w:tcPr>
          <w:p w14:paraId="008A6DF3" w14:textId="77777777" w:rsidR="006C5998" w:rsidRPr="009C0C6D" w:rsidRDefault="006C5998" w:rsidP="00C24952">
            <w:pPr>
              <w:pStyle w:val="TableText0"/>
              <w:keepLines/>
            </w:pPr>
          </w:p>
        </w:tc>
        <w:tc>
          <w:tcPr>
            <w:tcW w:w="647" w:type="pct"/>
            <w:shd w:val="clear" w:color="auto" w:fill="auto"/>
            <w:vAlign w:val="center"/>
          </w:tcPr>
          <w:p w14:paraId="59A8A4EB" w14:textId="77777777" w:rsidR="006C5998" w:rsidRPr="009C0C6D" w:rsidRDefault="006C5998" w:rsidP="00C24952">
            <w:pPr>
              <w:pStyle w:val="TableText0"/>
              <w:keepLines/>
              <w:rPr>
                <w:b/>
              </w:rPr>
            </w:pPr>
            <w:r w:rsidRPr="009C0C6D">
              <w:rPr>
                <w:b/>
              </w:rPr>
              <w:t>Year 1</w:t>
            </w:r>
          </w:p>
        </w:tc>
        <w:tc>
          <w:tcPr>
            <w:tcW w:w="647" w:type="pct"/>
            <w:shd w:val="clear" w:color="auto" w:fill="auto"/>
            <w:vAlign w:val="center"/>
          </w:tcPr>
          <w:p w14:paraId="35CBBA91" w14:textId="77777777" w:rsidR="006C5998" w:rsidRPr="009C0C6D" w:rsidRDefault="006C5998" w:rsidP="00C24952">
            <w:pPr>
              <w:pStyle w:val="TableText0"/>
              <w:keepLines/>
              <w:rPr>
                <w:b/>
              </w:rPr>
            </w:pPr>
            <w:r w:rsidRPr="009C0C6D">
              <w:rPr>
                <w:b/>
              </w:rPr>
              <w:t>Year 2</w:t>
            </w:r>
          </w:p>
        </w:tc>
        <w:tc>
          <w:tcPr>
            <w:tcW w:w="647" w:type="pct"/>
            <w:shd w:val="clear" w:color="auto" w:fill="auto"/>
            <w:vAlign w:val="center"/>
          </w:tcPr>
          <w:p w14:paraId="63C120E5" w14:textId="77777777" w:rsidR="006C5998" w:rsidRPr="009C0C6D" w:rsidRDefault="006C5998" w:rsidP="00C24952">
            <w:pPr>
              <w:pStyle w:val="TableText0"/>
              <w:keepLines/>
              <w:rPr>
                <w:b/>
              </w:rPr>
            </w:pPr>
            <w:r w:rsidRPr="009C0C6D">
              <w:rPr>
                <w:b/>
              </w:rPr>
              <w:t>Year 3</w:t>
            </w:r>
          </w:p>
        </w:tc>
        <w:tc>
          <w:tcPr>
            <w:tcW w:w="647" w:type="pct"/>
            <w:shd w:val="clear" w:color="auto" w:fill="auto"/>
            <w:vAlign w:val="center"/>
          </w:tcPr>
          <w:p w14:paraId="0317D154" w14:textId="77777777" w:rsidR="006C5998" w:rsidRPr="009C0C6D" w:rsidRDefault="006C5998" w:rsidP="00C24952">
            <w:pPr>
              <w:pStyle w:val="TableText0"/>
              <w:keepLines/>
              <w:rPr>
                <w:b/>
              </w:rPr>
            </w:pPr>
            <w:r w:rsidRPr="009C0C6D">
              <w:rPr>
                <w:b/>
              </w:rPr>
              <w:t>Year 4</w:t>
            </w:r>
          </w:p>
        </w:tc>
        <w:tc>
          <w:tcPr>
            <w:tcW w:w="647" w:type="pct"/>
            <w:shd w:val="clear" w:color="auto" w:fill="auto"/>
            <w:vAlign w:val="center"/>
          </w:tcPr>
          <w:p w14:paraId="43C638B7" w14:textId="77777777" w:rsidR="006C5998" w:rsidRPr="009C0C6D" w:rsidRDefault="006C5998" w:rsidP="00C24952">
            <w:pPr>
              <w:pStyle w:val="TableText0"/>
              <w:keepLines/>
              <w:rPr>
                <w:b/>
              </w:rPr>
            </w:pPr>
            <w:r w:rsidRPr="009C0C6D">
              <w:rPr>
                <w:b/>
              </w:rPr>
              <w:t>Year 5</w:t>
            </w:r>
          </w:p>
        </w:tc>
        <w:tc>
          <w:tcPr>
            <w:tcW w:w="647" w:type="pct"/>
          </w:tcPr>
          <w:p w14:paraId="267A9CFA" w14:textId="77777777" w:rsidR="006C5998" w:rsidRPr="009C0C6D" w:rsidRDefault="006C5998" w:rsidP="00C24952">
            <w:pPr>
              <w:pStyle w:val="TableText0"/>
              <w:keepLines/>
              <w:rPr>
                <w:b/>
              </w:rPr>
            </w:pPr>
            <w:r w:rsidRPr="009C0C6D">
              <w:rPr>
                <w:b/>
              </w:rPr>
              <w:t>Year 6</w:t>
            </w:r>
          </w:p>
        </w:tc>
      </w:tr>
      <w:tr w:rsidR="006C5998" w:rsidRPr="009C0C6D" w14:paraId="3AEBBBFC" w14:textId="77777777" w:rsidTr="00C24952">
        <w:trPr>
          <w:cantSplit/>
          <w:jc w:val="center"/>
        </w:trPr>
        <w:tc>
          <w:tcPr>
            <w:tcW w:w="5000" w:type="pct"/>
            <w:gridSpan w:val="7"/>
            <w:shd w:val="clear" w:color="auto" w:fill="auto"/>
            <w:vAlign w:val="center"/>
          </w:tcPr>
          <w:p w14:paraId="0EAA6B86" w14:textId="77777777" w:rsidR="006C5998" w:rsidRPr="009C0C6D" w:rsidRDefault="006C5998" w:rsidP="00C24952">
            <w:pPr>
              <w:pStyle w:val="TableText0"/>
              <w:keepLines/>
              <w:rPr>
                <w:b/>
                <w:color w:val="000000"/>
              </w:rPr>
            </w:pPr>
            <w:r w:rsidRPr="009C0C6D">
              <w:rPr>
                <w:b/>
                <w:color w:val="000000"/>
              </w:rPr>
              <w:t>Estimated extent of use</w:t>
            </w:r>
          </w:p>
        </w:tc>
      </w:tr>
      <w:tr w:rsidR="006C5998" w:rsidRPr="009C0C6D" w14:paraId="1F7951BA" w14:textId="77777777" w:rsidTr="00C24952">
        <w:trPr>
          <w:cantSplit/>
          <w:jc w:val="center"/>
        </w:trPr>
        <w:tc>
          <w:tcPr>
            <w:tcW w:w="1118" w:type="pct"/>
            <w:shd w:val="clear" w:color="auto" w:fill="auto"/>
            <w:vAlign w:val="center"/>
          </w:tcPr>
          <w:p w14:paraId="00979741" w14:textId="77777777" w:rsidR="006C5998" w:rsidRPr="009C0C6D" w:rsidRDefault="006C5998" w:rsidP="00C24952">
            <w:pPr>
              <w:pStyle w:val="TableText0"/>
              <w:keepLines/>
              <w:rPr>
                <w:vertAlign w:val="superscript"/>
              </w:rPr>
            </w:pPr>
            <w:r w:rsidRPr="009C0C6D">
              <w:t>Number of scripts dispensed</w:t>
            </w:r>
          </w:p>
        </w:tc>
        <w:tc>
          <w:tcPr>
            <w:tcW w:w="647" w:type="pct"/>
            <w:shd w:val="clear" w:color="auto" w:fill="auto"/>
          </w:tcPr>
          <w:p w14:paraId="529250E2" w14:textId="6FCE42E4" w:rsidR="006C5998" w:rsidRPr="00D06882" w:rsidRDefault="00F93231" w:rsidP="00D06882">
            <w:pPr>
              <w:pStyle w:val="TableText0"/>
              <w:keepLines/>
              <w:jc w:val="center"/>
              <w:rPr>
                <w:color w:val="000000"/>
                <w:highlight w:val="lightGray"/>
              </w:rPr>
            </w:pPr>
            <w:r w:rsidRPr="00AC58E2">
              <w:rPr>
                <w:rFonts w:hint="eastAsia"/>
                <w:color w:val="000000"/>
                <w:w w:val="15"/>
                <w:shd w:val="solid" w:color="000000" w:fill="000000"/>
                <w:fitText w:val="30" w:id="-962870784"/>
                <w14:textFill>
                  <w14:solidFill>
                    <w14:srgbClr w14:val="000000">
                      <w14:alpha w14:val="100000"/>
                    </w14:srgbClr>
                  </w14:solidFill>
                </w14:textFill>
              </w:rPr>
              <w:t xml:space="preserve">　</w:t>
            </w:r>
            <w:r w:rsidRPr="00AC58E2">
              <w:rPr>
                <w:color w:val="000000"/>
                <w:w w:val="15"/>
                <w:shd w:val="solid" w:color="000000" w:fill="000000"/>
                <w:fitText w:val="30" w:id="-962870784"/>
                <w14:textFill>
                  <w14:solidFill>
                    <w14:srgbClr w14:val="000000">
                      <w14:alpha w14:val="100000"/>
                    </w14:srgbClr>
                  </w14:solidFill>
                </w14:textFill>
              </w:rPr>
              <w:t>|</w:t>
            </w:r>
            <w:r w:rsidRPr="00AC58E2">
              <w:rPr>
                <w:rFonts w:hint="eastAsia"/>
                <w:color w:val="000000"/>
                <w:spacing w:val="-45"/>
                <w:w w:val="15"/>
                <w:shd w:val="solid" w:color="000000" w:fill="000000"/>
                <w:fitText w:val="30" w:id="-962870784"/>
                <w14:textFill>
                  <w14:solidFill>
                    <w14:srgbClr w14:val="000000">
                      <w14:alpha w14:val="100000"/>
                    </w14:srgbClr>
                  </w14:solidFill>
                </w14:textFill>
              </w:rPr>
              <w:t xml:space="preserve">　</w:t>
            </w:r>
            <w:r w:rsidR="00405062" w:rsidRPr="00D06882">
              <w:rPr>
                <w:vertAlign w:val="superscript"/>
              </w:rPr>
              <w:t>1</w:t>
            </w:r>
          </w:p>
        </w:tc>
        <w:tc>
          <w:tcPr>
            <w:tcW w:w="647" w:type="pct"/>
            <w:shd w:val="clear" w:color="auto" w:fill="auto"/>
          </w:tcPr>
          <w:p w14:paraId="5235D7C0" w14:textId="1E90780A" w:rsidR="006C5998" w:rsidRPr="00D06882" w:rsidRDefault="00F93231" w:rsidP="00D06882">
            <w:pPr>
              <w:pStyle w:val="TableText0"/>
              <w:keepLines/>
              <w:jc w:val="center"/>
              <w:rPr>
                <w:color w:val="000000"/>
                <w:highlight w:val="lightGray"/>
              </w:rPr>
            </w:pPr>
            <w:r w:rsidRPr="00AC58E2">
              <w:rPr>
                <w:rFonts w:hint="eastAsia"/>
                <w:color w:val="000000"/>
                <w:w w:val="15"/>
                <w:shd w:val="solid" w:color="000000" w:fill="000000"/>
                <w:fitText w:val="30" w:id="-962870783"/>
                <w14:textFill>
                  <w14:solidFill>
                    <w14:srgbClr w14:val="000000">
                      <w14:alpha w14:val="100000"/>
                    </w14:srgbClr>
                  </w14:solidFill>
                </w14:textFill>
              </w:rPr>
              <w:t xml:space="preserve">　</w:t>
            </w:r>
            <w:r w:rsidRPr="00AC58E2">
              <w:rPr>
                <w:color w:val="000000"/>
                <w:w w:val="15"/>
                <w:shd w:val="solid" w:color="000000" w:fill="000000"/>
                <w:fitText w:val="30" w:id="-962870783"/>
                <w14:textFill>
                  <w14:solidFill>
                    <w14:srgbClr w14:val="000000">
                      <w14:alpha w14:val="100000"/>
                    </w14:srgbClr>
                  </w14:solidFill>
                </w14:textFill>
              </w:rPr>
              <w:t>|</w:t>
            </w:r>
            <w:r w:rsidRPr="00AC58E2">
              <w:rPr>
                <w:rFonts w:hint="eastAsia"/>
                <w:color w:val="000000"/>
                <w:spacing w:val="-45"/>
                <w:w w:val="15"/>
                <w:shd w:val="solid" w:color="000000" w:fill="000000"/>
                <w:fitText w:val="30" w:id="-962870783"/>
                <w14:textFill>
                  <w14:solidFill>
                    <w14:srgbClr w14:val="000000">
                      <w14:alpha w14:val="100000"/>
                    </w14:srgbClr>
                  </w14:solidFill>
                </w14:textFill>
              </w:rPr>
              <w:t xml:space="preserve">　</w:t>
            </w:r>
            <w:r w:rsidR="00405062" w:rsidRPr="00B47632">
              <w:rPr>
                <w:vertAlign w:val="superscript"/>
              </w:rPr>
              <w:t>1</w:t>
            </w:r>
          </w:p>
        </w:tc>
        <w:tc>
          <w:tcPr>
            <w:tcW w:w="647" w:type="pct"/>
            <w:shd w:val="clear" w:color="auto" w:fill="auto"/>
          </w:tcPr>
          <w:p w14:paraId="76A2CA65" w14:textId="0247EAD8" w:rsidR="006C5998" w:rsidRPr="00D06882" w:rsidRDefault="00F93231" w:rsidP="00D06882">
            <w:pPr>
              <w:pStyle w:val="TableText0"/>
              <w:keepLines/>
              <w:jc w:val="center"/>
              <w:rPr>
                <w:color w:val="000000"/>
                <w:highlight w:val="lightGray"/>
              </w:rPr>
            </w:pPr>
            <w:r w:rsidRPr="00AC58E2">
              <w:rPr>
                <w:rFonts w:hint="eastAsia"/>
                <w:color w:val="000000"/>
                <w:w w:val="15"/>
                <w:shd w:val="solid" w:color="000000" w:fill="000000"/>
                <w:fitText w:val="30" w:id="-962870782"/>
                <w14:textFill>
                  <w14:solidFill>
                    <w14:srgbClr w14:val="000000">
                      <w14:alpha w14:val="100000"/>
                    </w14:srgbClr>
                  </w14:solidFill>
                </w14:textFill>
              </w:rPr>
              <w:t xml:space="preserve">　</w:t>
            </w:r>
            <w:r w:rsidRPr="00AC58E2">
              <w:rPr>
                <w:color w:val="000000"/>
                <w:w w:val="15"/>
                <w:shd w:val="solid" w:color="000000" w:fill="000000"/>
                <w:fitText w:val="30" w:id="-962870782"/>
                <w14:textFill>
                  <w14:solidFill>
                    <w14:srgbClr w14:val="000000">
                      <w14:alpha w14:val="100000"/>
                    </w14:srgbClr>
                  </w14:solidFill>
                </w14:textFill>
              </w:rPr>
              <w:t>|</w:t>
            </w:r>
            <w:r w:rsidRPr="00AC58E2">
              <w:rPr>
                <w:rFonts w:hint="eastAsia"/>
                <w:color w:val="000000"/>
                <w:spacing w:val="-45"/>
                <w:w w:val="15"/>
                <w:shd w:val="solid" w:color="000000" w:fill="000000"/>
                <w:fitText w:val="30" w:id="-962870782"/>
                <w14:textFill>
                  <w14:solidFill>
                    <w14:srgbClr w14:val="000000">
                      <w14:alpha w14:val="100000"/>
                    </w14:srgbClr>
                  </w14:solidFill>
                </w14:textFill>
              </w:rPr>
              <w:t xml:space="preserve">　</w:t>
            </w:r>
            <w:r w:rsidR="00405062" w:rsidRPr="00D06882">
              <w:rPr>
                <w:vertAlign w:val="superscript"/>
              </w:rPr>
              <w:t>2</w:t>
            </w:r>
          </w:p>
        </w:tc>
        <w:tc>
          <w:tcPr>
            <w:tcW w:w="647" w:type="pct"/>
            <w:shd w:val="clear" w:color="auto" w:fill="auto"/>
          </w:tcPr>
          <w:p w14:paraId="5E3B893D" w14:textId="238D33C3" w:rsidR="006C5998" w:rsidRPr="007A529F" w:rsidRDefault="00F93231" w:rsidP="00D06882">
            <w:pPr>
              <w:pStyle w:val="TableText0"/>
              <w:keepLines/>
              <w:jc w:val="center"/>
              <w:rPr>
                <w:color w:val="000000"/>
                <w:highlight w:val="lightGray"/>
              </w:rPr>
            </w:pPr>
            <w:r w:rsidRPr="00AC58E2">
              <w:rPr>
                <w:rFonts w:hint="eastAsia"/>
                <w:color w:val="000000"/>
                <w:w w:val="15"/>
                <w:shd w:val="solid" w:color="000000" w:fill="000000"/>
                <w:fitText w:val="30" w:id="-962870781"/>
                <w14:textFill>
                  <w14:solidFill>
                    <w14:srgbClr w14:val="000000">
                      <w14:alpha w14:val="100000"/>
                    </w14:srgbClr>
                  </w14:solidFill>
                </w14:textFill>
              </w:rPr>
              <w:t xml:space="preserve">　</w:t>
            </w:r>
            <w:r w:rsidRPr="00AC58E2">
              <w:rPr>
                <w:color w:val="000000"/>
                <w:w w:val="15"/>
                <w:shd w:val="solid" w:color="000000" w:fill="000000"/>
                <w:fitText w:val="30" w:id="-962870781"/>
                <w14:textFill>
                  <w14:solidFill>
                    <w14:srgbClr w14:val="000000">
                      <w14:alpha w14:val="100000"/>
                    </w14:srgbClr>
                  </w14:solidFill>
                </w14:textFill>
              </w:rPr>
              <w:t>|</w:t>
            </w:r>
            <w:r w:rsidRPr="00AC58E2">
              <w:rPr>
                <w:rFonts w:hint="eastAsia"/>
                <w:color w:val="000000"/>
                <w:spacing w:val="-45"/>
                <w:w w:val="15"/>
                <w:shd w:val="solid" w:color="000000" w:fill="000000"/>
                <w:fitText w:val="30" w:id="-962870781"/>
                <w14:textFill>
                  <w14:solidFill>
                    <w14:srgbClr w14:val="000000">
                      <w14:alpha w14:val="100000"/>
                    </w14:srgbClr>
                  </w14:solidFill>
                </w14:textFill>
              </w:rPr>
              <w:t xml:space="preserve">　</w:t>
            </w:r>
            <w:r w:rsidR="00405062" w:rsidRPr="00B47632">
              <w:rPr>
                <w:vertAlign w:val="superscript"/>
              </w:rPr>
              <w:t>2</w:t>
            </w:r>
          </w:p>
        </w:tc>
        <w:tc>
          <w:tcPr>
            <w:tcW w:w="647" w:type="pct"/>
            <w:shd w:val="clear" w:color="auto" w:fill="auto"/>
          </w:tcPr>
          <w:p w14:paraId="2D0CCF70" w14:textId="37B7BA51" w:rsidR="006C5998" w:rsidRPr="007A529F" w:rsidRDefault="00F93231" w:rsidP="00D06882">
            <w:pPr>
              <w:pStyle w:val="TableText0"/>
              <w:keepLines/>
              <w:jc w:val="center"/>
              <w:rPr>
                <w:color w:val="000000"/>
                <w:highlight w:val="lightGray"/>
              </w:rPr>
            </w:pPr>
            <w:r w:rsidRPr="00AC58E2">
              <w:rPr>
                <w:rFonts w:hint="eastAsia"/>
                <w:color w:val="000000"/>
                <w:w w:val="15"/>
                <w:shd w:val="solid" w:color="000000" w:fill="000000"/>
                <w:fitText w:val="30" w:id="-962870780"/>
                <w14:textFill>
                  <w14:solidFill>
                    <w14:srgbClr w14:val="000000">
                      <w14:alpha w14:val="100000"/>
                    </w14:srgbClr>
                  </w14:solidFill>
                </w14:textFill>
              </w:rPr>
              <w:t xml:space="preserve">　</w:t>
            </w:r>
            <w:r w:rsidRPr="00AC58E2">
              <w:rPr>
                <w:color w:val="000000"/>
                <w:w w:val="15"/>
                <w:shd w:val="solid" w:color="000000" w:fill="000000"/>
                <w:fitText w:val="30" w:id="-962870780"/>
                <w14:textFill>
                  <w14:solidFill>
                    <w14:srgbClr w14:val="000000">
                      <w14:alpha w14:val="100000"/>
                    </w14:srgbClr>
                  </w14:solidFill>
                </w14:textFill>
              </w:rPr>
              <w:t>|</w:t>
            </w:r>
            <w:r w:rsidRPr="00AC58E2">
              <w:rPr>
                <w:rFonts w:hint="eastAsia"/>
                <w:color w:val="000000"/>
                <w:spacing w:val="-45"/>
                <w:w w:val="15"/>
                <w:shd w:val="solid" w:color="000000" w:fill="000000"/>
                <w:fitText w:val="30" w:id="-962870780"/>
                <w14:textFill>
                  <w14:solidFill>
                    <w14:srgbClr w14:val="000000">
                      <w14:alpha w14:val="100000"/>
                    </w14:srgbClr>
                  </w14:solidFill>
                </w14:textFill>
              </w:rPr>
              <w:t xml:space="preserve">　</w:t>
            </w:r>
            <w:r w:rsidR="00405062" w:rsidRPr="00B47632">
              <w:rPr>
                <w:vertAlign w:val="superscript"/>
              </w:rPr>
              <w:t>2</w:t>
            </w:r>
          </w:p>
        </w:tc>
        <w:tc>
          <w:tcPr>
            <w:tcW w:w="647" w:type="pct"/>
          </w:tcPr>
          <w:p w14:paraId="5F7ED334" w14:textId="6513D5AD" w:rsidR="006C5998" w:rsidRPr="007A529F" w:rsidRDefault="00F93231" w:rsidP="00D06882">
            <w:pPr>
              <w:pStyle w:val="TableText0"/>
              <w:keepLines/>
              <w:jc w:val="center"/>
              <w:rPr>
                <w:color w:val="000000"/>
                <w:highlight w:val="lightGray"/>
              </w:rPr>
            </w:pPr>
            <w:r w:rsidRPr="00AC58E2">
              <w:rPr>
                <w:rFonts w:hint="eastAsia"/>
                <w:color w:val="000000"/>
                <w:w w:val="15"/>
                <w:shd w:val="solid" w:color="000000" w:fill="000000"/>
                <w:fitText w:val="30" w:id="-962870779"/>
                <w14:textFill>
                  <w14:solidFill>
                    <w14:srgbClr w14:val="000000">
                      <w14:alpha w14:val="100000"/>
                    </w14:srgbClr>
                  </w14:solidFill>
                </w14:textFill>
              </w:rPr>
              <w:t xml:space="preserve">　</w:t>
            </w:r>
            <w:r w:rsidRPr="00AC58E2">
              <w:rPr>
                <w:color w:val="000000"/>
                <w:w w:val="15"/>
                <w:shd w:val="solid" w:color="000000" w:fill="000000"/>
                <w:fitText w:val="30" w:id="-962870779"/>
                <w14:textFill>
                  <w14:solidFill>
                    <w14:srgbClr w14:val="000000">
                      <w14:alpha w14:val="100000"/>
                    </w14:srgbClr>
                  </w14:solidFill>
                </w14:textFill>
              </w:rPr>
              <w:t>|</w:t>
            </w:r>
            <w:r w:rsidRPr="00AC58E2">
              <w:rPr>
                <w:rFonts w:hint="eastAsia"/>
                <w:color w:val="000000"/>
                <w:spacing w:val="-45"/>
                <w:w w:val="15"/>
                <w:shd w:val="solid" w:color="000000" w:fill="000000"/>
                <w:fitText w:val="30" w:id="-962870779"/>
                <w14:textFill>
                  <w14:solidFill>
                    <w14:srgbClr w14:val="000000">
                      <w14:alpha w14:val="100000"/>
                    </w14:srgbClr>
                  </w14:solidFill>
                </w14:textFill>
              </w:rPr>
              <w:t xml:space="preserve">　</w:t>
            </w:r>
            <w:r w:rsidR="00405062" w:rsidRPr="00B47632">
              <w:rPr>
                <w:vertAlign w:val="superscript"/>
              </w:rPr>
              <w:t>2</w:t>
            </w:r>
          </w:p>
        </w:tc>
      </w:tr>
      <w:tr w:rsidR="006C5998" w:rsidRPr="009C0C6D" w14:paraId="368028F4" w14:textId="77777777" w:rsidTr="00C24952">
        <w:trPr>
          <w:cantSplit/>
          <w:jc w:val="center"/>
        </w:trPr>
        <w:tc>
          <w:tcPr>
            <w:tcW w:w="5000" w:type="pct"/>
            <w:gridSpan w:val="7"/>
            <w:shd w:val="clear" w:color="auto" w:fill="auto"/>
            <w:vAlign w:val="center"/>
          </w:tcPr>
          <w:p w14:paraId="0C410C43" w14:textId="77777777" w:rsidR="006C5998" w:rsidRPr="009C0C6D" w:rsidRDefault="006C5998" w:rsidP="00C24952">
            <w:pPr>
              <w:pStyle w:val="TableText0"/>
              <w:keepLines/>
              <w:rPr>
                <w:b/>
                <w:color w:val="000000"/>
              </w:rPr>
            </w:pPr>
            <w:r w:rsidRPr="009C0C6D">
              <w:rPr>
                <w:b/>
                <w:color w:val="000000"/>
              </w:rPr>
              <w:t>Estimated financial implications of Vegzelma</w:t>
            </w:r>
          </w:p>
        </w:tc>
      </w:tr>
      <w:tr w:rsidR="006C5998" w:rsidRPr="009C0C6D" w14:paraId="14BFEEF0" w14:textId="77777777" w:rsidTr="00C24952">
        <w:trPr>
          <w:cantSplit/>
          <w:jc w:val="center"/>
        </w:trPr>
        <w:tc>
          <w:tcPr>
            <w:tcW w:w="1118" w:type="pct"/>
            <w:shd w:val="clear" w:color="auto" w:fill="auto"/>
            <w:vAlign w:val="center"/>
          </w:tcPr>
          <w:p w14:paraId="6DAFDE79" w14:textId="77777777" w:rsidR="006C5998" w:rsidRPr="009C0C6D" w:rsidRDefault="006C5998" w:rsidP="00C24952">
            <w:pPr>
              <w:pStyle w:val="TableText0"/>
              <w:keepLines/>
            </w:pPr>
            <w:r w:rsidRPr="009C0C6D">
              <w:t>Cost to PBS/RPBS less co-payment</w:t>
            </w:r>
          </w:p>
        </w:tc>
        <w:tc>
          <w:tcPr>
            <w:tcW w:w="647" w:type="pct"/>
            <w:shd w:val="clear" w:color="auto" w:fill="auto"/>
          </w:tcPr>
          <w:p w14:paraId="0EF6ACE4" w14:textId="0485AF77" w:rsidR="006C5998" w:rsidRPr="007A529F" w:rsidRDefault="00F93231" w:rsidP="007A529F">
            <w:pPr>
              <w:pStyle w:val="TableText0"/>
              <w:keepLines/>
              <w:jc w:val="center"/>
              <w:rPr>
                <w:color w:val="000000"/>
                <w:highlight w:val="lightGray"/>
              </w:rPr>
            </w:pPr>
            <w:r w:rsidRPr="00AC58E2">
              <w:rPr>
                <w:rFonts w:hint="eastAsia"/>
                <w:color w:val="000000"/>
                <w:w w:val="15"/>
                <w:shd w:val="solid" w:color="000000" w:fill="000000"/>
                <w:fitText w:val="30" w:id="-962870778"/>
                <w14:textFill>
                  <w14:solidFill>
                    <w14:srgbClr w14:val="000000">
                      <w14:alpha w14:val="100000"/>
                    </w14:srgbClr>
                  </w14:solidFill>
                </w14:textFill>
              </w:rPr>
              <w:t xml:space="preserve">　</w:t>
            </w:r>
            <w:r w:rsidRPr="00AC58E2">
              <w:rPr>
                <w:color w:val="000000"/>
                <w:w w:val="15"/>
                <w:shd w:val="solid" w:color="000000" w:fill="000000"/>
                <w:fitText w:val="30" w:id="-962870778"/>
                <w14:textFill>
                  <w14:solidFill>
                    <w14:srgbClr w14:val="000000">
                      <w14:alpha w14:val="100000"/>
                    </w14:srgbClr>
                  </w14:solidFill>
                </w14:textFill>
              </w:rPr>
              <w:t>|</w:t>
            </w:r>
            <w:r w:rsidRPr="00AC58E2">
              <w:rPr>
                <w:rFonts w:hint="eastAsia"/>
                <w:color w:val="000000"/>
                <w:spacing w:val="-45"/>
                <w:w w:val="15"/>
                <w:shd w:val="solid" w:color="000000" w:fill="000000"/>
                <w:fitText w:val="30" w:id="-962870778"/>
                <w14:textFill>
                  <w14:solidFill>
                    <w14:srgbClr w14:val="000000">
                      <w14:alpha w14:val="100000"/>
                    </w14:srgbClr>
                  </w14:solidFill>
                </w14:textFill>
              </w:rPr>
              <w:t xml:space="preserve">　</w:t>
            </w:r>
            <w:r w:rsidR="00405062" w:rsidRPr="007A529F">
              <w:rPr>
                <w:vertAlign w:val="superscript"/>
              </w:rPr>
              <w:t>3</w:t>
            </w:r>
          </w:p>
        </w:tc>
        <w:tc>
          <w:tcPr>
            <w:tcW w:w="647" w:type="pct"/>
            <w:shd w:val="clear" w:color="auto" w:fill="auto"/>
          </w:tcPr>
          <w:p w14:paraId="28534DB8" w14:textId="138B376E" w:rsidR="006C5998" w:rsidRPr="007A529F" w:rsidRDefault="00F93231" w:rsidP="007A529F">
            <w:pPr>
              <w:pStyle w:val="TableText0"/>
              <w:keepLines/>
              <w:jc w:val="center"/>
              <w:rPr>
                <w:color w:val="000000"/>
                <w:highlight w:val="lightGray"/>
              </w:rPr>
            </w:pPr>
            <w:r w:rsidRPr="00AC58E2">
              <w:rPr>
                <w:rFonts w:hint="eastAsia"/>
                <w:color w:val="000000"/>
                <w:w w:val="15"/>
                <w:shd w:val="solid" w:color="000000" w:fill="000000"/>
                <w:fitText w:val="30" w:id="-962870777"/>
                <w14:textFill>
                  <w14:solidFill>
                    <w14:srgbClr w14:val="000000">
                      <w14:alpha w14:val="100000"/>
                    </w14:srgbClr>
                  </w14:solidFill>
                </w14:textFill>
              </w:rPr>
              <w:t xml:space="preserve">　</w:t>
            </w:r>
            <w:r w:rsidRPr="00AC58E2">
              <w:rPr>
                <w:color w:val="000000"/>
                <w:w w:val="15"/>
                <w:shd w:val="solid" w:color="000000" w:fill="000000"/>
                <w:fitText w:val="30" w:id="-962870777"/>
                <w14:textFill>
                  <w14:solidFill>
                    <w14:srgbClr w14:val="000000">
                      <w14:alpha w14:val="100000"/>
                    </w14:srgbClr>
                  </w14:solidFill>
                </w14:textFill>
              </w:rPr>
              <w:t>|</w:t>
            </w:r>
            <w:r w:rsidRPr="00AC58E2">
              <w:rPr>
                <w:rFonts w:hint="eastAsia"/>
                <w:color w:val="000000"/>
                <w:spacing w:val="-45"/>
                <w:w w:val="15"/>
                <w:shd w:val="solid" w:color="000000" w:fill="000000"/>
                <w:fitText w:val="30" w:id="-962870777"/>
                <w14:textFill>
                  <w14:solidFill>
                    <w14:srgbClr w14:val="000000">
                      <w14:alpha w14:val="100000"/>
                    </w14:srgbClr>
                  </w14:solidFill>
                </w14:textFill>
              </w:rPr>
              <w:t xml:space="preserve">　</w:t>
            </w:r>
            <w:r w:rsidR="00405062" w:rsidRPr="007A529F">
              <w:rPr>
                <w:vertAlign w:val="superscript"/>
              </w:rPr>
              <w:t>4</w:t>
            </w:r>
          </w:p>
        </w:tc>
        <w:tc>
          <w:tcPr>
            <w:tcW w:w="647" w:type="pct"/>
            <w:shd w:val="clear" w:color="auto" w:fill="auto"/>
          </w:tcPr>
          <w:p w14:paraId="1ED949BD" w14:textId="272F7458" w:rsidR="006C5998" w:rsidRPr="007A529F" w:rsidRDefault="00F93231" w:rsidP="007A529F">
            <w:pPr>
              <w:pStyle w:val="TableText0"/>
              <w:keepLines/>
              <w:jc w:val="center"/>
              <w:rPr>
                <w:color w:val="000000"/>
                <w:highlight w:val="lightGray"/>
              </w:rPr>
            </w:pPr>
            <w:r w:rsidRPr="00AC58E2">
              <w:rPr>
                <w:rFonts w:hint="eastAsia"/>
                <w:color w:val="000000"/>
                <w:w w:val="15"/>
                <w:shd w:val="solid" w:color="000000" w:fill="000000"/>
                <w:fitText w:val="30" w:id="-962870776"/>
                <w14:textFill>
                  <w14:solidFill>
                    <w14:srgbClr w14:val="000000">
                      <w14:alpha w14:val="100000"/>
                    </w14:srgbClr>
                  </w14:solidFill>
                </w14:textFill>
              </w:rPr>
              <w:t xml:space="preserve">　</w:t>
            </w:r>
            <w:r w:rsidRPr="00AC58E2">
              <w:rPr>
                <w:color w:val="000000"/>
                <w:w w:val="15"/>
                <w:shd w:val="solid" w:color="000000" w:fill="000000"/>
                <w:fitText w:val="30" w:id="-962870776"/>
                <w14:textFill>
                  <w14:solidFill>
                    <w14:srgbClr w14:val="000000">
                      <w14:alpha w14:val="100000"/>
                    </w14:srgbClr>
                  </w14:solidFill>
                </w14:textFill>
              </w:rPr>
              <w:t>|</w:t>
            </w:r>
            <w:r w:rsidRPr="00AC58E2">
              <w:rPr>
                <w:rFonts w:hint="eastAsia"/>
                <w:color w:val="000000"/>
                <w:spacing w:val="-45"/>
                <w:w w:val="15"/>
                <w:shd w:val="solid" w:color="000000" w:fill="000000"/>
                <w:fitText w:val="30" w:id="-962870776"/>
                <w14:textFill>
                  <w14:solidFill>
                    <w14:srgbClr w14:val="000000">
                      <w14:alpha w14:val="100000"/>
                    </w14:srgbClr>
                  </w14:solidFill>
                </w14:textFill>
              </w:rPr>
              <w:t xml:space="preserve">　</w:t>
            </w:r>
            <w:r w:rsidR="00405062" w:rsidRPr="00B47632">
              <w:rPr>
                <w:vertAlign w:val="superscript"/>
              </w:rPr>
              <w:t>4</w:t>
            </w:r>
          </w:p>
        </w:tc>
        <w:tc>
          <w:tcPr>
            <w:tcW w:w="647" w:type="pct"/>
            <w:shd w:val="clear" w:color="auto" w:fill="auto"/>
          </w:tcPr>
          <w:p w14:paraId="10EE8C7D" w14:textId="7EEB5D2A" w:rsidR="006C5998" w:rsidRPr="007A529F" w:rsidRDefault="00F93231" w:rsidP="007A529F">
            <w:pPr>
              <w:pStyle w:val="TableText0"/>
              <w:keepLines/>
              <w:jc w:val="center"/>
              <w:rPr>
                <w:color w:val="000000"/>
                <w:highlight w:val="lightGray"/>
              </w:rPr>
            </w:pPr>
            <w:r w:rsidRPr="00AC58E2">
              <w:rPr>
                <w:rFonts w:hint="eastAsia"/>
                <w:color w:val="000000"/>
                <w:w w:val="15"/>
                <w:shd w:val="solid" w:color="000000" w:fill="000000"/>
                <w:fitText w:val="30" w:id="-962870775"/>
                <w14:textFill>
                  <w14:solidFill>
                    <w14:srgbClr w14:val="000000">
                      <w14:alpha w14:val="100000"/>
                    </w14:srgbClr>
                  </w14:solidFill>
                </w14:textFill>
              </w:rPr>
              <w:t xml:space="preserve">　</w:t>
            </w:r>
            <w:r w:rsidRPr="00AC58E2">
              <w:rPr>
                <w:color w:val="000000"/>
                <w:w w:val="15"/>
                <w:shd w:val="solid" w:color="000000" w:fill="000000"/>
                <w:fitText w:val="30" w:id="-962870775"/>
                <w14:textFill>
                  <w14:solidFill>
                    <w14:srgbClr w14:val="000000">
                      <w14:alpha w14:val="100000"/>
                    </w14:srgbClr>
                  </w14:solidFill>
                </w14:textFill>
              </w:rPr>
              <w:t>|</w:t>
            </w:r>
            <w:r w:rsidRPr="00AC58E2">
              <w:rPr>
                <w:rFonts w:hint="eastAsia"/>
                <w:color w:val="000000"/>
                <w:spacing w:val="-45"/>
                <w:w w:val="15"/>
                <w:shd w:val="solid" w:color="000000" w:fill="000000"/>
                <w:fitText w:val="30" w:id="-962870775"/>
                <w14:textFill>
                  <w14:solidFill>
                    <w14:srgbClr w14:val="000000">
                      <w14:alpha w14:val="100000"/>
                    </w14:srgbClr>
                  </w14:solidFill>
                </w14:textFill>
              </w:rPr>
              <w:t xml:space="preserve">　</w:t>
            </w:r>
            <w:r w:rsidR="00405062" w:rsidRPr="007A529F">
              <w:rPr>
                <w:vertAlign w:val="superscript"/>
              </w:rPr>
              <w:t>5</w:t>
            </w:r>
          </w:p>
        </w:tc>
        <w:tc>
          <w:tcPr>
            <w:tcW w:w="647" w:type="pct"/>
            <w:shd w:val="clear" w:color="auto" w:fill="auto"/>
          </w:tcPr>
          <w:p w14:paraId="2A904D0F" w14:textId="0BDE77CC" w:rsidR="006C5998" w:rsidRPr="007A529F" w:rsidRDefault="00F93231" w:rsidP="007A529F">
            <w:pPr>
              <w:pStyle w:val="TableText0"/>
              <w:keepLines/>
              <w:jc w:val="center"/>
              <w:rPr>
                <w:color w:val="000000"/>
                <w:highlight w:val="lightGray"/>
              </w:rPr>
            </w:pPr>
            <w:r w:rsidRPr="00AC58E2">
              <w:rPr>
                <w:rFonts w:hint="eastAsia"/>
                <w:color w:val="000000"/>
                <w:w w:val="15"/>
                <w:shd w:val="solid" w:color="000000" w:fill="000000"/>
                <w:fitText w:val="30" w:id="-962870774"/>
                <w14:textFill>
                  <w14:solidFill>
                    <w14:srgbClr w14:val="000000">
                      <w14:alpha w14:val="100000"/>
                    </w14:srgbClr>
                  </w14:solidFill>
                </w14:textFill>
              </w:rPr>
              <w:t xml:space="preserve">　</w:t>
            </w:r>
            <w:r w:rsidRPr="00AC58E2">
              <w:rPr>
                <w:color w:val="000000"/>
                <w:w w:val="15"/>
                <w:shd w:val="solid" w:color="000000" w:fill="000000"/>
                <w:fitText w:val="30" w:id="-962870774"/>
                <w14:textFill>
                  <w14:solidFill>
                    <w14:srgbClr w14:val="000000">
                      <w14:alpha w14:val="100000"/>
                    </w14:srgbClr>
                  </w14:solidFill>
                </w14:textFill>
              </w:rPr>
              <w:t>|</w:t>
            </w:r>
            <w:r w:rsidRPr="00AC58E2">
              <w:rPr>
                <w:rFonts w:hint="eastAsia"/>
                <w:color w:val="000000"/>
                <w:spacing w:val="-45"/>
                <w:w w:val="15"/>
                <w:shd w:val="solid" w:color="000000" w:fill="000000"/>
                <w:fitText w:val="30" w:id="-962870774"/>
                <w14:textFill>
                  <w14:solidFill>
                    <w14:srgbClr w14:val="000000">
                      <w14:alpha w14:val="100000"/>
                    </w14:srgbClr>
                  </w14:solidFill>
                </w14:textFill>
              </w:rPr>
              <w:t xml:space="preserve">　</w:t>
            </w:r>
            <w:r w:rsidR="00405062">
              <w:rPr>
                <w:vertAlign w:val="superscript"/>
              </w:rPr>
              <w:t>5</w:t>
            </w:r>
          </w:p>
        </w:tc>
        <w:tc>
          <w:tcPr>
            <w:tcW w:w="647" w:type="pct"/>
          </w:tcPr>
          <w:p w14:paraId="7CE91462" w14:textId="51013D64" w:rsidR="006C5998" w:rsidRPr="007A529F" w:rsidRDefault="00F93231" w:rsidP="007A529F">
            <w:pPr>
              <w:pStyle w:val="TableText0"/>
              <w:keepLines/>
              <w:jc w:val="center"/>
              <w:rPr>
                <w:color w:val="000000"/>
                <w:highlight w:val="lightGray"/>
              </w:rPr>
            </w:pPr>
            <w:r w:rsidRPr="00AC58E2">
              <w:rPr>
                <w:rFonts w:hint="eastAsia"/>
                <w:color w:val="000000"/>
                <w:w w:val="15"/>
                <w:shd w:val="solid" w:color="000000" w:fill="000000"/>
                <w:fitText w:val="30" w:id="-962870773"/>
                <w14:textFill>
                  <w14:solidFill>
                    <w14:srgbClr w14:val="000000">
                      <w14:alpha w14:val="100000"/>
                    </w14:srgbClr>
                  </w14:solidFill>
                </w14:textFill>
              </w:rPr>
              <w:t xml:space="preserve">　</w:t>
            </w:r>
            <w:r w:rsidRPr="00AC58E2">
              <w:rPr>
                <w:color w:val="000000"/>
                <w:w w:val="15"/>
                <w:shd w:val="solid" w:color="000000" w:fill="000000"/>
                <w:fitText w:val="30" w:id="-962870773"/>
                <w14:textFill>
                  <w14:solidFill>
                    <w14:srgbClr w14:val="000000">
                      <w14:alpha w14:val="100000"/>
                    </w14:srgbClr>
                  </w14:solidFill>
                </w14:textFill>
              </w:rPr>
              <w:t>|</w:t>
            </w:r>
            <w:r w:rsidRPr="00AC58E2">
              <w:rPr>
                <w:rFonts w:hint="eastAsia"/>
                <w:color w:val="000000"/>
                <w:spacing w:val="-45"/>
                <w:w w:val="15"/>
                <w:shd w:val="solid" w:color="000000" w:fill="000000"/>
                <w:fitText w:val="30" w:id="-962870773"/>
                <w14:textFill>
                  <w14:solidFill>
                    <w14:srgbClr w14:val="000000">
                      <w14:alpha w14:val="100000"/>
                    </w14:srgbClr>
                  </w14:solidFill>
                </w14:textFill>
              </w:rPr>
              <w:t xml:space="preserve">　</w:t>
            </w:r>
            <w:r w:rsidR="00405062">
              <w:rPr>
                <w:vertAlign w:val="superscript"/>
              </w:rPr>
              <w:t>5</w:t>
            </w:r>
          </w:p>
        </w:tc>
      </w:tr>
      <w:tr w:rsidR="006C5998" w:rsidRPr="009C0C6D" w14:paraId="4460EC77" w14:textId="77777777" w:rsidTr="00C24952">
        <w:trPr>
          <w:cantSplit/>
          <w:jc w:val="center"/>
        </w:trPr>
        <w:tc>
          <w:tcPr>
            <w:tcW w:w="5000" w:type="pct"/>
            <w:gridSpan w:val="7"/>
            <w:shd w:val="clear" w:color="auto" w:fill="auto"/>
            <w:vAlign w:val="center"/>
          </w:tcPr>
          <w:p w14:paraId="223E2011" w14:textId="77777777" w:rsidR="006C5998" w:rsidRPr="009C0C6D" w:rsidRDefault="006C5998" w:rsidP="00C24952">
            <w:pPr>
              <w:pStyle w:val="TableText0"/>
              <w:keepLines/>
              <w:rPr>
                <w:b/>
                <w:color w:val="000000"/>
              </w:rPr>
            </w:pPr>
            <w:r w:rsidRPr="009C0C6D">
              <w:rPr>
                <w:b/>
                <w:color w:val="000000"/>
              </w:rPr>
              <w:t>Estimated financial implications of other PBS-listed brands of bevacizumab</w:t>
            </w:r>
          </w:p>
        </w:tc>
      </w:tr>
      <w:tr w:rsidR="006C5998" w:rsidRPr="009C0C6D" w14:paraId="6BC8D3E1" w14:textId="77777777" w:rsidTr="00C24952">
        <w:trPr>
          <w:cantSplit/>
          <w:jc w:val="center"/>
        </w:trPr>
        <w:tc>
          <w:tcPr>
            <w:tcW w:w="1118" w:type="pct"/>
            <w:shd w:val="clear" w:color="auto" w:fill="auto"/>
            <w:vAlign w:val="center"/>
          </w:tcPr>
          <w:p w14:paraId="555C6539" w14:textId="77777777" w:rsidR="006C5998" w:rsidRPr="009C0C6D" w:rsidRDefault="006C5998" w:rsidP="00C24952">
            <w:pPr>
              <w:pStyle w:val="TableText0"/>
              <w:keepLines/>
            </w:pPr>
            <w:r w:rsidRPr="009C0C6D">
              <w:t>Cost to PBS/RPBS less co-payment</w:t>
            </w:r>
          </w:p>
        </w:tc>
        <w:tc>
          <w:tcPr>
            <w:tcW w:w="647" w:type="pct"/>
            <w:shd w:val="clear" w:color="auto" w:fill="auto"/>
          </w:tcPr>
          <w:p w14:paraId="54A42D4C" w14:textId="569C8E79" w:rsidR="006C5998" w:rsidRPr="007A529F" w:rsidRDefault="00F93231" w:rsidP="007A529F">
            <w:pPr>
              <w:pStyle w:val="TableText0"/>
              <w:keepLines/>
              <w:jc w:val="center"/>
              <w:rPr>
                <w:color w:val="000000"/>
                <w:highlight w:val="lightGray"/>
              </w:rPr>
            </w:pPr>
            <w:r w:rsidRPr="00AC58E2">
              <w:rPr>
                <w:rFonts w:hint="eastAsia"/>
                <w:color w:val="000000"/>
                <w:w w:val="15"/>
                <w:shd w:val="solid" w:color="000000" w:fill="000000"/>
                <w:fitText w:val="30" w:id="-962870772"/>
                <w14:textFill>
                  <w14:solidFill>
                    <w14:srgbClr w14:val="000000">
                      <w14:alpha w14:val="100000"/>
                    </w14:srgbClr>
                  </w14:solidFill>
                </w14:textFill>
              </w:rPr>
              <w:t xml:space="preserve">　</w:t>
            </w:r>
            <w:r w:rsidRPr="00AC58E2">
              <w:rPr>
                <w:color w:val="000000"/>
                <w:w w:val="15"/>
                <w:shd w:val="solid" w:color="000000" w:fill="000000"/>
                <w:fitText w:val="30" w:id="-962870772"/>
                <w14:textFill>
                  <w14:solidFill>
                    <w14:srgbClr w14:val="000000">
                      <w14:alpha w14:val="100000"/>
                    </w14:srgbClr>
                  </w14:solidFill>
                </w14:textFill>
              </w:rPr>
              <w:t>|</w:t>
            </w:r>
            <w:r w:rsidRPr="00AC58E2">
              <w:rPr>
                <w:rFonts w:hint="eastAsia"/>
                <w:color w:val="000000"/>
                <w:spacing w:val="-45"/>
                <w:w w:val="15"/>
                <w:shd w:val="solid" w:color="000000" w:fill="000000"/>
                <w:fitText w:val="30" w:id="-962870772"/>
                <w14:textFill>
                  <w14:solidFill>
                    <w14:srgbClr w14:val="000000">
                      <w14:alpha w14:val="100000"/>
                    </w14:srgbClr>
                  </w14:solidFill>
                </w14:textFill>
              </w:rPr>
              <w:t xml:space="preserve">　</w:t>
            </w:r>
            <w:r w:rsidR="00405062" w:rsidRPr="007A529F">
              <w:rPr>
                <w:vertAlign w:val="superscript"/>
              </w:rPr>
              <w:t>6</w:t>
            </w:r>
          </w:p>
        </w:tc>
        <w:tc>
          <w:tcPr>
            <w:tcW w:w="647" w:type="pct"/>
            <w:shd w:val="clear" w:color="auto" w:fill="auto"/>
          </w:tcPr>
          <w:p w14:paraId="396AA489" w14:textId="6BC515F4" w:rsidR="006C5998" w:rsidRPr="007A529F" w:rsidRDefault="00F93231" w:rsidP="007A529F">
            <w:pPr>
              <w:pStyle w:val="TableText0"/>
              <w:keepLines/>
              <w:jc w:val="center"/>
              <w:rPr>
                <w:color w:val="000000"/>
                <w:highlight w:val="lightGray"/>
              </w:rPr>
            </w:pPr>
            <w:r w:rsidRPr="00AC58E2">
              <w:rPr>
                <w:rFonts w:hint="eastAsia"/>
                <w:color w:val="000000"/>
                <w:w w:val="15"/>
                <w:shd w:val="solid" w:color="000000" w:fill="000000"/>
                <w:fitText w:val="30" w:id="-962870771"/>
                <w14:textFill>
                  <w14:solidFill>
                    <w14:srgbClr w14:val="000000">
                      <w14:alpha w14:val="100000"/>
                    </w14:srgbClr>
                  </w14:solidFill>
                </w14:textFill>
              </w:rPr>
              <w:t xml:space="preserve">　</w:t>
            </w:r>
            <w:r w:rsidRPr="00AC58E2">
              <w:rPr>
                <w:color w:val="000000"/>
                <w:w w:val="15"/>
                <w:shd w:val="solid" w:color="000000" w:fill="000000"/>
                <w:fitText w:val="30" w:id="-962870771"/>
                <w14:textFill>
                  <w14:solidFill>
                    <w14:srgbClr w14:val="000000">
                      <w14:alpha w14:val="100000"/>
                    </w14:srgbClr>
                  </w14:solidFill>
                </w14:textFill>
              </w:rPr>
              <w:t>|</w:t>
            </w:r>
            <w:r w:rsidRPr="00AC58E2">
              <w:rPr>
                <w:rFonts w:hint="eastAsia"/>
                <w:color w:val="000000"/>
                <w:spacing w:val="-45"/>
                <w:w w:val="15"/>
                <w:shd w:val="solid" w:color="000000" w:fill="000000"/>
                <w:fitText w:val="30" w:id="-962870771"/>
                <w14:textFill>
                  <w14:solidFill>
                    <w14:srgbClr w14:val="000000">
                      <w14:alpha w14:val="100000"/>
                    </w14:srgbClr>
                  </w14:solidFill>
                </w14:textFill>
              </w:rPr>
              <w:t xml:space="preserve">　</w:t>
            </w:r>
            <w:r w:rsidR="00405062" w:rsidRPr="00B47632">
              <w:rPr>
                <w:vertAlign w:val="superscript"/>
              </w:rPr>
              <w:t>6</w:t>
            </w:r>
          </w:p>
        </w:tc>
        <w:tc>
          <w:tcPr>
            <w:tcW w:w="647" w:type="pct"/>
            <w:shd w:val="clear" w:color="auto" w:fill="auto"/>
          </w:tcPr>
          <w:p w14:paraId="4B36F323" w14:textId="45932353" w:rsidR="006C5998" w:rsidRPr="007A529F" w:rsidRDefault="00F93231" w:rsidP="007A529F">
            <w:pPr>
              <w:pStyle w:val="TableText0"/>
              <w:keepLines/>
              <w:jc w:val="center"/>
              <w:rPr>
                <w:color w:val="000000"/>
                <w:highlight w:val="lightGray"/>
              </w:rPr>
            </w:pPr>
            <w:r w:rsidRPr="00AC58E2">
              <w:rPr>
                <w:rFonts w:hint="eastAsia"/>
                <w:color w:val="000000"/>
                <w:w w:val="15"/>
                <w:shd w:val="solid" w:color="000000" w:fill="000000"/>
                <w:fitText w:val="30" w:id="-962870770"/>
                <w14:textFill>
                  <w14:solidFill>
                    <w14:srgbClr w14:val="000000">
                      <w14:alpha w14:val="100000"/>
                    </w14:srgbClr>
                  </w14:solidFill>
                </w14:textFill>
              </w:rPr>
              <w:t xml:space="preserve">　</w:t>
            </w:r>
            <w:r w:rsidRPr="00AC58E2">
              <w:rPr>
                <w:color w:val="000000"/>
                <w:w w:val="15"/>
                <w:shd w:val="solid" w:color="000000" w:fill="000000"/>
                <w:fitText w:val="30" w:id="-962870770"/>
                <w14:textFill>
                  <w14:solidFill>
                    <w14:srgbClr w14:val="000000">
                      <w14:alpha w14:val="100000"/>
                    </w14:srgbClr>
                  </w14:solidFill>
                </w14:textFill>
              </w:rPr>
              <w:t>|</w:t>
            </w:r>
            <w:r w:rsidRPr="00AC58E2">
              <w:rPr>
                <w:rFonts w:hint="eastAsia"/>
                <w:color w:val="000000"/>
                <w:spacing w:val="-45"/>
                <w:w w:val="15"/>
                <w:shd w:val="solid" w:color="000000" w:fill="000000"/>
                <w:fitText w:val="30" w:id="-962870770"/>
                <w14:textFill>
                  <w14:solidFill>
                    <w14:srgbClr w14:val="000000">
                      <w14:alpha w14:val="100000"/>
                    </w14:srgbClr>
                  </w14:solidFill>
                </w14:textFill>
              </w:rPr>
              <w:t xml:space="preserve">　</w:t>
            </w:r>
            <w:r w:rsidR="00405062" w:rsidRPr="00B47632">
              <w:rPr>
                <w:vertAlign w:val="superscript"/>
              </w:rPr>
              <w:t>6</w:t>
            </w:r>
          </w:p>
        </w:tc>
        <w:tc>
          <w:tcPr>
            <w:tcW w:w="647" w:type="pct"/>
            <w:shd w:val="clear" w:color="auto" w:fill="auto"/>
          </w:tcPr>
          <w:p w14:paraId="161A579D" w14:textId="75238BB4" w:rsidR="006C5998" w:rsidRPr="007A529F" w:rsidRDefault="00F93231" w:rsidP="007A529F">
            <w:pPr>
              <w:pStyle w:val="TableText0"/>
              <w:keepLines/>
              <w:jc w:val="center"/>
              <w:rPr>
                <w:color w:val="000000"/>
                <w:highlight w:val="lightGray"/>
              </w:rPr>
            </w:pPr>
            <w:r w:rsidRPr="00AC58E2">
              <w:rPr>
                <w:rFonts w:hint="eastAsia"/>
                <w:color w:val="000000"/>
                <w:w w:val="15"/>
                <w:shd w:val="solid" w:color="000000" w:fill="000000"/>
                <w:fitText w:val="30" w:id="-962870769"/>
                <w14:textFill>
                  <w14:solidFill>
                    <w14:srgbClr w14:val="000000">
                      <w14:alpha w14:val="100000"/>
                    </w14:srgbClr>
                  </w14:solidFill>
                </w14:textFill>
              </w:rPr>
              <w:t xml:space="preserve">　</w:t>
            </w:r>
            <w:r w:rsidRPr="00AC58E2">
              <w:rPr>
                <w:color w:val="000000"/>
                <w:w w:val="15"/>
                <w:shd w:val="solid" w:color="000000" w:fill="000000"/>
                <w:fitText w:val="30" w:id="-962870769"/>
                <w14:textFill>
                  <w14:solidFill>
                    <w14:srgbClr w14:val="000000">
                      <w14:alpha w14:val="100000"/>
                    </w14:srgbClr>
                  </w14:solidFill>
                </w14:textFill>
              </w:rPr>
              <w:t>|</w:t>
            </w:r>
            <w:r w:rsidRPr="00AC58E2">
              <w:rPr>
                <w:rFonts w:hint="eastAsia"/>
                <w:color w:val="000000"/>
                <w:spacing w:val="-45"/>
                <w:w w:val="15"/>
                <w:shd w:val="solid" w:color="000000" w:fill="000000"/>
                <w:fitText w:val="30" w:id="-962870769"/>
                <w14:textFill>
                  <w14:solidFill>
                    <w14:srgbClr w14:val="000000">
                      <w14:alpha w14:val="100000"/>
                    </w14:srgbClr>
                  </w14:solidFill>
                </w14:textFill>
              </w:rPr>
              <w:t xml:space="preserve">　</w:t>
            </w:r>
            <w:r w:rsidR="00405062" w:rsidRPr="00B47632">
              <w:rPr>
                <w:vertAlign w:val="superscript"/>
              </w:rPr>
              <w:t>6</w:t>
            </w:r>
          </w:p>
        </w:tc>
        <w:tc>
          <w:tcPr>
            <w:tcW w:w="647" w:type="pct"/>
            <w:shd w:val="clear" w:color="auto" w:fill="auto"/>
          </w:tcPr>
          <w:p w14:paraId="0B9FE9F8" w14:textId="71174179" w:rsidR="006C5998" w:rsidRPr="007A529F" w:rsidRDefault="00F93231" w:rsidP="007A529F">
            <w:pPr>
              <w:pStyle w:val="TableText0"/>
              <w:keepLines/>
              <w:jc w:val="center"/>
              <w:rPr>
                <w:color w:val="000000"/>
                <w:highlight w:val="lightGray"/>
              </w:rPr>
            </w:pPr>
            <w:r w:rsidRPr="00AC58E2">
              <w:rPr>
                <w:rFonts w:hint="eastAsia"/>
                <w:color w:val="000000"/>
                <w:w w:val="15"/>
                <w:shd w:val="solid" w:color="000000" w:fill="000000"/>
                <w:fitText w:val="30" w:id="-962870768"/>
                <w14:textFill>
                  <w14:solidFill>
                    <w14:srgbClr w14:val="000000">
                      <w14:alpha w14:val="100000"/>
                    </w14:srgbClr>
                  </w14:solidFill>
                </w14:textFill>
              </w:rPr>
              <w:t xml:space="preserve">　</w:t>
            </w:r>
            <w:r w:rsidRPr="00AC58E2">
              <w:rPr>
                <w:color w:val="000000"/>
                <w:w w:val="15"/>
                <w:shd w:val="solid" w:color="000000" w:fill="000000"/>
                <w:fitText w:val="30" w:id="-962870768"/>
                <w14:textFill>
                  <w14:solidFill>
                    <w14:srgbClr w14:val="000000">
                      <w14:alpha w14:val="100000"/>
                    </w14:srgbClr>
                  </w14:solidFill>
                </w14:textFill>
              </w:rPr>
              <w:t>|</w:t>
            </w:r>
            <w:r w:rsidRPr="00AC58E2">
              <w:rPr>
                <w:rFonts w:hint="eastAsia"/>
                <w:color w:val="000000"/>
                <w:spacing w:val="-45"/>
                <w:w w:val="15"/>
                <w:shd w:val="solid" w:color="000000" w:fill="000000"/>
                <w:fitText w:val="30" w:id="-962870768"/>
                <w14:textFill>
                  <w14:solidFill>
                    <w14:srgbClr w14:val="000000">
                      <w14:alpha w14:val="100000"/>
                    </w14:srgbClr>
                  </w14:solidFill>
                </w14:textFill>
              </w:rPr>
              <w:t xml:space="preserve">　</w:t>
            </w:r>
            <w:r w:rsidR="00405062" w:rsidRPr="00B47632">
              <w:rPr>
                <w:vertAlign w:val="superscript"/>
              </w:rPr>
              <w:t>6</w:t>
            </w:r>
          </w:p>
        </w:tc>
        <w:tc>
          <w:tcPr>
            <w:tcW w:w="647" w:type="pct"/>
          </w:tcPr>
          <w:p w14:paraId="10DF90F5" w14:textId="2C7D6276" w:rsidR="006C5998" w:rsidRPr="007A529F" w:rsidRDefault="00F93231" w:rsidP="007A529F">
            <w:pPr>
              <w:pStyle w:val="TableText0"/>
              <w:keepLines/>
              <w:jc w:val="center"/>
              <w:rPr>
                <w:color w:val="000000"/>
                <w:highlight w:val="lightGray"/>
              </w:rPr>
            </w:pPr>
            <w:r w:rsidRPr="00AC58E2">
              <w:rPr>
                <w:rFonts w:hint="eastAsia"/>
                <w:color w:val="000000"/>
                <w:w w:val="15"/>
                <w:shd w:val="solid" w:color="000000" w:fill="000000"/>
                <w:fitText w:val="30" w:id="-962870784"/>
                <w14:textFill>
                  <w14:solidFill>
                    <w14:srgbClr w14:val="000000">
                      <w14:alpha w14:val="100000"/>
                    </w14:srgbClr>
                  </w14:solidFill>
                </w14:textFill>
              </w:rPr>
              <w:t xml:space="preserve">　</w:t>
            </w:r>
            <w:r w:rsidRPr="00AC58E2">
              <w:rPr>
                <w:color w:val="000000"/>
                <w:w w:val="15"/>
                <w:shd w:val="solid" w:color="000000" w:fill="000000"/>
                <w:fitText w:val="30" w:id="-962870784"/>
                <w14:textFill>
                  <w14:solidFill>
                    <w14:srgbClr w14:val="000000">
                      <w14:alpha w14:val="100000"/>
                    </w14:srgbClr>
                  </w14:solidFill>
                </w14:textFill>
              </w:rPr>
              <w:t>|</w:t>
            </w:r>
            <w:r w:rsidRPr="00AC58E2">
              <w:rPr>
                <w:rFonts w:hint="eastAsia"/>
                <w:color w:val="000000"/>
                <w:spacing w:val="-45"/>
                <w:w w:val="15"/>
                <w:shd w:val="solid" w:color="000000" w:fill="000000"/>
                <w:fitText w:val="30" w:id="-962870784"/>
                <w14:textFill>
                  <w14:solidFill>
                    <w14:srgbClr w14:val="000000">
                      <w14:alpha w14:val="100000"/>
                    </w14:srgbClr>
                  </w14:solidFill>
                </w14:textFill>
              </w:rPr>
              <w:t xml:space="preserve">　</w:t>
            </w:r>
            <w:r w:rsidR="00405062" w:rsidRPr="00B47632">
              <w:rPr>
                <w:vertAlign w:val="superscript"/>
              </w:rPr>
              <w:t>6</w:t>
            </w:r>
          </w:p>
        </w:tc>
      </w:tr>
      <w:tr w:rsidR="006C5998" w:rsidRPr="009C0C6D" w14:paraId="381EFF75" w14:textId="77777777" w:rsidTr="00C24952">
        <w:trPr>
          <w:cantSplit/>
          <w:jc w:val="center"/>
        </w:trPr>
        <w:tc>
          <w:tcPr>
            <w:tcW w:w="5000" w:type="pct"/>
            <w:gridSpan w:val="7"/>
            <w:shd w:val="clear" w:color="auto" w:fill="auto"/>
            <w:vAlign w:val="center"/>
          </w:tcPr>
          <w:p w14:paraId="12754684" w14:textId="77777777" w:rsidR="006C5998" w:rsidRPr="009C0C6D" w:rsidRDefault="006C5998" w:rsidP="00C24952">
            <w:pPr>
              <w:pStyle w:val="TableText0"/>
              <w:keepLines/>
              <w:rPr>
                <w:b/>
                <w:bCs w:val="0"/>
                <w:color w:val="000000"/>
              </w:rPr>
            </w:pPr>
            <w:r w:rsidRPr="009C0C6D">
              <w:rPr>
                <w:b/>
                <w:bCs w:val="0"/>
                <w:color w:val="000000"/>
              </w:rPr>
              <w:t>Net financial implications</w:t>
            </w:r>
          </w:p>
        </w:tc>
      </w:tr>
      <w:tr w:rsidR="006C5998" w:rsidRPr="009C0C6D" w14:paraId="45AA9B5E" w14:textId="77777777" w:rsidTr="00C24952">
        <w:trPr>
          <w:cantSplit/>
          <w:jc w:val="center"/>
        </w:trPr>
        <w:tc>
          <w:tcPr>
            <w:tcW w:w="1118" w:type="pct"/>
            <w:shd w:val="clear" w:color="auto" w:fill="auto"/>
            <w:vAlign w:val="center"/>
          </w:tcPr>
          <w:p w14:paraId="183B0C9D" w14:textId="77777777" w:rsidR="006C5998" w:rsidRPr="009C0C6D" w:rsidRDefault="006C5998" w:rsidP="00C24952">
            <w:pPr>
              <w:pStyle w:val="TableText0"/>
              <w:keepLines/>
            </w:pPr>
            <w:r w:rsidRPr="009C0C6D">
              <w:t>Net cost to PBS/RPBS</w:t>
            </w:r>
          </w:p>
        </w:tc>
        <w:tc>
          <w:tcPr>
            <w:tcW w:w="647" w:type="pct"/>
            <w:shd w:val="clear" w:color="auto" w:fill="auto"/>
            <w:vAlign w:val="center"/>
          </w:tcPr>
          <w:p w14:paraId="2C5FA619" w14:textId="3C2E2E2C" w:rsidR="006C5998" w:rsidRPr="007A529F" w:rsidRDefault="00F93231" w:rsidP="007A529F">
            <w:pPr>
              <w:pStyle w:val="TableText0"/>
              <w:keepLines/>
              <w:jc w:val="center"/>
              <w:rPr>
                <w:color w:val="000000"/>
                <w:highlight w:val="lightGray"/>
              </w:rPr>
            </w:pPr>
            <w:r w:rsidRPr="00AC58E2">
              <w:rPr>
                <w:rFonts w:hint="eastAsia"/>
                <w:color w:val="000000"/>
                <w:w w:val="15"/>
                <w:shd w:val="solid" w:color="000000" w:fill="000000"/>
                <w:fitText w:val="30" w:id="-962870783"/>
                <w14:textFill>
                  <w14:solidFill>
                    <w14:srgbClr w14:val="000000">
                      <w14:alpha w14:val="100000"/>
                    </w14:srgbClr>
                  </w14:solidFill>
                </w14:textFill>
              </w:rPr>
              <w:t xml:space="preserve">　</w:t>
            </w:r>
            <w:r w:rsidRPr="00AC58E2">
              <w:rPr>
                <w:color w:val="000000"/>
                <w:w w:val="15"/>
                <w:shd w:val="solid" w:color="000000" w:fill="000000"/>
                <w:fitText w:val="30" w:id="-962870783"/>
                <w14:textFill>
                  <w14:solidFill>
                    <w14:srgbClr w14:val="000000">
                      <w14:alpha w14:val="100000"/>
                    </w14:srgbClr>
                  </w14:solidFill>
                </w14:textFill>
              </w:rPr>
              <w:t>|</w:t>
            </w:r>
            <w:r w:rsidRPr="00AC58E2">
              <w:rPr>
                <w:rFonts w:hint="eastAsia"/>
                <w:color w:val="000000"/>
                <w:spacing w:val="-45"/>
                <w:w w:val="15"/>
                <w:shd w:val="solid" w:color="000000" w:fill="000000"/>
                <w:fitText w:val="30" w:id="-962870783"/>
                <w14:textFill>
                  <w14:solidFill>
                    <w14:srgbClr w14:val="000000">
                      <w14:alpha w14:val="100000"/>
                    </w14:srgbClr>
                  </w14:solidFill>
                </w14:textFill>
              </w:rPr>
              <w:t xml:space="preserve">　</w:t>
            </w:r>
            <w:r w:rsidR="00405062" w:rsidRPr="007A529F">
              <w:rPr>
                <w:color w:val="000000"/>
                <w:vertAlign w:val="superscript"/>
              </w:rPr>
              <w:t>7</w:t>
            </w:r>
          </w:p>
        </w:tc>
        <w:tc>
          <w:tcPr>
            <w:tcW w:w="647" w:type="pct"/>
            <w:shd w:val="clear" w:color="auto" w:fill="auto"/>
            <w:vAlign w:val="center"/>
          </w:tcPr>
          <w:p w14:paraId="6C73D65C" w14:textId="35FC4088" w:rsidR="006C5998" w:rsidRPr="007A529F" w:rsidRDefault="00F93231" w:rsidP="007A529F">
            <w:pPr>
              <w:pStyle w:val="TableText0"/>
              <w:keepLines/>
              <w:jc w:val="center"/>
              <w:rPr>
                <w:color w:val="000000"/>
                <w:highlight w:val="lightGray"/>
              </w:rPr>
            </w:pPr>
            <w:r w:rsidRPr="00AC58E2">
              <w:rPr>
                <w:rFonts w:hint="eastAsia"/>
                <w:color w:val="000000"/>
                <w:w w:val="15"/>
                <w:shd w:val="solid" w:color="000000" w:fill="000000"/>
                <w:fitText w:val="30" w:id="-962870782"/>
                <w14:textFill>
                  <w14:solidFill>
                    <w14:srgbClr w14:val="000000">
                      <w14:alpha w14:val="100000"/>
                    </w14:srgbClr>
                  </w14:solidFill>
                </w14:textFill>
              </w:rPr>
              <w:t xml:space="preserve">　</w:t>
            </w:r>
            <w:r w:rsidRPr="00AC58E2">
              <w:rPr>
                <w:color w:val="000000"/>
                <w:w w:val="15"/>
                <w:shd w:val="solid" w:color="000000" w:fill="000000"/>
                <w:fitText w:val="30" w:id="-962870782"/>
                <w14:textFill>
                  <w14:solidFill>
                    <w14:srgbClr w14:val="000000">
                      <w14:alpha w14:val="100000"/>
                    </w14:srgbClr>
                  </w14:solidFill>
                </w14:textFill>
              </w:rPr>
              <w:t>|</w:t>
            </w:r>
            <w:r w:rsidRPr="00AC58E2">
              <w:rPr>
                <w:rFonts w:hint="eastAsia"/>
                <w:color w:val="000000"/>
                <w:spacing w:val="-45"/>
                <w:w w:val="15"/>
                <w:shd w:val="solid" w:color="000000" w:fill="000000"/>
                <w:fitText w:val="30" w:id="-962870782"/>
                <w14:textFill>
                  <w14:solidFill>
                    <w14:srgbClr w14:val="000000">
                      <w14:alpha w14:val="100000"/>
                    </w14:srgbClr>
                  </w14:solidFill>
                </w14:textFill>
              </w:rPr>
              <w:t xml:space="preserve">　</w:t>
            </w:r>
            <w:r w:rsidR="00405062" w:rsidRPr="00B47632">
              <w:rPr>
                <w:color w:val="000000"/>
                <w:vertAlign w:val="superscript"/>
              </w:rPr>
              <w:t>7</w:t>
            </w:r>
          </w:p>
        </w:tc>
        <w:tc>
          <w:tcPr>
            <w:tcW w:w="647" w:type="pct"/>
            <w:shd w:val="clear" w:color="auto" w:fill="auto"/>
            <w:vAlign w:val="center"/>
          </w:tcPr>
          <w:p w14:paraId="32F379FD" w14:textId="7E4E2C9F" w:rsidR="006C5998" w:rsidRPr="007A529F" w:rsidRDefault="00F93231" w:rsidP="007A529F">
            <w:pPr>
              <w:pStyle w:val="TableText0"/>
              <w:keepLines/>
              <w:jc w:val="center"/>
              <w:rPr>
                <w:color w:val="000000"/>
                <w:highlight w:val="lightGray"/>
              </w:rPr>
            </w:pPr>
            <w:r w:rsidRPr="00AC58E2">
              <w:rPr>
                <w:rFonts w:hint="eastAsia"/>
                <w:color w:val="000000"/>
                <w:w w:val="15"/>
                <w:shd w:val="solid" w:color="000000" w:fill="000000"/>
                <w:fitText w:val="30" w:id="-962870781"/>
                <w14:textFill>
                  <w14:solidFill>
                    <w14:srgbClr w14:val="000000">
                      <w14:alpha w14:val="100000"/>
                    </w14:srgbClr>
                  </w14:solidFill>
                </w14:textFill>
              </w:rPr>
              <w:t xml:space="preserve">　</w:t>
            </w:r>
            <w:r w:rsidRPr="00AC58E2">
              <w:rPr>
                <w:color w:val="000000"/>
                <w:w w:val="15"/>
                <w:shd w:val="solid" w:color="000000" w:fill="000000"/>
                <w:fitText w:val="30" w:id="-962870781"/>
                <w14:textFill>
                  <w14:solidFill>
                    <w14:srgbClr w14:val="000000">
                      <w14:alpha w14:val="100000"/>
                    </w14:srgbClr>
                  </w14:solidFill>
                </w14:textFill>
              </w:rPr>
              <w:t>|</w:t>
            </w:r>
            <w:r w:rsidRPr="00AC58E2">
              <w:rPr>
                <w:rFonts w:hint="eastAsia"/>
                <w:color w:val="000000"/>
                <w:spacing w:val="-45"/>
                <w:w w:val="15"/>
                <w:shd w:val="solid" w:color="000000" w:fill="000000"/>
                <w:fitText w:val="30" w:id="-962870781"/>
                <w14:textFill>
                  <w14:solidFill>
                    <w14:srgbClr w14:val="000000">
                      <w14:alpha w14:val="100000"/>
                    </w14:srgbClr>
                  </w14:solidFill>
                </w14:textFill>
              </w:rPr>
              <w:t xml:space="preserve">　</w:t>
            </w:r>
            <w:r w:rsidR="00405062" w:rsidRPr="00B47632">
              <w:rPr>
                <w:color w:val="000000"/>
                <w:vertAlign w:val="superscript"/>
              </w:rPr>
              <w:t>7</w:t>
            </w:r>
          </w:p>
        </w:tc>
        <w:tc>
          <w:tcPr>
            <w:tcW w:w="647" w:type="pct"/>
            <w:shd w:val="clear" w:color="auto" w:fill="auto"/>
            <w:vAlign w:val="center"/>
          </w:tcPr>
          <w:p w14:paraId="419BAE69" w14:textId="700DB10A" w:rsidR="006C5998" w:rsidRPr="007A529F" w:rsidRDefault="00F93231" w:rsidP="007A529F">
            <w:pPr>
              <w:pStyle w:val="TableText0"/>
              <w:keepLines/>
              <w:jc w:val="center"/>
              <w:rPr>
                <w:color w:val="000000"/>
                <w:highlight w:val="lightGray"/>
              </w:rPr>
            </w:pPr>
            <w:r w:rsidRPr="00AC58E2">
              <w:rPr>
                <w:rFonts w:hint="eastAsia"/>
                <w:color w:val="000000"/>
                <w:w w:val="15"/>
                <w:shd w:val="solid" w:color="000000" w:fill="000000"/>
                <w:fitText w:val="30" w:id="-962870780"/>
                <w14:textFill>
                  <w14:solidFill>
                    <w14:srgbClr w14:val="000000">
                      <w14:alpha w14:val="100000"/>
                    </w14:srgbClr>
                  </w14:solidFill>
                </w14:textFill>
              </w:rPr>
              <w:t xml:space="preserve">　</w:t>
            </w:r>
            <w:r w:rsidRPr="00AC58E2">
              <w:rPr>
                <w:color w:val="000000"/>
                <w:w w:val="15"/>
                <w:shd w:val="solid" w:color="000000" w:fill="000000"/>
                <w:fitText w:val="30" w:id="-962870780"/>
                <w14:textFill>
                  <w14:solidFill>
                    <w14:srgbClr w14:val="000000">
                      <w14:alpha w14:val="100000"/>
                    </w14:srgbClr>
                  </w14:solidFill>
                </w14:textFill>
              </w:rPr>
              <w:t>|</w:t>
            </w:r>
            <w:r w:rsidRPr="00AC58E2">
              <w:rPr>
                <w:rFonts w:hint="eastAsia"/>
                <w:color w:val="000000"/>
                <w:spacing w:val="-45"/>
                <w:w w:val="15"/>
                <w:shd w:val="solid" w:color="000000" w:fill="000000"/>
                <w:fitText w:val="30" w:id="-962870780"/>
                <w14:textFill>
                  <w14:solidFill>
                    <w14:srgbClr w14:val="000000">
                      <w14:alpha w14:val="100000"/>
                    </w14:srgbClr>
                  </w14:solidFill>
                </w14:textFill>
              </w:rPr>
              <w:t xml:space="preserve">　</w:t>
            </w:r>
            <w:r w:rsidR="00405062" w:rsidRPr="00B47632">
              <w:rPr>
                <w:color w:val="000000"/>
                <w:vertAlign w:val="superscript"/>
              </w:rPr>
              <w:t>7</w:t>
            </w:r>
          </w:p>
        </w:tc>
        <w:tc>
          <w:tcPr>
            <w:tcW w:w="647" w:type="pct"/>
            <w:shd w:val="clear" w:color="auto" w:fill="auto"/>
            <w:vAlign w:val="center"/>
          </w:tcPr>
          <w:p w14:paraId="0C7EC146" w14:textId="50C0FFE1" w:rsidR="006C5998" w:rsidRPr="007A529F" w:rsidRDefault="00F93231" w:rsidP="007A529F">
            <w:pPr>
              <w:pStyle w:val="TableText0"/>
              <w:keepLines/>
              <w:jc w:val="center"/>
              <w:rPr>
                <w:color w:val="000000"/>
                <w:highlight w:val="lightGray"/>
              </w:rPr>
            </w:pPr>
            <w:r w:rsidRPr="00AC58E2">
              <w:rPr>
                <w:rFonts w:hint="eastAsia"/>
                <w:color w:val="000000"/>
                <w:w w:val="15"/>
                <w:shd w:val="solid" w:color="000000" w:fill="000000"/>
                <w:fitText w:val="30" w:id="-962870779"/>
                <w14:textFill>
                  <w14:solidFill>
                    <w14:srgbClr w14:val="000000">
                      <w14:alpha w14:val="100000"/>
                    </w14:srgbClr>
                  </w14:solidFill>
                </w14:textFill>
              </w:rPr>
              <w:t xml:space="preserve">　</w:t>
            </w:r>
            <w:r w:rsidRPr="00AC58E2">
              <w:rPr>
                <w:color w:val="000000"/>
                <w:w w:val="15"/>
                <w:shd w:val="solid" w:color="000000" w:fill="000000"/>
                <w:fitText w:val="30" w:id="-962870779"/>
                <w14:textFill>
                  <w14:solidFill>
                    <w14:srgbClr w14:val="000000">
                      <w14:alpha w14:val="100000"/>
                    </w14:srgbClr>
                  </w14:solidFill>
                </w14:textFill>
              </w:rPr>
              <w:t>|</w:t>
            </w:r>
            <w:r w:rsidRPr="00AC58E2">
              <w:rPr>
                <w:rFonts w:hint="eastAsia"/>
                <w:color w:val="000000"/>
                <w:spacing w:val="-45"/>
                <w:w w:val="15"/>
                <w:shd w:val="solid" w:color="000000" w:fill="000000"/>
                <w:fitText w:val="30" w:id="-962870779"/>
                <w14:textFill>
                  <w14:solidFill>
                    <w14:srgbClr w14:val="000000">
                      <w14:alpha w14:val="100000"/>
                    </w14:srgbClr>
                  </w14:solidFill>
                </w14:textFill>
              </w:rPr>
              <w:t xml:space="preserve">　</w:t>
            </w:r>
            <w:r w:rsidR="00405062" w:rsidRPr="00B47632">
              <w:rPr>
                <w:color w:val="000000"/>
                <w:vertAlign w:val="superscript"/>
              </w:rPr>
              <w:t>7</w:t>
            </w:r>
          </w:p>
        </w:tc>
        <w:tc>
          <w:tcPr>
            <w:tcW w:w="647" w:type="pct"/>
          </w:tcPr>
          <w:p w14:paraId="75C946B6" w14:textId="504F0F49" w:rsidR="006C5998" w:rsidRPr="007A529F" w:rsidRDefault="00F93231" w:rsidP="007A529F">
            <w:pPr>
              <w:pStyle w:val="TableText0"/>
              <w:keepLines/>
              <w:jc w:val="center"/>
              <w:rPr>
                <w:color w:val="000000"/>
                <w:highlight w:val="lightGray"/>
              </w:rPr>
            </w:pPr>
            <w:r w:rsidRPr="00AC58E2">
              <w:rPr>
                <w:rFonts w:hint="eastAsia"/>
                <w:color w:val="000000"/>
                <w:w w:val="15"/>
                <w:shd w:val="solid" w:color="000000" w:fill="000000"/>
                <w:fitText w:val="30" w:id="-962870778"/>
                <w14:textFill>
                  <w14:solidFill>
                    <w14:srgbClr w14:val="000000">
                      <w14:alpha w14:val="100000"/>
                    </w14:srgbClr>
                  </w14:solidFill>
                </w14:textFill>
              </w:rPr>
              <w:t xml:space="preserve">　</w:t>
            </w:r>
            <w:r w:rsidRPr="00AC58E2">
              <w:rPr>
                <w:color w:val="000000"/>
                <w:w w:val="15"/>
                <w:shd w:val="solid" w:color="000000" w:fill="000000"/>
                <w:fitText w:val="30" w:id="-962870778"/>
                <w14:textFill>
                  <w14:solidFill>
                    <w14:srgbClr w14:val="000000">
                      <w14:alpha w14:val="100000"/>
                    </w14:srgbClr>
                  </w14:solidFill>
                </w14:textFill>
              </w:rPr>
              <w:t>|</w:t>
            </w:r>
            <w:r w:rsidRPr="00AC58E2">
              <w:rPr>
                <w:rFonts w:hint="eastAsia"/>
                <w:color w:val="000000"/>
                <w:spacing w:val="-45"/>
                <w:w w:val="15"/>
                <w:shd w:val="solid" w:color="000000" w:fill="000000"/>
                <w:fitText w:val="30" w:id="-962870778"/>
                <w14:textFill>
                  <w14:solidFill>
                    <w14:srgbClr w14:val="000000">
                      <w14:alpha w14:val="100000"/>
                    </w14:srgbClr>
                  </w14:solidFill>
                </w14:textFill>
              </w:rPr>
              <w:t xml:space="preserve">　</w:t>
            </w:r>
            <w:r w:rsidR="00405062" w:rsidRPr="00B47632">
              <w:rPr>
                <w:color w:val="000000"/>
                <w:vertAlign w:val="superscript"/>
              </w:rPr>
              <w:t>7</w:t>
            </w:r>
          </w:p>
        </w:tc>
      </w:tr>
    </w:tbl>
    <w:p w14:paraId="3D174AAD" w14:textId="77777777" w:rsidR="006C5998" w:rsidRPr="009C0C6D" w:rsidRDefault="006C5998" w:rsidP="006C5998">
      <w:pPr>
        <w:pStyle w:val="TableFigureFooter"/>
        <w:keepNext/>
        <w:jc w:val="left"/>
      </w:pPr>
      <w:r w:rsidRPr="009C0C6D">
        <w:t>Abbreviations: PBS = Pharmaceutical Benefits Scheme; RPBS = Repatriation Pharmaceutical Benefits Scheme.</w:t>
      </w:r>
    </w:p>
    <w:p w14:paraId="4198AD68" w14:textId="77777777" w:rsidR="006C5998" w:rsidRDefault="006C5998" w:rsidP="006C5998">
      <w:pPr>
        <w:pStyle w:val="TableFigureFooter"/>
        <w:keepNext/>
      </w:pPr>
      <w:r w:rsidRPr="009C0C6D">
        <w:t>Source: submissions financial model spreadsheet</w:t>
      </w:r>
    </w:p>
    <w:p w14:paraId="0D78A5BC" w14:textId="77777777" w:rsidR="00405062" w:rsidRDefault="00405062" w:rsidP="00405062">
      <w:pPr>
        <w:pStyle w:val="FooterTableFigure"/>
        <w:rPr>
          <w:i/>
        </w:rPr>
      </w:pPr>
      <w:r w:rsidRPr="008C53CC">
        <w:rPr>
          <w:i/>
        </w:rPr>
        <w:t>The redacted values correspond to the following ranges</w:t>
      </w:r>
    </w:p>
    <w:p w14:paraId="3D37BAD8" w14:textId="6DB40687" w:rsidR="00405062" w:rsidRPr="00405062" w:rsidRDefault="00405062" w:rsidP="00405062">
      <w:pPr>
        <w:pStyle w:val="FooterTableFigure"/>
        <w:rPr>
          <w:i/>
        </w:rPr>
      </w:pPr>
      <w:r w:rsidRPr="007A529F">
        <w:rPr>
          <w:i/>
          <w:vertAlign w:val="superscript"/>
        </w:rPr>
        <w:t>1</w:t>
      </w:r>
      <w:r>
        <w:rPr>
          <w:i/>
        </w:rPr>
        <w:t xml:space="preserve"> </w:t>
      </w:r>
      <w:r w:rsidRPr="00405062">
        <w:rPr>
          <w:i/>
        </w:rPr>
        <w:t>5,000 to &lt; 10,000</w:t>
      </w:r>
    </w:p>
    <w:p w14:paraId="698BFB66" w14:textId="73BB929C" w:rsidR="00405062" w:rsidRDefault="00405062" w:rsidP="00405062">
      <w:pPr>
        <w:pStyle w:val="FooterTableFigure"/>
        <w:rPr>
          <w:i/>
        </w:rPr>
      </w:pPr>
      <w:r w:rsidRPr="007A529F">
        <w:rPr>
          <w:i/>
          <w:vertAlign w:val="superscript"/>
        </w:rPr>
        <w:t xml:space="preserve">2 </w:t>
      </w:r>
      <w:r w:rsidRPr="00405062">
        <w:rPr>
          <w:i/>
        </w:rPr>
        <w:t>10,000 to &lt; 20,000</w:t>
      </w:r>
    </w:p>
    <w:p w14:paraId="2885116A" w14:textId="4AEC327F" w:rsidR="00405062" w:rsidRPr="00405062" w:rsidRDefault="00405062" w:rsidP="00405062">
      <w:pPr>
        <w:pStyle w:val="FooterTableFigure"/>
        <w:rPr>
          <w:i/>
        </w:rPr>
      </w:pPr>
      <w:r w:rsidRPr="007A529F">
        <w:rPr>
          <w:i/>
          <w:vertAlign w:val="superscript"/>
        </w:rPr>
        <w:t xml:space="preserve">3 </w:t>
      </w:r>
      <w:r w:rsidRPr="00405062">
        <w:rPr>
          <w:i/>
        </w:rPr>
        <w:t>$10 million to &lt; $20 million</w:t>
      </w:r>
    </w:p>
    <w:p w14:paraId="13F9CC34" w14:textId="6CCA6E8F" w:rsidR="00405062" w:rsidRPr="00405062" w:rsidRDefault="00405062" w:rsidP="00405062">
      <w:pPr>
        <w:pStyle w:val="FooterTableFigure"/>
        <w:rPr>
          <w:i/>
        </w:rPr>
      </w:pPr>
      <w:r w:rsidRPr="007A529F">
        <w:rPr>
          <w:i/>
          <w:vertAlign w:val="superscript"/>
        </w:rPr>
        <w:t xml:space="preserve">4 </w:t>
      </w:r>
      <w:r w:rsidRPr="00405062">
        <w:rPr>
          <w:i/>
        </w:rPr>
        <w:t>$20 million to &lt; $30 million</w:t>
      </w:r>
    </w:p>
    <w:p w14:paraId="57386B2D" w14:textId="5B5B68A4" w:rsidR="00405062" w:rsidRDefault="00405062" w:rsidP="00405062">
      <w:pPr>
        <w:pStyle w:val="FooterTableFigure"/>
        <w:rPr>
          <w:i/>
        </w:rPr>
      </w:pPr>
      <w:r w:rsidRPr="007A529F">
        <w:rPr>
          <w:i/>
          <w:vertAlign w:val="superscript"/>
        </w:rPr>
        <w:t xml:space="preserve">5 </w:t>
      </w:r>
      <w:r w:rsidRPr="00405062">
        <w:rPr>
          <w:i/>
        </w:rPr>
        <w:t>$30 million to &lt; $40 million</w:t>
      </w:r>
    </w:p>
    <w:p w14:paraId="238F6662" w14:textId="47D9FE6A" w:rsidR="00405062" w:rsidRDefault="00405062" w:rsidP="00405062">
      <w:pPr>
        <w:pStyle w:val="FooterTableFigure"/>
      </w:pPr>
      <w:r>
        <w:rPr>
          <w:vertAlign w:val="superscript"/>
        </w:rPr>
        <w:t>6</w:t>
      </w:r>
      <w:r>
        <w:t xml:space="preserve"> net cost saving</w:t>
      </w:r>
    </w:p>
    <w:p w14:paraId="13B8B924" w14:textId="144E98BB" w:rsidR="00405062" w:rsidRPr="009C0C6D" w:rsidRDefault="00405062" w:rsidP="0066678B">
      <w:pPr>
        <w:pStyle w:val="FooterTableFigure"/>
      </w:pPr>
      <w:r w:rsidRPr="007A529F">
        <w:rPr>
          <w:vertAlign w:val="superscript"/>
        </w:rPr>
        <w:t>7</w:t>
      </w:r>
      <w:r>
        <w:t xml:space="preserve"> </w:t>
      </w:r>
      <w:r w:rsidRPr="00405062">
        <w:t>$0 to &lt; $10 million</w:t>
      </w:r>
    </w:p>
    <w:p w14:paraId="4BE00751" w14:textId="6326F692" w:rsidR="0080219B" w:rsidRPr="009C0C6D" w:rsidRDefault="0080219B" w:rsidP="00E456FD">
      <w:pPr>
        <w:pStyle w:val="3Bodytext"/>
      </w:pPr>
      <w:r w:rsidRPr="009C0C6D">
        <w:t xml:space="preserve">The submission presented the number of </w:t>
      </w:r>
      <w:r w:rsidR="006520E3" w:rsidRPr="009C0C6D">
        <w:t xml:space="preserve">PBS </w:t>
      </w:r>
      <w:r w:rsidRPr="009C0C6D">
        <w:t xml:space="preserve">services processed over the period </w:t>
      </w:r>
      <w:r w:rsidR="00BF5B14" w:rsidRPr="009C0C6D">
        <w:t xml:space="preserve">of </w:t>
      </w:r>
      <w:r w:rsidR="00B63D77" w:rsidRPr="009C0C6D">
        <w:t>June 2021</w:t>
      </w:r>
      <w:r w:rsidRPr="009C0C6D">
        <w:t xml:space="preserve"> to </w:t>
      </w:r>
      <w:r w:rsidR="00B63D77" w:rsidRPr="009C0C6D">
        <w:t>August</w:t>
      </w:r>
      <w:r w:rsidRPr="009C0C6D">
        <w:t xml:space="preserve"> 2023. </w:t>
      </w:r>
      <w:r w:rsidR="00263460" w:rsidRPr="009C0C6D">
        <w:t>T</w:t>
      </w:r>
      <w:r w:rsidRPr="009C0C6D">
        <w:t xml:space="preserve">he utilisation of </w:t>
      </w:r>
      <w:r w:rsidR="00263460" w:rsidRPr="009C0C6D">
        <w:t>bevac</w:t>
      </w:r>
      <w:r w:rsidR="00DF7E8C" w:rsidRPr="009C0C6D">
        <w:t xml:space="preserve">izumab </w:t>
      </w:r>
      <w:r w:rsidR="007D75A9" w:rsidRPr="009C0C6D">
        <w:t xml:space="preserve">steadily </w:t>
      </w:r>
      <w:r w:rsidRPr="009C0C6D">
        <w:t xml:space="preserve">increased </w:t>
      </w:r>
      <w:r w:rsidR="00816D11" w:rsidRPr="009C0C6D">
        <w:t xml:space="preserve">in </w:t>
      </w:r>
      <w:r w:rsidR="007D75A9" w:rsidRPr="009C0C6D">
        <w:t>July</w:t>
      </w:r>
      <w:r w:rsidR="00816D11" w:rsidRPr="009C0C6D">
        <w:t xml:space="preserve"> 2021</w:t>
      </w:r>
      <w:r w:rsidR="00C30AFC" w:rsidRPr="009C0C6D">
        <w:t xml:space="preserve"> when the</w:t>
      </w:r>
      <w:r w:rsidR="00816D11" w:rsidRPr="009C0C6D">
        <w:t xml:space="preserve"> new item codes 12479T and 12508H </w:t>
      </w:r>
      <w:r w:rsidR="00C30AFC" w:rsidRPr="009C0C6D">
        <w:t xml:space="preserve">were </w:t>
      </w:r>
      <w:r w:rsidR="00E0117D" w:rsidRPr="009C0C6D">
        <w:t xml:space="preserve">issued </w:t>
      </w:r>
      <w:r w:rsidR="00816D11" w:rsidRPr="009C0C6D">
        <w:t>(replacing</w:t>
      </w:r>
      <w:r w:rsidR="00E0117D" w:rsidRPr="009C0C6D">
        <w:t xml:space="preserve"> item codes</w:t>
      </w:r>
      <w:r w:rsidR="00816D11" w:rsidRPr="009C0C6D">
        <w:t xml:space="preserve"> 10114H and 10115J)</w:t>
      </w:r>
      <w:r w:rsidR="00B0756C" w:rsidRPr="009C0C6D">
        <w:t xml:space="preserve"> </w:t>
      </w:r>
      <w:r w:rsidR="00E0117D" w:rsidRPr="009C0C6D">
        <w:t>(</w:t>
      </w:r>
      <w:r w:rsidR="005E4915" w:rsidRPr="009C0C6D">
        <w:t>Figure 1)</w:t>
      </w:r>
      <w:r w:rsidRPr="009C0C6D">
        <w:t>.</w:t>
      </w:r>
    </w:p>
    <w:p w14:paraId="7C2FA7B8" w14:textId="74DB21A3" w:rsidR="005E4915" w:rsidRPr="009C0C6D" w:rsidRDefault="00E42EEB" w:rsidP="009E0EF5">
      <w:pPr>
        <w:pStyle w:val="TableFigureHeading"/>
      </w:pPr>
      <w:r w:rsidRPr="009C0C6D">
        <w:t>Figure 1</w:t>
      </w:r>
      <w:r w:rsidR="00B0756C" w:rsidRPr="009C0C6D">
        <w:t>:</w:t>
      </w:r>
      <w:r w:rsidRPr="009C0C6D">
        <w:t xml:space="preserve"> Total services processed for </w:t>
      </w:r>
      <w:r w:rsidR="00D634E4" w:rsidRPr="009C0C6D">
        <w:t xml:space="preserve">bevacizumab </w:t>
      </w:r>
      <w:r w:rsidR="00612034" w:rsidRPr="009C0C6D">
        <w:t xml:space="preserve">item codes </w:t>
      </w:r>
      <w:r w:rsidR="00715C77" w:rsidRPr="009C0C6D">
        <w:t>before and after 1 June 2021</w:t>
      </w:r>
      <w:r w:rsidR="0077645C" w:rsidRPr="009C0C6D">
        <w:t xml:space="preserve"> to August 2023</w:t>
      </w:r>
    </w:p>
    <w:p w14:paraId="7CCFB222" w14:textId="658CB7AB" w:rsidR="0084323F" w:rsidRPr="009C0C6D" w:rsidRDefault="001E19B8" w:rsidP="0095222E">
      <w:r w:rsidRPr="00175C72">
        <w:rPr>
          <w:noProof/>
        </w:rPr>
        <w:drawing>
          <wp:inline distT="0" distB="0" distL="0" distR="0" wp14:anchorId="19D39E34" wp14:editId="3E93BA9E">
            <wp:extent cx="5413772" cy="2790825"/>
            <wp:effectExtent l="0" t="0" r="0" b="0"/>
            <wp:docPr id="1" name="Picture 1" descr="Figure 1: Total services processed for bevacizumab item codes before and after 1 June 2021 to August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Total services processed for bevacizumab item codes before and after 1 June 2021 to August 20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3772" cy="2790825"/>
                    </a:xfrm>
                    <a:prstGeom prst="rect">
                      <a:avLst/>
                    </a:prstGeom>
                    <a:noFill/>
                  </pic:spPr>
                </pic:pic>
              </a:graphicData>
            </a:graphic>
          </wp:inline>
        </w:drawing>
      </w:r>
    </w:p>
    <w:p w14:paraId="7B17EBB3" w14:textId="09407F18" w:rsidR="002B6992" w:rsidRPr="009C0C6D" w:rsidRDefault="0077645C" w:rsidP="005D3788">
      <w:pPr>
        <w:pStyle w:val="TableFigureFooter"/>
        <w:rPr>
          <w:rStyle w:val="normaltextrun"/>
          <w:rFonts w:asciiTheme="minorHAnsi" w:eastAsiaTheme="minorHAnsi" w:hAnsiTheme="minorHAnsi" w:cstheme="minorBidi"/>
          <w:i/>
          <w:iCs/>
        </w:rPr>
      </w:pPr>
      <w:r w:rsidRPr="009C0C6D">
        <w:t xml:space="preserve">Source: </w:t>
      </w:r>
      <w:r w:rsidR="00677CB7" w:rsidRPr="009C0C6D">
        <w:t>p75, of the submission.</w:t>
      </w:r>
    </w:p>
    <w:p w14:paraId="619661EA" w14:textId="77777777" w:rsidR="00873DAE" w:rsidRPr="009C0C6D" w:rsidRDefault="00873DAE" w:rsidP="005D3788">
      <w:pPr>
        <w:pStyle w:val="2-SectionHeading"/>
      </w:pPr>
      <w:r w:rsidRPr="009C0C6D">
        <w:lastRenderedPageBreak/>
        <w:t>PBAC Outcome</w:t>
      </w:r>
    </w:p>
    <w:p w14:paraId="7ECE8EB2" w14:textId="2E02EF57" w:rsidR="00770758" w:rsidRPr="009C0C6D" w:rsidRDefault="00873DAE" w:rsidP="00770758">
      <w:pPr>
        <w:pStyle w:val="3Bodytext"/>
        <w:rPr>
          <w:rFonts w:cs="Arial"/>
          <w:snapToGrid w:val="0"/>
          <w:szCs w:val="24"/>
        </w:rPr>
      </w:pPr>
      <w:r w:rsidRPr="009C0C6D">
        <w:t xml:space="preserve">The PBAC recommended the </w:t>
      </w:r>
      <w:r w:rsidR="00770758" w:rsidRPr="009C0C6D">
        <w:rPr>
          <w:rFonts w:cs="Arial"/>
          <w:snapToGrid w:val="0"/>
          <w:szCs w:val="24"/>
        </w:rPr>
        <w:t xml:space="preserve">Section 100 EFC, Unrestricted Benefit listing of </w:t>
      </w:r>
      <w:r w:rsidR="002A5FA3">
        <w:rPr>
          <w:rFonts w:cs="Arial"/>
          <w:snapToGrid w:val="0"/>
          <w:szCs w:val="24"/>
        </w:rPr>
        <w:t xml:space="preserve">a new biosimilar brand of </w:t>
      </w:r>
      <w:r w:rsidR="00770758" w:rsidRPr="009C0C6D">
        <w:rPr>
          <w:rFonts w:cs="Arial"/>
          <w:snapToGrid w:val="0"/>
          <w:szCs w:val="24"/>
        </w:rPr>
        <w:t>bevacizumab (Vegzelma) in the form</w:t>
      </w:r>
      <w:r w:rsidR="001F14A4">
        <w:rPr>
          <w:rFonts w:cs="Arial"/>
          <w:snapToGrid w:val="0"/>
          <w:szCs w:val="24"/>
        </w:rPr>
        <w:t>s:</w:t>
      </w:r>
      <w:r w:rsidR="00770758" w:rsidRPr="009C0C6D">
        <w:rPr>
          <w:rFonts w:cs="Arial"/>
          <w:snapToGrid w:val="0"/>
          <w:szCs w:val="24"/>
        </w:rPr>
        <w:t xml:space="preserve"> solution for I.V. infusion 100 mg in 4 mL</w:t>
      </w:r>
      <w:r w:rsidR="001F14A4">
        <w:rPr>
          <w:rFonts w:cs="Arial"/>
          <w:snapToGrid w:val="0"/>
          <w:szCs w:val="24"/>
        </w:rPr>
        <w:t>;</w:t>
      </w:r>
      <w:r w:rsidR="00770758" w:rsidRPr="009C0C6D">
        <w:rPr>
          <w:rFonts w:cs="Arial"/>
          <w:snapToGrid w:val="0"/>
          <w:szCs w:val="24"/>
        </w:rPr>
        <w:t xml:space="preserve"> and </w:t>
      </w:r>
      <w:r w:rsidR="001F14A4" w:rsidRPr="009C0C6D">
        <w:rPr>
          <w:rFonts w:cs="Arial"/>
          <w:snapToGrid w:val="0"/>
          <w:szCs w:val="24"/>
        </w:rPr>
        <w:t xml:space="preserve">solution for I.V. infusion </w:t>
      </w:r>
      <w:r w:rsidR="00770758" w:rsidRPr="009C0C6D">
        <w:rPr>
          <w:rFonts w:cs="Arial"/>
          <w:snapToGrid w:val="0"/>
          <w:szCs w:val="24"/>
        </w:rPr>
        <w:t>400 mg in 16 mL</w:t>
      </w:r>
      <w:r w:rsidR="001F14A4">
        <w:rPr>
          <w:rFonts w:cs="Arial"/>
          <w:snapToGrid w:val="0"/>
          <w:szCs w:val="24"/>
        </w:rPr>
        <w:t>,</w:t>
      </w:r>
      <w:r w:rsidR="00770758" w:rsidRPr="009C0C6D">
        <w:rPr>
          <w:rFonts w:cs="Arial"/>
          <w:snapToGrid w:val="0"/>
          <w:szCs w:val="24"/>
        </w:rPr>
        <w:t xml:space="preserve"> under the same circumstances as the PBS-listed biosimilar brands of bevacizumab (Abevmy, Bevaciptin, Mvasi).</w:t>
      </w:r>
    </w:p>
    <w:p w14:paraId="08BD6732" w14:textId="64A448C6" w:rsidR="00FB51C9" w:rsidRPr="009C0C6D" w:rsidRDefault="00FB51C9" w:rsidP="00B9668D">
      <w:pPr>
        <w:pStyle w:val="ListParagraph"/>
        <w:numPr>
          <w:ilvl w:val="1"/>
          <w:numId w:val="2"/>
        </w:numPr>
        <w:rPr>
          <w:rFonts w:eastAsiaTheme="minorHAnsi"/>
        </w:rPr>
      </w:pPr>
      <w:r w:rsidRPr="009C0C6D">
        <w:t xml:space="preserve">The PBAC considered that the nomination of Avastin (the </w:t>
      </w:r>
      <w:r w:rsidR="00D26177">
        <w:t>reference</w:t>
      </w:r>
      <w:r w:rsidR="00D26177" w:rsidRPr="009C0C6D">
        <w:t xml:space="preserve"> </w:t>
      </w:r>
      <w:r w:rsidRPr="009C0C6D">
        <w:t>brand of bevacizumab) as comparator was appropriate</w:t>
      </w:r>
      <w:r w:rsidR="009963A9" w:rsidRPr="009C0C6D">
        <w:t>,</w:t>
      </w:r>
      <w:r w:rsidRPr="009C0C6D">
        <w:t xml:space="preserve"> </w:t>
      </w:r>
      <w:r w:rsidR="009963A9" w:rsidRPr="009C0C6D">
        <w:t>h</w:t>
      </w:r>
      <w:r w:rsidR="002A021C" w:rsidRPr="009C0C6D">
        <w:t>owever</w:t>
      </w:r>
      <w:r w:rsidR="009963A9" w:rsidRPr="009C0C6D">
        <w:t>, noted that the</w:t>
      </w:r>
      <w:r w:rsidR="002A021C" w:rsidRPr="009C0C6D">
        <w:t xml:space="preserve"> other biosimilar brands of bevacizumab could also be considered as appropriate comparators.</w:t>
      </w:r>
    </w:p>
    <w:p w14:paraId="49E866C2" w14:textId="2E5FDF28" w:rsidR="00B9668D" w:rsidRPr="009C0C6D" w:rsidRDefault="00B9668D" w:rsidP="00B9668D">
      <w:pPr>
        <w:pStyle w:val="ListParagraph"/>
        <w:numPr>
          <w:ilvl w:val="1"/>
          <w:numId w:val="2"/>
        </w:numPr>
        <w:rPr>
          <w:rFonts w:eastAsiaTheme="minorHAnsi"/>
        </w:rPr>
      </w:pPr>
      <w:r w:rsidRPr="009C0C6D">
        <w:t>The PBAC accepted</w:t>
      </w:r>
      <w:r w:rsidR="009963A9" w:rsidRPr="009C0C6D">
        <w:t xml:space="preserve"> the </w:t>
      </w:r>
      <w:r w:rsidR="002A5FA3">
        <w:t xml:space="preserve">claim of </w:t>
      </w:r>
      <w:r w:rsidR="009963A9" w:rsidRPr="009C0C6D">
        <w:t>non-inferior</w:t>
      </w:r>
      <w:r w:rsidR="0046473F" w:rsidRPr="009C0C6D">
        <w:t xml:space="preserve"> comparative effectiveness and safety of Vegzelma</w:t>
      </w:r>
      <w:r w:rsidRPr="009C0C6D">
        <w:t xml:space="preserve"> </w:t>
      </w:r>
      <w:r w:rsidR="002A5FA3">
        <w:t xml:space="preserve">compared </w:t>
      </w:r>
      <w:r w:rsidR="0046473F" w:rsidRPr="009C0C6D">
        <w:t>to Avastin</w:t>
      </w:r>
      <w:r w:rsidR="002A5FA3">
        <w:t>. This was</w:t>
      </w:r>
      <w:r w:rsidR="0046473F" w:rsidRPr="009C0C6D">
        <w:t xml:space="preserve"> based on </w:t>
      </w:r>
      <w:r w:rsidRPr="009C0C6D">
        <w:t xml:space="preserve">the TGA determination that Vegzelma is biosimilar to Avastin </w:t>
      </w:r>
      <w:r w:rsidRPr="009C0C6D">
        <w:rPr>
          <w:rFonts w:eastAsiaTheme="minorHAnsi"/>
        </w:rPr>
        <w:t xml:space="preserve">and that the TGA Delegate considered that Vegzelma </w:t>
      </w:r>
      <w:r w:rsidR="00736E07">
        <w:rPr>
          <w:rFonts w:eastAsiaTheme="minorHAnsi"/>
        </w:rPr>
        <w:t>had</w:t>
      </w:r>
      <w:r w:rsidRPr="009C0C6D">
        <w:rPr>
          <w:rFonts w:eastAsiaTheme="minorHAnsi"/>
        </w:rPr>
        <w:t xml:space="preserve"> comparable pharmacokinetics, efficacy, safety, and immunogenicity</w:t>
      </w:r>
      <w:r w:rsidR="00736E07">
        <w:rPr>
          <w:rFonts w:eastAsiaTheme="minorHAnsi"/>
        </w:rPr>
        <w:t xml:space="preserve"> to Avastin</w:t>
      </w:r>
      <w:r w:rsidRPr="009C0C6D">
        <w:rPr>
          <w:rFonts w:eastAsiaTheme="minorHAnsi"/>
        </w:rPr>
        <w:t>.</w:t>
      </w:r>
    </w:p>
    <w:p w14:paraId="3D3A2FFD" w14:textId="40E7BDEF" w:rsidR="00B67612" w:rsidRPr="009C0C6D" w:rsidRDefault="001F14A4" w:rsidP="00BB0FB9">
      <w:pPr>
        <w:pStyle w:val="3Bodytext"/>
        <w:rPr>
          <w:rFonts w:cs="Arial"/>
          <w:snapToGrid w:val="0"/>
          <w:szCs w:val="24"/>
        </w:rPr>
      </w:pPr>
      <w:r>
        <w:rPr>
          <w:rFonts w:cs="Arial"/>
          <w:snapToGrid w:val="0"/>
          <w:szCs w:val="24"/>
        </w:rPr>
        <w:t xml:space="preserve">The PBAC considered that it was appropriate for Vegzelma to be cost-minimised to the existing PBS-listed brands of bevacizumab. </w:t>
      </w:r>
      <w:r w:rsidR="00B67612" w:rsidRPr="009C0C6D">
        <w:rPr>
          <w:rFonts w:cs="Arial"/>
          <w:snapToGrid w:val="0"/>
          <w:szCs w:val="24"/>
        </w:rPr>
        <w:t xml:space="preserve">The PBAC </w:t>
      </w:r>
      <w:r w:rsidR="006A1478" w:rsidRPr="009C0C6D">
        <w:rPr>
          <w:rFonts w:cs="Arial"/>
          <w:snapToGrid w:val="0"/>
          <w:szCs w:val="24"/>
        </w:rPr>
        <w:t>considered</w:t>
      </w:r>
      <w:r w:rsidR="00B67612" w:rsidRPr="009C0C6D">
        <w:rPr>
          <w:rFonts w:cs="Arial"/>
          <w:snapToGrid w:val="0"/>
          <w:szCs w:val="24"/>
        </w:rPr>
        <w:t xml:space="preserve"> that the equi-effective doses were:</w:t>
      </w:r>
    </w:p>
    <w:p w14:paraId="2AFFAF76" w14:textId="156E3FBC" w:rsidR="00B67612" w:rsidRPr="009C0C6D" w:rsidRDefault="00B67612" w:rsidP="00B67612">
      <w:pPr>
        <w:pStyle w:val="3Bodytext"/>
        <w:numPr>
          <w:ilvl w:val="1"/>
          <w:numId w:val="44"/>
        </w:numPr>
      </w:pPr>
      <w:r w:rsidRPr="009C0C6D">
        <w:t>1</w:t>
      </w:r>
      <w:r w:rsidR="002A021C" w:rsidRPr="009C0C6D">
        <w:t> </w:t>
      </w:r>
      <w:r w:rsidRPr="009C0C6D">
        <w:t>mg</w:t>
      </w:r>
      <w:r w:rsidR="00E62666" w:rsidRPr="009C0C6D">
        <w:t xml:space="preserve"> of</w:t>
      </w:r>
      <w:r w:rsidRPr="009C0C6D">
        <w:t xml:space="preserve"> Vegzelma </w:t>
      </w:r>
      <w:r w:rsidR="00F72085">
        <w:t>and</w:t>
      </w:r>
      <w:r w:rsidR="00F72085" w:rsidRPr="009C0C6D">
        <w:t xml:space="preserve"> </w:t>
      </w:r>
      <w:r w:rsidRPr="009C0C6D">
        <w:t>1</w:t>
      </w:r>
      <w:r w:rsidR="002A021C" w:rsidRPr="009C0C6D">
        <w:t> </w:t>
      </w:r>
      <w:r w:rsidRPr="009C0C6D">
        <w:t>mg</w:t>
      </w:r>
      <w:r w:rsidR="00E62666" w:rsidRPr="009C0C6D">
        <w:t xml:space="preserve"> of</w:t>
      </w:r>
      <w:r w:rsidRPr="009C0C6D">
        <w:t xml:space="preserve"> Avastin (and </w:t>
      </w:r>
      <w:r w:rsidR="00E62666" w:rsidRPr="009C0C6D">
        <w:t xml:space="preserve">of </w:t>
      </w:r>
      <w:r w:rsidRPr="009C0C6D">
        <w:t>the other PBS-listed brands of bevacizumab).</w:t>
      </w:r>
    </w:p>
    <w:p w14:paraId="72519CC9" w14:textId="72A1BD54" w:rsidR="00BB0FB9" w:rsidRPr="009C0C6D" w:rsidRDefault="00BB0FB9" w:rsidP="00BB0FB9">
      <w:pPr>
        <w:pStyle w:val="3Bodytext"/>
        <w:rPr>
          <w:rFonts w:cs="Arial"/>
          <w:snapToGrid w:val="0"/>
          <w:szCs w:val="24"/>
        </w:rPr>
      </w:pPr>
      <w:r w:rsidRPr="009C0C6D">
        <w:rPr>
          <w:rFonts w:cs="Arial"/>
          <w:snapToGrid w:val="0"/>
          <w:szCs w:val="24"/>
        </w:rPr>
        <w:t>The PBAC noted that EFC medicines are governed by</w:t>
      </w:r>
      <w:r w:rsidR="00E62666" w:rsidRPr="009C0C6D">
        <w:rPr>
          <w:rFonts w:cs="Arial"/>
          <w:snapToGrid w:val="0"/>
          <w:szCs w:val="24"/>
        </w:rPr>
        <w:t xml:space="preserve"> subsection 33(2) of</w:t>
      </w:r>
      <w:r w:rsidRPr="009C0C6D">
        <w:rPr>
          <w:rFonts w:cs="Arial"/>
          <w:snapToGrid w:val="0"/>
          <w:szCs w:val="24"/>
        </w:rPr>
        <w:t xml:space="preserve"> the </w:t>
      </w:r>
      <w:r w:rsidRPr="009C0C6D">
        <w:rPr>
          <w:rFonts w:cs="Arial"/>
          <w:i/>
          <w:iCs/>
          <w:snapToGrid w:val="0"/>
          <w:szCs w:val="24"/>
        </w:rPr>
        <w:t>National Health (Efficient Funding of Chemotherapy) Special Arrangement 2011</w:t>
      </w:r>
      <w:r w:rsidRPr="009C0C6D">
        <w:rPr>
          <w:rFonts w:cs="Arial"/>
          <w:snapToGrid w:val="0"/>
          <w:szCs w:val="24"/>
        </w:rPr>
        <w:t xml:space="preserve"> which allows </w:t>
      </w:r>
      <w:r w:rsidR="00E231D6" w:rsidRPr="009C0C6D">
        <w:rPr>
          <w:rFonts w:cs="Arial"/>
          <w:snapToGrid w:val="0"/>
          <w:szCs w:val="24"/>
        </w:rPr>
        <w:t xml:space="preserve">the </w:t>
      </w:r>
      <w:r w:rsidRPr="009C0C6D">
        <w:rPr>
          <w:rFonts w:cs="Arial"/>
          <w:snapToGrid w:val="0"/>
          <w:szCs w:val="24"/>
        </w:rPr>
        <w:t>substitution of brands with the same chemotherapy drug. The</w:t>
      </w:r>
      <w:r w:rsidR="00E231D6" w:rsidRPr="009C0C6D">
        <w:rPr>
          <w:rFonts w:cs="Arial"/>
          <w:snapToGrid w:val="0"/>
          <w:szCs w:val="24"/>
        </w:rPr>
        <w:t xml:space="preserve"> PBAC the</w:t>
      </w:r>
      <w:r w:rsidRPr="009C0C6D">
        <w:rPr>
          <w:rFonts w:cs="Arial"/>
          <w:snapToGrid w:val="0"/>
          <w:szCs w:val="24"/>
        </w:rPr>
        <w:t>refore</w:t>
      </w:r>
      <w:r w:rsidR="00E231D6" w:rsidRPr="009C0C6D">
        <w:rPr>
          <w:rFonts w:cs="Arial"/>
          <w:snapToGrid w:val="0"/>
          <w:szCs w:val="24"/>
        </w:rPr>
        <w:t xml:space="preserve"> noted that</w:t>
      </w:r>
      <w:r w:rsidRPr="009C0C6D">
        <w:rPr>
          <w:rFonts w:cs="Arial"/>
          <w:snapToGrid w:val="0"/>
          <w:szCs w:val="24"/>
        </w:rPr>
        <w:t xml:space="preserve"> Vegzelma </w:t>
      </w:r>
      <w:r w:rsidR="00E231D6" w:rsidRPr="009C0C6D">
        <w:rPr>
          <w:rFonts w:cs="Arial"/>
          <w:snapToGrid w:val="0"/>
          <w:szCs w:val="24"/>
        </w:rPr>
        <w:t xml:space="preserve">is to </w:t>
      </w:r>
      <w:r w:rsidRPr="009C0C6D">
        <w:rPr>
          <w:rFonts w:cs="Arial"/>
          <w:snapToGrid w:val="0"/>
          <w:szCs w:val="24"/>
        </w:rPr>
        <w:t>be treated as equivalent to Mvasi, Bevaciptin and Abevmy for the purpose of substitution.</w:t>
      </w:r>
    </w:p>
    <w:p w14:paraId="53A8947D" w14:textId="6D6DB76B" w:rsidR="00B9668D" w:rsidRPr="009C0C6D" w:rsidRDefault="005B486D" w:rsidP="005B486D">
      <w:pPr>
        <w:pStyle w:val="3Bodytext"/>
        <w:rPr>
          <w:rFonts w:cs="Arial"/>
          <w:snapToGrid w:val="0"/>
          <w:szCs w:val="24"/>
        </w:rPr>
      </w:pPr>
      <w:r w:rsidRPr="009C0C6D">
        <w:rPr>
          <w:rFonts w:cs="Arial"/>
          <w:snapToGrid w:val="0"/>
          <w:szCs w:val="24"/>
        </w:rPr>
        <w:t>The PBAC noted that</w:t>
      </w:r>
      <w:r w:rsidR="003D744D" w:rsidRPr="009C0C6D">
        <w:t xml:space="preserve"> </w:t>
      </w:r>
      <w:r w:rsidR="00B9668D" w:rsidRPr="009C0C6D">
        <w:t xml:space="preserve">the listing of Vegzelma on the PBS </w:t>
      </w:r>
      <w:r w:rsidR="00366ABD" w:rsidRPr="009C0C6D">
        <w:t xml:space="preserve">was </w:t>
      </w:r>
      <w:r w:rsidR="00B9668D" w:rsidRPr="009C0C6D">
        <w:t>not expected to increase the overall use of bevacizumab on the PBS as it is expected that Vegzelma would substitute for the other brands of PBS listed bevacizumab.</w:t>
      </w:r>
      <w:r w:rsidR="00366ABD" w:rsidRPr="009C0C6D">
        <w:t xml:space="preserve"> The PBAC therefore considered that </w:t>
      </w:r>
      <w:r w:rsidR="00780A6B" w:rsidRPr="009C0C6D">
        <w:rPr>
          <w:rFonts w:cs="Arial"/>
          <w:snapToGrid w:val="0"/>
          <w:szCs w:val="24"/>
        </w:rPr>
        <w:t>the</w:t>
      </w:r>
      <w:r w:rsidRPr="009C0C6D">
        <w:rPr>
          <w:rFonts w:cs="Arial"/>
          <w:snapToGrid w:val="0"/>
          <w:szCs w:val="24"/>
        </w:rPr>
        <w:t xml:space="preserve"> estimated net cost to the PBS/RPBS</w:t>
      </w:r>
      <w:r w:rsidR="00780A6B" w:rsidRPr="009C0C6D">
        <w:rPr>
          <w:rFonts w:cs="Arial"/>
          <w:snapToGrid w:val="0"/>
          <w:szCs w:val="24"/>
        </w:rPr>
        <w:t xml:space="preserve"> would be nil.</w:t>
      </w:r>
    </w:p>
    <w:p w14:paraId="091C0BA8" w14:textId="30318321" w:rsidR="00C25CD5" w:rsidRPr="00BC418C" w:rsidRDefault="00C25CD5" w:rsidP="00C25CD5">
      <w:pPr>
        <w:pStyle w:val="3Bodytext"/>
        <w:rPr>
          <w:b/>
          <w:bCs/>
        </w:rPr>
      </w:pPr>
      <w:r w:rsidRPr="00BC418C">
        <w:t>The PBAC noted that its recommendation was on a cost-minimisation basis and advised that, because Vegzelma is not expected to provide a substantial</w:t>
      </w:r>
      <w:r w:rsidRPr="00BC418C">
        <w:rPr>
          <w:bCs/>
        </w:rPr>
        <w:t xml:space="preserve"> and clinically relevant improvement in efficacy, or reduction of toxicity, over the comparator, and is not expected to address a high and urgent unmet clinical need given the presence of an alternative therapy, the criteria prescribed by the </w:t>
      </w:r>
      <w:r w:rsidRPr="00BC418C">
        <w:rPr>
          <w:bCs/>
          <w:i/>
        </w:rPr>
        <w:t>National Health (Pharmaceuticals and Vaccines – Cost Recovery) Regulations 2022</w:t>
      </w:r>
      <w:r w:rsidRPr="00BC418C">
        <w:rPr>
          <w:bCs/>
        </w:rPr>
        <w:t xml:space="preserve"> for Pricing Pathway A were not met.</w:t>
      </w:r>
    </w:p>
    <w:p w14:paraId="33FA1FEE" w14:textId="7D51189F" w:rsidR="00BB0FB9" w:rsidRPr="009C0C6D" w:rsidRDefault="00BB0FB9" w:rsidP="00B9668D">
      <w:pPr>
        <w:pStyle w:val="ListParagraph"/>
        <w:numPr>
          <w:ilvl w:val="1"/>
          <w:numId w:val="2"/>
        </w:numPr>
        <w:rPr>
          <w:rFonts w:eastAsiaTheme="minorHAnsi"/>
        </w:rPr>
      </w:pPr>
      <w:r w:rsidRPr="009C0C6D">
        <w:t>The PBAC noted that this submission is not eligible for an Independent Review as it received a positive recommendation.</w:t>
      </w:r>
    </w:p>
    <w:p w14:paraId="49B155FC" w14:textId="77777777" w:rsidR="00BB0FB9" w:rsidRPr="009C0C6D" w:rsidRDefault="00BB0FB9" w:rsidP="00873DAE">
      <w:pPr>
        <w:widowControl w:val="0"/>
        <w:rPr>
          <w:rFonts w:asciiTheme="minorHAnsi" w:hAnsiTheme="minorHAnsi" w:cs="Arial"/>
          <w:b/>
          <w:bCs/>
          <w:snapToGrid w:val="0"/>
        </w:rPr>
      </w:pPr>
      <w:bookmarkStart w:id="8" w:name="_Hlk161147598"/>
    </w:p>
    <w:p w14:paraId="39ABF211" w14:textId="4655191D" w:rsidR="00873DAE" w:rsidRPr="009C0C6D" w:rsidRDefault="00873DAE" w:rsidP="00873DAE">
      <w:pPr>
        <w:widowControl w:val="0"/>
        <w:rPr>
          <w:rFonts w:asciiTheme="minorHAnsi" w:hAnsiTheme="minorHAnsi" w:cs="Arial"/>
          <w:b/>
          <w:bCs/>
          <w:snapToGrid w:val="0"/>
        </w:rPr>
      </w:pPr>
      <w:r w:rsidRPr="009C0C6D">
        <w:rPr>
          <w:rFonts w:asciiTheme="minorHAnsi" w:hAnsiTheme="minorHAnsi" w:cs="Arial"/>
          <w:b/>
          <w:bCs/>
          <w:snapToGrid w:val="0"/>
        </w:rPr>
        <w:lastRenderedPageBreak/>
        <w:t>Outcome:</w:t>
      </w:r>
    </w:p>
    <w:bookmarkEnd w:id="8"/>
    <w:p w14:paraId="3B66D09E" w14:textId="42AC11B9" w:rsidR="00873DAE" w:rsidRPr="009C0C6D" w:rsidRDefault="00BB0FB9" w:rsidP="00873DAE">
      <w:pPr>
        <w:widowControl w:val="0"/>
        <w:rPr>
          <w:rFonts w:asciiTheme="minorHAnsi" w:hAnsiTheme="minorHAnsi" w:cs="Arial"/>
          <w:snapToGrid w:val="0"/>
        </w:rPr>
      </w:pPr>
      <w:r w:rsidRPr="009C0C6D">
        <w:rPr>
          <w:rFonts w:asciiTheme="minorHAnsi" w:hAnsiTheme="minorHAnsi" w:cs="Arial"/>
          <w:snapToGrid w:val="0"/>
        </w:rPr>
        <w:t>Recommended</w:t>
      </w:r>
    </w:p>
    <w:p w14:paraId="6B98D2C6" w14:textId="77777777" w:rsidR="00873DAE" w:rsidRPr="00BC418C" w:rsidRDefault="00873DAE" w:rsidP="005D3788">
      <w:pPr>
        <w:pStyle w:val="2-SectionHeading"/>
        <w:rPr>
          <w:iCs/>
        </w:rPr>
      </w:pPr>
      <w:r w:rsidRPr="00BC418C">
        <w:t>Recommended listing</w:t>
      </w:r>
    </w:p>
    <w:p w14:paraId="0F477B29" w14:textId="16A5C628" w:rsidR="002B7C5D" w:rsidRPr="009C0C6D" w:rsidRDefault="002B7C5D" w:rsidP="00610A97">
      <w:pPr>
        <w:pStyle w:val="ListParagraph"/>
        <w:numPr>
          <w:ilvl w:val="1"/>
          <w:numId w:val="2"/>
        </w:numPr>
      </w:pPr>
      <w:r w:rsidRPr="009C0C6D">
        <w:t>Add brand to existing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2"/>
        <w:gridCol w:w="1156"/>
        <w:gridCol w:w="851"/>
        <w:gridCol w:w="849"/>
        <w:gridCol w:w="2218"/>
      </w:tblGrid>
      <w:tr w:rsidR="002B7C5D" w:rsidRPr="009C0C6D" w14:paraId="0EB798D6" w14:textId="77777777" w:rsidTr="00A332DF">
        <w:trPr>
          <w:cantSplit/>
          <w:trHeight w:val="471"/>
        </w:trPr>
        <w:tc>
          <w:tcPr>
            <w:tcW w:w="2186" w:type="pct"/>
          </w:tcPr>
          <w:p w14:paraId="444C9ADA" w14:textId="77777777" w:rsidR="002B7C5D" w:rsidRPr="009C0C6D" w:rsidRDefault="002B7C5D" w:rsidP="00A332DF">
            <w:pPr>
              <w:keepNext/>
              <w:ind w:left="-57"/>
              <w:rPr>
                <w:rFonts w:ascii="Arial Narrow" w:hAnsi="Arial Narrow" w:cs="Arial"/>
                <w:b/>
                <w:bCs/>
                <w:sz w:val="20"/>
                <w:szCs w:val="20"/>
              </w:rPr>
            </w:pPr>
            <w:r w:rsidRPr="009C0C6D">
              <w:rPr>
                <w:rFonts w:ascii="Arial Narrow" w:hAnsi="Arial Narrow" w:cs="Arial"/>
                <w:b/>
                <w:bCs/>
                <w:sz w:val="20"/>
                <w:szCs w:val="20"/>
              </w:rPr>
              <w:t>MEDICINAL PRODUCT</w:t>
            </w:r>
          </w:p>
          <w:p w14:paraId="49DD778F" w14:textId="77777777" w:rsidR="002B7C5D" w:rsidRPr="009C0C6D" w:rsidRDefault="002B7C5D" w:rsidP="00A332DF">
            <w:pPr>
              <w:keepNext/>
              <w:ind w:left="-57"/>
              <w:rPr>
                <w:rFonts w:ascii="Arial Narrow" w:hAnsi="Arial Narrow" w:cs="Arial"/>
                <w:b/>
                <w:sz w:val="20"/>
                <w:szCs w:val="20"/>
              </w:rPr>
            </w:pPr>
            <w:r w:rsidRPr="009C0C6D">
              <w:rPr>
                <w:rFonts w:ascii="Arial Narrow" w:hAnsi="Arial Narrow" w:cs="Arial"/>
                <w:b/>
                <w:bCs/>
                <w:sz w:val="20"/>
                <w:szCs w:val="20"/>
              </w:rPr>
              <w:t>medicinal product pack</w:t>
            </w:r>
          </w:p>
        </w:tc>
        <w:tc>
          <w:tcPr>
            <w:tcW w:w="641" w:type="pct"/>
          </w:tcPr>
          <w:p w14:paraId="50408509" w14:textId="77777777" w:rsidR="002B7C5D" w:rsidRPr="009C0C6D" w:rsidRDefault="002B7C5D" w:rsidP="00A332DF">
            <w:pPr>
              <w:keepNext/>
              <w:ind w:left="-108"/>
              <w:jc w:val="center"/>
              <w:rPr>
                <w:rFonts w:ascii="Arial Narrow" w:hAnsi="Arial Narrow" w:cs="Arial"/>
                <w:b/>
                <w:sz w:val="20"/>
                <w:szCs w:val="20"/>
              </w:rPr>
            </w:pPr>
            <w:r w:rsidRPr="009C0C6D">
              <w:rPr>
                <w:rFonts w:ascii="Arial Narrow" w:hAnsi="Arial Narrow" w:cs="Arial"/>
                <w:b/>
                <w:sz w:val="20"/>
                <w:szCs w:val="20"/>
              </w:rPr>
              <w:t>PBS item code</w:t>
            </w:r>
          </w:p>
        </w:tc>
        <w:tc>
          <w:tcPr>
            <w:tcW w:w="472" w:type="pct"/>
          </w:tcPr>
          <w:p w14:paraId="563C8D2D" w14:textId="77777777" w:rsidR="002B7C5D" w:rsidRPr="009C0C6D" w:rsidRDefault="002B7C5D" w:rsidP="00A332DF">
            <w:pPr>
              <w:keepNext/>
              <w:ind w:left="-108"/>
              <w:jc w:val="center"/>
              <w:rPr>
                <w:rFonts w:ascii="Arial Narrow" w:hAnsi="Arial Narrow" w:cs="Arial"/>
                <w:b/>
                <w:sz w:val="20"/>
                <w:szCs w:val="20"/>
              </w:rPr>
            </w:pPr>
            <w:r w:rsidRPr="009C0C6D">
              <w:rPr>
                <w:rFonts w:ascii="Arial Narrow" w:hAnsi="Arial Narrow" w:cs="Arial"/>
                <w:b/>
                <w:sz w:val="20"/>
                <w:szCs w:val="20"/>
              </w:rPr>
              <w:t>Max. amount</w:t>
            </w:r>
          </w:p>
        </w:tc>
        <w:tc>
          <w:tcPr>
            <w:tcW w:w="471" w:type="pct"/>
          </w:tcPr>
          <w:p w14:paraId="6C00C831" w14:textId="77777777" w:rsidR="002B7C5D" w:rsidRPr="009C0C6D" w:rsidRDefault="002B7C5D" w:rsidP="00A332DF">
            <w:pPr>
              <w:keepNext/>
              <w:ind w:left="-108"/>
              <w:jc w:val="center"/>
              <w:rPr>
                <w:rFonts w:ascii="Arial Narrow" w:hAnsi="Arial Narrow" w:cs="Arial"/>
                <w:b/>
                <w:sz w:val="20"/>
                <w:szCs w:val="20"/>
              </w:rPr>
            </w:pPr>
            <w:r w:rsidRPr="009C0C6D">
              <w:rPr>
                <w:rFonts w:ascii="Arial Narrow" w:hAnsi="Arial Narrow" w:cs="Arial"/>
                <w:b/>
                <w:sz w:val="20"/>
                <w:szCs w:val="20"/>
              </w:rPr>
              <w:t>No. of Rpts</w:t>
            </w:r>
          </w:p>
        </w:tc>
        <w:tc>
          <w:tcPr>
            <w:tcW w:w="1230" w:type="pct"/>
          </w:tcPr>
          <w:p w14:paraId="750CFFA0" w14:textId="77777777" w:rsidR="002B7C5D" w:rsidRPr="009C0C6D" w:rsidRDefault="002B7C5D" w:rsidP="00A332DF">
            <w:pPr>
              <w:keepNext/>
              <w:rPr>
                <w:rFonts w:ascii="Arial Narrow" w:hAnsi="Arial Narrow" w:cs="Arial"/>
                <w:b/>
                <w:sz w:val="20"/>
                <w:szCs w:val="20"/>
              </w:rPr>
            </w:pPr>
            <w:r w:rsidRPr="009C0C6D">
              <w:rPr>
                <w:rFonts w:ascii="Arial Narrow" w:hAnsi="Arial Narrow" w:cs="Arial"/>
                <w:b/>
                <w:sz w:val="20"/>
                <w:szCs w:val="20"/>
              </w:rPr>
              <w:t>Available brands</w:t>
            </w:r>
          </w:p>
        </w:tc>
      </w:tr>
      <w:tr w:rsidR="002B7C5D" w:rsidRPr="009C0C6D" w14:paraId="20542643" w14:textId="77777777" w:rsidTr="00A332DF">
        <w:trPr>
          <w:cantSplit/>
          <w:trHeight w:val="224"/>
        </w:trPr>
        <w:tc>
          <w:tcPr>
            <w:tcW w:w="5000" w:type="pct"/>
            <w:gridSpan w:val="5"/>
          </w:tcPr>
          <w:p w14:paraId="346EF906" w14:textId="77777777" w:rsidR="002B7C5D" w:rsidRPr="009C0C6D" w:rsidRDefault="002B7C5D" w:rsidP="00A332DF">
            <w:pPr>
              <w:keepNext/>
              <w:ind w:left="-57"/>
              <w:rPr>
                <w:rFonts w:ascii="Arial Narrow" w:hAnsi="Arial Narrow" w:cs="Arial"/>
                <w:sz w:val="20"/>
                <w:szCs w:val="20"/>
              </w:rPr>
            </w:pPr>
            <w:r w:rsidRPr="009C0C6D">
              <w:rPr>
                <w:rFonts w:ascii="Arial Narrow" w:hAnsi="Arial Narrow" w:cs="Arial"/>
                <w:sz w:val="20"/>
                <w:szCs w:val="20"/>
              </w:rPr>
              <w:t>BEVACIZUMAB</w:t>
            </w:r>
          </w:p>
        </w:tc>
      </w:tr>
      <w:tr w:rsidR="009F3B0F" w:rsidRPr="009C0C6D" w14:paraId="1C337FC1" w14:textId="77777777" w:rsidTr="00A332DF">
        <w:trPr>
          <w:cantSplit/>
          <w:trHeight w:val="504"/>
        </w:trPr>
        <w:tc>
          <w:tcPr>
            <w:tcW w:w="2186" w:type="pct"/>
          </w:tcPr>
          <w:p w14:paraId="574C8BF7" w14:textId="77777777" w:rsidR="009F3B0F" w:rsidRPr="009C0C6D" w:rsidRDefault="009F3B0F" w:rsidP="009F3B0F">
            <w:pPr>
              <w:keepNext/>
              <w:rPr>
                <w:rFonts w:ascii="Arial Narrow" w:hAnsi="Arial Narrow" w:cs="Arial"/>
                <w:sz w:val="20"/>
                <w:szCs w:val="20"/>
              </w:rPr>
            </w:pPr>
            <w:r w:rsidRPr="009C0C6D">
              <w:rPr>
                <w:rFonts w:ascii="Arial Narrow" w:hAnsi="Arial Narrow" w:cs="Arial"/>
                <w:sz w:val="20"/>
                <w:szCs w:val="20"/>
              </w:rPr>
              <w:t>bevacizumab 100 mg/4 mL injection, 4 mL vial</w:t>
            </w:r>
          </w:p>
        </w:tc>
        <w:tc>
          <w:tcPr>
            <w:tcW w:w="641" w:type="pct"/>
            <w:vMerge w:val="restart"/>
          </w:tcPr>
          <w:p w14:paraId="2EA26257" w14:textId="77777777" w:rsidR="009F3B0F" w:rsidRPr="009C0C6D" w:rsidRDefault="009F3B0F" w:rsidP="009F3B0F">
            <w:pPr>
              <w:keepNext/>
              <w:jc w:val="center"/>
              <w:rPr>
                <w:rFonts w:ascii="Arial Narrow" w:hAnsi="Arial Narrow" w:cs="Arial"/>
                <w:sz w:val="20"/>
                <w:szCs w:val="20"/>
              </w:rPr>
            </w:pPr>
          </w:p>
          <w:p w14:paraId="26A374C1" w14:textId="77777777" w:rsidR="009F3B0F" w:rsidRPr="009C0C6D" w:rsidRDefault="009F3B0F" w:rsidP="009F3B0F">
            <w:pPr>
              <w:keepNext/>
              <w:jc w:val="center"/>
              <w:rPr>
                <w:rFonts w:ascii="Arial Narrow" w:hAnsi="Arial Narrow" w:cs="Arial"/>
                <w:sz w:val="20"/>
                <w:szCs w:val="20"/>
              </w:rPr>
            </w:pPr>
          </w:p>
          <w:p w14:paraId="67C2DF16" w14:textId="77777777" w:rsidR="009F3B0F" w:rsidRPr="009C0C6D" w:rsidRDefault="009F3B0F" w:rsidP="009F3B0F">
            <w:pPr>
              <w:keepNext/>
              <w:jc w:val="center"/>
              <w:rPr>
                <w:rFonts w:ascii="Arial Narrow" w:hAnsi="Arial Narrow" w:cs="Arial"/>
                <w:sz w:val="20"/>
                <w:szCs w:val="20"/>
              </w:rPr>
            </w:pPr>
            <w:r w:rsidRPr="009C0C6D">
              <w:rPr>
                <w:rFonts w:ascii="Arial Narrow" w:hAnsi="Arial Narrow" w:cs="Arial"/>
                <w:sz w:val="20"/>
                <w:szCs w:val="20"/>
              </w:rPr>
              <w:t>12479T (IP)</w:t>
            </w:r>
          </w:p>
        </w:tc>
        <w:tc>
          <w:tcPr>
            <w:tcW w:w="472" w:type="pct"/>
            <w:vMerge w:val="restart"/>
          </w:tcPr>
          <w:p w14:paraId="39F53A11" w14:textId="77777777" w:rsidR="009F3B0F" w:rsidRPr="009C0C6D" w:rsidRDefault="009F3B0F" w:rsidP="009F3B0F">
            <w:pPr>
              <w:keepNext/>
              <w:jc w:val="center"/>
              <w:rPr>
                <w:rFonts w:ascii="Arial Narrow" w:hAnsi="Arial Narrow" w:cs="Arial"/>
                <w:sz w:val="20"/>
                <w:szCs w:val="20"/>
              </w:rPr>
            </w:pPr>
          </w:p>
          <w:p w14:paraId="0FC1674F" w14:textId="77777777" w:rsidR="009F3B0F" w:rsidRPr="009C0C6D" w:rsidRDefault="009F3B0F" w:rsidP="009F3B0F">
            <w:pPr>
              <w:keepNext/>
              <w:jc w:val="center"/>
              <w:rPr>
                <w:rFonts w:ascii="Arial Narrow" w:hAnsi="Arial Narrow" w:cs="Arial"/>
                <w:sz w:val="20"/>
                <w:szCs w:val="20"/>
              </w:rPr>
            </w:pPr>
          </w:p>
          <w:p w14:paraId="09A4FFF8" w14:textId="77777777" w:rsidR="009F3B0F" w:rsidRPr="009C0C6D" w:rsidRDefault="009F3B0F" w:rsidP="009F3B0F">
            <w:pPr>
              <w:keepNext/>
              <w:jc w:val="center"/>
              <w:rPr>
                <w:rFonts w:ascii="Arial Narrow" w:hAnsi="Arial Narrow" w:cs="Arial"/>
                <w:sz w:val="20"/>
                <w:szCs w:val="20"/>
              </w:rPr>
            </w:pPr>
            <w:r w:rsidRPr="009C0C6D">
              <w:rPr>
                <w:rFonts w:ascii="Arial Narrow" w:hAnsi="Arial Narrow" w:cs="Arial"/>
                <w:sz w:val="20"/>
                <w:szCs w:val="20"/>
              </w:rPr>
              <w:t>1800mg</w:t>
            </w:r>
          </w:p>
        </w:tc>
        <w:tc>
          <w:tcPr>
            <w:tcW w:w="471" w:type="pct"/>
            <w:vMerge w:val="restart"/>
          </w:tcPr>
          <w:p w14:paraId="19FC7E66" w14:textId="77777777" w:rsidR="009F3B0F" w:rsidRPr="009C0C6D" w:rsidRDefault="009F3B0F" w:rsidP="009F3B0F">
            <w:pPr>
              <w:keepNext/>
              <w:jc w:val="center"/>
              <w:rPr>
                <w:rFonts w:ascii="Arial Narrow" w:hAnsi="Arial Narrow" w:cs="Arial"/>
                <w:sz w:val="20"/>
                <w:szCs w:val="20"/>
              </w:rPr>
            </w:pPr>
          </w:p>
          <w:p w14:paraId="0689D677" w14:textId="77777777" w:rsidR="009F3B0F" w:rsidRPr="009C0C6D" w:rsidRDefault="009F3B0F" w:rsidP="009F3B0F">
            <w:pPr>
              <w:keepNext/>
              <w:jc w:val="center"/>
              <w:rPr>
                <w:rFonts w:ascii="Arial Narrow" w:hAnsi="Arial Narrow" w:cs="Arial"/>
                <w:sz w:val="20"/>
                <w:szCs w:val="20"/>
              </w:rPr>
            </w:pPr>
          </w:p>
          <w:p w14:paraId="70F54AAD" w14:textId="77777777" w:rsidR="009F3B0F" w:rsidRPr="009C0C6D" w:rsidRDefault="009F3B0F" w:rsidP="009F3B0F">
            <w:pPr>
              <w:keepNext/>
              <w:jc w:val="center"/>
              <w:rPr>
                <w:rFonts w:ascii="Arial Narrow" w:hAnsi="Arial Narrow" w:cs="Arial"/>
                <w:sz w:val="20"/>
                <w:szCs w:val="20"/>
              </w:rPr>
            </w:pPr>
            <w:r w:rsidRPr="009C0C6D">
              <w:rPr>
                <w:rFonts w:ascii="Arial Narrow" w:hAnsi="Arial Narrow" w:cs="Arial"/>
                <w:sz w:val="20"/>
                <w:szCs w:val="20"/>
              </w:rPr>
              <w:t>7</w:t>
            </w:r>
          </w:p>
        </w:tc>
        <w:tc>
          <w:tcPr>
            <w:tcW w:w="1230" w:type="pct"/>
            <w:vMerge w:val="restart"/>
          </w:tcPr>
          <w:p w14:paraId="1C8A4FE1" w14:textId="77777777" w:rsidR="009F3B0F" w:rsidRPr="009C0C6D" w:rsidRDefault="009F3B0F" w:rsidP="009F3B0F">
            <w:pPr>
              <w:keepNext/>
              <w:rPr>
                <w:rFonts w:ascii="Arial Narrow" w:hAnsi="Arial Narrow" w:cs="Arial"/>
                <w:sz w:val="20"/>
                <w:szCs w:val="20"/>
              </w:rPr>
            </w:pPr>
            <w:r w:rsidRPr="009C0C6D">
              <w:rPr>
                <w:rFonts w:ascii="Arial Narrow" w:hAnsi="Arial Narrow" w:cs="Arial"/>
                <w:sz w:val="20"/>
                <w:szCs w:val="20"/>
              </w:rPr>
              <w:t>Abevmy</w:t>
            </w:r>
            <w:r w:rsidRPr="009C0C6D">
              <w:rPr>
                <w:rFonts w:ascii="Arial Narrow" w:hAnsi="Arial Narrow" w:cs="Arial"/>
                <w:sz w:val="20"/>
                <w:szCs w:val="20"/>
              </w:rPr>
              <w:br/>
              <w:t>Bevaciptin</w:t>
            </w:r>
            <w:r w:rsidRPr="009C0C6D">
              <w:rPr>
                <w:rFonts w:ascii="Arial Narrow" w:hAnsi="Arial Narrow" w:cs="Arial"/>
                <w:sz w:val="20"/>
                <w:szCs w:val="20"/>
              </w:rPr>
              <w:br/>
              <w:t>Mvasi</w:t>
            </w:r>
          </w:p>
          <w:p w14:paraId="3A3B9E45" w14:textId="01272A82" w:rsidR="009F3B0F" w:rsidRPr="009C0C6D" w:rsidRDefault="009F3B0F" w:rsidP="009F3B0F">
            <w:pPr>
              <w:keepNext/>
              <w:rPr>
                <w:rFonts w:ascii="Arial Narrow" w:hAnsi="Arial Narrow" w:cs="Arial"/>
                <w:sz w:val="20"/>
                <w:szCs w:val="20"/>
              </w:rPr>
            </w:pPr>
            <w:r w:rsidRPr="009C0C6D">
              <w:rPr>
                <w:rFonts w:ascii="Arial Narrow" w:hAnsi="Arial Narrow" w:cs="Arial"/>
                <w:sz w:val="20"/>
                <w:szCs w:val="20"/>
              </w:rPr>
              <w:t>Vegzelma</w:t>
            </w:r>
          </w:p>
        </w:tc>
      </w:tr>
      <w:tr w:rsidR="009F3B0F" w:rsidRPr="009C0C6D" w14:paraId="0DFB14FF" w14:textId="77777777" w:rsidTr="00A332DF">
        <w:trPr>
          <w:cantSplit/>
          <w:trHeight w:val="567"/>
        </w:trPr>
        <w:tc>
          <w:tcPr>
            <w:tcW w:w="2186" w:type="pct"/>
          </w:tcPr>
          <w:p w14:paraId="7EB8DBE9" w14:textId="77777777" w:rsidR="009F3B0F" w:rsidRPr="009C0C6D" w:rsidRDefault="009F3B0F" w:rsidP="009F3B0F">
            <w:pPr>
              <w:keepNext/>
              <w:rPr>
                <w:rFonts w:ascii="Arial Narrow" w:hAnsi="Arial Narrow" w:cs="Arial"/>
                <w:sz w:val="20"/>
                <w:szCs w:val="20"/>
              </w:rPr>
            </w:pPr>
            <w:r w:rsidRPr="009C0C6D">
              <w:rPr>
                <w:rFonts w:ascii="Arial Narrow" w:hAnsi="Arial Narrow" w:cs="Arial"/>
                <w:sz w:val="20"/>
                <w:szCs w:val="20"/>
              </w:rPr>
              <w:t>bevacizumab 400 mg/16 mL injection, 16 mL vial</w:t>
            </w:r>
          </w:p>
        </w:tc>
        <w:tc>
          <w:tcPr>
            <w:tcW w:w="641" w:type="pct"/>
            <w:vMerge/>
          </w:tcPr>
          <w:p w14:paraId="14D980D1" w14:textId="77777777" w:rsidR="009F3B0F" w:rsidRPr="009C0C6D" w:rsidRDefault="009F3B0F" w:rsidP="009F3B0F">
            <w:pPr>
              <w:keepNext/>
              <w:jc w:val="center"/>
              <w:rPr>
                <w:rFonts w:ascii="Arial Narrow" w:hAnsi="Arial Narrow" w:cs="Arial"/>
                <w:sz w:val="20"/>
                <w:szCs w:val="20"/>
              </w:rPr>
            </w:pPr>
          </w:p>
        </w:tc>
        <w:tc>
          <w:tcPr>
            <w:tcW w:w="472" w:type="pct"/>
            <w:vMerge/>
          </w:tcPr>
          <w:p w14:paraId="772F9F79" w14:textId="77777777" w:rsidR="009F3B0F" w:rsidRPr="009C0C6D" w:rsidRDefault="009F3B0F" w:rsidP="009F3B0F">
            <w:pPr>
              <w:keepNext/>
              <w:jc w:val="center"/>
              <w:rPr>
                <w:rFonts w:ascii="Arial Narrow" w:hAnsi="Arial Narrow" w:cs="Arial"/>
                <w:sz w:val="20"/>
                <w:szCs w:val="20"/>
              </w:rPr>
            </w:pPr>
          </w:p>
        </w:tc>
        <w:tc>
          <w:tcPr>
            <w:tcW w:w="471" w:type="pct"/>
            <w:vMerge/>
          </w:tcPr>
          <w:p w14:paraId="7905E515" w14:textId="77777777" w:rsidR="009F3B0F" w:rsidRPr="009C0C6D" w:rsidRDefault="009F3B0F" w:rsidP="009F3B0F">
            <w:pPr>
              <w:keepNext/>
              <w:jc w:val="center"/>
              <w:rPr>
                <w:rFonts w:ascii="Arial Narrow" w:hAnsi="Arial Narrow" w:cs="Arial"/>
                <w:sz w:val="20"/>
                <w:szCs w:val="20"/>
              </w:rPr>
            </w:pPr>
          </w:p>
        </w:tc>
        <w:tc>
          <w:tcPr>
            <w:tcW w:w="1230" w:type="pct"/>
            <w:vMerge/>
          </w:tcPr>
          <w:p w14:paraId="723247D8" w14:textId="77777777" w:rsidR="009F3B0F" w:rsidRPr="009C0C6D" w:rsidRDefault="009F3B0F" w:rsidP="009F3B0F">
            <w:pPr>
              <w:keepNext/>
              <w:jc w:val="center"/>
              <w:rPr>
                <w:rFonts w:ascii="Arial Narrow" w:hAnsi="Arial Narrow" w:cs="Arial"/>
                <w:sz w:val="20"/>
                <w:szCs w:val="20"/>
              </w:rPr>
            </w:pPr>
          </w:p>
        </w:tc>
      </w:tr>
      <w:tr w:rsidR="009F3B0F" w:rsidRPr="009C0C6D" w14:paraId="658158D1" w14:textId="77777777" w:rsidTr="00A332DF">
        <w:trPr>
          <w:cantSplit/>
          <w:trHeight w:val="561"/>
        </w:trPr>
        <w:tc>
          <w:tcPr>
            <w:tcW w:w="2186" w:type="pct"/>
          </w:tcPr>
          <w:p w14:paraId="746120EC" w14:textId="77777777" w:rsidR="009F3B0F" w:rsidRPr="009C0C6D" w:rsidRDefault="009F3B0F" w:rsidP="009F3B0F">
            <w:pPr>
              <w:keepNext/>
              <w:ind w:left="-57"/>
              <w:rPr>
                <w:rFonts w:ascii="Arial Narrow" w:hAnsi="Arial Narrow" w:cs="Arial"/>
                <w:sz w:val="20"/>
                <w:szCs w:val="20"/>
              </w:rPr>
            </w:pPr>
            <w:r w:rsidRPr="009C0C6D">
              <w:rPr>
                <w:rFonts w:ascii="Arial Narrow" w:hAnsi="Arial Narrow" w:cs="Arial"/>
                <w:sz w:val="20"/>
                <w:szCs w:val="20"/>
              </w:rPr>
              <w:t>bevacizumab 100 mg/4 mL injection, 4 mL vial</w:t>
            </w:r>
          </w:p>
        </w:tc>
        <w:tc>
          <w:tcPr>
            <w:tcW w:w="641" w:type="pct"/>
            <w:vMerge w:val="restart"/>
          </w:tcPr>
          <w:p w14:paraId="4D38F6F8" w14:textId="77777777" w:rsidR="009F3B0F" w:rsidRPr="009C0C6D" w:rsidRDefault="009F3B0F" w:rsidP="009F3B0F">
            <w:pPr>
              <w:keepNext/>
              <w:jc w:val="center"/>
              <w:rPr>
                <w:rFonts w:ascii="Arial Narrow" w:hAnsi="Arial Narrow" w:cs="Arial"/>
                <w:sz w:val="20"/>
                <w:szCs w:val="20"/>
              </w:rPr>
            </w:pPr>
          </w:p>
          <w:p w14:paraId="1D675E0A" w14:textId="77777777" w:rsidR="009F3B0F" w:rsidRPr="009C0C6D" w:rsidRDefault="009F3B0F" w:rsidP="009F3B0F">
            <w:pPr>
              <w:keepNext/>
              <w:jc w:val="center"/>
              <w:rPr>
                <w:rFonts w:ascii="Arial Narrow" w:hAnsi="Arial Narrow" w:cs="Arial"/>
                <w:sz w:val="20"/>
                <w:szCs w:val="20"/>
              </w:rPr>
            </w:pPr>
          </w:p>
          <w:p w14:paraId="218F6639" w14:textId="77777777" w:rsidR="009F3B0F" w:rsidRPr="009C0C6D" w:rsidRDefault="009F3B0F" w:rsidP="009F3B0F">
            <w:pPr>
              <w:keepNext/>
              <w:jc w:val="center"/>
              <w:rPr>
                <w:rFonts w:ascii="Arial Narrow" w:hAnsi="Arial Narrow" w:cs="Arial"/>
                <w:sz w:val="20"/>
                <w:szCs w:val="20"/>
              </w:rPr>
            </w:pPr>
            <w:r w:rsidRPr="009C0C6D">
              <w:rPr>
                <w:rFonts w:ascii="Arial Narrow" w:hAnsi="Arial Narrow" w:cs="Arial"/>
                <w:sz w:val="20"/>
                <w:szCs w:val="20"/>
              </w:rPr>
              <w:t>12508H (IN)</w:t>
            </w:r>
          </w:p>
        </w:tc>
        <w:tc>
          <w:tcPr>
            <w:tcW w:w="472" w:type="pct"/>
            <w:vMerge w:val="restart"/>
          </w:tcPr>
          <w:p w14:paraId="15516237" w14:textId="77777777" w:rsidR="009F3B0F" w:rsidRPr="009C0C6D" w:rsidRDefault="009F3B0F" w:rsidP="009F3B0F">
            <w:pPr>
              <w:keepNext/>
              <w:jc w:val="center"/>
              <w:rPr>
                <w:rFonts w:ascii="Arial Narrow" w:hAnsi="Arial Narrow" w:cs="Arial"/>
                <w:sz w:val="20"/>
                <w:szCs w:val="20"/>
              </w:rPr>
            </w:pPr>
          </w:p>
          <w:p w14:paraId="6E3192B9" w14:textId="77777777" w:rsidR="009F3B0F" w:rsidRPr="009C0C6D" w:rsidRDefault="009F3B0F" w:rsidP="009F3B0F">
            <w:pPr>
              <w:keepNext/>
              <w:jc w:val="center"/>
              <w:rPr>
                <w:rFonts w:ascii="Arial Narrow" w:hAnsi="Arial Narrow" w:cs="Arial"/>
                <w:sz w:val="20"/>
                <w:szCs w:val="20"/>
              </w:rPr>
            </w:pPr>
          </w:p>
          <w:p w14:paraId="7ED6ACA1" w14:textId="77777777" w:rsidR="009F3B0F" w:rsidRPr="009C0C6D" w:rsidRDefault="009F3B0F" w:rsidP="009F3B0F">
            <w:pPr>
              <w:keepNext/>
              <w:jc w:val="center"/>
              <w:rPr>
                <w:rFonts w:ascii="Arial Narrow" w:hAnsi="Arial Narrow" w:cs="Arial"/>
                <w:sz w:val="20"/>
                <w:szCs w:val="20"/>
              </w:rPr>
            </w:pPr>
            <w:r w:rsidRPr="009C0C6D">
              <w:rPr>
                <w:rFonts w:ascii="Arial Narrow" w:hAnsi="Arial Narrow" w:cs="Arial"/>
                <w:sz w:val="20"/>
                <w:szCs w:val="20"/>
              </w:rPr>
              <w:t>1800mg</w:t>
            </w:r>
          </w:p>
        </w:tc>
        <w:tc>
          <w:tcPr>
            <w:tcW w:w="471" w:type="pct"/>
            <w:vMerge w:val="restart"/>
          </w:tcPr>
          <w:p w14:paraId="0CA98C36" w14:textId="77777777" w:rsidR="009F3B0F" w:rsidRPr="009C0C6D" w:rsidRDefault="009F3B0F" w:rsidP="009F3B0F">
            <w:pPr>
              <w:keepNext/>
              <w:jc w:val="center"/>
              <w:rPr>
                <w:rFonts w:ascii="Arial Narrow" w:hAnsi="Arial Narrow" w:cs="Arial"/>
                <w:sz w:val="20"/>
                <w:szCs w:val="20"/>
              </w:rPr>
            </w:pPr>
          </w:p>
          <w:p w14:paraId="5F74A07F" w14:textId="77777777" w:rsidR="009F3B0F" w:rsidRPr="009C0C6D" w:rsidRDefault="009F3B0F" w:rsidP="009F3B0F">
            <w:pPr>
              <w:keepNext/>
              <w:jc w:val="center"/>
              <w:rPr>
                <w:rFonts w:ascii="Arial Narrow" w:hAnsi="Arial Narrow" w:cs="Arial"/>
                <w:sz w:val="20"/>
                <w:szCs w:val="20"/>
              </w:rPr>
            </w:pPr>
          </w:p>
          <w:p w14:paraId="183E20C6" w14:textId="77777777" w:rsidR="009F3B0F" w:rsidRPr="009C0C6D" w:rsidRDefault="009F3B0F" w:rsidP="009F3B0F">
            <w:pPr>
              <w:keepNext/>
              <w:jc w:val="center"/>
              <w:rPr>
                <w:rFonts w:ascii="Arial Narrow" w:hAnsi="Arial Narrow" w:cs="Arial"/>
                <w:sz w:val="20"/>
                <w:szCs w:val="20"/>
              </w:rPr>
            </w:pPr>
            <w:r w:rsidRPr="009C0C6D">
              <w:rPr>
                <w:rFonts w:ascii="Arial Narrow" w:hAnsi="Arial Narrow" w:cs="Arial"/>
                <w:sz w:val="20"/>
                <w:szCs w:val="20"/>
              </w:rPr>
              <w:t>7</w:t>
            </w:r>
          </w:p>
        </w:tc>
        <w:tc>
          <w:tcPr>
            <w:tcW w:w="1230" w:type="pct"/>
            <w:vMerge w:val="restart"/>
          </w:tcPr>
          <w:p w14:paraId="61FEB720" w14:textId="77777777" w:rsidR="009F3B0F" w:rsidRPr="009C0C6D" w:rsidRDefault="009F3B0F" w:rsidP="009F3B0F">
            <w:pPr>
              <w:keepNext/>
              <w:rPr>
                <w:rFonts w:ascii="Arial Narrow" w:hAnsi="Arial Narrow" w:cs="Arial"/>
                <w:sz w:val="20"/>
                <w:szCs w:val="20"/>
              </w:rPr>
            </w:pPr>
            <w:r w:rsidRPr="009C0C6D">
              <w:rPr>
                <w:rFonts w:ascii="Arial Narrow" w:hAnsi="Arial Narrow" w:cs="Arial"/>
                <w:sz w:val="20"/>
                <w:szCs w:val="20"/>
              </w:rPr>
              <w:t>Abevmy</w:t>
            </w:r>
            <w:r w:rsidRPr="009C0C6D">
              <w:rPr>
                <w:rFonts w:ascii="Arial Narrow" w:hAnsi="Arial Narrow" w:cs="Arial"/>
                <w:sz w:val="20"/>
                <w:szCs w:val="20"/>
              </w:rPr>
              <w:br/>
              <w:t>Bevaciptin</w:t>
            </w:r>
            <w:r w:rsidRPr="009C0C6D">
              <w:rPr>
                <w:rFonts w:ascii="Arial Narrow" w:hAnsi="Arial Narrow" w:cs="Arial"/>
                <w:sz w:val="20"/>
                <w:szCs w:val="20"/>
              </w:rPr>
              <w:br/>
              <w:t>Mvasi</w:t>
            </w:r>
          </w:p>
          <w:p w14:paraId="0C8BAD3B" w14:textId="03C43765" w:rsidR="009F3B0F" w:rsidRPr="009C0C6D" w:rsidRDefault="009F3B0F" w:rsidP="009F3B0F">
            <w:pPr>
              <w:keepNext/>
              <w:rPr>
                <w:rFonts w:ascii="Arial Narrow" w:hAnsi="Arial Narrow" w:cs="Arial"/>
                <w:sz w:val="20"/>
                <w:szCs w:val="20"/>
              </w:rPr>
            </w:pPr>
            <w:r w:rsidRPr="009C0C6D">
              <w:rPr>
                <w:rFonts w:ascii="Arial Narrow" w:hAnsi="Arial Narrow" w:cs="Arial"/>
                <w:sz w:val="20"/>
                <w:szCs w:val="20"/>
              </w:rPr>
              <w:t>Vegzelma</w:t>
            </w:r>
          </w:p>
        </w:tc>
      </w:tr>
      <w:tr w:rsidR="002B7C5D" w:rsidRPr="009C0C6D" w14:paraId="22B10325" w14:textId="77777777" w:rsidTr="00A332DF">
        <w:trPr>
          <w:cantSplit/>
          <w:trHeight w:val="553"/>
        </w:trPr>
        <w:tc>
          <w:tcPr>
            <w:tcW w:w="2186" w:type="pct"/>
          </w:tcPr>
          <w:p w14:paraId="2E394675" w14:textId="77777777" w:rsidR="002B7C5D" w:rsidRPr="009C0C6D" w:rsidRDefault="002B7C5D" w:rsidP="00A332DF">
            <w:pPr>
              <w:keepNext/>
              <w:ind w:left="-57"/>
              <w:rPr>
                <w:rFonts w:ascii="Arial Narrow" w:hAnsi="Arial Narrow" w:cs="Arial"/>
                <w:sz w:val="20"/>
                <w:szCs w:val="20"/>
              </w:rPr>
            </w:pPr>
            <w:r w:rsidRPr="009C0C6D">
              <w:rPr>
                <w:rFonts w:ascii="Arial Narrow" w:hAnsi="Arial Narrow" w:cs="Arial"/>
                <w:sz w:val="20"/>
                <w:szCs w:val="20"/>
              </w:rPr>
              <w:t>bevacizumab 400 mg/16 mL injection, 16 mL vial</w:t>
            </w:r>
          </w:p>
        </w:tc>
        <w:tc>
          <w:tcPr>
            <w:tcW w:w="641" w:type="pct"/>
            <w:vMerge/>
          </w:tcPr>
          <w:p w14:paraId="6650CBFF" w14:textId="77777777" w:rsidR="002B7C5D" w:rsidRPr="009C0C6D" w:rsidRDefault="002B7C5D" w:rsidP="00A332DF">
            <w:pPr>
              <w:keepNext/>
              <w:jc w:val="center"/>
              <w:rPr>
                <w:rFonts w:ascii="Arial Narrow" w:hAnsi="Arial Narrow" w:cs="Arial"/>
                <w:sz w:val="20"/>
                <w:szCs w:val="20"/>
              </w:rPr>
            </w:pPr>
          </w:p>
        </w:tc>
        <w:tc>
          <w:tcPr>
            <w:tcW w:w="472" w:type="pct"/>
            <w:vMerge/>
          </w:tcPr>
          <w:p w14:paraId="44AED924" w14:textId="77777777" w:rsidR="002B7C5D" w:rsidRPr="009C0C6D" w:rsidRDefault="002B7C5D" w:rsidP="00A332DF">
            <w:pPr>
              <w:keepNext/>
              <w:jc w:val="center"/>
              <w:rPr>
                <w:rFonts w:ascii="Arial Narrow" w:hAnsi="Arial Narrow" w:cs="Arial"/>
                <w:sz w:val="20"/>
                <w:szCs w:val="20"/>
              </w:rPr>
            </w:pPr>
          </w:p>
        </w:tc>
        <w:tc>
          <w:tcPr>
            <w:tcW w:w="471" w:type="pct"/>
            <w:vMerge/>
          </w:tcPr>
          <w:p w14:paraId="02CD1C50" w14:textId="77777777" w:rsidR="002B7C5D" w:rsidRPr="009C0C6D" w:rsidRDefault="002B7C5D" w:rsidP="00A332DF">
            <w:pPr>
              <w:keepNext/>
              <w:jc w:val="center"/>
              <w:rPr>
                <w:rFonts w:ascii="Arial Narrow" w:hAnsi="Arial Narrow" w:cs="Arial"/>
                <w:sz w:val="20"/>
                <w:szCs w:val="20"/>
              </w:rPr>
            </w:pPr>
          </w:p>
        </w:tc>
        <w:tc>
          <w:tcPr>
            <w:tcW w:w="1230" w:type="pct"/>
            <w:vMerge/>
          </w:tcPr>
          <w:p w14:paraId="11C3E190" w14:textId="77777777" w:rsidR="002B7C5D" w:rsidRPr="009C0C6D" w:rsidRDefault="002B7C5D" w:rsidP="00A332DF">
            <w:pPr>
              <w:keepNext/>
              <w:rPr>
                <w:rFonts w:ascii="Arial Narrow" w:hAnsi="Arial Narrow" w:cs="Arial"/>
                <w:sz w:val="20"/>
                <w:szCs w:val="20"/>
              </w:rPr>
            </w:pPr>
          </w:p>
        </w:tc>
      </w:tr>
      <w:tr w:rsidR="002B7C5D" w:rsidRPr="009C0C6D" w14:paraId="5175D02D" w14:textId="77777777" w:rsidTr="00A332DF">
        <w:tblPrEx>
          <w:tblCellMar>
            <w:top w:w="15" w:type="dxa"/>
            <w:left w:w="15" w:type="dxa"/>
            <w:bottom w:w="15" w:type="dxa"/>
            <w:right w:w="15" w:type="dxa"/>
          </w:tblCellMar>
          <w:tblLook w:val="04A0" w:firstRow="1" w:lastRow="0" w:firstColumn="1" w:lastColumn="0" w:noHBand="0" w:noVBand="1"/>
        </w:tblPrEx>
        <w:tc>
          <w:tcPr>
            <w:tcW w:w="5000" w:type="pct"/>
            <w:gridSpan w:val="5"/>
            <w:tcBorders>
              <w:top w:val="single" w:sz="4" w:space="0" w:color="auto"/>
              <w:left w:val="single" w:sz="4" w:space="0" w:color="auto"/>
              <w:right w:val="single" w:sz="4" w:space="0" w:color="auto"/>
            </w:tcBorders>
          </w:tcPr>
          <w:p w14:paraId="7BD264E6" w14:textId="77777777" w:rsidR="002B7C5D" w:rsidRPr="009C0C6D" w:rsidRDefault="002B7C5D" w:rsidP="00A332DF">
            <w:pPr>
              <w:rPr>
                <w:rFonts w:ascii="Arial Narrow" w:hAnsi="Arial Narrow" w:cs="Arial"/>
                <w:sz w:val="20"/>
                <w:szCs w:val="20"/>
              </w:rPr>
            </w:pPr>
          </w:p>
        </w:tc>
      </w:tr>
      <w:tr w:rsidR="002B7C5D" w:rsidRPr="009C0C6D" w14:paraId="7CBDE97B" w14:textId="77777777" w:rsidTr="00A332DF">
        <w:tblPrEx>
          <w:tblCellMar>
            <w:top w:w="15" w:type="dxa"/>
            <w:left w:w="15" w:type="dxa"/>
            <w:bottom w:w="15" w:type="dxa"/>
            <w:right w:w="15" w:type="dxa"/>
          </w:tblCellMar>
          <w:tblLook w:val="04A0" w:firstRow="1" w:lastRow="0" w:firstColumn="1" w:lastColumn="0" w:noHBand="0" w:noVBand="1"/>
        </w:tblPrEx>
        <w:trPr>
          <w:trHeight w:val="299"/>
        </w:trPr>
        <w:tc>
          <w:tcPr>
            <w:tcW w:w="5000" w:type="pct"/>
            <w:gridSpan w:val="5"/>
            <w:tcBorders>
              <w:top w:val="single" w:sz="4" w:space="0" w:color="auto"/>
              <w:left w:val="single" w:sz="4" w:space="0" w:color="auto"/>
              <w:right w:val="single" w:sz="4" w:space="0" w:color="auto"/>
            </w:tcBorders>
          </w:tcPr>
          <w:p w14:paraId="2FC03BAB" w14:textId="77777777" w:rsidR="002B7C5D" w:rsidRPr="009C0C6D" w:rsidRDefault="002B7C5D" w:rsidP="00A332DF">
            <w:pPr>
              <w:rPr>
                <w:rFonts w:ascii="Arial Narrow" w:hAnsi="Arial Narrow" w:cs="Arial"/>
                <w:sz w:val="20"/>
                <w:szCs w:val="20"/>
              </w:rPr>
            </w:pPr>
            <w:r w:rsidRPr="009C0C6D">
              <w:rPr>
                <w:rFonts w:ascii="Arial Narrow" w:hAnsi="Arial Narrow" w:cs="Arial"/>
                <w:b/>
                <w:sz w:val="20"/>
                <w:szCs w:val="20"/>
              </w:rPr>
              <w:t>Category / Program: S100 – Section 100 (Efficient Funding of Chemotherapy) – Public/Private</w:t>
            </w:r>
          </w:p>
        </w:tc>
      </w:tr>
      <w:tr w:rsidR="002B7C5D" w:rsidRPr="009C0C6D" w14:paraId="1D64F956" w14:textId="77777777" w:rsidTr="00A332DF">
        <w:tblPrEx>
          <w:tblCellMar>
            <w:top w:w="15" w:type="dxa"/>
            <w:left w:w="15" w:type="dxa"/>
            <w:bottom w:w="15" w:type="dxa"/>
            <w:right w:w="15" w:type="dxa"/>
          </w:tblCellMar>
          <w:tblLook w:val="04A0" w:firstRow="1" w:lastRow="0" w:firstColumn="1" w:lastColumn="0" w:noHBand="0" w:noVBand="1"/>
        </w:tblPrEx>
        <w:tc>
          <w:tcPr>
            <w:tcW w:w="5000" w:type="pct"/>
            <w:gridSpan w:val="5"/>
            <w:tcBorders>
              <w:top w:val="single" w:sz="4" w:space="0" w:color="auto"/>
              <w:left w:val="single" w:sz="4" w:space="0" w:color="auto"/>
              <w:right w:val="single" w:sz="4" w:space="0" w:color="auto"/>
            </w:tcBorders>
          </w:tcPr>
          <w:p w14:paraId="1CB31623" w14:textId="77777777" w:rsidR="002B7C5D" w:rsidRPr="009C0C6D" w:rsidRDefault="002B7C5D" w:rsidP="00A332DF">
            <w:pPr>
              <w:rPr>
                <w:rFonts w:ascii="Arial Narrow" w:hAnsi="Arial Narrow" w:cs="Arial"/>
                <w:sz w:val="20"/>
                <w:szCs w:val="20"/>
              </w:rPr>
            </w:pPr>
            <w:r w:rsidRPr="009C0C6D">
              <w:rPr>
                <w:rFonts w:ascii="Arial Narrow" w:hAnsi="Arial Narrow" w:cs="Arial"/>
                <w:b/>
                <w:sz w:val="20"/>
                <w:szCs w:val="20"/>
              </w:rPr>
              <w:t>Prescriber type:</w:t>
            </w:r>
            <w:r w:rsidRPr="009C0C6D">
              <w:rPr>
                <w:rFonts w:ascii="Arial Narrow" w:hAnsi="Arial Narrow" w:cs="Arial"/>
                <w:sz w:val="20"/>
                <w:szCs w:val="20"/>
              </w:rPr>
              <w:t xml:space="preserve"> </w:t>
            </w:r>
            <w:r w:rsidRPr="009C0C6D">
              <w:rPr>
                <w:rFonts w:ascii="Arial Narrow" w:hAnsi="Arial Narrow" w:cs="Arial"/>
                <w:sz w:val="20"/>
                <w:szCs w:val="20"/>
              </w:rPr>
              <w:fldChar w:fldCharType="begin" w:fldLock="1">
                <w:ffData>
                  <w:name w:val=""/>
                  <w:enabled/>
                  <w:calcOnExit w:val="0"/>
                  <w:checkBox>
                    <w:sizeAuto/>
                    <w:default w:val="1"/>
                  </w:checkBox>
                </w:ffData>
              </w:fldChar>
            </w:r>
            <w:r w:rsidRPr="009C0C6D">
              <w:rPr>
                <w:rFonts w:ascii="Arial Narrow" w:hAnsi="Arial Narrow" w:cs="Arial"/>
                <w:sz w:val="20"/>
                <w:szCs w:val="20"/>
              </w:rPr>
              <w:instrText xml:space="preserve"> FORMCHECKBOX </w:instrText>
            </w:r>
            <w:r w:rsidR="00C37028">
              <w:rPr>
                <w:rFonts w:ascii="Arial Narrow" w:hAnsi="Arial Narrow" w:cs="Arial"/>
                <w:sz w:val="20"/>
                <w:szCs w:val="20"/>
              </w:rPr>
            </w:r>
            <w:r w:rsidR="00C37028">
              <w:rPr>
                <w:rFonts w:ascii="Arial Narrow" w:hAnsi="Arial Narrow" w:cs="Arial"/>
                <w:sz w:val="20"/>
                <w:szCs w:val="20"/>
              </w:rPr>
              <w:fldChar w:fldCharType="separate"/>
            </w:r>
            <w:r w:rsidRPr="009C0C6D">
              <w:rPr>
                <w:rFonts w:ascii="Arial Narrow" w:hAnsi="Arial Narrow" w:cs="Arial"/>
                <w:sz w:val="20"/>
                <w:szCs w:val="20"/>
              </w:rPr>
              <w:fldChar w:fldCharType="end"/>
            </w:r>
            <w:r w:rsidRPr="009C0C6D">
              <w:rPr>
                <w:rFonts w:ascii="Arial Narrow" w:hAnsi="Arial Narrow" w:cs="Arial"/>
                <w:sz w:val="20"/>
                <w:szCs w:val="20"/>
              </w:rPr>
              <w:t>Medical Practitioners</w:t>
            </w:r>
          </w:p>
        </w:tc>
      </w:tr>
      <w:tr w:rsidR="002B7C5D" w:rsidRPr="009C0C6D" w14:paraId="2686C702" w14:textId="77777777" w:rsidTr="00A332DF">
        <w:tblPrEx>
          <w:tblCellMar>
            <w:top w:w="15" w:type="dxa"/>
            <w:left w:w="15" w:type="dxa"/>
            <w:bottom w:w="15" w:type="dxa"/>
            <w:right w:w="15" w:type="dxa"/>
          </w:tblCellMar>
          <w:tblLook w:val="04A0" w:firstRow="1" w:lastRow="0" w:firstColumn="1" w:lastColumn="0" w:noHBand="0" w:noVBand="1"/>
        </w:tblPrEx>
        <w:tc>
          <w:tcPr>
            <w:tcW w:w="5000" w:type="pct"/>
            <w:gridSpan w:val="5"/>
            <w:tcBorders>
              <w:top w:val="single" w:sz="4" w:space="0" w:color="auto"/>
              <w:left w:val="single" w:sz="4" w:space="0" w:color="auto"/>
              <w:right w:val="single" w:sz="4" w:space="0" w:color="auto"/>
            </w:tcBorders>
          </w:tcPr>
          <w:p w14:paraId="45BE09B2" w14:textId="77777777" w:rsidR="002B7C5D" w:rsidRPr="009C0C6D" w:rsidRDefault="002B7C5D" w:rsidP="00A332DF">
            <w:pPr>
              <w:rPr>
                <w:rFonts w:ascii="Arial Narrow" w:hAnsi="Arial Narrow" w:cs="Arial"/>
                <w:sz w:val="20"/>
                <w:szCs w:val="20"/>
              </w:rPr>
            </w:pPr>
            <w:r w:rsidRPr="009C0C6D">
              <w:rPr>
                <w:rFonts w:ascii="Arial Narrow" w:hAnsi="Arial Narrow" w:cs="Arial"/>
                <w:b/>
                <w:sz w:val="20"/>
                <w:szCs w:val="20"/>
              </w:rPr>
              <w:t xml:space="preserve">Restriction type: </w:t>
            </w:r>
            <w:r w:rsidRPr="009C0C6D">
              <w:rPr>
                <w:rFonts w:ascii="Arial Narrow" w:eastAsia="Calibri" w:hAnsi="Arial Narrow" w:cs="Arial"/>
                <w:sz w:val="20"/>
                <w:szCs w:val="20"/>
              </w:rPr>
              <w:fldChar w:fldCharType="begin" w:fldLock="1">
                <w:ffData>
                  <w:name w:val=""/>
                  <w:enabled/>
                  <w:calcOnExit w:val="0"/>
                  <w:checkBox>
                    <w:sizeAuto/>
                    <w:default w:val="1"/>
                  </w:checkBox>
                </w:ffData>
              </w:fldChar>
            </w:r>
            <w:r w:rsidRPr="009C0C6D">
              <w:rPr>
                <w:rFonts w:ascii="Arial Narrow" w:eastAsia="Calibri" w:hAnsi="Arial Narrow" w:cs="Arial"/>
                <w:sz w:val="20"/>
                <w:szCs w:val="20"/>
              </w:rPr>
              <w:instrText xml:space="preserve"> FORMCHECKBOX </w:instrText>
            </w:r>
            <w:r w:rsidR="00C37028">
              <w:rPr>
                <w:rFonts w:ascii="Arial Narrow" w:eastAsia="Calibri" w:hAnsi="Arial Narrow" w:cs="Arial"/>
                <w:sz w:val="20"/>
                <w:szCs w:val="20"/>
              </w:rPr>
            </w:r>
            <w:r w:rsidR="00C37028">
              <w:rPr>
                <w:rFonts w:ascii="Arial Narrow" w:eastAsia="Calibri" w:hAnsi="Arial Narrow" w:cs="Arial"/>
                <w:sz w:val="20"/>
                <w:szCs w:val="20"/>
              </w:rPr>
              <w:fldChar w:fldCharType="separate"/>
            </w:r>
            <w:r w:rsidRPr="009C0C6D">
              <w:rPr>
                <w:rFonts w:ascii="Arial Narrow" w:eastAsia="Calibri" w:hAnsi="Arial Narrow" w:cs="Arial"/>
                <w:sz w:val="20"/>
                <w:szCs w:val="20"/>
              </w:rPr>
              <w:fldChar w:fldCharType="end"/>
            </w:r>
            <w:r w:rsidRPr="009C0C6D">
              <w:rPr>
                <w:rFonts w:ascii="Arial Narrow" w:eastAsia="Calibri" w:hAnsi="Arial Narrow" w:cs="Arial"/>
                <w:sz w:val="20"/>
                <w:szCs w:val="20"/>
              </w:rPr>
              <w:t xml:space="preserve"> Unrestricted</w:t>
            </w:r>
          </w:p>
        </w:tc>
      </w:tr>
    </w:tbl>
    <w:p w14:paraId="7378E1D4" w14:textId="77777777" w:rsidR="00610A97" w:rsidRPr="009C0C6D" w:rsidRDefault="00610A97" w:rsidP="00610A97">
      <w:pPr>
        <w:tabs>
          <w:tab w:val="left" w:pos="360"/>
        </w:tabs>
        <w:autoSpaceDE w:val="0"/>
        <w:autoSpaceDN w:val="0"/>
        <w:adjustRightInd w:val="0"/>
        <w:rPr>
          <w:rFonts w:asciiTheme="minorHAnsi" w:eastAsiaTheme="minorHAnsi" w:hAnsiTheme="minorHAnsi" w:cstheme="minorBidi"/>
          <w:b/>
          <w:bCs/>
          <w:i/>
          <w:iCs/>
          <w:szCs w:val="22"/>
        </w:rPr>
      </w:pPr>
    </w:p>
    <w:p w14:paraId="0E7C35E7" w14:textId="6718F6C6" w:rsidR="00610A97" w:rsidRDefault="00610A97" w:rsidP="00AC5925">
      <w:pPr>
        <w:tabs>
          <w:tab w:val="left" w:pos="360"/>
        </w:tabs>
        <w:autoSpaceDE w:val="0"/>
        <w:autoSpaceDN w:val="0"/>
        <w:adjustRightInd w:val="0"/>
        <w:rPr>
          <w:rFonts w:asciiTheme="minorHAnsi" w:eastAsiaTheme="minorHAnsi" w:hAnsiTheme="minorHAnsi" w:cstheme="minorBidi"/>
          <w:b/>
          <w:bCs/>
          <w:i/>
          <w:iCs/>
          <w:szCs w:val="22"/>
        </w:rPr>
      </w:pPr>
      <w:r w:rsidRPr="009C0C6D">
        <w:rPr>
          <w:rFonts w:asciiTheme="minorHAnsi" w:eastAsiaTheme="minorHAnsi" w:hAnsiTheme="minorHAnsi" w:cstheme="minorBidi"/>
          <w:b/>
          <w:bCs/>
          <w:i/>
          <w:iCs/>
          <w:szCs w:val="22"/>
        </w:rPr>
        <w:t>This restriction may be subject to further review. Should there be any changes made to the restriction the sponsor will be informed.</w:t>
      </w:r>
    </w:p>
    <w:p w14:paraId="758D7E0B" w14:textId="77777777" w:rsidR="00A516DA" w:rsidRPr="00A516DA" w:rsidRDefault="00A516DA" w:rsidP="00A516DA">
      <w:pPr>
        <w:spacing w:after="120"/>
        <w:rPr>
          <w:rFonts w:asciiTheme="minorHAnsi" w:eastAsiaTheme="minorHAnsi" w:hAnsiTheme="minorHAnsi" w:cstheme="minorBidi"/>
          <w:b/>
          <w:bCs/>
          <w:i/>
          <w:iCs/>
          <w:szCs w:val="22"/>
        </w:rPr>
      </w:pPr>
    </w:p>
    <w:p w14:paraId="50295592" w14:textId="083B0154" w:rsidR="00A516DA" w:rsidRPr="00A516DA" w:rsidRDefault="00A516DA" w:rsidP="00A516DA">
      <w:pPr>
        <w:keepNext/>
        <w:numPr>
          <w:ilvl w:val="0"/>
          <w:numId w:val="2"/>
        </w:numPr>
        <w:spacing w:before="240" w:after="120"/>
        <w:jc w:val="left"/>
        <w:outlineLvl w:val="0"/>
        <w:rPr>
          <w:rFonts w:asciiTheme="minorHAnsi" w:hAnsiTheme="minorHAnsi" w:cs="Arial"/>
          <w:b/>
          <w:bCs/>
          <w:snapToGrid w:val="0"/>
          <w:sz w:val="32"/>
          <w:szCs w:val="32"/>
          <w:lang w:val="en-GB"/>
        </w:rPr>
      </w:pPr>
      <w:r w:rsidRPr="00A516DA">
        <w:rPr>
          <w:rFonts w:asciiTheme="minorHAnsi" w:hAnsiTheme="minorHAnsi" w:cs="Arial"/>
          <w:b/>
          <w:snapToGrid w:val="0"/>
          <w:sz w:val="32"/>
          <w:szCs w:val="32"/>
        </w:rPr>
        <w:t>Context for Decision</w:t>
      </w:r>
    </w:p>
    <w:p w14:paraId="5CC49954" w14:textId="77777777" w:rsidR="00A516DA" w:rsidRPr="00A516DA" w:rsidRDefault="00A516DA" w:rsidP="00A516DA">
      <w:pPr>
        <w:spacing w:after="120"/>
        <w:ind w:left="720"/>
        <w:rPr>
          <w:rFonts w:asciiTheme="minorHAnsi" w:hAnsiTheme="minorHAnsi" w:cs="Arial"/>
          <w:bCs/>
          <w:lang w:val="en-GB"/>
        </w:rPr>
      </w:pPr>
      <w:r w:rsidRPr="00A516DA">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D3B1CCE" w14:textId="77777777" w:rsidR="00A516DA" w:rsidRPr="00A516DA" w:rsidRDefault="00A516DA" w:rsidP="00337153">
      <w:pPr>
        <w:keepNext/>
        <w:numPr>
          <w:ilvl w:val="0"/>
          <w:numId w:val="2"/>
        </w:numPr>
        <w:spacing w:before="240" w:after="120"/>
        <w:jc w:val="left"/>
        <w:outlineLvl w:val="0"/>
        <w:rPr>
          <w:rFonts w:asciiTheme="minorHAnsi" w:hAnsiTheme="minorHAnsi" w:cs="Arial"/>
          <w:b/>
          <w:snapToGrid w:val="0"/>
          <w:sz w:val="32"/>
          <w:szCs w:val="32"/>
        </w:rPr>
      </w:pPr>
      <w:r w:rsidRPr="00A516DA">
        <w:rPr>
          <w:rFonts w:asciiTheme="minorHAnsi" w:hAnsiTheme="minorHAnsi" w:cs="Arial"/>
          <w:b/>
          <w:snapToGrid w:val="0"/>
          <w:sz w:val="32"/>
          <w:szCs w:val="32"/>
        </w:rPr>
        <w:t>Sponsor’s Comment</w:t>
      </w:r>
    </w:p>
    <w:p w14:paraId="561C682D" w14:textId="77777777" w:rsidR="00A516DA" w:rsidRPr="00A516DA" w:rsidRDefault="00A516DA" w:rsidP="00A516DA">
      <w:pPr>
        <w:spacing w:after="120" w:line="276" w:lineRule="auto"/>
        <w:ind w:left="720"/>
        <w:rPr>
          <w:rFonts w:asciiTheme="minorHAnsi" w:eastAsiaTheme="minorHAnsi" w:hAnsiTheme="minorHAnsi" w:cs="Arial"/>
          <w:bCs/>
          <w:szCs w:val="22"/>
          <w:lang w:eastAsia="en-US"/>
        </w:rPr>
      </w:pPr>
      <w:r w:rsidRPr="00A516DA">
        <w:rPr>
          <w:rFonts w:asciiTheme="minorHAnsi" w:eastAsiaTheme="minorHAnsi" w:hAnsiTheme="minorHAnsi" w:cs="Arial"/>
          <w:bCs/>
          <w:szCs w:val="22"/>
          <w:lang w:eastAsia="en-US"/>
        </w:rPr>
        <w:t>The sponsor had no comment.</w:t>
      </w:r>
    </w:p>
    <w:p w14:paraId="423762E9" w14:textId="77777777" w:rsidR="00A516DA" w:rsidRPr="009C0C6D" w:rsidRDefault="00A516DA" w:rsidP="00AC5925">
      <w:pPr>
        <w:tabs>
          <w:tab w:val="left" w:pos="360"/>
        </w:tabs>
        <w:autoSpaceDE w:val="0"/>
        <w:autoSpaceDN w:val="0"/>
        <w:adjustRightInd w:val="0"/>
        <w:rPr>
          <w:rFonts w:asciiTheme="minorHAnsi" w:hAnsiTheme="minorHAnsi" w:cstheme="minorHAnsi"/>
        </w:rPr>
      </w:pPr>
    </w:p>
    <w:sectPr w:rsidR="00A516DA" w:rsidRPr="009C0C6D"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0A69" w14:textId="77777777" w:rsidR="00B318BD" w:rsidRDefault="00B318BD">
      <w:r>
        <w:separator/>
      </w:r>
    </w:p>
    <w:p w14:paraId="51991810" w14:textId="77777777" w:rsidR="00B318BD" w:rsidRDefault="00B318BD"/>
  </w:endnote>
  <w:endnote w:type="continuationSeparator" w:id="0">
    <w:p w14:paraId="354E5850" w14:textId="77777777" w:rsidR="00B318BD" w:rsidRDefault="00B318BD">
      <w:r>
        <w:continuationSeparator/>
      </w:r>
    </w:p>
    <w:p w14:paraId="199EBD39" w14:textId="77777777" w:rsidR="00B318BD" w:rsidRDefault="00B318BD"/>
  </w:endnote>
  <w:endnote w:type="continuationNotice" w:id="1">
    <w:p w14:paraId="6AB4ED0C" w14:textId="77777777" w:rsidR="00B318BD" w:rsidRDefault="00B31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Sabon">
    <w:altName w:val="Cambria"/>
    <w:charset w:val="00"/>
    <w:family w:val="roman"/>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5080D3E" w:rsidR="009C26AA" w:rsidRPr="00710FC4" w:rsidRDefault="00401640" w:rsidP="00C56D78">
    <w:pPr>
      <w:pStyle w:val="MinorOVRHeader"/>
      <w:jc w:val="center"/>
      <w:rPr>
        <w:b/>
        <w:bCs/>
      </w:rPr>
    </w:pPr>
    <w:r w:rsidRPr="00710FC4">
      <w:rPr>
        <w:b/>
        <w:bCs/>
      </w:rPr>
      <w:fldChar w:fldCharType="begin"/>
    </w:r>
    <w:r w:rsidRPr="00710FC4">
      <w:rPr>
        <w:b/>
        <w:bCs/>
      </w:rPr>
      <w:instrText xml:space="preserve"> PAGE   \* MERGEFORMAT </w:instrText>
    </w:r>
    <w:r w:rsidRPr="00710FC4">
      <w:rPr>
        <w:b/>
        <w:bCs/>
      </w:rPr>
      <w:fldChar w:fldCharType="separate"/>
    </w:r>
    <w:r w:rsidRPr="00710FC4">
      <w:rPr>
        <w:b/>
        <w:bCs/>
      </w:rPr>
      <w:t>1</w:t>
    </w:r>
    <w:r w:rsidRPr="00710FC4">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7465" w14:textId="77777777" w:rsidR="00B318BD" w:rsidRDefault="00B318BD">
      <w:r>
        <w:separator/>
      </w:r>
    </w:p>
    <w:p w14:paraId="24641CC9" w14:textId="77777777" w:rsidR="00B318BD" w:rsidRDefault="00B318BD"/>
  </w:footnote>
  <w:footnote w:type="continuationSeparator" w:id="0">
    <w:p w14:paraId="382DD11F" w14:textId="77777777" w:rsidR="00B318BD" w:rsidRDefault="00B318BD">
      <w:r>
        <w:continuationSeparator/>
      </w:r>
    </w:p>
    <w:p w14:paraId="50BC741E" w14:textId="77777777" w:rsidR="00B318BD" w:rsidRDefault="00B318BD"/>
  </w:footnote>
  <w:footnote w:type="continuationNotice" w:id="1">
    <w:p w14:paraId="1668E197" w14:textId="77777777" w:rsidR="00B318BD" w:rsidRDefault="00B31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C37028" w:rsidRDefault="009C26AA" w:rsidP="00A06225">
          <w:pPr>
            <w:pStyle w:val="MediumGrid21"/>
            <w:rPr>
              <w:rFonts w:ascii="Cambria" w:hAnsi="Cambria"/>
              <w:szCs w:val="20"/>
            </w:rPr>
          </w:pPr>
          <w:r w:rsidRPr="00C37028">
            <w:rPr>
              <w:rFonts w:ascii="Cambria" w:hAnsi="Cambria"/>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17122AF5" w:rsidR="00C56D78" w:rsidRPr="00C37028" w:rsidRDefault="00405062" w:rsidP="00C56D78">
    <w:pPr>
      <w:keepNext/>
      <w:tabs>
        <w:tab w:val="center" w:pos="4513"/>
        <w:tab w:val="right" w:pos="9026"/>
      </w:tabs>
      <w:jc w:val="center"/>
      <w:rPr>
        <w:rFonts w:asciiTheme="minorHAnsi" w:eastAsiaTheme="minorEastAsia" w:hAnsiTheme="minorHAnsi" w:cstheme="minorHAnsi"/>
        <w:i/>
      </w:rPr>
    </w:pPr>
    <w:r w:rsidRPr="00C37028">
      <w:rPr>
        <w:rFonts w:asciiTheme="minorHAnsi" w:hAnsiTheme="minorHAnsi" w:cs="Arial"/>
        <w:i/>
      </w:rPr>
      <w:t>Public Summary Document</w:t>
    </w:r>
    <w:r w:rsidRPr="00C37028" w:rsidDel="001A7CB1">
      <w:rPr>
        <w:rFonts w:asciiTheme="minorHAnsi" w:hAnsiTheme="minorHAnsi" w:cs="Arial"/>
        <w:i/>
      </w:rPr>
      <w:t xml:space="preserve"> </w:t>
    </w:r>
    <w:r w:rsidR="00CC2224" w:rsidRPr="00C37028">
      <w:rPr>
        <w:rFonts w:asciiTheme="minorHAnsi" w:eastAsiaTheme="minorEastAsia" w:hAnsiTheme="minorHAnsi" w:cstheme="minorHAnsi"/>
        <w:i/>
      </w:rPr>
      <w:t xml:space="preserve">– </w:t>
    </w:r>
    <w:r w:rsidR="005622B0" w:rsidRPr="00C37028">
      <w:rPr>
        <w:rFonts w:asciiTheme="minorHAnsi" w:eastAsiaTheme="minorEastAsia" w:hAnsiTheme="minorHAnsi" w:cstheme="minorHAnsi"/>
        <w:i/>
      </w:rPr>
      <w:t xml:space="preserve">March </w:t>
    </w:r>
    <w:r w:rsidR="00C56D78" w:rsidRPr="00C37028">
      <w:rPr>
        <w:rFonts w:asciiTheme="minorHAnsi" w:eastAsiaTheme="minorEastAsia" w:hAnsiTheme="minorHAnsi" w:cstheme="minorHAnsi"/>
        <w:i/>
      </w:rPr>
      <w:t>202</w:t>
    </w:r>
    <w:r w:rsidR="00CD0A70" w:rsidRPr="00C37028">
      <w:rPr>
        <w:rFonts w:asciiTheme="minorHAnsi" w:eastAsiaTheme="minorEastAsia" w:hAnsiTheme="minorHAnsi" w:cstheme="minorHAnsi"/>
        <w:i/>
      </w:rPr>
      <w:t>4</w:t>
    </w:r>
    <w:r w:rsidR="00C56D78" w:rsidRPr="00C37028">
      <w:rPr>
        <w:rFonts w:asciiTheme="minorHAnsi" w:eastAsiaTheme="minorEastAsia" w:hAnsiTheme="minorHAnsi" w:cstheme="minorHAnsi"/>
        <w:i/>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29FF" w14:textId="77777777" w:rsidR="00F93231" w:rsidRDefault="00F93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58A8A1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8D4654B"/>
    <w:multiLevelType w:val="hybridMultilevel"/>
    <w:tmpl w:val="9F9240B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C66354"/>
    <w:multiLevelType w:val="multilevel"/>
    <w:tmpl w:val="997480B2"/>
    <w:lvl w:ilvl="0">
      <w:start w:val="1"/>
      <w:numFmt w:val="decimal"/>
      <w:lvlText w:val="%1"/>
      <w:lvlJc w:val="left"/>
      <w:pPr>
        <w:ind w:left="720" w:hanging="720"/>
      </w:pPr>
      <w:rPr>
        <w:b/>
        <w:color w:val="auto"/>
      </w:rPr>
    </w:lvl>
    <w:lvl w:ilvl="1">
      <w:start w:val="1"/>
      <w:numFmt w:val="decimal"/>
      <w:lvlText w:val="%1.%2"/>
      <w:lvlJc w:val="left"/>
      <w:pPr>
        <w:ind w:left="720" w:hanging="720"/>
      </w:pPr>
      <w:rPr>
        <w:b w:val="0"/>
        <w:i w:val="0"/>
        <w:color w:val="auto"/>
      </w:rPr>
    </w:lvl>
    <w:lvl w:ilvl="2">
      <w:start w:val="1"/>
      <w:numFmt w:val="bullet"/>
      <w:lvlText w:val=""/>
      <w:lvlJc w:val="left"/>
      <w:pPr>
        <w:ind w:left="36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10F76"/>
    <w:multiLevelType w:val="multilevel"/>
    <w:tmpl w:val="544AEDFC"/>
    <w:lvl w:ilvl="0">
      <w:start w:val="1"/>
      <w:numFmt w:val="decimal"/>
      <w:lvlText w:val="%1"/>
      <w:lvlJc w:val="left"/>
      <w:pPr>
        <w:ind w:left="720" w:hanging="720"/>
      </w:pPr>
      <w:rPr>
        <w:b/>
        <w:color w:val="auto"/>
      </w:rPr>
    </w:lvl>
    <w:lvl w:ilvl="1">
      <w:start w:val="1"/>
      <w:numFmt w:val="decimal"/>
      <w:lvlText w:val="%1.%2"/>
      <w:lvlJc w:val="left"/>
      <w:pPr>
        <w:ind w:left="720" w:hanging="720"/>
      </w:pPr>
      <w:rPr>
        <w:b w:val="0"/>
        <w:i w:val="0"/>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6244933"/>
    <w:multiLevelType w:val="hybridMultilevel"/>
    <w:tmpl w:val="BEC87E2E"/>
    <w:lvl w:ilvl="0" w:tplc="3F1ECEA6">
      <w:start w:val="1"/>
      <w:numFmt w:val="upperLetter"/>
      <w:lvlText w:val="%1."/>
      <w:lvlJc w:val="left"/>
      <w:pPr>
        <w:ind w:left="360" w:hanging="360"/>
      </w:pPr>
    </w:lvl>
    <w:lvl w:ilvl="1" w:tplc="442A8F9A">
      <w:start w:val="1"/>
      <w:numFmt w:val="lowerLetter"/>
      <w:lvlText w:val="%2."/>
      <w:lvlJc w:val="left"/>
      <w:pPr>
        <w:ind w:left="1080" w:hanging="360"/>
      </w:pPr>
    </w:lvl>
    <w:lvl w:ilvl="2" w:tplc="AE6252A8">
      <w:start w:val="1"/>
      <w:numFmt w:val="lowerRoman"/>
      <w:lvlText w:val="%3."/>
      <w:lvlJc w:val="right"/>
      <w:pPr>
        <w:ind w:left="1800" w:hanging="180"/>
      </w:pPr>
    </w:lvl>
    <w:lvl w:ilvl="3" w:tplc="827A251E">
      <w:start w:val="1"/>
      <w:numFmt w:val="decimal"/>
      <w:lvlText w:val="%4."/>
      <w:lvlJc w:val="left"/>
      <w:pPr>
        <w:ind w:left="2520" w:hanging="360"/>
      </w:pPr>
    </w:lvl>
    <w:lvl w:ilvl="4" w:tplc="6AA6B8AE">
      <w:start w:val="1"/>
      <w:numFmt w:val="lowerLetter"/>
      <w:lvlText w:val="%5."/>
      <w:lvlJc w:val="left"/>
      <w:pPr>
        <w:ind w:left="3240" w:hanging="360"/>
      </w:pPr>
    </w:lvl>
    <w:lvl w:ilvl="5" w:tplc="5FE8C990">
      <w:start w:val="1"/>
      <w:numFmt w:val="lowerRoman"/>
      <w:lvlText w:val="%6."/>
      <w:lvlJc w:val="right"/>
      <w:pPr>
        <w:ind w:left="3960" w:hanging="180"/>
      </w:pPr>
    </w:lvl>
    <w:lvl w:ilvl="6" w:tplc="2D5CA0F4">
      <w:start w:val="1"/>
      <w:numFmt w:val="decimal"/>
      <w:lvlText w:val="%7."/>
      <w:lvlJc w:val="left"/>
      <w:pPr>
        <w:ind w:left="4680" w:hanging="360"/>
      </w:pPr>
    </w:lvl>
    <w:lvl w:ilvl="7" w:tplc="17D46400">
      <w:start w:val="1"/>
      <w:numFmt w:val="lowerLetter"/>
      <w:lvlText w:val="%8."/>
      <w:lvlJc w:val="left"/>
      <w:pPr>
        <w:ind w:left="5400" w:hanging="360"/>
      </w:pPr>
    </w:lvl>
    <w:lvl w:ilvl="8" w:tplc="F3580F02">
      <w:start w:val="1"/>
      <w:numFmt w:val="lowerRoman"/>
      <w:lvlText w:val="%9."/>
      <w:lvlJc w:val="right"/>
      <w:pPr>
        <w:ind w:left="6120" w:hanging="180"/>
      </w:pPr>
    </w:lvl>
  </w:abstractNum>
  <w:abstractNum w:abstractNumId="14"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7"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8"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103232"/>
    <w:multiLevelType w:val="hybridMultilevel"/>
    <w:tmpl w:val="E8CEC24C"/>
    <w:lvl w:ilvl="0" w:tplc="B3A67C2E">
      <w:start w:val="1"/>
      <w:numFmt w:val="decimal"/>
      <w:lvlText w:val="%1.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93042CD"/>
    <w:multiLevelType w:val="hybridMultilevel"/>
    <w:tmpl w:val="0EC2A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1E5495B"/>
    <w:multiLevelType w:val="multilevel"/>
    <w:tmpl w:val="544AEDFC"/>
    <w:lvl w:ilvl="0">
      <w:start w:val="1"/>
      <w:numFmt w:val="decimal"/>
      <w:lvlText w:val="%1"/>
      <w:lvlJc w:val="left"/>
      <w:pPr>
        <w:ind w:left="720" w:hanging="720"/>
      </w:pPr>
      <w:rPr>
        <w:b/>
        <w:color w:val="auto"/>
      </w:rPr>
    </w:lvl>
    <w:lvl w:ilvl="1">
      <w:start w:val="1"/>
      <w:numFmt w:val="decimal"/>
      <w:lvlText w:val="%1.%2"/>
      <w:lvlJc w:val="left"/>
      <w:pPr>
        <w:ind w:left="720" w:hanging="720"/>
      </w:pPr>
      <w:rPr>
        <w:b w:val="0"/>
        <w:i w:val="0"/>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BB13C1B"/>
    <w:multiLevelType w:val="hybridMultilevel"/>
    <w:tmpl w:val="4D94A7C4"/>
    <w:lvl w:ilvl="0" w:tplc="0C090001">
      <w:start w:val="1"/>
      <w:numFmt w:val="bullet"/>
      <w:lvlText w:val=""/>
      <w:lvlJc w:val="left"/>
      <w:pPr>
        <w:ind w:left="1497" w:hanging="360"/>
      </w:pPr>
      <w:rPr>
        <w:rFonts w:ascii="Symbol" w:hAnsi="Symbol" w:hint="default"/>
      </w:rPr>
    </w:lvl>
    <w:lvl w:ilvl="1" w:tplc="0C090003" w:tentative="1">
      <w:start w:val="1"/>
      <w:numFmt w:val="bullet"/>
      <w:lvlText w:val="o"/>
      <w:lvlJc w:val="left"/>
      <w:pPr>
        <w:ind w:left="2217" w:hanging="360"/>
      </w:pPr>
      <w:rPr>
        <w:rFonts w:ascii="Courier New" w:hAnsi="Courier New" w:cs="Courier New" w:hint="default"/>
      </w:rPr>
    </w:lvl>
    <w:lvl w:ilvl="2" w:tplc="0C090005" w:tentative="1">
      <w:start w:val="1"/>
      <w:numFmt w:val="bullet"/>
      <w:lvlText w:val=""/>
      <w:lvlJc w:val="left"/>
      <w:pPr>
        <w:ind w:left="2937" w:hanging="360"/>
      </w:pPr>
      <w:rPr>
        <w:rFonts w:ascii="Wingdings" w:hAnsi="Wingdings" w:hint="default"/>
      </w:rPr>
    </w:lvl>
    <w:lvl w:ilvl="3" w:tplc="0C090001" w:tentative="1">
      <w:start w:val="1"/>
      <w:numFmt w:val="bullet"/>
      <w:lvlText w:val=""/>
      <w:lvlJc w:val="left"/>
      <w:pPr>
        <w:ind w:left="3657" w:hanging="360"/>
      </w:pPr>
      <w:rPr>
        <w:rFonts w:ascii="Symbol" w:hAnsi="Symbol" w:hint="default"/>
      </w:rPr>
    </w:lvl>
    <w:lvl w:ilvl="4" w:tplc="0C090003" w:tentative="1">
      <w:start w:val="1"/>
      <w:numFmt w:val="bullet"/>
      <w:lvlText w:val="o"/>
      <w:lvlJc w:val="left"/>
      <w:pPr>
        <w:ind w:left="4377" w:hanging="360"/>
      </w:pPr>
      <w:rPr>
        <w:rFonts w:ascii="Courier New" w:hAnsi="Courier New" w:cs="Courier New" w:hint="default"/>
      </w:rPr>
    </w:lvl>
    <w:lvl w:ilvl="5" w:tplc="0C090005" w:tentative="1">
      <w:start w:val="1"/>
      <w:numFmt w:val="bullet"/>
      <w:lvlText w:val=""/>
      <w:lvlJc w:val="left"/>
      <w:pPr>
        <w:ind w:left="5097" w:hanging="360"/>
      </w:pPr>
      <w:rPr>
        <w:rFonts w:ascii="Wingdings" w:hAnsi="Wingdings" w:hint="default"/>
      </w:rPr>
    </w:lvl>
    <w:lvl w:ilvl="6" w:tplc="0C090001" w:tentative="1">
      <w:start w:val="1"/>
      <w:numFmt w:val="bullet"/>
      <w:lvlText w:val=""/>
      <w:lvlJc w:val="left"/>
      <w:pPr>
        <w:ind w:left="5817" w:hanging="360"/>
      </w:pPr>
      <w:rPr>
        <w:rFonts w:ascii="Symbol" w:hAnsi="Symbol" w:hint="default"/>
      </w:rPr>
    </w:lvl>
    <w:lvl w:ilvl="7" w:tplc="0C090003" w:tentative="1">
      <w:start w:val="1"/>
      <w:numFmt w:val="bullet"/>
      <w:lvlText w:val="o"/>
      <w:lvlJc w:val="left"/>
      <w:pPr>
        <w:ind w:left="6537" w:hanging="360"/>
      </w:pPr>
      <w:rPr>
        <w:rFonts w:ascii="Courier New" w:hAnsi="Courier New" w:cs="Courier New" w:hint="default"/>
      </w:rPr>
    </w:lvl>
    <w:lvl w:ilvl="8" w:tplc="0C090005" w:tentative="1">
      <w:start w:val="1"/>
      <w:numFmt w:val="bullet"/>
      <w:lvlText w:val=""/>
      <w:lvlJc w:val="left"/>
      <w:pPr>
        <w:ind w:left="7257" w:hanging="360"/>
      </w:pPr>
      <w:rPr>
        <w:rFonts w:ascii="Wingdings" w:hAnsi="Wingdings" w:hint="default"/>
      </w:rPr>
    </w:lvl>
  </w:abstractNum>
  <w:abstractNum w:abstractNumId="31"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3" w15:restartNumberingAfterBreak="0">
    <w:nsid w:val="784D033C"/>
    <w:multiLevelType w:val="multilevel"/>
    <w:tmpl w:val="C2305998"/>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13"/>
  </w:num>
  <w:num w:numId="2" w16cid:durableId="957570559">
    <w:abstractNumId w:val="33"/>
  </w:num>
  <w:num w:numId="3" w16cid:durableId="536628895">
    <w:abstractNumId w:val="0"/>
  </w:num>
  <w:num w:numId="4" w16cid:durableId="1159004663">
    <w:abstractNumId w:val="24"/>
  </w:num>
  <w:num w:numId="5" w16cid:durableId="418600173">
    <w:abstractNumId w:val="35"/>
  </w:num>
  <w:num w:numId="6" w16cid:durableId="34236669">
    <w:abstractNumId w:val="31"/>
  </w:num>
  <w:num w:numId="7" w16cid:durableId="1279799443">
    <w:abstractNumId w:val="18"/>
  </w:num>
  <w:num w:numId="8" w16cid:durableId="495537779">
    <w:abstractNumId w:val="16"/>
  </w:num>
  <w:num w:numId="9" w16cid:durableId="1468400811">
    <w:abstractNumId w:val="1"/>
  </w:num>
  <w:num w:numId="10" w16cid:durableId="132985464">
    <w:abstractNumId w:val="33"/>
  </w:num>
  <w:num w:numId="11" w16cid:durableId="1915313393">
    <w:abstractNumId w:val="29"/>
  </w:num>
  <w:num w:numId="12" w16cid:durableId="473567604">
    <w:abstractNumId w:val="32"/>
  </w:num>
  <w:num w:numId="13" w16cid:durableId="315574325">
    <w:abstractNumId w:val="12"/>
  </w:num>
  <w:num w:numId="14" w16cid:durableId="1841651190">
    <w:abstractNumId w:val="10"/>
  </w:num>
  <w:num w:numId="15" w16cid:durableId="1743868723">
    <w:abstractNumId w:val="26"/>
  </w:num>
  <w:num w:numId="16" w16cid:durableId="1751541441">
    <w:abstractNumId w:val="2"/>
  </w:num>
  <w:num w:numId="17" w16cid:durableId="9394593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7701227">
    <w:abstractNumId w:val="34"/>
  </w:num>
  <w:num w:numId="19" w16cid:durableId="957954296">
    <w:abstractNumId w:val="23"/>
  </w:num>
  <w:num w:numId="20" w16cid:durableId="1630238752">
    <w:abstractNumId w:val="8"/>
  </w:num>
  <w:num w:numId="21" w16cid:durableId="432090342">
    <w:abstractNumId w:val="7"/>
  </w:num>
  <w:num w:numId="22" w16cid:durableId="1662348298">
    <w:abstractNumId w:val="17"/>
  </w:num>
  <w:num w:numId="23" w16cid:durableId="2082019313">
    <w:abstractNumId w:val="9"/>
  </w:num>
  <w:num w:numId="24" w16cid:durableId="1752043239">
    <w:abstractNumId w:val="5"/>
  </w:num>
  <w:num w:numId="25" w16cid:durableId="18237940">
    <w:abstractNumId w:val="14"/>
  </w:num>
  <w:num w:numId="26" w16cid:durableId="888148472">
    <w:abstractNumId w:val="21"/>
  </w:num>
  <w:num w:numId="27" w16cid:durableId="216868142">
    <w:abstractNumId w:val="15"/>
  </w:num>
  <w:num w:numId="28" w16cid:durableId="1852144024">
    <w:abstractNumId w:val="33"/>
  </w:num>
  <w:num w:numId="29" w16cid:durableId="1225796388">
    <w:abstractNumId w:val="33"/>
  </w:num>
  <w:num w:numId="30" w16cid:durableId="1145127307">
    <w:abstractNumId w:val="33"/>
  </w:num>
  <w:num w:numId="31" w16cid:durableId="1032681860">
    <w:abstractNumId w:val="22"/>
  </w:num>
  <w:num w:numId="32" w16cid:durableId="1388070481">
    <w:abstractNumId w:val="0"/>
  </w:num>
  <w:num w:numId="33" w16cid:durableId="1950428260">
    <w:abstractNumId w:val="27"/>
  </w:num>
  <w:num w:numId="34" w16cid:durableId="2019843942">
    <w:abstractNumId w:val="6"/>
  </w:num>
  <w:num w:numId="35" w16cid:durableId="1735666568">
    <w:abstractNumId w:val="4"/>
  </w:num>
  <w:num w:numId="36" w16cid:durableId="1187214538">
    <w:abstractNumId w:val="33"/>
  </w:num>
  <w:num w:numId="37" w16cid:durableId="278411679">
    <w:abstractNumId w:val="33"/>
  </w:num>
  <w:num w:numId="38" w16cid:durableId="427846947">
    <w:abstractNumId w:val="33"/>
  </w:num>
  <w:num w:numId="39" w16cid:durableId="355619581">
    <w:abstractNumId w:val="30"/>
  </w:num>
  <w:num w:numId="40" w16cid:durableId="1896887563">
    <w:abstractNumId w:val="1"/>
  </w:num>
  <w:num w:numId="41" w16cid:durableId="1097867180">
    <w:abstractNumId w:val="11"/>
  </w:num>
  <w:num w:numId="42" w16cid:durableId="778253795">
    <w:abstractNumId w:val="20"/>
  </w:num>
  <w:num w:numId="43" w16cid:durableId="129744317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8301063">
    <w:abstractNumId w:val="3"/>
  </w:num>
  <w:num w:numId="45" w16cid:durableId="1568109285">
    <w:abstractNumId w:val="1"/>
  </w:num>
  <w:num w:numId="46" w16cid:durableId="1113671458">
    <w:abstractNumId w:val="1"/>
  </w:num>
  <w:num w:numId="47" w16cid:durableId="411314371">
    <w:abstractNumId w:val="33"/>
  </w:num>
  <w:num w:numId="48" w16cid:durableId="82289112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419"/>
    <w:rsid w:val="00001663"/>
    <w:rsid w:val="000025AD"/>
    <w:rsid w:val="0000335D"/>
    <w:rsid w:val="00003EC5"/>
    <w:rsid w:val="000064AB"/>
    <w:rsid w:val="00006782"/>
    <w:rsid w:val="0001179A"/>
    <w:rsid w:val="00011A59"/>
    <w:rsid w:val="0001228F"/>
    <w:rsid w:val="00013682"/>
    <w:rsid w:val="00013C6D"/>
    <w:rsid w:val="00014D69"/>
    <w:rsid w:val="00016A41"/>
    <w:rsid w:val="000214D1"/>
    <w:rsid w:val="00021A8E"/>
    <w:rsid w:val="00021F20"/>
    <w:rsid w:val="000228B6"/>
    <w:rsid w:val="0002464A"/>
    <w:rsid w:val="00025A04"/>
    <w:rsid w:val="00025BFF"/>
    <w:rsid w:val="0002625C"/>
    <w:rsid w:val="0002693D"/>
    <w:rsid w:val="0003050E"/>
    <w:rsid w:val="0003106B"/>
    <w:rsid w:val="000335B9"/>
    <w:rsid w:val="00034905"/>
    <w:rsid w:val="00037906"/>
    <w:rsid w:val="0004000D"/>
    <w:rsid w:val="00040086"/>
    <w:rsid w:val="00040A30"/>
    <w:rsid w:val="000421A1"/>
    <w:rsid w:val="0004240E"/>
    <w:rsid w:val="000425A2"/>
    <w:rsid w:val="00043C2E"/>
    <w:rsid w:val="00044A0F"/>
    <w:rsid w:val="00044E52"/>
    <w:rsid w:val="00044EC4"/>
    <w:rsid w:val="00045E26"/>
    <w:rsid w:val="00046903"/>
    <w:rsid w:val="000474A4"/>
    <w:rsid w:val="000514B5"/>
    <w:rsid w:val="00051DA6"/>
    <w:rsid w:val="000521ED"/>
    <w:rsid w:val="0005322E"/>
    <w:rsid w:val="00054E2B"/>
    <w:rsid w:val="000564FD"/>
    <w:rsid w:val="0005740C"/>
    <w:rsid w:val="00060E64"/>
    <w:rsid w:val="000621AB"/>
    <w:rsid w:val="00062C03"/>
    <w:rsid w:val="00062E88"/>
    <w:rsid w:val="00064465"/>
    <w:rsid w:val="00066193"/>
    <w:rsid w:val="00066755"/>
    <w:rsid w:val="00071A5B"/>
    <w:rsid w:val="00072730"/>
    <w:rsid w:val="000730D0"/>
    <w:rsid w:val="0007337F"/>
    <w:rsid w:val="00074320"/>
    <w:rsid w:val="000763D5"/>
    <w:rsid w:val="00076C38"/>
    <w:rsid w:val="00077143"/>
    <w:rsid w:val="00077DF7"/>
    <w:rsid w:val="0008050C"/>
    <w:rsid w:val="00082169"/>
    <w:rsid w:val="000834BE"/>
    <w:rsid w:val="00083F01"/>
    <w:rsid w:val="00087C4C"/>
    <w:rsid w:val="000918CB"/>
    <w:rsid w:val="00091B06"/>
    <w:rsid w:val="00092D7A"/>
    <w:rsid w:val="000951C4"/>
    <w:rsid w:val="00095ADA"/>
    <w:rsid w:val="00095F3A"/>
    <w:rsid w:val="000969AD"/>
    <w:rsid w:val="000975FB"/>
    <w:rsid w:val="000A02F8"/>
    <w:rsid w:val="000A3AA2"/>
    <w:rsid w:val="000A42EF"/>
    <w:rsid w:val="000A44B2"/>
    <w:rsid w:val="000A52F6"/>
    <w:rsid w:val="000A58B8"/>
    <w:rsid w:val="000A7662"/>
    <w:rsid w:val="000B44C3"/>
    <w:rsid w:val="000B558D"/>
    <w:rsid w:val="000B57A2"/>
    <w:rsid w:val="000B5A89"/>
    <w:rsid w:val="000B65F6"/>
    <w:rsid w:val="000B7767"/>
    <w:rsid w:val="000B7C9C"/>
    <w:rsid w:val="000C1AFF"/>
    <w:rsid w:val="000C5740"/>
    <w:rsid w:val="000C5F95"/>
    <w:rsid w:val="000C61D1"/>
    <w:rsid w:val="000C6996"/>
    <w:rsid w:val="000C7C46"/>
    <w:rsid w:val="000D09E9"/>
    <w:rsid w:val="000D113F"/>
    <w:rsid w:val="000D23BA"/>
    <w:rsid w:val="000E1658"/>
    <w:rsid w:val="000E19B7"/>
    <w:rsid w:val="000E20FC"/>
    <w:rsid w:val="000E3168"/>
    <w:rsid w:val="000E3C1D"/>
    <w:rsid w:val="000E3DFB"/>
    <w:rsid w:val="000E42DC"/>
    <w:rsid w:val="000E5EA1"/>
    <w:rsid w:val="000E681E"/>
    <w:rsid w:val="000E696B"/>
    <w:rsid w:val="000E7E52"/>
    <w:rsid w:val="000E7E90"/>
    <w:rsid w:val="000EE1C7"/>
    <w:rsid w:val="000F0003"/>
    <w:rsid w:val="000F3384"/>
    <w:rsid w:val="000F4E6A"/>
    <w:rsid w:val="000F6ABB"/>
    <w:rsid w:val="000F7354"/>
    <w:rsid w:val="000F7C27"/>
    <w:rsid w:val="00100E81"/>
    <w:rsid w:val="00101ABE"/>
    <w:rsid w:val="00101D3A"/>
    <w:rsid w:val="00102202"/>
    <w:rsid w:val="00102700"/>
    <w:rsid w:val="00102947"/>
    <w:rsid w:val="00102A78"/>
    <w:rsid w:val="00103118"/>
    <w:rsid w:val="00103F1B"/>
    <w:rsid w:val="00104227"/>
    <w:rsid w:val="001053D5"/>
    <w:rsid w:val="00107409"/>
    <w:rsid w:val="001107BF"/>
    <w:rsid w:val="00110F33"/>
    <w:rsid w:val="00112B83"/>
    <w:rsid w:val="00113649"/>
    <w:rsid w:val="00113D5C"/>
    <w:rsid w:val="001168DE"/>
    <w:rsid w:val="00116B03"/>
    <w:rsid w:val="00117579"/>
    <w:rsid w:val="00120AA6"/>
    <w:rsid w:val="0012168B"/>
    <w:rsid w:val="00122973"/>
    <w:rsid w:val="001239DB"/>
    <w:rsid w:val="0012417C"/>
    <w:rsid w:val="00124BF2"/>
    <w:rsid w:val="00125837"/>
    <w:rsid w:val="0012597F"/>
    <w:rsid w:val="00126B19"/>
    <w:rsid w:val="00126D3A"/>
    <w:rsid w:val="0012749D"/>
    <w:rsid w:val="00127A23"/>
    <w:rsid w:val="00127BC2"/>
    <w:rsid w:val="001306A5"/>
    <w:rsid w:val="00130918"/>
    <w:rsid w:val="001311AE"/>
    <w:rsid w:val="00134994"/>
    <w:rsid w:val="00135BB1"/>
    <w:rsid w:val="001366C2"/>
    <w:rsid w:val="00136C17"/>
    <w:rsid w:val="001376B9"/>
    <w:rsid w:val="00140B74"/>
    <w:rsid w:val="00140D94"/>
    <w:rsid w:val="00142395"/>
    <w:rsid w:val="0014250D"/>
    <w:rsid w:val="00142714"/>
    <w:rsid w:val="00144D09"/>
    <w:rsid w:val="00144E06"/>
    <w:rsid w:val="001452ED"/>
    <w:rsid w:val="00145BF3"/>
    <w:rsid w:val="00145C82"/>
    <w:rsid w:val="0014679B"/>
    <w:rsid w:val="00147232"/>
    <w:rsid w:val="00147C91"/>
    <w:rsid w:val="00147D84"/>
    <w:rsid w:val="00151CBD"/>
    <w:rsid w:val="001533C3"/>
    <w:rsid w:val="001549C1"/>
    <w:rsid w:val="00156C8D"/>
    <w:rsid w:val="00160F4D"/>
    <w:rsid w:val="00162BDD"/>
    <w:rsid w:val="00162D4E"/>
    <w:rsid w:val="00163329"/>
    <w:rsid w:val="001638F1"/>
    <w:rsid w:val="00164623"/>
    <w:rsid w:val="001652DE"/>
    <w:rsid w:val="001653EC"/>
    <w:rsid w:val="00165B64"/>
    <w:rsid w:val="00167C39"/>
    <w:rsid w:val="00175C72"/>
    <w:rsid w:val="00176B9D"/>
    <w:rsid w:val="00180713"/>
    <w:rsid w:val="00180720"/>
    <w:rsid w:val="001830CE"/>
    <w:rsid w:val="001836E3"/>
    <w:rsid w:val="00184659"/>
    <w:rsid w:val="001860E5"/>
    <w:rsid w:val="0018643B"/>
    <w:rsid w:val="001913FB"/>
    <w:rsid w:val="0019277D"/>
    <w:rsid w:val="00196307"/>
    <w:rsid w:val="00197C70"/>
    <w:rsid w:val="00197F03"/>
    <w:rsid w:val="001A0D10"/>
    <w:rsid w:val="001A11BF"/>
    <w:rsid w:val="001A1345"/>
    <w:rsid w:val="001A2A22"/>
    <w:rsid w:val="001A2B44"/>
    <w:rsid w:val="001A33EA"/>
    <w:rsid w:val="001A3615"/>
    <w:rsid w:val="001A4413"/>
    <w:rsid w:val="001A47E3"/>
    <w:rsid w:val="001A4C4F"/>
    <w:rsid w:val="001A538B"/>
    <w:rsid w:val="001A5A2B"/>
    <w:rsid w:val="001A76FB"/>
    <w:rsid w:val="001B017F"/>
    <w:rsid w:val="001B0B79"/>
    <w:rsid w:val="001B19EA"/>
    <w:rsid w:val="001B2BBC"/>
    <w:rsid w:val="001B2BCD"/>
    <w:rsid w:val="001B3A40"/>
    <w:rsid w:val="001B3FFE"/>
    <w:rsid w:val="001B41B8"/>
    <w:rsid w:val="001B5129"/>
    <w:rsid w:val="001B556A"/>
    <w:rsid w:val="001C06BD"/>
    <w:rsid w:val="001C0B4C"/>
    <w:rsid w:val="001C0EC4"/>
    <w:rsid w:val="001C1195"/>
    <w:rsid w:val="001C12AE"/>
    <w:rsid w:val="001C1E84"/>
    <w:rsid w:val="001C20E1"/>
    <w:rsid w:val="001C2858"/>
    <w:rsid w:val="001C2A0F"/>
    <w:rsid w:val="001C2E42"/>
    <w:rsid w:val="001C30E4"/>
    <w:rsid w:val="001D1F5F"/>
    <w:rsid w:val="001D6B36"/>
    <w:rsid w:val="001D7867"/>
    <w:rsid w:val="001E06D2"/>
    <w:rsid w:val="001E17C4"/>
    <w:rsid w:val="001E19B8"/>
    <w:rsid w:val="001E2A47"/>
    <w:rsid w:val="001E2D65"/>
    <w:rsid w:val="001E7AFD"/>
    <w:rsid w:val="001F005B"/>
    <w:rsid w:val="001F1368"/>
    <w:rsid w:val="001F14A4"/>
    <w:rsid w:val="001F1850"/>
    <w:rsid w:val="001F1FBF"/>
    <w:rsid w:val="001F2311"/>
    <w:rsid w:val="001F2B80"/>
    <w:rsid w:val="001F2F1C"/>
    <w:rsid w:val="001F3189"/>
    <w:rsid w:val="00200BEA"/>
    <w:rsid w:val="00201FB8"/>
    <w:rsid w:val="00202DE0"/>
    <w:rsid w:val="00203FAC"/>
    <w:rsid w:val="00206BD4"/>
    <w:rsid w:val="002133FB"/>
    <w:rsid w:val="00213CFB"/>
    <w:rsid w:val="0021553C"/>
    <w:rsid w:val="0021557B"/>
    <w:rsid w:val="00216B87"/>
    <w:rsid w:val="002174FD"/>
    <w:rsid w:val="00217BE1"/>
    <w:rsid w:val="00217C20"/>
    <w:rsid w:val="002206D5"/>
    <w:rsid w:val="00220E31"/>
    <w:rsid w:val="00221361"/>
    <w:rsid w:val="002214B9"/>
    <w:rsid w:val="00222680"/>
    <w:rsid w:val="00223370"/>
    <w:rsid w:val="00223FE2"/>
    <w:rsid w:val="00224D1E"/>
    <w:rsid w:val="00226611"/>
    <w:rsid w:val="00227BC5"/>
    <w:rsid w:val="00230F63"/>
    <w:rsid w:val="0023132D"/>
    <w:rsid w:val="00234252"/>
    <w:rsid w:val="002342D4"/>
    <w:rsid w:val="0023466E"/>
    <w:rsid w:val="00237AC6"/>
    <w:rsid w:val="00242B64"/>
    <w:rsid w:val="00242BFD"/>
    <w:rsid w:val="00243C8F"/>
    <w:rsid w:val="00244139"/>
    <w:rsid w:val="00244490"/>
    <w:rsid w:val="00244BEC"/>
    <w:rsid w:val="00245B9C"/>
    <w:rsid w:val="00252587"/>
    <w:rsid w:val="00252E37"/>
    <w:rsid w:val="00253499"/>
    <w:rsid w:val="00254ED6"/>
    <w:rsid w:val="002551A4"/>
    <w:rsid w:val="002563AA"/>
    <w:rsid w:val="00257664"/>
    <w:rsid w:val="00257E9B"/>
    <w:rsid w:val="00260165"/>
    <w:rsid w:val="00263460"/>
    <w:rsid w:val="00265151"/>
    <w:rsid w:val="00265C2C"/>
    <w:rsid w:val="00266509"/>
    <w:rsid w:val="00270A98"/>
    <w:rsid w:val="002718FD"/>
    <w:rsid w:val="00271BA1"/>
    <w:rsid w:val="00272BEA"/>
    <w:rsid w:val="00273AC5"/>
    <w:rsid w:val="002748BC"/>
    <w:rsid w:val="00275107"/>
    <w:rsid w:val="002762FA"/>
    <w:rsid w:val="00276BE3"/>
    <w:rsid w:val="00277505"/>
    <w:rsid w:val="00277873"/>
    <w:rsid w:val="0028158C"/>
    <w:rsid w:val="002823B6"/>
    <w:rsid w:val="00285452"/>
    <w:rsid w:val="00286EB5"/>
    <w:rsid w:val="00287FD9"/>
    <w:rsid w:val="00290C03"/>
    <w:rsid w:val="00292392"/>
    <w:rsid w:val="00292764"/>
    <w:rsid w:val="00292E3B"/>
    <w:rsid w:val="002933A8"/>
    <w:rsid w:val="00294274"/>
    <w:rsid w:val="0029458F"/>
    <w:rsid w:val="0029551B"/>
    <w:rsid w:val="00297A63"/>
    <w:rsid w:val="002A018F"/>
    <w:rsid w:val="002A021C"/>
    <w:rsid w:val="002A0E04"/>
    <w:rsid w:val="002A104C"/>
    <w:rsid w:val="002A1EF7"/>
    <w:rsid w:val="002A2B7B"/>
    <w:rsid w:val="002A42EE"/>
    <w:rsid w:val="002A494D"/>
    <w:rsid w:val="002A4960"/>
    <w:rsid w:val="002A5F88"/>
    <w:rsid w:val="002A5FA3"/>
    <w:rsid w:val="002A636A"/>
    <w:rsid w:val="002A7456"/>
    <w:rsid w:val="002A755F"/>
    <w:rsid w:val="002B0AE0"/>
    <w:rsid w:val="002B1AE6"/>
    <w:rsid w:val="002B1D51"/>
    <w:rsid w:val="002B28D4"/>
    <w:rsid w:val="002B2DE8"/>
    <w:rsid w:val="002B30F8"/>
    <w:rsid w:val="002B3655"/>
    <w:rsid w:val="002B388A"/>
    <w:rsid w:val="002B38EA"/>
    <w:rsid w:val="002B3BFE"/>
    <w:rsid w:val="002B3C1A"/>
    <w:rsid w:val="002B459D"/>
    <w:rsid w:val="002B4C2A"/>
    <w:rsid w:val="002B5596"/>
    <w:rsid w:val="002B6992"/>
    <w:rsid w:val="002B6F82"/>
    <w:rsid w:val="002B77D7"/>
    <w:rsid w:val="002B7C5D"/>
    <w:rsid w:val="002C0763"/>
    <w:rsid w:val="002C10BB"/>
    <w:rsid w:val="002C1BE4"/>
    <w:rsid w:val="002C212F"/>
    <w:rsid w:val="002C2F35"/>
    <w:rsid w:val="002C6AA9"/>
    <w:rsid w:val="002C7485"/>
    <w:rsid w:val="002D090C"/>
    <w:rsid w:val="002D113D"/>
    <w:rsid w:val="002D2641"/>
    <w:rsid w:val="002D283A"/>
    <w:rsid w:val="002D4543"/>
    <w:rsid w:val="002D715F"/>
    <w:rsid w:val="002D7AC7"/>
    <w:rsid w:val="002E022A"/>
    <w:rsid w:val="002E03C9"/>
    <w:rsid w:val="002E1E82"/>
    <w:rsid w:val="002E2C7D"/>
    <w:rsid w:val="002E3153"/>
    <w:rsid w:val="002E4A02"/>
    <w:rsid w:val="002E5292"/>
    <w:rsid w:val="002E65B9"/>
    <w:rsid w:val="002E72CA"/>
    <w:rsid w:val="002E75DD"/>
    <w:rsid w:val="002F1D07"/>
    <w:rsid w:val="002F527D"/>
    <w:rsid w:val="002F55D7"/>
    <w:rsid w:val="002F5C5B"/>
    <w:rsid w:val="002F600D"/>
    <w:rsid w:val="002F6F0F"/>
    <w:rsid w:val="002F7E47"/>
    <w:rsid w:val="00300AD6"/>
    <w:rsid w:val="00300B1B"/>
    <w:rsid w:val="003019D0"/>
    <w:rsid w:val="003019DE"/>
    <w:rsid w:val="0030311E"/>
    <w:rsid w:val="00303E81"/>
    <w:rsid w:val="003064AF"/>
    <w:rsid w:val="00307DC6"/>
    <w:rsid w:val="00310A8B"/>
    <w:rsid w:val="00310B68"/>
    <w:rsid w:val="00310D43"/>
    <w:rsid w:val="003111EB"/>
    <w:rsid w:val="00312772"/>
    <w:rsid w:val="003160D2"/>
    <w:rsid w:val="003164D3"/>
    <w:rsid w:val="003173FC"/>
    <w:rsid w:val="00317C6C"/>
    <w:rsid w:val="00320277"/>
    <w:rsid w:val="00320B80"/>
    <w:rsid w:val="00320CD3"/>
    <w:rsid w:val="003215FF"/>
    <w:rsid w:val="00322667"/>
    <w:rsid w:val="00325F7F"/>
    <w:rsid w:val="0032607C"/>
    <w:rsid w:val="00326E79"/>
    <w:rsid w:val="0032748A"/>
    <w:rsid w:val="003301B1"/>
    <w:rsid w:val="00331189"/>
    <w:rsid w:val="0033263D"/>
    <w:rsid w:val="00334E69"/>
    <w:rsid w:val="0033518A"/>
    <w:rsid w:val="00335535"/>
    <w:rsid w:val="003367EF"/>
    <w:rsid w:val="00337153"/>
    <w:rsid w:val="00340AA7"/>
    <w:rsid w:val="00341AE4"/>
    <w:rsid w:val="003425CA"/>
    <w:rsid w:val="00343FB7"/>
    <w:rsid w:val="003476EE"/>
    <w:rsid w:val="003541DD"/>
    <w:rsid w:val="00356E5B"/>
    <w:rsid w:val="003603D3"/>
    <w:rsid w:val="00360887"/>
    <w:rsid w:val="003617E3"/>
    <w:rsid w:val="0036249F"/>
    <w:rsid w:val="00363303"/>
    <w:rsid w:val="00363342"/>
    <w:rsid w:val="00366ABD"/>
    <w:rsid w:val="0037029C"/>
    <w:rsid w:val="00371246"/>
    <w:rsid w:val="003736C9"/>
    <w:rsid w:val="00374040"/>
    <w:rsid w:val="00376658"/>
    <w:rsid w:val="00377A34"/>
    <w:rsid w:val="00381829"/>
    <w:rsid w:val="00383B77"/>
    <w:rsid w:val="00384988"/>
    <w:rsid w:val="0038588A"/>
    <w:rsid w:val="00385FD4"/>
    <w:rsid w:val="003872CF"/>
    <w:rsid w:val="003874CB"/>
    <w:rsid w:val="003911B8"/>
    <w:rsid w:val="00392A81"/>
    <w:rsid w:val="00396E08"/>
    <w:rsid w:val="003970DD"/>
    <w:rsid w:val="0039782C"/>
    <w:rsid w:val="003A13A6"/>
    <w:rsid w:val="003A2165"/>
    <w:rsid w:val="003A3AF3"/>
    <w:rsid w:val="003A3FD4"/>
    <w:rsid w:val="003A5B4A"/>
    <w:rsid w:val="003A5D95"/>
    <w:rsid w:val="003A6510"/>
    <w:rsid w:val="003A74E2"/>
    <w:rsid w:val="003B0D3A"/>
    <w:rsid w:val="003B1F00"/>
    <w:rsid w:val="003B2302"/>
    <w:rsid w:val="003B23C5"/>
    <w:rsid w:val="003B2A75"/>
    <w:rsid w:val="003B49B2"/>
    <w:rsid w:val="003B5250"/>
    <w:rsid w:val="003B6124"/>
    <w:rsid w:val="003B7960"/>
    <w:rsid w:val="003C0908"/>
    <w:rsid w:val="003C093A"/>
    <w:rsid w:val="003C1ECF"/>
    <w:rsid w:val="003C2E06"/>
    <w:rsid w:val="003C2FB5"/>
    <w:rsid w:val="003D0628"/>
    <w:rsid w:val="003D24C5"/>
    <w:rsid w:val="003D31A8"/>
    <w:rsid w:val="003D4594"/>
    <w:rsid w:val="003D4AC4"/>
    <w:rsid w:val="003D5433"/>
    <w:rsid w:val="003D63B7"/>
    <w:rsid w:val="003D744D"/>
    <w:rsid w:val="003D74C5"/>
    <w:rsid w:val="003E3AC5"/>
    <w:rsid w:val="003E4374"/>
    <w:rsid w:val="003E468B"/>
    <w:rsid w:val="003E62BD"/>
    <w:rsid w:val="003E658D"/>
    <w:rsid w:val="003E6B02"/>
    <w:rsid w:val="003F039E"/>
    <w:rsid w:val="003F044F"/>
    <w:rsid w:val="003F0ADF"/>
    <w:rsid w:val="003F0C3A"/>
    <w:rsid w:val="003F15F0"/>
    <w:rsid w:val="003F2AD9"/>
    <w:rsid w:val="003F3228"/>
    <w:rsid w:val="003F5C8C"/>
    <w:rsid w:val="003F63CE"/>
    <w:rsid w:val="003F775A"/>
    <w:rsid w:val="00400E55"/>
    <w:rsid w:val="00401099"/>
    <w:rsid w:val="0040128E"/>
    <w:rsid w:val="00401640"/>
    <w:rsid w:val="0040216B"/>
    <w:rsid w:val="00404852"/>
    <w:rsid w:val="00405062"/>
    <w:rsid w:val="0040590E"/>
    <w:rsid w:val="00406252"/>
    <w:rsid w:val="00407CC8"/>
    <w:rsid w:val="00411A21"/>
    <w:rsid w:val="00414F0C"/>
    <w:rsid w:val="00420400"/>
    <w:rsid w:val="00423E78"/>
    <w:rsid w:val="0042498B"/>
    <w:rsid w:val="004252EC"/>
    <w:rsid w:val="004255A6"/>
    <w:rsid w:val="00430D39"/>
    <w:rsid w:val="00432509"/>
    <w:rsid w:val="00433581"/>
    <w:rsid w:val="00433973"/>
    <w:rsid w:val="00442C91"/>
    <w:rsid w:val="00444E9D"/>
    <w:rsid w:val="0044618A"/>
    <w:rsid w:val="004465BD"/>
    <w:rsid w:val="00446736"/>
    <w:rsid w:val="00446938"/>
    <w:rsid w:val="004515D3"/>
    <w:rsid w:val="00451D8D"/>
    <w:rsid w:val="004528FA"/>
    <w:rsid w:val="00452A6C"/>
    <w:rsid w:val="004558C8"/>
    <w:rsid w:val="00461A44"/>
    <w:rsid w:val="00462D26"/>
    <w:rsid w:val="0046368B"/>
    <w:rsid w:val="0046385A"/>
    <w:rsid w:val="00464039"/>
    <w:rsid w:val="0046473F"/>
    <w:rsid w:val="00466ADA"/>
    <w:rsid w:val="00466D5D"/>
    <w:rsid w:val="00467A01"/>
    <w:rsid w:val="004702BB"/>
    <w:rsid w:val="00472052"/>
    <w:rsid w:val="0047494B"/>
    <w:rsid w:val="00474A45"/>
    <w:rsid w:val="00476245"/>
    <w:rsid w:val="00477A9B"/>
    <w:rsid w:val="00481D66"/>
    <w:rsid w:val="00482AE4"/>
    <w:rsid w:val="00483035"/>
    <w:rsid w:val="0048348B"/>
    <w:rsid w:val="00483D4C"/>
    <w:rsid w:val="004843C4"/>
    <w:rsid w:val="00485940"/>
    <w:rsid w:val="00486C95"/>
    <w:rsid w:val="004876A3"/>
    <w:rsid w:val="004877C2"/>
    <w:rsid w:val="004904B9"/>
    <w:rsid w:val="004914BA"/>
    <w:rsid w:val="00491EDC"/>
    <w:rsid w:val="004928E1"/>
    <w:rsid w:val="00492D8D"/>
    <w:rsid w:val="0049562E"/>
    <w:rsid w:val="00496662"/>
    <w:rsid w:val="004A1431"/>
    <w:rsid w:val="004A16B1"/>
    <w:rsid w:val="004A1B57"/>
    <w:rsid w:val="004A1F0A"/>
    <w:rsid w:val="004A2484"/>
    <w:rsid w:val="004A3272"/>
    <w:rsid w:val="004A5A85"/>
    <w:rsid w:val="004A71D1"/>
    <w:rsid w:val="004A7C5B"/>
    <w:rsid w:val="004B1845"/>
    <w:rsid w:val="004B2348"/>
    <w:rsid w:val="004B2E01"/>
    <w:rsid w:val="004B2E98"/>
    <w:rsid w:val="004B5640"/>
    <w:rsid w:val="004B6084"/>
    <w:rsid w:val="004BCF29"/>
    <w:rsid w:val="004C0206"/>
    <w:rsid w:val="004C03D0"/>
    <w:rsid w:val="004C1BD7"/>
    <w:rsid w:val="004C1BF2"/>
    <w:rsid w:val="004C239C"/>
    <w:rsid w:val="004C31FE"/>
    <w:rsid w:val="004C33B8"/>
    <w:rsid w:val="004C3847"/>
    <w:rsid w:val="004C524C"/>
    <w:rsid w:val="004C5EDD"/>
    <w:rsid w:val="004C5FFA"/>
    <w:rsid w:val="004C691D"/>
    <w:rsid w:val="004C6993"/>
    <w:rsid w:val="004C6C07"/>
    <w:rsid w:val="004C70FA"/>
    <w:rsid w:val="004C7E15"/>
    <w:rsid w:val="004C7EC6"/>
    <w:rsid w:val="004D05BD"/>
    <w:rsid w:val="004D2CD1"/>
    <w:rsid w:val="004D365C"/>
    <w:rsid w:val="004D474F"/>
    <w:rsid w:val="004D4FF6"/>
    <w:rsid w:val="004D5ADD"/>
    <w:rsid w:val="004E0CC3"/>
    <w:rsid w:val="004E692D"/>
    <w:rsid w:val="004E7230"/>
    <w:rsid w:val="004E7D87"/>
    <w:rsid w:val="004F052D"/>
    <w:rsid w:val="004F2553"/>
    <w:rsid w:val="004F306A"/>
    <w:rsid w:val="004F5D7F"/>
    <w:rsid w:val="004F67EB"/>
    <w:rsid w:val="00501554"/>
    <w:rsid w:val="00502AFE"/>
    <w:rsid w:val="00502E64"/>
    <w:rsid w:val="00503AD7"/>
    <w:rsid w:val="00503E89"/>
    <w:rsid w:val="00503EEC"/>
    <w:rsid w:val="00504940"/>
    <w:rsid w:val="00504CEC"/>
    <w:rsid w:val="00504E0C"/>
    <w:rsid w:val="00504E13"/>
    <w:rsid w:val="005109D4"/>
    <w:rsid w:val="0051188A"/>
    <w:rsid w:val="0051230A"/>
    <w:rsid w:val="00514CD7"/>
    <w:rsid w:val="005167EC"/>
    <w:rsid w:val="005170DA"/>
    <w:rsid w:val="00520059"/>
    <w:rsid w:val="00520D6A"/>
    <w:rsid w:val="00522DB6"/>
    <w:rsid w:val="00523342"/>
    <w:rsid w:val="00523C58"/>
    <w:rsid w:val="005264A7"/>
    <w:rsid w:val="00526724"/>
    <w:rsid w:val="0052792D"/>
    <w:rsid w:val="005303C4"/>
    <w:rsid w:val="005319B2"/>
    <w:rsid w:val="00532402"/>
    <w:rsid w:val="00532C74"/>
    <w:rsid w:val="00533239"/>
    <w:rsid w:val="00534E2E"/>
    <w:rsid w:val="00535133"/>
    <w:rsid w:val="00537712"/>
    <w:rsid w:val="0054064C"/>
    <w:rsid w:val="005428B7"/>
    <w:rsid w:val="0054375E"/>
    <w:rsid w:val="005441CC"/>
    <w:rsid w:val="00544552"/>
    <w:rsid w:val="00545130"/>
    <w:rsid w:val="00546B36"/>
    <w:rsid w:val="00547891"/>
    <w:rsid w:val="0055286A"/>
    <w:rsid w:val="00555745"/>
    <w:rsid w:val="00557D4F"/>
    <w:rsid w:val="0056122E"/>
    <w:rsid w:val="005622B0"/>
    <w:rsid w:val="0056484E"/>
    <w:rsid w:val="005658B1"/>
    <w:rsid w:val="00565999"/>
    <w:rsid w:val="00566DD7"/>
    <w:rsid w:val="00567D8A"/>
    <w:rsid w:val="00570231"/>
    <w:rsid w:val="005714B7"/>
    <w:rsid w:val="005764CD"/>
    <w:rsid w:val="00577C4D"/>
    <w:rsid w:val="005800A9"/>
    <w:rsid w:val="005804DC"/>
    <w:rsid w:val="00580532"/>
    <w:rsid w:val="00581932"/>
    <w:rsid w:val="00583002"/>
    <w:rsid w:val="00587964"/>
    <w:rsid w:val="005903BB"/>
    <w:rsid w:val="00593413"/>
    <w:rsid w:val="00593893"/>
    <w:rsid w:val="00593F3C"/>
    <w:rsid w:val="00593FF3"/>
    <w:rsid w:val="005963BB"/>
    <w:rsid w:val="0059645C"/>
    <w:rsid w:val="00596D37"/>
    <w:rsid w:val="005A15D2"/>
    <w:rsid w:val="005A289D"/>
    <w:rsid w:val="005A3173"/>
    <w:rsid w:val="005A3223"/>
    <w:rsid w:val="005A366A"/>
    <w:rsid w:val="005A3DA3"/>
    <w:rsid w:val="005A52C4"/>
    <w:rsid w:val="005A5978"/>
    <w:rsid w:val="005A63A1"/>
    <w:rsid w:val="005B0486"/>
    <w:rsid w:val="005B1032"/>
    <w:rsid w:val="005B1473"/>
    <w:rsid w:val="005B36FA"/>
    <w:rsid w:val="005B486D"/>
    <w:rsid w:val="005B5F19"/>
    <w:rsid w:val="005B6F97"/>
    <w:rsid w:val="005C3741"/>
    <w:rsid w:val="005C4F73"/>
    <w:rsid w:val="005C69CD"/>
    <w:rsid w:val="005D03AB"/>
    <w:rsid w:val="005D3788"/>
    <w:rsid w:val="005D3F3A"/>
    <w:rsid w:val="005D401D"/>
    <w:rsid w:val="005D5017"/>
    <w:rsid w:val="005D5708"/>
    <w:rsid w:val="005D63FA"/>
    <w:rsid w:val="005D643D"/>
    <w:rsid w:val="005D73C7"/>
    <w:rsid w:val="005E0C2D"/>
    <w:rsid w:val="005E0D82"/>
    <w:rsid w:val="005E0F59"/>
    <w:rsid w:val="005E1333"/>
    <w:rsid w:val="005E3136"/>
    <w:rsid w:val="005E3D2F"/>
    <w:rsid w:val="005E4915"/>
    <w:rsid w:val="005E500A"/>
    <w:rsid w:val="005E507D"/>
    <w:rsid w:val="005E6542"/>
    <w:rsid w:val="005F0AD0"/>
    <w:rsid w:val="005F0C3F"/>
    <w:rsid w:val="005F3A73"/>
    <w:rsid w:val="005F4A4A"/>
    <w:rsid w:val="00601A91"/>
    <w:rsid w:val="00602BA3"/>
    <w:rsid w:val="00605B63"/>
    <w:rsid w:val="00605F9A"/>
    <w:rsid w:val="00606442"/>
    <w:rsid w:val="00606EED"/>
    <w:rsid w:val="00607DDB"/>
    <w:rsid w:val="00607EEA"/>
    <w:rsid w:val="00610A97"/>
    <w:rsid w:val="00611F5B"/>
    <w:rsid w:val="00612034"/>
    <w:rsid w:val="00612A95"/>
    <w:rsid w:val="00612E34"/>
    <w:rsid w:val="00614159"/>
    <w:rsid w:val="006158A3"/>
    <w:rsid w:val="00616C5F"/>
    <w:rsid w:val="00616DAC"/>
    <w:rsid w:val="00617725"/>
    <w:rsid w:val="00617C00"/>
    <w:rsid w:val="0062414A"/>
    <w:rsid w:val="00624CFE"/>
    <w:rsid w:val="006263BF"/>
    <w:rsid w:val="00626959"/>
    <w:rsid w:val="0062748A"/>
    <w:rsid w:val="00630546"/>
    <w:rsid w:val="00630A2C"/>
    <w:rsid w:val="00632BD0"/>
    <w:rsid w:val="006344A2"/>
    <w:rsid w:val="00634A75"/>
    <w:rsid w:val="006364B1"/>
    <w:rsid w:val="0063682E"/>
    <w:rsid w:val="00640088"/>
    <w:rsid w:val="00642672"/>
    <w:rsid w:val="006426D5"/>
    <w:rsid w:val="00642DA8"/>
    <w:rsid w:val="006436CD"/>
    <w:rsid w:val="00647C2A"/>
    <w:rsid w:val="00650976"/>
    <w:rsid w:val="00651169"/>
    <w:rsid w:val="006520E3"/>
    <w:rsid w:val="00653D69"/>
    <w:rsid w:val="0065461A"/>
    <w:rsid w:val="006552E6"/>
    <w:rsid w:val="00655640"/>
    <w:rsid w:val="00655794"/>
    <w:rsid w:val="00656F2F"/>
    <w:rsid w:val="00657C63"/>
    <w:rsid w:val="00661CBC"/>
    <w:rsid w:val="00662B85"/>
    <w:rsid w:val="00663620"/>
    <w:rsid w:val="0066678B"/>
    <w:rsid w:val="0066686B"/>
    <w:rsid w:val="006670B3"/>
    <w:rsid w:val="006670BE"/>
    <w:rsid w:val="00670A76"/>
    <w:rsid w:val="00670B39"/>
    <w:rsid w:val="006711AA"/>
    <w:rsid w:val="0067252E"/>
    <w:rsid w:val="00672614"/>
    <w:rsid w:val="00672B57"/>
    <w:rsid w:val="00673F1F"/>
    <w:rsid w:val="00674C55"/>
    <w:rsid w:val="00675622"/>
    <w:rsid w:val="00675DEB"/>
    <w:rsid w:val="0067747D"/>
    <w:rsid w:val="00677CB7"/>
    <w:rsid w:val="006818D5"/>
    <w:rsid w:val="00681CA4"/>
    <w:rsid w:val="00682AA1"/>
    <w:rsid w:val="00684FF4"/>
    <w:rsid w:val="00686559"/>
    <w:rsid w:val="0069039D"/>
    <w:rsid w:val="006906DB"/>
    <w:rsid w:val="00691900"/>
    <w:rsid w:val="00691E6C"/>
    <w:rsid w:val="00693425"/>
    <w:rsid w:val="0069342D"/>
    <w:rsid w:val="00693DFB"/>
    <w:rsid w:val="00694FD5"/>
    <w:rsid w:val="0069501D"/>
    <w:rsid w:val="00696129"/>
    <w:rsid w:val="00697253"/>
    <w:rsid w:val="00697CF2"/>
    <w:rsid w:val="006A12A5"/>
    <w:rsid w:val="006A1478"/>
    <w:rsid w:val="006A2515"/>
    <w:rsid w:val="006A4EC6"/>
    <w:rsid w:val="006A572D"/>
    <w:rsid w:val="006A5E20"/>
    <w:rsid w:val="006B0D94"/>
    <w:rsid w:val="006B16B6"/>
    <w:rsid w:val="006B39B8"/>
    <w:rsid w:val="006B3EDB"/>
    <w:rsid w:val="006B405D"/>
    <w:rsid w:val="006B4609"/>
    <w:rsid w:val="006B485D"/>
    <w:rsid w:val="006B7DDA"/>
    <w:rsid w:val="006C0C45"/>
    <w:rsid w:val="006C1031"/>
    <w:rsid w:val="006C1C9C"/>
    <w:rsid w:val="006C233A"/>
    <w:rsid w:val="006C2806"/>
    <w:rsid w:val="006C334C"/>
    <w:rsid w:val="006C5998"/>
    <w:rsid w:val="006C6C10"/>
    <w:rsid w:val="006C708E"/>
    <w:rsid w:val="006C75DD"/>
    <w:rsid w:val="006D14E7"/>
    <w:rsid w:val="006D4444"/>
    <w:rsid w:val="006D6493"/>
    <w:rsid w:val="006D6EC7"/>
    <w:rsid w:val="006D7B05"/>
    <w:rsid w:val="006D7E16"/>
    <w:rsid w:val="006D7E45"/>
    <w:rsid w:val="006E1143"/>
    <w:rsid w:val="006E1BCD"/>
    <w:rsid w:val="006E2732"/>
    <w:rsid w:val="006E37A3"/>
    <w:rsid w:val="006E59CD"/>
    <w:rsid w:val="006F00ED"/>
    <w:rsid w:val="006F026F"/>
    <w:rsid w:val="006F0A71"/>
    <w:rsid w:val="006F1C6B"/>
    <w:rsid w:val="006F40C2"/>
    <w:rsid w:val="006F5125"/>
    <w:rsid w:val="006F733D"/>
    <w:rsid w:val="00700765"/>
    <w:rsid w:val="00702959"/>
    <w:rsid w:val="00702B6F"/>
    <w:rsid w:val="007030B4"/>
    <w:rsid w:val="00703B86"/>
    <w:rsid w:val="00704069"/>
    <w:rsid w:val="00704A75"/>
    <w:rsid w:val="00706A2F"/>
    <w:rsid w:val="00706E5D"/>
    <w:rsid w:val="0070718E"/>
    <w:rsid w:val="00707E52"/>
    <w:rsid w:val="00710259"/>
    <w:rsid w:val="0071031F"/>
    <w:rsid w:val="00710737"/>
    <w:rsid w:val="00710FC4"/>
    <w:rsid w:val="007117EA"/>
    <w:rsid w:val="007124D5"/>
    <w:rsid w:val="00712714"/>
    <w:rsid w:val="0071340B"/>
    <w:rsid w:val="00713C50"/>
    <w:rsid w:val="007142DE"/>
    <w:rsid w:val="0071436D"/>
    <w:rsid w:val="007158BE"/>
    <w:rsid w:val="00715BBB"/>
    <w:rsid w:val="00715C77"/>
    <w:rsid w:val="007174BB"/>
    <w:rsid w:val="0072025D"/>
    <w:rsid w:val="00720812"/>
    <w:rsid w:val="00720A9D"/>
    <w:rsid w:val="00722CB8"/>
    <w:rsid w:val="00723328"/>
    <w:rsid w:val="007237DE"/>
    <w:rsid w:val="0072502E"/>
    <w:rsid w:val="00725ADE"/>
    <w:rsid w:val="00731041"/>
    <w:rsid w:val="0073137C"/>
    <w:rsid w:val="0073203B"/>
    <w:rsid w:val="007340B9"/>
    <w:rsid w:val="007353D3"/>
    <w:rsid w:val="00736E07"/>
    <w:rsid w:val="00736EB2"/>
    <w:rsid w:val="0073736F"/>
    <w:rsid w:val="00737447"/>
    <w:rsid w:val="0074156B"/>
    <w:rsid w:val="00741619"/>
    <w:rsid w:val="00742885"/>
    <w:rsid w:val="00744E5A"/>
    <w:rsid w:val="00747092"/>
    <w:rsid w:val="007477FF"/>
    <w:rsid w:val="00750467"/>
    <w:rsid w:val="00750FCE"/>
    <w:rsid w:val="007526E6"/>
    <w:rsid w:val="00753EC2"/>
    <w:rsid w:val="00754DF9"/>
    <w:rsid w:val="0075544C"/>
    <w:rsid w:val="007555E8"/>
    <w:rsid w:val="00755CC5"/>
    <w:rsid w:val="00756ED8"/>
    <w:rsid w:val="00762862"/>
    <w:rsid w:val="00763501"/>
    <w:rsid w:val="0076420C"/>
    <w:rsid w:val="00770758"/>
    <w:rsid w:val="0077162F"/>
    <w:rsid w:val="00771D07"/>
    <w:rsid w:val="00772649"/>
    <w:rsid w:val="007728B9"/>
    <w:rsid w:val="00773BE3"/>
    <w:rsid w:val="007743DD"/>
    <w:rsid w:val="00774A3D"/>
    <w:rsid w:val="00774E2C"/>
    <w:rsid w:val="0077503C"/>
    <w:rsid w:val="0077518D"/>
    <w:rsid w:val="007753C2"/>
    <w:rsid w:val="00776068"/>
    <w:rsid w:val="0077645C"/>
    <w:rsid w:val="00777401"/>
    <w:rsid w:val="00780A6B"/>
    <w:rsid w:val="007831F4"/>
    <w:rsid w:val="007838B8"/>
    <w:rsid w:val="00785273"/>
    <w:rsid w:val="00785779"/>
    <w:rsid w:val="00786247"/>
    <w:rsid w:val="00787F2F"/>
    <w:rsid w:val="00787FD8"/>
    <w:rsid w:val="007915BA"/>
    <w:rsid w:val="00791844"/>
    <w:rsid w:val="00793CE9"/>
    <w:rsid w:val="00796667"/>
    <w:rsid w:val="00797068"/>
    <w:rsid w:val="0079721D"/>
    <w:rsid w:val="007979BD"/>
    <w:rsid w:val="007A3D8E"/>
    <w:rsid w:val="007A529F"/>
    <w:rsid w:val="007A5C88"/>
    <w:rsid w:val="007A618F"/>
    <w:rsid w:val="007A6A2F"/>
    <w:rsid w:val="007B024E"/>
    <w:rsid w:val="007B27DA"/>
    <w:rsid w:val="007B363D"/>
    <w:rsid w:val="007B3BAF"/>
    <w:rsid w:val="007B3DDC"/>
    <w:rsid w:val="007B49D8"/>
    <w:rsid w:val="007B72A6"/>
    <w:rsid w:val="007C06D2"/>
    <w:rsid w:val="007C08E0"/>
    <w:rsid w:val="007C0F57"/>
    <w:rsid w:val="007C2F4B"/>
    <w:rsid w:val="007C32BF"/>
    <w:rsid w:val="007C3BA2"/>
    <w:rsid w:val="007C40B6"/>
    <w:rsid w:val="007C5975"/>
    <w:rsid w:val="007C729F"/>
    <w:rsid w:val="007C72AD"/>
    <w:rsid w:val="007C759F"/>
    <w:rsid w:val="007D503D"/>
    <w:rsid w:val="007D59E7"/>
    <w:rsid w:val="007D5F2A"/>
    <w:rsid w:val="007D75A9"/>
    <w:rsid w:val="007E07AC"/>
    <w:rsid w:val="007E1014"/>
    <w:rsid w:val="007E12F8"/>
    <w:rsid w:val="007E1C04"/>
    <w:rsid w:val="007E1D28"/>
    <w:rsid w:val="007E4564"/>
    <w:rsid w:val="007E490F"/>
    <w:rsid w:val="007E6533"/>
    <w:rsid w:val="007E653F"/>
    <w:rsid w:val="007F0021"/>
    <w:rsid w:val="007F1567"/>
    <w:rsid w:val="007F2641"/>
    <w:rsid w:val="007F57A2"/>
    <w:rsid w:val="007F5838"/>
    <w:rsid w:val="007F7C36"/>
    <w:rsid w:val="007F7F45"/>
    <w:rsid w:val="0080001F"/>
    <w:rsid w:val="00801958"/>
    <w:rsid w:val="0080219B"/>
    <w:rsid w:val="008055AF"/>
    <w:rsid w:val="008057CD"/>
    <w:rsid w:val="008066B8"/>
    <w:rsid w:val="00806796"/>
    <w:rsid w:val="00810167"/>
    <w:rsid w:val="008104D0"/>
    <w:rsid w:val="00811CC0"/>
    <w:rsid w:val="00814276"/>
    <w:rsid w:val="0081483B"/>
    <w:rsid w:val="008151D6"/>
    <w:rsid w:val="00816D11"/>
    <w:rsid w:val="00820803"/>
    <w:rsid w:val="00821527"/>
    <w:rsid w:val="008225CE"/>
    <w:rsid w:val="00822696"/>
    <w:rsid w:val="00824619"/>
    <w:rsid w:val="00825A6C"/>
    <w:rsid w:val="0082617E"/>
    <w:rsid w:val="008268BB"/>
    <w:rsid w:val="00826F6D"/>
    <w:rsid w:val="00827171"/>
    <w:rsid w:val="008306F3"/>
    <w:rsid w:val="00830E40"/>
    <w:rsid w:val="00832D9A"/>
    <w:rsid w:val="00835C62"/>
    <w:rsid w:val="008368A1"/>
    <w:rsid w:val="00840A20"/>
    <w:rsid w:val="00840EF7"/>
    <w:rsid w:val="0084323F"/>
    <w:rsid w:val="00844C0A"/>
    <w:rsid w:val="00846056"/>
    <w:rsid w:val="0084681F"/>
    <w:rsid w:val="00847D08"/>
    <w:rsid w:val="00847EC0"/>
    <w:rsid w:val="00854506"/>
    <w:rsid w:val="00855FD6"/>
    <w:rsid w:val="00856015"/>
    <w:rsid w:val="00856DDD"/>
    <w:rsid w:val="0085732A"/>
    <w:rsid w:val="00860233"/>
    <w:rsid w:val="00863E68"/>
    <w:rsid w:val="008647B5"/>
    <w:rsid w:val="00867D64"/>
    <w:rsid w:val="008714A3"/>
    <w:rsid w:val="0087204B"/>
    <w:rsid w:val="00872E8F"/>
    <w:rsid w:val="00873DAE"/>
    <w:rsid w:val="00874FA4"/>
    <w:rsid w:val="00875DCB"/>
    <w:rsid w:val="00876FBF"/>
    <w:rsid w:val="0087755A"/>
    <w:rsid w:val="00882085"/>
    <w:rsid w:val="00883188"/>
    <w:rsid w:val="00884A0C"/>
    <w:rsid w:val="00886ACA"/>
    <w:rsid w:val="00886B01"/>
    <w:rsid w:val="0089031E"/>
    <w:rsid w:val="0089109A"/>
    <w:rsid w:val="00893D5C"/>
    <w:rsid w:val="0089460B"/>
    <w:rsid w:val="00896823"/>
    <w:rsid w:val="00897D58"/>
    <w:rsid w:val="00897F22"/>
    <w:rsid w:val="008A0B39"/>
    <w:rsid w:val="008A17A3"/>
    <w:rsid w:val="008A18F6"/>
    <w:rsid w:val="008A1956"/>
    <w:rsid w:val="008A1E85"/>
    <w:rsid w:val="008A2419"/>
    <w:rsid w:val="008A4937"/>
    <w:rsid w:val="008A50F1"/>
    <w:rsid w:val="008A59D9"/>
    <w:rsid w:val="008A643E"/>
    <w:rsid w:val="008A6819"/>
    <w:rsid w:val="008A7671"/>
    <w:rsid w:val="008A7F8E"/>
    <w:rsid w:val="008B007A"/>
    <w:rsid w:val="008B0C7E"/>
    <w:rsid w:val="008B2EC0"/>
    <w:rsid w:val="008B5E6D"/>
    <w:rsid w:val="008B6DCF"/>
    <w:rsid w:val="008C4D49"/>
    <w:rsid w:val="008C6247"/>
    <w:rsid w:val="008C7784"/>
    <w:rsid w:val="008D0945"/>
    <w:rsid w:val="008D1409"/>
    <w:rsid w:val="008D15CC"/>
    <w:rsid w:val="008D1729"/>
    <w:rsid w:val="008D1B5C"/>
    <w:rsid w:val="008D3C82"/>
    <w:rsid w:val="008D447E"/>
    <w:rsid w:val="008D68B8"/>
    <w:rsid w:val="008D6ACF"/>
    <w:rsid w:val="008D7A41"/>
    <w:rsid w:val="008E02E5"/>
    <w:rsid w:val="008E27CC"/>
    <w:rsid w:val="008E2C72"/>
    <w:rsid w:val="008E3680"/>
    <w:rsid w:val="008E3DDB"/>
    <w:rsid w:val="008E4D4E"/>
    <w:rsid w:val="008E4F87"/>
    <w:rsid w:val="008E5870"/>
    <w:rsid w:val="008E77E4"/>
    <w:rsid w:val="008F0213"/>
    <w:rsid w:val="008F07ED"/>
    <w:rsid w:val="008F11F8"/>
    <w:rsid w:val="008F1434"/>
    <w:rsid w:val="008F2BB9"/>
    <w:rsid w:val="008F3B3F"/>
    <w:rsid w:val="008F3D6A"/>
    <w:rsid w:val="008F54C3"/>
    <w:rsid w:val="008F7355"/>
    <w:rsid w:val="00901A04"/>
    <w:rsid w:val="009023DC"/>
    <w:rsid w:val="009027C5"/>
    <w:rsid w:val="00904413"/>
    <w:rsid w:val="009067B7"/>
    <w:rsid w:val="00906E7A"/>
    <w:rsid w:val="00906E7F"/>
    <w:rsid w:val="0090775A"/>
    <w:rsid w:val="00907DFD"/>
    <w:rsid w:val="00913C99"/>
    <w:rsid w:val="00917D69"/>
    <w:rsid w:val="00917DB0"/>
    <w:rsid w:val="00920B6D"/>
    <w:rsid w:val="00926560"/>
    <w:rsid w:val="00926B15"/>
    <w:rsid w:val="00930291"/>
    <w:rsid w:val="00930937"/>
    <w:rsid w:val="009324A6"/>
    <w:rsid w:val="00933B7D"/>
    <w:rsid w:val="00933E6C"/>
    <w:rsid w:val="00935A6E"/>
    <w:rsid w:val="00937958"/>
    <w:rsid w:val="00940414"/>
    <w:rsid w:val="009406E5"/>
    <w:rsid w:val="00941602"/>
    <w:rsid w:val="00942160"/>
    <w:rsid w:val="00946921"/>
    <w:rsid w:val="00947343"/>
    <w:rsid w:val="00950787"/>
    <w:rsid w:val="0095146F"/>
    <w:rsid w:val="00951F2D"/>
    <w:rsid w:val="0095222E"/>
    <w:rsid w:val="00952839"/>
    <w:rsid w:val="0095320B"/>
    <w:rsid w:val="0095344C"/>
    <w:rsid w:val="009534C7"/>
    <w:rsid w:val="009537ED"/>
    <w:rsid w:val="0095545B"/>
    <w:rsid w:val="00957944"/>
    <w:rsid w:val="009602C5"/>
    <w:rsid w:val="0096103A"/>
    <w:rsid w:val="00962223"/>
    <w:rsid w:val="0096252B"/>
    <w:rsid w:val="009644D9"/>
    <w:rsid w:val="00964A9F"/>
    <w:rsid w:val="00966D0D"/>
    <w:rsid w:val="00967732"/>
    <w:rsid w:val="0096783C"/>
    <w:rsid w:val="00970023"/>
    <w:rsid w:val="009722B3"/>
    <w:rsid w:val="009731F8"/>
    <w:rsid w:val="00973E24"/>
    <w:rsid w:val="00974C21"/>
    <w:rsid w:val="00974D5F"/>
    <w:rsid w:val="00975948"/>
    <w:rsid w:val="009772FD"/>
    <w:rsid w:val="00977BF3"/>
    <w:rsid w:val="009803E4"/>
    <w:rsid w:val="00980B0E"/>
    <w:rsid w:val="00982B39"/>
    <w:rsid w:val="009836A3"/>
    <w:rsid w:val="00984A67"/>
    <w:rsid w:val="00984C58"/>
    <w:rsid w:val="009855A8"/>
    <w:rsid w:val="00985CBE"/>
    <w:rsid w:val="00985D1A"/>
    <w:rsid w:val="00990CF8"/>
    <w:rsid w:val="009913F4"/>
    <w:rsid w:val="00991782"/>
    <w:rsid w:val="00991A54"/>
    <w:rsid w:val="009937F7"/>
    <w:rsid w:val="0099465B"/>
    <w:rsid w:val="009951A1"/>
    <w:rsid w:val="009963A9"/>
    <w:rsid w:val="00997A44"/>
    <w:rsid w:val="00997B02"/>
    <w:rsid w:val="009A0CDD"/>
    <w:rsid w:val="009A3168"/>
    <w:rsid w:val="009A4621"/>
    <w:rsid w:val="009A4BDF"/>
    <w:rsid w:val="009A5D04"/>
    <w:rsid w:val="009A61CA"/>
    <w:rsid w:val="009B000D"/>
    <w:rsid w:val="009B0062"/>
    <w:rsid w:val="009B0C64"/>
    <w:rsid w:val="009B0F67"/>
    <w:rsid w:val="009B208A"/>
    <w:rsid w:val="009B2756"/>
    <w:rsid w:val="009B3D56"/>
    <w:rsid w:val="009B3F8C"/>
    <w:rsid w:val="009B533B"/>
    <w:rsid w:val="009B546B"/>
    <w:rsid w:val="009B7E3F"/>
    <w:rsid w:val="009C0C6D"/>
    <w:rsid w:val="009C26AA"/>
    <w:rsid w:val="009C6B78"/>
    <w:rsid w:val="009C703C"/>
    <w:rsid w:val="009D0C29"/>
    <w:rsid w:val="009D137C"/>
    <w:rsid w:val="009D206E"/>
    <w:rsid w:val="009D3CAA"/>
    <w:rsid w:val="009D507A"/>
    <w:rsid w:val="009D6532"/>
    <w:rsid w:val="009D71FD"/>
    <w:rsid w:val="009E06F0"/>
    <w:rsid w:val="009E0755"/>
    <w:rsid w:val="009E0EF5"/>
    <w:rsid w:val="009E10AD"/>
    <w:rsid w:val="009E2588"/>
    <w:rsid w:val="009E2D92"/>
    <w:rsid w:val="009E2E8E"/>
    <w:rsid w:val="009E40E1"/>
    <w:rsid w:val="009F0EFA"/>
    <w:rsid w:val="009F3B0F"/>
    <w:rsid w:val="009F4E46"/>
    <w:rsid w:val="009F5B65"/>
    <w:rsid w:val="009F5F2E"/>
    <w:rsid w:val="00A01432"/>
    <w:rsid w:val="00A05508"/>
    <w:rsid w:val="00A05914"/>
    <w:rsid w:val="00A06225"/>
    <w:rsid w:val="00A066E6"/>
    <w:rsid w:val="00A110D1"/>
    <w:rsid w:val="00A12587"/>
    <w:rsid w:val="00A128E6"/>
    <w:rsid w:val="00A13CDF"/>
    <w:rsid w:val="00A144D3"/>
    <w:rsid w:val="00A17EA7"/>
    <w:rsid w:val="00A21D7D"/>
    <w:rsid w:val="00A22AC3"/>
    <w:rsid w:val="00A2351E"/>
    <w:rsid w:val="00A2376D"/>
    <w:rsid w:val="00A23F3F"/>
    <w:rsid w:val="00A24067"/>
    <w:rsid w:val="00A24A4B"/>
    <w:rsid w:val="00A24BC7"/>
    <w:rsid w:val="00A2744D"/>
    <w:rsid w:val="00A30D16"/>
    <w:rsid w:val="00A3333A"/>
    <w:rsid w:val="00A33EB7"/>
    <w:rsid w:val="00A34E6C"/>
    <w:rsid w:val="00A34FD0"/>
    <w:rsid w:val="00A36398"/>
    <w:rsid w:val="00A37C8D"/>
    <w:rsid w:val="00A4020E"/>
    <w:rsid w:val="00A40493"/>
    <w:rsid w:val="00A408E8"/>
    <w:rsid w:val="00A40FB5"/>
    <w:rsid w:val="00A42826"/>
    <w:rsid w:val="00A429B3"/>
    <w:rsid w:val="00A43248"/>
    <w:rsid w:val="00A44EC1"/>
    <w:rsid w:val="00A451DB"/>
    <w:rsid w:val="00A510E4"/>
    <w:rsid w:val="00A516DA"/>
    <w:rsid w:val="00A51F8C"/>
    <w:rsid w:val="00A526F7"/>
    <w:rsid w:val="00A5273B"/>
    <w:rsid w:val="00A53A9D"/>
    <w:rsid w:val="00A55FEE"/>
    <w:rsid w:val="00A57422"/>
    <w:rsid w:val="00A62C1A"/>
    <w:rsid w:val="00A639D2"/>
    <w:rsid w:val="00A63CA2"/>
    <w:rsid w:val="00A6426D"/>
    <w:rsid w:val="00A661C3"/>
    <w:rsid w:val="00A665C1"/>
    <w:rsid w:val="00A673A4"/>
    <w:rsid w:val="00A7001A"/>
    <w:rsid w:val="00A70622"/>
    <w:rsid w:val="00A70977"/>
    <w:rsid w:val="00A70D58"/>
    <w:rsid w:val="00A72CF8"/>
    <w:rsid w:val="00A744F9"/>
    <w:rsid w:val="00A753A1"/>
    <w:rsid w:val="00A75AF7"/>
    <w:rsid w:val="00A77613"/>
    <w:rsid w:val="00A77B87"/>
    <w:rsid w:val="00A77E01"/>
    <w:rsid w:val="00A801AD"/>
    <w:rsid w:val="00A81851"/>
    <w:rsid w:val="00A81DBA"/>
    <w:rsid w:val="00A8390C"/>
    <w:rsid w:val="00A84751"/>
    <w:rsid w:val="00A8614B"/>
    <w:rsid w:val="00A86AE0"/>
    <w:rsid w:val="00A87B57"/>
    <w:rsid w:val="00A909EE"/>
    <w:rsid w:val="00A912B0"/>
    <w:rsid w:val="00A91362"/>
    <w:rsid w:val="00A9151C"/>
    <w:rsid w:val="00A919C6"/>
    <w:rsid w:val="00A928BD"/>
    <w:rsid w:val="00A92D61"/>
    <w:rsid w:val="00A93F62"/>
    <w:rsid w:val="00A97DE9"/>
    <w:rsid w:val="00AA12CD"/>
    <w:rsid w:val="00AA4D1C"/>
    <w:rsid w:val="00AA52FD"/>
    <w:rsid w:val="00AA7006"/>
    <w:rsid w:val="00AA7B17"/>
    <w:rsid w:val="00AB3138"/>
    <w:rsid w:val="00AB4684"/>
    <w:rsid w:val="00AB5856"/>
    <w:rsid w:val="00AC081D"/>
    <w:rsid w:val="00AC0C6F"/>
    <w:rsid w:val="00AC1266"/>
    <w:rsid w:val="00AC193C"/>
    <w:rsid w:val="00AC30C1"/>
    <w:rsid w:val="00AC4DE5"/>
    <w:rsid w:val="00AC5206"/>
    <w:rsid w:val="00AC58E2"/>
    <w:rsid w:val="00AC5925"/>
    <w:rsid w:val="00AC6E66"/>
    <w:rsid w:val="00AD095B"/>
    <w:rsid w:val="00AD1567"/>
    <w:rsid w:val="00AD2359"/>
    <w:rsid w:val="00AD3106"/>
    <w:rsid w:val="00AD41FE"/>
    <w:rsid w:val="00AD4322"/>
    <w:rsid w:val="00AD5AB1"/>
    <w:rsid w:val="00AD71A2"/>
    <w:rsid w:val="00AD7E78"/>
    <w:rsid w:val="00AE11A5"/>
    <w:rsid w:val="00AE13E2"/>
    <w:rsid w:val="00AE22D3"/>
    <w:rsid w:val="00AE5A49"/>
    <w:rsid w:val="00AE5E65"/>
    <w:rsid w:val="00AF03E6"/>
    <w:rsid w:val="00AF11D8"/>
    <w:rsid w:val="00AF5867"/>
    <w:rsid w:val="00AF62DF"/>
    <w:rsid w:val="00AF68CC"/>
    <w:rsid w:val="00AF70D7"/>
    <w:rsid w:val="00B00086"/>
    <w:rsid w:val="00B00CD0"/>
    <w:rsid w:val="00B00E7F"/>
    <w:rsid w:val="00B01FF4"/>
    <w:rsid w:val="00B024BA"/>
    <w:rsid w:val="00B0326D"/>
    <w:rsid w:val="00B06037"/>
    <w:rsid w:val="00B06478"/>
    <w:rsid w:val="00B06833"/>
    <w:rsid w:val="00B07533"/>
    <w:rsid w:val="00B0756C"/>
    <w:rsid w:val="00B07CFB"/>
    <w:rsid w:val="00B1059E"/>
    <w:rsid w:val="00B11854"/>
    <w:rsid w:val="00B140BD"/>
    <w:rsid w:val="00B145FA"/>
    <w:rsid w:val="00B14A36"/>
    <w:rsid w:val="00B16273"/>
    <w:rsid w:val="00B170A5"/>
    <w:rsid w:val="00B1725F"/>
    <w:rsid w:val="00B176C8"/>
    <w:rsid w:val="00B17EE5"/>
    <w:rsid w:val="00B205AA"/>
    <w:rsid w:val="00B2100A"/>
    <w:rsid w:val="00B210A4"/>
    <w:rsid w:val="00B21A91"/>
    <w:rsid w:val="00B22CDE"/>
    <w:rsid w:val="00B22E84"/>
    <w:rsid w:val="00B23303"/>
    <w:rsid w:val="00B233AD"/>
    <w:rsid w:val="00B23E25"/>
    <w:rsid w:val="00B243E5"/>
    <w:rsid w:val="00B252BE"/>
    <w:rsid w:val="00B25F75"/>
    <w:rsid w:val="00B26B3F"/>
    <w:rsid w:val="00B2778F"/>
    <w:rsid w:val="00B318BD"/>
    <w:rsid w:val="00B324EE"/>
    <w:rsid w:val="00B327E2"/>
    <w:rsid w:val="00B33635"/>
    <w:rsid w:val="00B35B1C"/>
    <w:rsid w:val="00B37A23"/>
    <w:rsid w:val="00B37CF8"/>
    <w:rsid w:val="00B400CB"/>
    <w:rsid w:val="00B404AF"/>
    <w:rsid w:val="00B40E26"/>
    <w:rsid w:val="00B42AF4"/>
    <w:rsid w:val="00B43E90"/>
    <w:rsid w:val="00B44308"/>
    <w:rsid w:val="00B45722"/>
    <w:rsid w:val="00B45CFA"/>
    <w:rsid w:val="00B460F4"/>
    <w:rsid w:val="00B467DC"/>
    <w:rsid w:val="00B47947"/>
    <w:rsid w:val="00B47A88"/>
    <w:rsid w:val="00B52303"/>
    <w:rsid w:val="00B5392A"/>
    <w:rsid w:val="00B539EF"/>
    <w:rsid w:val="00B56118"/>
    <w:rsid w:val="00B566E1"/>
    <w:rsid w:val="00B56AFB"/>
    <w:rsid w:val="00B5756F"/>
    <w:rsid w:val="00B602F6"/>
    <w:rsid w:val="00B62EC1"/>
    <w:rsid w:val="00B63D77"/>
    <w:rsid w:val="00B64A96"/>
    <w:rsid w:val="00B6533B"/>
    <w:rsid w:val="00B65F46"/>
    <w:rsid w:val="00B67612"/>
    <w:rsid w:val="00B6773F"/>
    <w:rsid w:val="00B70EB3"/>
    <w:rsid w:val="00B7110F"/>
    <w:rsid w:val="00B7260E"/>
    <w:rsid w:val="00B72906"/>
    <w:rsid w:val="00B73C94"/>
    <w:rsid w:val="00B74D0F"/>
    <w:rsid w:val="00B74F48"/>
    <w:rsid w:val="00B7525E"/>
    <w:rsid w:val="00B75433"/>
    <w:rsid w:val="00B75F70"/>
    <w:rsid w:val="00B760FB"/>
    <w:rsid w:val="00B76765"/>
    <w:rsid w:val="00B767AB"/>
    <w:rsid w:val="00B801BA"/>
    <w:rsid w:val="00B8029D"/>
    <w:rsid w:val="00B80367"/>
    <w:rsid w:val="00B812D6"/>
    <w:rsid w:val="00B845A1"/>
    <w:rsid w:val="00B846E6"/>
    <w:rsid w:val="00B84D5C"/>
    <w:rsid w:val="00B85AF6"/>
    <w:rsid w:val="00B92E46"/>
    <w:rsid w:val="00B941ED"/>
    <w:rsid w:val="00B956ED"/>
    <w:rsid w:val="00B9668D"/>
    <w:rsid w:val="00BA2DA8"/>
    <w:rsid w:val="00BA347C"/>
    <w:rsid w:val="00BA4C79"/>
    <w:rsid w:val="00BA5090"/>
    <w:rsid w:val="00BA5315"/>
    <w:rsid w:val="00BA64E5"/>
    <w:rsid w:val="00BA68E6"/>
    <w:rsid w:val="00BB02E2"/>
    <w:rsid w:val="00BB0FB9"/>
    <w:rsid w:val="00BB298A"/>
    <w:rsid w:val="00BB3469"/>
    <w:rsid w:val="00BB5C49"/>
    <w:rsid w:val="00BB6240"/>
    <w:rsid w:val="00BB6285"/>
    <w:rsid w:val="00BB69F5"/>
    <w:rsid w:val="00BB6E48"/>
    <w:rsid w:val="00BB7EC3"/>
    <w:rsid w:val="00BC04B1"/>
    <w:rsid w:val="00BC2F6F"/>
    <w:rsid w:val="00BC35C0"/>
    <w:rsid w:val="00BC418C"/>
    <w:rsid w:val="00BC470E"/>
    <w:rsid w:val="00BC4B9A"/>
    <w:rsid w:val="00BC5560"/>
    <w:rsid w:val="00BD02C3"/>
    <w:rsid w:val="00BD3B85"/>
    <w:rsid w:val="00BD50CE"/>
    <w:rsid w:val="00BD7483"/>
    <w:rsid w:val="00BD784C"/>
    <w:rsid w:val="00BE020A"/>
    <w:rsid w:val="00BE13DF"/>
    <w:rsid w:val="00BE1EF0"/>
    <w:rsid w:val="00BE25D7"/>
    <w:rsid w:val="00BE66B8"/>
    <w:rsid w:val="00BE66E4"/>
    <w:rsid w:val="00BE6A34"/>
    <w:rsid w:val="00BF092C"/>
    <w:rsid w:val="00BF27A0"/>
    <w:rsid w:val="00BF4CB6"/>
    <w:rsid w:val="00BF51E1"/>
    <w:rsid w:val="00BF5456"/>
    <w:rsid w:val="00BF5B14"/>
    <w:rsid w:val="00BF5D23"/>
    <w:rsid w:val="00BF5EBB"/>
    <w:rsid w:val="00BF6CBD"/>
    <w:rsid w:val="00BF6FD4"/>
    <w:rsid w:val="00C00DA7"/>
    <w:rsid w:val="00C010B7"/>
    <w:rsid w:val="00C034FB"/>
    <w:rsid w:val="00C0402E"/>
    <w:rsid w:val="00C0492F"/>
    <w:rsid w:val="00C04CDE"/>
    <w:rsid w:val="00C059D5"/>
    <w:rsid w:val="00C06865"/>
    <w:rsid w:val="00C068A6"/>
    <w:rsid w:val="00C07F56"/>
    <w:rsid w:val="00C12768"/>
    <w:rsid w:val="00C12D70"/>
    <w:rsid w:val="00C16724"/>
    <w:rsid w:val="00C21AAB"/>
    <w:rsid w:val="00C21B09"/>
    <w:rsid w:val="00C23136"/>
    <w:rsid w:val="00C25CD5"/>
    <w:rsid w:val="00C25EFF"/>
    <w:rsid w:val="00C2673A"/>
    <w:rsid w:val="00C268AD"/>
    <w:rsid w:val="00C278CD"/>
    <w:rsid w:val="00C27B58"/>
    <w:rsid w:val="00C27C1C"/>
    <w:rsid w:val="00C3032B"/>
    <w:rsid w:val="00C30AFC"/>
    <w:rsid w:val="00C3166C"/>
    <w:rsid w:val="00C33186"/>
    <w:rsid w:val="00C35996"/>
    <w:rsid w:val="00C37028"/>
    <w:rsid w:val="00C42BCD"/>
    <w:rsid w:val="00C4485F"/>
    <w:rsid w:val="00C44D6A"/>
    <w:rsid w:val="00C460B9"/>
    <w:rsid w:val="00C46C13"/>
    <w:rsid w:val="00C4747E"/>
    <w:rsid w:val="00C50961"/>
    <w:rsid w:val="00C514EB"/>
    <w:rsid w:val="00C5151E"/>
    <w:rsid w:val="00C52256"/>
    <w:rsid w:val="00C5342C"/>
    <w:rsid w:val="00C53B2B"/>
    <w:rsid w:val="00C56D78"/>
    <w:rsid w:val="00C57465"/>
    <w:rsid w:val="00C60272"/>
    <w:rsid w:val="00C603D4"/>
    <w:rsid w:val="00C617B3"/>
    <w:rsid w:val="00C61E14"/>
    <w:rsid w:val="00C6256A"/>
    <w:rsid w:val="00C634D8"/>
    <w:rsid w:val="00C63FDA"/>
    <w:rsid w:val="00C646B4"/>
    <w:rsid w:val="00C64EBC"/>
    <w:rsid w:val="00C664D2"/>
    <w:rsid w:val="00C677E1"/>
    <w:rsid w:val="00C70E6E"/>
    <w:rsid w:val="00C710E2"/>
    <w:rsid w:val="00C71371"/>
    <w:rsid w:val="00C71C3F"/>
    <w:rsid w:val="00C71F76"/>
    <w:rsid w:val="00C7409E"/>
    <w:rsid w:val="00C74D6D"/>
    <w:rsid w:val="00C75C93"/>
    <w:rsid w:val="00C76E76"/>
    <w:rsid w:val="00C77891"/>
    <w:rsid w:val="00C77B74"/>
    <w:rsid w:val="00C801DD"/>
    <w:rsid w:val="00C82062"/>
    <w:rsid w:val="00C829A9"/>
    <w:rsid w:val="00C879E6"/>
    <w:rsid w:val="00C87B80"/>
    <w:rsid w:val="00C90330"/>
    <w:rsid w:val="00C91449"/>
    <w:rsid w:val="00C92D10"/>
    <w:rsid w:val="00C92F79"/>
    <w:rsid w:val="00C92FAD"/>
    <w:rsid w:val="00C95200"/>
    <w:rsid w:val="00C96EC0"/>
    <w:rsid w:val="00CA06F9"/>
    <w:rsid w:val="00CA14BB"/>
    <w:rsid w:val="00CA230C"/>
    <w:rsid w:val="00CA3AED"/>
    <w:rsid w:val="00CA48D9"/>
    <w:rsid w:val="00CA565D"/>
    <w:rsid w:val="00CB1193"/>
    <w:rsid w:val="00CB152A"/>
    <w:rsid w:val="00CB4767"/>
    <w:rsid w:val="00CB493D"/>
    <w:rsid w:val="00CC2224"/>
    <w:rsid w:val="00CC3B97"/>
    <w:rsid w:val="00CD0A70"/>
    <w:rsid w:val="00CD2FEF"/>
    <w:rsid w:val="00CD6257"/>
    <w:rsid w:val="00CD6325"/>
    <w:rsid w:val="00CD7C0B"/>
    <w:rsid w:val="00CE10C4"/>
    <w:rsid w:val="00CE2343"/>
    <w:rsid w:val="00CE27B5"/>
    <w:rsid w:val="00CE2BDF"/>
    <w:rsid w:val="00CE36AC"/>
    <w:rsid w:val="00CE532F"/>
    <w:rsid w:val="00CE6D24"/>
    <w:rsid w:val="00CE6DAF"/>
    <w:rsid w:val="00CF2092"/>
    <w:rsid w:val="00CF27B4"/>
    <w:rsid w:val="00CF410A"/>
    <w:rsid w:val="00CF7528"/>
    <w:rsid w:val="00CF7FDE"/>
    <w:rsid w:val="00D012AF"/>
    <w:rsid w:val="00D027E8"/>
    <w:rsid w:val="00D0321E"/>
    <w:rsid w:val="00D04E82"/>
    <w:rsid w:val="00D05457"/>
    <w:rsid w:val="00D06882"/>
    <w:rsid w:val="00D069EB"/>
    <w:rsid w:val="00D07A8A"/>
    <w:rsid w:val="00D10E31"/>
    <w:rsid w:val="00D11199"/>
    <w:rsid w:val="00D127F7"/>
    <w:rsid w:val="00D1455A"/>
    <w:rsid w:val="00D14573"/>
    <w:rsid w:val="00D14A70"/>
    <w:rsid w:val="00D207EA"/>
    <w:rsid w:val="00D211FB"/>
    <w:rsid w:val="00D22093"/>
    <w:rsid w:val="00D25342"/>
    <w:rsid w:val="00D26177"/>
    <w:rsid w:val="00D307FC"/>
    <w:rsid w:val="00D31150"/>
    <w:rsid w:val="00D3138B"/>
    <w:rsid w:val="00D31FCE"/>
    <w:rsid w:val="00D3280C"/>
    <w:rsid w:val="00D3406A"/>
    <w:rsid w:val="00D34D24"/>
    <w:rsid w:val="00D40B11"/>
    <w:rsid w:val="00D42864"/>
    <w:rsid w:val="00D429EC"/>
    <w:rsid w:val="00D441F1"/>
    <w:rsid w:val="00D44777"/>
    <w:rsid w:val="00D4572C"/>
    <w:rsid w:val="00D469B2"/>
    <w:rsid w:val="00D50CB9"/>
    <w:rsid w:val="00D5245C"/>
    <w:rsid w:val="00D52B24"/>
    <w:rsid w:val="00D52EAA"/>
    <w:rsid w:val="00D52ECF"/>
    <w:rsid w:val="00D54B09"/>
    <w:rsid w:val="00D6243E"/>
    <w:rsid w:val="00D634E4"/>
    <w:rsid w:val="00D65658"/>
    <w:rsid w:val="00D656CC"/>
    <w:rsid w:val="00D67EB2"/>
    <w:rsid w:val="00D70349"/>
    <w:rsid w:val="00D7197B"/>
    <w:rsid w:val="00D72B6F"/>
    <w:rsid w:val="00D741EB"/>
    <w:rsid w:val="00D74CEA"/>
    <w:rsid w:val="00D75174"/>
    <w:rsid w:val="00D7579F"/>
    <w:rsid w:val="00D75E95"/>
    <w:rsid w:val="00D763CD"/>
    <w:rsid w:val="00D7679C"/>
    <w:rsid w:val="00D817A9"/>
    <w:rsid w:val="00D820F3"/>
    <w:rsid w:val="00D83605"/>
    <w:rsid w:val="00D84934"/>
    <w:rsid w:val="00D866EB"/>
    <w:rsid w:val="00D87D1A"/>
    <w:rsid w:val="00D902A9"/>
    <w:rsid w:val="00D906DA"/>
    <w:rsid w:val="00D91271"/>
    <w:rsid w:val="00D919F5"/>
    <w:rsid w:val="00D91C98"/>
    <w:rsid w:val="00D91E78"/>
    <w:rsid w:val="00D945F6"/>
    <w:rsid w:val="00D94F03"/>
    <w:rsid w:val="00D95161"/>
    <w:rsid w:val="00D95C23"/>
    <w:rsid w:val="00D96376"/>
    <w:rsid w:val="00DA0A82"/>
    <w:rsid w:val="00DA0B83"/>
    <w:rsid w:val="00DA0D14"/>
    <w:rsid w:val="00DA1FC9"/>
    <w:rsid w:val="00DA2CB5"/>
    <w:rsid w:val="00DA2E58"/>
    <w:rsid w:val="00DA358F"/>
    <w:rsid w:val="00DA383E"/>
    <w:rsid w:val="00DA3CF5"/>
    <w:rsid w:val="00DA4BAC"/>
    <w:rsid w:val="00DA65E5"/>
    <w:rsid w:val="00DA722E"/>
    <w:rsid w:val="00DA78C8"/>
    <w:rsid w:val="00DA792A"/>
    <w:rsid w:val="00DB0151"/>
    <w:rsid w:val="00DB0160"/>
    <w:rsid w:val="00DB04D7"/>
    <w:rsid w:val="00DB2EAB"/>
    <w:rsid w:val="00DB4EB4"/>
    <w:rsid w:val="00DB50E1"/>
    <w:rsid w:val="00DC0566"/>
    <w:rsid w:val="00DC05E1"/>
    <w:rsid w:val="00DC1499"/>
    <w:rsid w:val="00DC16CF"/>
    <w:rsid w:val="00DC2C3E"/>
    <w:rsid w:val="00DC3137"/>
    <w:rsid w:val="00DC3A71"/>
    <w:rsid w:val="00DC4880"/>
    <w:rsid w:val="00DC57FC"/>
    <w:rsid w:val="00DC5E90"/>
    <w:rsid w:val="00DC6AD6"/>
    <w:rsid w:val="00DC706B"/>
    <w:rsid w:val="00DD0BE9"/>
    <w:rsid w:val="00DD26F9"/>
    <w:rsid w:val="00DD31B4"/>
    <w:rsid w:val="00DD350E"/>
    <w:rsid w:val="00DD3EF5"/>
    <w:rsid w:val="00DD42AB"/>
    <w:rsid w:val="00DE06AF"/>
    <w:rsid w:val="00DE10A5"/>
    <w:rsid w:val="00DE6D27"/>
    <w:rsid w:val="00DE74B8"/>
    <w:rsid w:val="00DE76EA"/>
    <w:rsid w:val="00DF01F8"/>
    <w:rsid w:val="00DF021D"/>
    <w:rsid w:val="00DF14EE"/>
    <w:rsid w:val="00DF217D"/>
    <w:rsid w:val="00DF26A7"/>
    <w:rsid w:val="00DF3277"/>
    <w:rsid w:val="00DF6A31"/>
    <w:rsid w:val="00DF77A1"/>
    <w:rsid w:val="00DF7919"/>
    <w:rsid w:val="00DF7E8C"/>
    <w:rsid w:val="00E0117D"/>
    <w:rsid w:val="00E0207E"/>
    <w:rsid w:val="00E02AE6"/>
    <w:rsid w:val="00E03912"/>
    <w:rsid w:val="00E04748"/>
    <w:rsid w:val="00E05C52"/>
    <w:rsid w:val="00E060AF"/>
    <w:rsid w:val="00E078D9"/>
    <w:rsid w:val="00E10293"/>
    <w:rsid w:val="00E103A0"/>
    <w:rsid w:val="00E1043F"/>
    <w:rsid w:val="00E1157E"/>
    <w:rsid w:val="00E11F44"/>
    <w:rsid w:val="00E12512"/>
    <w:rsid w:val="00E13A53"/>
    <w:rsid w:val="00E13E60"/>
    <w:rsid w:val="00E14E02"/>
    <w:rsid w:val="00E15627"/>
    <w:rsid w:val="00E15B35"/>
    <w:rsid w:val="00E15E62"/>
    <w:rsid w:val="00E164B3"/>
    <w:rsid w:val="00E16910"/>
    <w:rsid w:val="00E17368"/>
    <w:rsid w:val="00E17609"/>
    <w:rsid w:val="00E21164"/>
    <w:rsid w:val="00E231D6"/>
    <w:rsid w:val="00E234E9"/>
    <w:rsid w:val="00E239E2"/>
    <w:rsid w:val="00E24E09"/>
    <w:rsid w:val="00E27234"/>
    <w:rsid w:val="00E3495C"/>
    <w:rsid w:val="00E41ED1"/>
    <w:rsid w:val="00E42BDB"/>
    <w:rsid w:val="00E42EEB"/>
    <w:rsid w:val="00E456FD"/>
    <w:rsid w:val="00E463AD"/>
    <w:rsid w:val="00E465B3"/>
    <w:rsid w:val="00E513A0"/>
    <w:rsid w:val="00E514B1"/>
    <w:rsid w:val="00E524A9"/>
    <w:rsid w:val="00E53F1A"/>
    <w:rsid w:val="00E54200"/>
    <w:rsid w:val="00E56E93"/>
    <w:rsid w:val="00E5711D"/>
    <w:rsid w:val="00E5726D"/>
    <w:rsid w:val="00E57EEB"/>
    <w:rsid w:val="00E62666"/>
    <w:rsid w:val="00E62D94"/>
    <w:rsid w:val="00E62ECC"/>
    <w:rsid w:val="00E64854"/>
    <w:rsid w:val="00E64F37"/>
    <w:rsid w:val="00E65091"/>
    <w:rsid w:val="00E65393"/>
    <w:rsid w:val="00E65E54"/>
    <w:rsid w:val="00E661C7"/>
    <w:rsid w:val="00E66679"/>
    <w:rsid w:val="00E72B1A"/>
    <w:rsid w:val="00E732C4"/>
    <w:rsid w:val="00E74E41"/>
    <w:rsid w:val="00E77CF0"/>
    <w:rsid w:val="00E80155"/>
    <w:rsid w:val="00E8134B"/>
    <w:rsid w:val="00E81E0D"/>
    <w:rsid w:val="00E81F28"/>
    <w:rsid w:val="00E83B1D"/>
    <w:rsid w:val="00E848C0"/>
    <w:rsid w:val="00E84BB8"/>
    <w:rsid w:val="00E86F92"/>
    <w:rsid w:val="00E91B96"/>
    <w:rsid w:val="00E928E8"/>
    <w:rsid w:val="00E92F2E"/>
    <w:rsid w:val="00E92F4E"/>
    <w:rsid w:val="00E935DA"/>
    <w:rsid w:val="00E93A85"/>
    <w:rsid w:val="00E93D1E"/>
    <w:rsid w:val="00E941A1"/>
    <w:rsid w:val="00E957BA"/>
    <w:rsid w:val="00E95CE3"/>
    <w:rsid w:val="00E95F9A"/>
    <w:rsid w:val="00EA0856"/>
    <w:rsid w:val="00EA1DC4"/>
    <w:rsid w:val="00EA252F"/>
    <w:rsid w:val="00EA2825"/>
    <w:rsid w:val="00EA3CFB"/>
    <w:rsid w:val="00EA5027"/>
    <w:rsid w:val="00EA64C2"/>
    <w:rsid w:val="00EA6518"/>
    <w:rsid w:val="00EA71A2"/>
    <w:rsid w:val="00EA7466"/>
    <w:rsid w:val="00EA7EDE"/>
    <w:rsid w:val="00EB0B63"/>
    <w:rsid w:val="00EB1936"/>
    <w:rsid w:val="00EB3545"/>
    <w:rsid w:val="00EB37BE"/>
    <w:rsid w:val="00EB4BAE"/>
    <w:rsid w:val="00EB5088"/>
    <w:rsid w:val="00EB7210"/>
    <w:rsid w:val="00EC2726"/>
    <w:rsid w:val="00EC39B4"/>
    <w:rsid w:val="00EC575E"/>
    <w:rsid w:val="00EC6463"/>
    <w:rsid w:val="00EC649B"/>
    <w:rsid w:val="00EC681C"/>
    <w:rsid w:val="00EC7B87"/>
    <w:rsid w:val="00ED1644"/>
    <w:rsid w:val="00ED2593"/>
    <w:rsid w:val="00ED3709"/>
    <w:rsid w:val="00ED7D55"/>
    <w:rsid w:val="00ED7D9C"/>
    <w:rsid w:val="00EE00A7"/>
    <w:rsid w:val="00EE2F77"/>
    <w:rsid w:val="00EE3158"/>
    <w:rsid w:val="00EE31A2"/>
    <w:rsid w:val="00EE4329"/>
    <w:rsid w:val="00EE4A65"/>
    <w:rsid w:val="00EE5CD3"/>
    <w:rsid w:val="00EE6203"/>
    <w:rsid w:val="00EE6716"/>
    <w:rsid w:val="00EF0069"/>
    <w:rsid w:val="00EF3680"/>
    <w:rsid w:val="00EF3C52"/>
    <w:rsid w:val="00EF435D"/>
    <w:rsid w:val="00EF44A0"/>
    <w:rsid w:val="00EF4580"/>
    <w:rsid w:val="00EF4FED"/>
    <w:rsid w:val="00EF58C7"/>
    <w:rsid w:val="00EF5F45"/>
    <w:rsid w:val="00EF6843"/>
    <w:rsid w:val="00EF6941"/>
    <w:rsid w:val="00EF6FB3"/>
    <w:rsid w:val="00EF76CF"/>
    <w:rsid w:val="00EF7E22"/>
    <w:rsid w:val="00F00002"/>
    <w:rsid w:val="00F0068B"/>
    <w:rsid w:val="00F007C6"/>
    <w:rsid w:val="00F00891"/>
    <w:rsid w:val="00F01168"/>
    <w:rsid w:val="00F0172E"/>
    <w:rsid w:val="00F04EDC"/>
    <w:rsid w:val="00F050BD"/>
    <w:rsid w:val="00F05657"/>
    <w:rsid w:val="00F05AB0"/>
    <w:rsid w:val="00F06835"/>
    <w:rsid w:val="00F12801"/>
    <w:rsid w:val="00F12C74"/>
    <w:rsid w:val="00F13214"/>
    <w:rsid w:val="00F13A98"/>
    <w:rsid w:val="00F14EAD"/>
    <w:rsid w:val="00F15337"/>
    <w:rsid w:val="00F1559A"/>
    <w:rsid w:val="00F15C94"/>
    <w:rsid w:val="00F17ED6"/>
    <w:rsid w:val="00F20676"/>
    <w:rsid w:val="00F209E2"/>
    <w:rsid w:val="00F2398F"/>
    <w:rsid w:val="00F242A4"/>
    <w:rsid w:val="00F25578"/>
    <w:rsid w:val="00F258E5"/>
    <w:rsid w:val="00F25B9C"/>
    <w:rsid w:val="00F2675A"/>
    <w:rsid w:val="00F26CC6"/>
    <w:rsid w:val="00F27755"/>
    <w:rsid w:val="00F300BC"/>
    <w:rsid w:val="00F30120"/>
    <w:rsid w:val="00F305FA"/>
    <w:rsid w:val="00F3263C"/>
    <w:rsid w:val="00F3334E"/>
    <w:rsid w:val="00F3409C"/>
    <w:rsid w:val="00F3573A"/>
    <w:rsid w:val="00F36CCB"/>
    <w:rsid w:val="00F374E5"/>
    <w:rsid w:val="00F37B93"/>
    <w:rsid w:val="00F37BAD"/>
    <w:rsid w:val="00F37ECA"/>
    <w:rsid w:val="00F40A1C"/>
    <w:rsid w:val="00F434E9"/>
    <w:rsid w:val="00F43AF2"/>
    <w:rsid w:val="00F45216"/>
    <w:rsid w:val="00F5007E"/>
    <w:rsid w:val="00F508F6"/>
    <w:rsid w:val="00F50EC4"/>
    <w:rsid w:val="00F515C7"/>
    <w:rsid w:val="00F52232"/>
    <w:rsid w:val="00F527B1"/>
    <w:rsid w:val="00F52DC2"/>
    <w:rsid w:val="00F53189"/>
    <w:rsid w:val="00F54AF9"/>
    <w:rsid w:val="00F550CF"/>
    <w:rsid w:val="00F553D2"/>
    <w:rsid w:val="00F56A2D"/>
    <w:rsid w:val="00F57A6D"/>
    <w:rsid w:val="00F6044B"/>
    <w:rsid w:val="00F62F19"/>
    <w:rsid w:val="00F638CC"/>
    <w:rsid w:val="00F64C9E"/>
    <w:rsid w:val="00F64CC1"/>
    <w:rsid w:val="00F6590A"/>
    <w:rsid w:val="00F70618"/>
    <w:rsid w:val="00F708B1"/>
    <w:rsid w:val="00F72085"/>
    <w:rsid w:val="00F72317"/>
    <w:rsid w:val="00F73819"/>
    <w:rsid w:val="00F73DC1"/>
    <w:rsid w:val="00F75BB8"/>
    <w:rsid w:val="00F761E2"/>
    <w:rsid w:val="00F76DF7"/>
    <w:rsid w:val="00F77714"/>
    <w:rsid w:val="00F80475"/>
    <w:rsid w:val="00F80E6E"/>
    <w:rsid w:val="00F81390"/>
    <w:rsid w:val="00F81F7A"/>
    <w:rsid w:val="00F8247A"/>
    <w:rsid w:val="00F82E5C"/>
    <w:rsid w:val="00F83E86"/>
    <w:rsid w:val="00F83F58"/>
    <w:rsid w:val="00F85206"/>
    <w:rsid w:val="00F8600F"/>
    <w:rsid w:val="00F86886"/>
    <w:rsid w:val="00F87451"/>
    <w:rsid w:val="00F87C7A"/>
    <w:rsid w:val="00F87CEA"/>
    <w:rsid w:val="00F9265D"/>
    <w:rsid w:val="00F93231"/>
    <w:rsid w:val="00F934D3"/>
    <w:rsid w:val="00F9629A"/>
    <w:rsid w:val="00F97EFC"/>
    <w:rsid w:val="00FA0B04"/>
    <w:rsid w:val="00FA0C7C"/>
    <w:rsid w:val="00FA1BDD"/>
    <w:rsid w:val="00FA305C"/>
    <w:rsid w:val="00FA462E"/>
    <w:rsid w:val="00FA4DD5"/>
    <w:rsid w:val="00FA5883"/>
    <w:rsid w:val="00FA6055"/>
    <w:rsid w:val="00FA6216"/>
    <w:rsid w:val="00FB0B39"/>
    <w:rsid w:val="00FB26D5"/>
    <w:rsid w:val="00FB2946"/>
    <w:rsid w:val="00FB2D52"/>
    <w:rsid w:val="00FB322F"/>
    <w:rsid w:val="00FB442F"/>
    <w:rsid w:val="00FB51C9"/>
    <w:rsid w:val="00FC118C"/>
    <w:rsid w:val="00FC11B8"/>
    <w:rsid w:val="00FC1929"/>
    <w:rsid w:val="00FC3399"/>
    <w:rsid w:val="00FC5B46"/>
    <w:rsid w:val="00FD1D4F"/>
    <w:rsid w:val="00FD24BF"/>
    <w:rsid w:val="00FD3B6E"/>
    <w:rsid w:val="00FD4140"/>
    <w:rsid w:val="00FD57EB"/>
    <w:rsid w:val="00FD6AD6"/>
    <w:rsid w:val="00FD6D8E"/>
    <w:rsid w:val="00FE0663"/>
    <w:rsid w:val="00FE0E94"/>
    <w:rsid w:val="00FE369C"/>
    <w:rsid w:val="00FE3CD9"/>
    <w:rsid w:val="00FE455B"/>
    <w:rsid w:val="00FE70F2"/>
    <w:rsid w:val="00FF00BD"/>
    <w:rsid w:val="00FF067C"/>
    <w:rsid w:val="00FF0B13"/>
    <w:rsid w:val="00FF0DE8"/>
    <w:rsid w:val="00FF1672"/>
    <w:rsid w:val="00FF1ED4"/>
    <w:rsid w:val="00FF2801"/>
    <w:rsid w:val="00FF2A3D"/>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C5D"/>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1 Bulleted List,Summary Bullets,Footer Setting,Bullet List,FooterText,numbered,Paragraphe de liste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1 Bulleted List Char,Summary Bullets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E456FD"/>
    <w:pPr>
      <w:numPr>
        <w:ilvl w:val="1"/>
        <w:numId w:val="2"/>
      </w:numPr>
      <w:jc w:val="both"/>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456FD"/>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basedOn w:val="Heading1"/>
    <w:qFormat/>
    <w:rsid w:val="00F00002"/>
    <w:pPr>
      <w:keepNext/>
      <w:keepLines/>
      <w:numPr>
        <w:numId w:val="2"/>
      </w:numPr>
      <w:spacing w:before="240"/>
      <w:ind w:left="709" w:hanging="709"/>
    </w:pPr>
    <w:rPr>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table" w:customStyle="1" w:styleId="Submissionstandard">
    <w:name w:val="Submission standard"/>
    <w:basedOn w:val="TableNormal"/>
    <w:uiPriority w:val="99"/>
    <w:qFormat/>
    <w:rsid w:val="00B252BE"/>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abon" w:hAnsi="Sabon"/>
        <w:b/>
        <w:sz w:val="20"/>
      </w:rPr>
      <w:tblPr/>
      <w:tcPr>
        <w:shd w:val="clear" w:color="auto" w:fill="BFBFBF" w:themeFill="background1" w:themeFillShade="BF"/>
      </w:tcPr>
    </w:tblStylePr>
  </w:style>
  <w:style w:type="paragraph" w:customStyle="1" w:styleId="KMC16-Caption">
    <w:name w:val="KMC16 - Caption"/>
    <w:basedOn w:val="Normal"/>
    <w:qFormat/>
    <w:rsid w:val="00B252BE"/>
    <w:pPr>
      <w:keepNext/>
      <w:tabs>
        <w:tab w:val="left" w:pos="567"/>
      </w:tabs>
      <w:spacing w:before="240" w:after="40"/>
      <w:ind w:left="964" w:hanging="964"/>
      <w:contextualSpacing/>
      <w:jc w:val="left"/>
    </w:pPr>
    <w:rPr>
      <w:rFonts w:ascii="Arial" w:hAnsi="Arial"/>
      <w:b/>
      <w:color w:val="000000"/>
      <w:sz w:val="20"/>
      <w:szCs w:val="20"/>
    </w:rPr>
  </w:style>
  <w:style w:type="paragraph" w:customStyle="1" w:styleId="KMC16-Tablecontent">
    <w:name w:val="KMC16 - Table content"/>
    <w:basedOn w:val="Normal"/>
    <w:link w:val="KMC16-TablecontentChar"/>
    <w:qFormat/>
    <w:rsid w:val="00B252BE"/>
    <w:pPr>
      <w:spacing w:before="40" w:after="40"/>
      <w:jc w:val="left"/>
    </w:pPr>
    <w:rPr>
      <w:rFonts w:ascii="Arial Narrow" w:hAnsi="Arial Narrow" w:cs="Arial"/>
      <w:color w:val="000000"/>
      <w:sz w:val="20"/>
      <w:szCs w:val="22"/>
      <w:lang w:val="en-GB" w:eastAsia="en-US"/>
    </w:rPr>
  </w:style>
  <w:style w:type="character" w:customStyle="1" w:styleId="KMC16-TablecontentChar">
    <w:name w:val="KMC16 - Table content Char"/>
    <w:basedOn w:val="DefaultParagraphFont"/>
    <w:link w:val="KMC16-Tablecontent"/>
    <w:rsid w:val="00B252BE"/>
    <w:rPr>
      <w:rFonts w:ascii="Arial Narrow" w:hAnsi="Arial Narrow" w:cs="Arial"/>
      <w:color w:val="000000"/>
      <w:szCs w:val="22"/>
      <w:lang w:val="en-GB" w:eastAsia="en-US"/>
    </w:rPr>
  </w:style>
  <w:style w:type="paragraph" w:customStyle="1" w:styleId="KMC16-TableHeading">
    <w:name w:val="KMC16 - Table Heading"/>
    <w:basedOn w:val="Normal"/>
    <w:qFormat/>
    <w:rsid w:val="00B252BE"/>
    <w:pPr>
      <w:spacing w:before="40" w:after="40"/>
      <w:jc w:val="center"/>
    </w:pPr>
    <w:rPr>
      <w:rFonts w:ascii="Arial Narrow" w:hAnsi="Arial Narrow" w:cs="Arial"/>
      <w:b/>
      <w:color w:val="000000"/>
      <w:sz w:val="20"/>
      <w:szCs w:val="22"/>
      <w:lang w:eastAsia="en-US"/>
    </w:rPr>
  </w:style>
  <w:style w:type="table" w:customStyle="1" w:styleId="Submissionstandard4">
    <w:name w:val="Submission standard4"/>
    <w:basedOn w:val="TableNormal"/>
    <w:uiPriority w:val="99"/>
    <w:qFormat/>
    <w:rsid w:val="003603D3"/>
    <w:rPr>
      <w:rFonts w:ascii="Arial Narrow" w:hAnsi="Arial Narrow"/>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abon" w:hAnsi="Sabon" w:hint="default"/>
        <w:b/>
        <w:sz w:val="20"/>
        <w:szCs w:val="20"/>
      </w:rPr>
      <w:tblPr/>
      <w:tcPr>
        <w:shd w:val="clear" w:color="auto" w:fill="BFBFBF" w:themeFill="background1" w:themeFillShade="BF"/>
      </w:tcPr>
    </w:tblStylePr>
  </w:style>
  <w:style w:type="paragraph" w:customStyle="1" w:styleId="KMC16-TFNotes">
    <w:name w:val="KMC16 - TF Notes"/>
    <w:basedOn w:val="Normal"/>
    <w:qFormat/>
    <w:rsid w:val="003603D3"/>
    <w:pPr>
      <w:spacing w:before="45" w:after="240"/>
      <w:contextualSpacing/>
      <w:jc w:val="left"/>
    </w:pPr>
    <w:rPr>
      <w:rFonts w:eastAsia="Batang" w:cstheme="minorBidi"/>
      <w:bCs/>
      <w:snapToGrid w:val="0"/>
      <w:color w:val="000000" w:themeColor="text1"/>
      <w:sz w:val="16"/>
      <w:szCs w:val="22"/>
      <w:lang w:eastAsia="en-US"/>
    </w:rPr>
  </w:style>
  <w:style w:type="character" w:customStyle="1" w:styleId="normaltextrun">
    <w:name w:val="normaltextrun"/>
    <w:basedOn w:val="DefaultParagraphFont"/>
    <w:rsid w:val="007158BE"/>
  </w:style>
  <w:style w:type="paragraph" w:styleId="NormalWeb">
    <w:name w:val="Normal (Web)"/>
    <w:basedOn w:val="Normal"/>
    <w:uiPriority w:val="99"/>
    <w:semiHidden/>
    <w:unhideWhenUsed/>
    <w:rsid w:val="00BF5EBB"/>
    <w:pPr>
      <w:spacing w:before="100" w:beforeAutospacing="1" w:after="100" w:afterAutospacing="1"/>
      <w:jc w:val="left"/>
    </w:pPr>
    <w:rPr>
      <w:rFonts w:ascii="Times New Roman" w:hAnsi="Times New Roman"/>
    </w:rPr>
  </w:style>
  <w:style w:type="paragraph" w:customStyle="1" w:styleId="pf0">
    <w:name w:val="pf0"/>
    <w:basedOn w:val="Normal"/>
    <w:rsid w:val="00217C20"/>
    <w:pPr>
      <w:spacing w:before="100" w:beforeAutospacing="1" w:after="100" w:afterAutospacing="1"/>
      <w:jc w:val="left"/>
    </w:pPr>
    <w:rPr>
      <w:rFonts w:ascii="Times New Roman" w:hAnsi="Times New Roman"/>
    </w:rPr>
  </w:style>
  <w:style w:type="character" w:customStyle="1" w:styleId="cf01">
    <w:name w:val="cf01"/>
    <w:basedOn w:val="DefaultParagraphFont"/>
    <w:rsid w:val="00217C20"/>
    <w:rPr>
      <w:rFonts w:ascii="Segoe UI" w:hAnsi="Segoe UI" w:cs="Segoe UI" w:hint="default"/>
      <w:b/>
      <w:bCs/>
      <w:sz w:val="18"/>
      <w:szCs w:val="18"/>
      <w:u w:val="single"/>
    </w:rPr>
  </w:style>
  <w:style w:type="character" w:customStyle="1" w:styleId="cf11">
    <w:name w:val="cf11"/>
    <w:basedOn w:val="DefaultParagraphFont"/>
    <w:rsid w:val="00217C20"/>
    <w:rPr>
      <w:rFonts w:ascii="Segoe UI" w:hAnsi="Segoe UI" w:cs="Segoe UI" w:hint="default"/>
      <w:sz w:val="18"/>
      <w:szCs w:val="18"/>
    </w:rPr>
  </w:style>
  <w:style w:type="character" w:customStyle="1" w:styleId="cf21">
    <w:name w:val="cf21"/>
    <w:basedOn w:val="DefaultParagraphFont"/>
    <w:rsid w:val="00217C20"/>
    <w:rPr>
      <w:rFonts w:ascii="Segoe UI" w:hAnsi="Segoe UI" w:cs="Segoe UI" w:hint="default"/>
      <w:b/>
      <w:bCs/>
      <w:sz w:val="18"/>
      <w:szCs w:val="18"/>
    </w:rPr>
  </w:style>
  <w:style w:type="character" w:customStyle="1" w:styleId="cf31">
    <w:name w:val="cf31"/>
    <w:basedOn w:val="DefaultParagraphFont"/>
    <w:rsid w:val="00217C2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1581562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54078492">
      <w:bodyDiv w:val="1"/>
      <w:marLeft w:val="0"/>
      <w:marRight w:val="0"/>
      <w:marTop w:val="0"/>
      <w:marBottom w:val="0"/>
      <w:divBdr>
        <w:top w:val="none" w:sz="0" w:space="0" w:color="auto"/>
        <w:left w:val="none" w:sz="0" w:space="0" w:color="auto"/>
        <w:bottom w:val="none" w:sz="0" w:space="0" w:color="auto"/>
        <w:right w:val="none" w:sz="0" w:space="0" w:color="auto"/>
      </w:divBdr>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5798330">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54172215">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7010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2024-07-02T06:09:00Z</dcterms:created>
  <dcterms:modified xsi:type="dcterms:W3CDTF">2024-07-02T06:09:00Z</dcterms:modified>
</cp:coreProperties>
</file>