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2DE7B" w14:textId="3DA325BD" w:rsidR="00B60939" w:rsidRPr="00916586" w:rsidRDefault="00E754B5" w:rsidP="00CA2BB4">
      <w:pPr>
        <w:pStyle w:val="1-MainHeading"/>
      </w:pPr>
      <w:bookmarkStart w:id="0" w:name="_Toc81837337"/>
      <w:r w:rsidRPr="00916586">
        <w:t>5.12</w:t>
      </w:r>
      <w:r w:rsidR="00163F66" w:rsidRPr="00916586">
        <w:tab/>
      </w:r>
      <w:r w:rsidR="008379F3" w:rsidRPr="00916586">
        <w:t>PREGABALIN</w:t>
      </w:r>
      <w:r w:rsidR="00163F66" w:rsidRPr="00916586">
        <w:t>,</w:t>
      </w:r>
      <w:r w:rsidR="00B16848" w:rsidRPr="00916586">
        <w:br/>
      </w:r>
      <w:r w:rsidR="008379F3" w:rsidRPr="00916586">
        <w:t>Tablet</w:t>
      </w:r>
      <w:r w:rsidR="00053B7A" w:rsidRPr="00916586">
        <w:t xml:space="preserve"> </w:t>
      </w:r>
      <w:r w:rsidR="00363740" w:rsidRPr="00916586">
        <w:t xml:space="preserve">82.5 mg, </w:t>
      </w:r>
      <w:r w:rsidR="00B16848" w:rsidRPr="00916586">
        <w:br/>
      </w:r>
      <w:r w:rsidR="00053B7A" w:rsidRPr="00916586">
        <w:t xml:space="preserve">Tablet </w:t>
      </w:r>
      <w:r w:rsidR="005B5704" w:rsidRPr="00916586">
        <w:t>165 mg</w:t>
      </w:r>
      <w:r w:rsidR="00363740" w:rsidRPr="00916586">
        <w:t xml:space="preserve">, </w:t>
      </w:r>
      <w:r w:rsidR="005B5704" w:rsidRPr="00916586">
        <w:br/>
      </w:r>
      <w:r w:rsidR="00053B7A" w:rsidRPr="00916586">
        <w:t xml:space="preserve">Tablet </w:t>
      </w:r>
      <w:r w:rsidR="00363740" w:rsidRPr="00916586">
        <w:t>330 mg</w:t>
      </w:r>
      <w:r w:rsidR="00163F66" w:rsidRPr="00916586">
        <w:br/>
      </w:r>
      <w:r w:rsidR="008379F3" w:rsidRPr="00916586">
        <w:t>Lyrica</w:t>
      </w:r>
      <w:r w:rsidR="00B60939" w:rsidRPr="00916586">
        <w:t>®</w:t>
      </w:r>
      <w:r w:rsidR="008379F3" w:rsidRPr="00916586">
        <w:t>CR</w:t>
      </w:r>
      <w:r w:rsidR="004A6040" w:rsidRPr="00916586">
        <w:t>,</w:t>
      </w:r>
      <w:r w:rsidR="004A6040" w:rsidRPr="00916586">
        <w:br/>
      </w:r>
      <w:r w:rsidR="008379F3" w:rsidRPr="00916586">
        <w:t>Upjohn Australia Pty Ltd</w:t>
      </w:r>
      <w:bookmarkEnd w:id="0"/>
    </w:p>
    <w:p w14:paraId="4EFDDD37" w14:textId="77777777" w:rsidR="00B50DB8" w:rsidRPr="00916586" w:rsidRDefault="00B50DB8" w:rsidP="004A6040">
      <w:pPr>
        <w:pStyle w:val="2-SectionHeading"/>
      </w:pPr>
      <w:bookmarkStart w:id="1" w:name="_Toc81837339"/>
      <w:r w:rsidRPr="00916586">
        <w:t xml:space="preserve">Purpose of </w:t>
      </w:r>
      <w:r w:rsidR="00CD7193" w:rsidRPr="00916586">
        <w:t>s</w:t>
      </w:r>
      <w:r w:rsidR="00BB3A45" w:rsidRPr="00916586">
        <w:t>ubmission</w:t>
      </w:r>
      <w:bookmarkEnd w:id="1"/>
    </w:p>
    <w:p w14:paraId="7C1C5A39" w14:textId="77777777" w:rsidR="00F406F0" w:rsidRPr="00916586" w:rsidRDefault="00F406F0" w:rsidP="004C0C56">
      <w:pPr>
        <w:pStyle w:val="3-BodyText"/>
      </w:pPr>
      <w:r w:rsidRPr="00916586">
        <w:t xml:space="preserve">The </w:t>
      </w:r>
      <w:r w:rsidR="00C6688B" w:rsidRPr="00916586">
        <w:t xml:space="preserve">Category 2 </w:t>
      </w:r>
      <w:r w:rsidRPr="00916586">
        <w:t xml:space="preserve">submission requested </w:t>
      </w:r>
      <w:r w:rsidR="004C0C56" w:rsidRPr="00916586">
        <w:t xml:space="preserve">a </w:t>
      </w:r>
      <w:r w:rsidR="00856519" w:rsidRPr="00916586">
        <w:t>General Schedule</w:t>
      </w:r>
      <w:r w:rsidRPr="00916586">
        <w:t xml:space="preserve">, Authority Required (STREAMLINED) listing </w:t>
      </w:r>
      <w:r w:rsidR="00E754B5" w:rsidRPr="00916586">
        <w:t>of</w:t>
      </w:r>
      <w:r w:rsidRPr="00916586">
        <w:t xml:space="preserve"> </w:t>
      </w:r>
      <w:r w:rsidR="00510D52" w:rsidRPr="00916586">
        <w:t xml:space="preserve">a </w:t>
      </w:r>
      <w:r w:rsidR="008434FA" w:rsidRPr="00916586">
        <w:t xml:space="preserve">controlled release formulation of pregabalin </w:t>
      </w:r>
      <w:r w:rsidR="00510D52" w:rsidRPr="00916586">
        <w:t>(</w:t>
      </w:r>
      <w:r w:rsidR="008434FA" w:rsidRPr="00916586">
        <w:t>pregabalin CR</w:t>
      </w:r>
      <w:r w:rsidR="00510D52" w:rsidRPr="00916586">
        <w:t>)</w:t>
      </w:r>
      <w:r w:rsidRPr="00916586">
        <w:t xml:space="preserve"> for the treatment of neuropathic pain</w:t>
      </w:r>
      <w:r w:rsidR="00C6688B" w:rsidRPr="00916586">
        <w:t xml:space="preserve"> in adults </w:t>
      </w:r>
      <w:r w:rsidR="00157674" w:rsidRPr="00916586">
        <w:t>under the same restrictions and clinical criteria</w:t>
      </w:r>
      <w:r w:rsidR="00C6688B" w:rsidRPr="00916586">
        <w:t xml:space="preserve"> </w:t>
      </w:r>
      <w:r w:rsidR="00510D52" w:rsidRPr="00916586">
        <w:t xml:space="preserve">as the </w:t>
      </w:r>
      <w:r w:rsidR="008434FA" w:rsidRPr="00916586">
        <w:t>PBS</w:t>
      </w:r>
      <w:r w:rsidR="00C6688B" w:rsidRPr="00916586">
        <w:t>-</w:t>
      </w:r>
      <w:r w:rsidR="00510D52" w:rsidRPr="00916586">
        <w:t xml:space="preserve">listed </w:t>
      </w:r>
      <w:r w:rsidR="008434FA" w:rsidRPr="00916586">
        <w:t xml:space="preserve">immediate release formulation of </w:t>
      </w:r>
      <w:r w:rsidR="00510D52" w:rsidRPr="00916586">
        <w:t>pregabalin</w:t>
      </w:r>
      <w:r w:rsidR="008434FA" w:rsidRPr="00916586">
        <w:t xml:space="preserve"> </w:t>
      </w:r>
      <w:r w:rsidR="00157674" w:rsidRPr="00916586">
        <w:t>(pregabalin IR)</w:t>
      </w:r>
      <w:r w:rsidR="00510D52" w:rsidRPr="00916586">
        <w:t xml:space="preserve">. </w:t>
      </w:r>
    </w:p>
    <w:p w14:paraId="66BE3557" w14:textId="77777777" w:rsidR="00C2778B" w:rsidRPr="00916586" w:rsidRDefault="008434FA" w:rsidP="007614C5">
      <w:pPr>
        <w:pStyle w:val="3-BodyText"/>
      </w:pPr>
      <w:r w:rsidRPr="00916586">
        <w:t>No</w:t>
      </w:r>
      <w:r w:rsidR="00DB0D9E" w:rsidRPr="00916586">
        <w:t xml:space="preserve"> explicit</w:t>
      </w:r>
      <w:r w:rsidRPr="00916586">
        <w:t xml:space="preserve"> clinical claim was presented in the submission</w:t>
      </w:r>
      <w:r w:rsidR="004B780A" w:rsidRPr="00916586">
        <w:t>.</w:t>
      </w:r>
      <w:r w:rsidR="00DB0D9E" w:rsidRPr="00916586">
        <w:t xml:space="preserve"> </w:t>
      </w:r>
      <w:r w:rsidRPr="00916586">
        <w:t>The</w:t>
      </w:r>
      <w:r w:rsidR="00BF0A11" w:rsidRPr="00916586">
        <w:t xml:space="preserve"> key </w:t>
      </w:r>
      <w:r w:rsidR="00157674" w:rsidRPr="00916586">
        <w:t xml:space="preserve">clinical </w:t>
      </w:r>
      <w:r w:rsidR="00BF0A11" w:rsidRPr="00916586">
        <w:t xml:space="preserve">components </w:t>
      </w:r>
      <w:r w:rsidR="009F599A" w:rsidRPr="00916586">
        <w:t>are</w:t>
      </w:r>
      <w:r w:rsidR="00157674" w:rsidRPr="00916586">
        <w:t xml:space="preserve"> presented in </w:t>
      </w:r>
      <w:r w:rsidR="007A7FAD" w:rsidRPr="00916586">
        <w:t xml:space="preserve">Table </w:t>
      </w:r>
      <w:r w:rsidR="007A7FAD" w:rsidRPr="00916586">
        <w:rPr>
          <w:noProof/>
        </w:rPr>
        <w:t>1</w:t>
      </w:r>
      <w:r w:rsidR="00157674" w:rsidRPr="00916586">
        <w:t>.</w:t>
      </w:r>
    </w:p>
    <w:p w14:paraId="2A113588" w14:textId="77777777" w:rsidR="00157674" w:rsidRPr="00916586" w:rsidRDefault="00BF0A11" w:rsidP="00157674">
      <w:pPr>
        <w:pStyle w:val="TableFigureHeading"/>
      </w:pPr>
      <w:bookmarkStart w:id="2" w:name="_Ref80716244"/>
      <w:r w:rsidRPr="00916586">
        <w:t xml:space="preserve">Table </w:t>
      </w:r>
      <w:r w:rsidR="007A7FAD" w:rsidRPr="00916586">
        <w:rPr>
          <w:noProof/>
        </w:rPr>
        <w:t>1</w:t>
      </w:r>
      <w:bookmarkEnd w:id="2"/>
      <w:r w:rsidR="00157674" w:rsidRPr="00916586">
        <w:rPr>
          <w:rStyle w:val="CommentReference"/>
          <w:b/>
          <w:szCs w:val="24"/>
        </w:rPr>
        <w:t xml:space="preserve">: Key components of the clinical issue </w:t>
      </w:r>
      <w:r w:rsidR="00B60915" w:rsidRPr="00916586">
        <w:rPr>
          <w:rStyle w:val="CommentReference"/>
          <w:b/>
          <w:szCs w:val="24"/>
        </w:rPr>
        <w:t>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in the submission"/>
      </w:tblPr>
      <w:tblGrid>
        <w:gridCol w:w="1643"/>
        <w:gridCol w:w="7374"/>
      </w:tblGrid>
      <w:tr w:rsidR="00157674" w:rsidRPr="00916586" w14:paraId="5EE97021" w14:textId="77777777" w:rsidTr="004A632D">
        <w:tc>
          <w:tcPr>
            <w:tcW w:w="911" w:type="pct"/>
            <w:vAlign w:val="center"/>
          </w:tcPr>
          <w:p w14:paraId="713F5D99" w14:textId="77777777" w:rsidR="00157674" w:rsidRPr="00916586" w:rsidRDefault="00157674" w:rsidP="00064FBA">
            <w:pPr>
              <w:pStyle w:val="In-tableHeading"/>
              <w:rPr>
                <w:lang w:val="en-AU"/>
              </w:rPr>
            </w:pPr>
            <w:r w:rsidRPr="00916586">
              <w:rPr>
                <w:lang w:val="en-AU"/>
              </w:rPr>
              <w:t>Component</w:t>
            </w:r>
          </w:p>
        </w:tc>
        <w:tc>
          <w:tcPr>
            <w:tcW w:w="4089" w:type="pct"/>
            <w:vAlign w:val="center"/>
          </w:tcPr>
          <w:p w14:paraId="26F6A374" w14:textId="77777777" w:rsidR="00157674" w:rsidRPr="00916586" w:rsidRDefault="00157674" w:rsidP="00064FBA">
            <w:pPr>
              <w:pStyle w:val="In-tableHeading"/>
              <w:rPr>
                <w:lang w:val="en-AU"/>
              </w:rPr>
            </w:pPr>
            <w:r w:rsidRPr="00916586">
              <w:rPr>
                <w:lang w:val="en-AU"/>
              </w:rPr>
              <w:t>Description</w:t>
            </w:r>
          </w:p>
        </w:tc>
      </w:tr>
      <w:tr w:rsidR="00157674" w:rsidRPr="00916586" w14:paraId="1E1DAACD" w14:textId="77777777" w:rsidTr="004A632D">
        <w:tc>
          <w:tcPr>
            <w:tcW w:w="911" w:type="pct"/>
            <w:vAlign w:val="center"/>
          </w:tcPr>
          <w:p w14:paraId="3C7F9DC5" w14:textId="77777777" w:rsidR="00157674" w:rsidRPr="00916586" w:rsidRDefault="00157674" w:rsidP="00064FBA">
            <w:pPr>
              <w:pStyle w:val="TableText0"/>
            </w:pPr>
            <w:r w:rsidRPr="00916586">
              <w:t>Population</w:t>
            </w:r>
          </w:p>
        </w:tc>
        <w:tc>
          <w:tcPr>
            <w:tcW w:w="4089" w:type="pct"/>
            <w:vAlign w:val="center"/>
          </w:tcPr>
          <w:p w14:paraId="06D46B1B" w14:textId="77777777" w:rsidR="00157674" w:rsidRPr="00916586" w:rsidRDefault="00157674" w:rsidP="00064FBA">
            <w:pPr>
              <w:pStyle w:val="TableText0"/>
            </w:pPr>
            <w:r w:rsidRPr="00916586">
              <w:t xml:space="preserve">Treatment of neuropathic pain </w:t>
            </w:r>
            <w:r w:rsidR="00806B84" w:rsidRPr="00916586">
              <w:t xml:space="preserve">in </w:t>
            </w:r>
            <w:r w:rsidRPr="00916586">
              <w:t>adults</w:t>
            </w:r>
          </w:p>
        </w:tc>
      </w:tr>
      <w:tr w:rsidR="00157674" w:rsidRPr="00916586" w14:paraId="195DACE4" w14:textId="77777777" w:rsidTr="004A632D">
        <w:tc>
          <w:tcPr>
            <w:tcW w:w="911" w:type="pct"/>
            <w:vAlign w:val="center"/>
          </w:tcPr>
          <w:p w14:paraId="732E3297" w14:textId="77777777" w:rsidR="00157674" w:rsidRPr="00916586" w:rsidRDefault="00157674" w:rsidP="00064FBA">
            <w:pPr>
              <w:pStyle w:val="TableText0"/>
            </w:pPr>
            <w:r w:rsidRPr="00916586">
              <w:t>Intervention</w:t>
            </w:r>
          </w:p>
        </w:tc>
        <w:tc>
          <w:tcPr>
            <w:tcW w:w="4089" w:type="pct"/>
            <w:vAlign w:val="center"/>
          </w:tcPr>
          <w:p w14:paraId="4E57CCEE" w14:textId="77777777" w:rsidR="00157674" w:rsidRPr="00916586" w:rsidRDefault="00157674" w:rsidP="00064FBA">
            <w:pPr>
              <w:pStyle w:val="TableText0"/>
            </w:pPr>
            <w:r w:rsidRPr="00916586">
              <w:t>Pregabalin CR 82.5 mg, 165 mg and 330 mg controlled release tablets</w:t>
            </w:r>
            <w:r w:rsidR="00DB0D9E" w:rsidRPr="00916586">
              <w:t xml:space="preserve"> (taken once daily)</w:t>
            </w:r>
          </w:p>
        </w:tc>
      </w:tr>
      <w:tr w:rsidR="00157674" w:rsidRPr="00916586" w14:paraId="5FC9272B" w14:textId="77777777" w:rsidTr="004A632D">
        <w:tc>
          <w:tcPr>
            <w:tcW w:w="911" w:type="pct"/>
            <w:vAlign w:val="center"/>
          </w:tcPr>
          <w:p w14:paraId="39BE65EB" w14:textId="77777777" w:rsidR="00157674" w:rsidRPr="00916586" w:rsidRDefault="00157674" w:rsidP="00064FBA">
            <w:pPr>
              <w:pStyle w:val="TableText0"/>
            </w:pPr>
            <w:r w:rsidRPr="00916586">
              <w:t>Comparator</w:t>
            </w:r>
          </w:p>
        </w:tc>
        <w:tc>
          <w:tcPr>
            <w:tcW w:w="4089" w:type="pct"/>
            <w:vAlign w:val="center"/>
          </w:tcPr>
          <w:p w14:paraId="5858BFF6" w14:textId="77777777" w:rsidR="00157674" w:rsidRPr="00916586" w:rsidRDefault="00157674" w:rsidP="00157674">
            <w:pPr>
              <w:pStyle w:val="TableText0"/>
              <w:rPr>
                <w:i/>
              </w:rPr>
            </w:pPr>
            <w:r w:rsidRPr="00916586">
              <w:t>Pregabalin IR capsules</w:t>
            </w:r>
            <w:r w:rsidR="00DB0D9E" w:rsidRPr="00916586">
              <w:t xml:space="preserve"> (</w:t>
            </w:r>
            <w:r w:rsidR="00946E25" w:rsidRPr="00916586">
              <w:t>total daily dose required is administered as smaller doses given twice daily</w:t>
            </w:r>
            <w:r w:rsidR="00DB0D9E" w:rsidRPr="00916586">
              <w:t>)</w:t>
            </w:r>
            <w:r w:rsidRPr="00916586">
              <w:t>. The submission anticipated that the proposed pregabalin CR strengths will replace a portion of services for existing pregabalin IR strengths in the following manner: Pregabalin CR 82.5</w:t>
            </w:r>
            <w:r w:rsidR="00D663CD" w:rsidRPr="00916586">
              <w:t xml:space="preserve"> </w:t>
            </w:r>
            <w:r w:rsidRPr="00916586">
              <w:t>mg strength for pregabalin IR 75</w:t>
            </w:r>
            <w:r w:rsidR="00D663CD" w:rsidRPr="00916586">
              <w:t xml:space="preserve"> </w:t>
            </w:r>
            <w:r w:rsidRPr="00916586">
              <w:t>mg strength, pregabalin CR 165</w:t>
            </w:r>
            <w:r w:rsidR="00D663CD" w:rsidRPr="00916586">
              <w:t xml:space="preserve"> </w:t>
            </w:r>
            <w:r w:rsidRPr="00916586">
              <w:t>mg strength for pregabalin IR 150</w:t>
            </w:r>
            <w:r w:rsidR="00D663CD" w:rsidRPr="00916586">
              <w:t xml:space="preserve"> </w:t>
            </w:r>
            <w:r w:rsidRPr="00916586">
              <w:t>mg strength, and pregabalin CR 330</w:t>
            </w:r>
            <w:r w:rsidR="00D663CD" w:rsidRPr="00916586">
              <w:t xml:space="preserve"> </w:t>
            </w:r>
            <w:r w:rsidRPr="00916586">
              <w:t>mg strength for pregabalin IR 300</w:t>
            </w:r>
            <w:r w:rsidR="00D663CD" w:rsidRPr="00916586">
              <w:t xml:space="preserve"> </w:t>
            </w:r>
            <w:r w:rsidRPr="00916586">
              <w:t xml:space="preserve">mg strength. </w:t>
            </w:r>
          </w:p>
        </w:tc>
      </w:tr>
      <w:tr w:rsidR="00157674" w:rsidRPr="00916586" w14:paraId="21D559B7" w14:textId="77777777" w:rsidTr="004A632D">
        <w:tc>
          <w:tcPr>
            <w:tcW w:w="911" w:type="pct"/>
            <w:vAlign w:val="center"/>
          </w:tcPr>
          <w:p w14:paraId="42F07E8D" w14:textId="77777777" w:rsidR="00157674" w:rsidRPr="00916586" w:rsidRDefault="00E81B4A" w:rsidP="00064FBA">
            <w:pPr>
              <w:pStyle w:val="TableText0"/>
            </w:pPr>
            <w:r w:rsidRPr="00916586">
              <w:t xml:space="preserve"> </w:t>
            </w:r>
            <w:r w:rsidR="00157674" w:rsidRPr="00916586">
              <w:t>Outcomes</w:t>
            </w:r>
          </w:p>
        </w:tc>
        <w:tc>
          <w:tcPr>
            <w:tcW w:w="4089" w:type="pct"/>
            <w:vAlign w:val="center"/>
          </w:tcPr>
          <w:p w14:paraId="1F33D093" w14:textId="77777777" w:rsidR="00157674" w:rsidRPr="00916586" w:rsidRDefault="009F599A" w:rsidP="00CC21B9">
            <w:pPr>
              <w:pStyle w:val="TableText0"/>
              <w:numPr>
                <w:ilvl w:val="0"/>
                <w:numId w:val="13"/>
              </w:numPr>
            </w:pPr>
            <w:r w:rsidRPr="00916586">
              <w:t>(none presented)</w:t>
            </w:r>
          </w:p>
        </w:tc>
      </w:tr>
      <w:tr w:rsidR="00157674" w:rsidRPr="00916586" w14:paraId="57DB0299" w14:textId="77777777" w:rsidTr="004A632D">
        <w:tc>
          <w:tcPr>
            <w:tcW w:w="911" w:type="pct"/>
            <w:vAlign w:val="center"/>
          </w:tcPr>
          <w:p w14:paraId="10DF91CF" w14:textId="77777777" w:rsidR="00157674" w:rsidRPr="00916586" w:rsidRDefault="00157674" w:rsidP="00064FBA">
            <w:pPr>
              <w:pStyle w:val="TableText0"/>
            </w:pPr>
            <w:r w:rsidRPr="00916586">
              <w:t>Clinical claim</w:t>
            </w:r>
          </w:p>
        </w:tc>
        <w:tc>
          <w:tcPr>
            <w:tcW w:w="4089" w:type="pct"/>
            <w:vAlign w:val="center"/>
          </w:tcPr>
          <w:p w14:paraId="6BE95AE2" w14:textId="77777777" w:rsidR="009F599A" w:rsidRPr="00916586" w:rsidRDefault="00157674" w:rsidP="009F599A">
            <w:pPr>
              <w:pStyle w:val="TableText0"/>
            </w:pPr>
            <w:r w:rsidRPr="00916586">
              <w:t xml:space="preserve">No </w:t>
            </w:r>
            <w:r w:rsidR="009C6435" w:rsidRPr="00916586">
              <w:t xml:space="preserve">explicit </w:t>
            </w:r>
            <w:r w:rsidRPr="00916586">
              <w:t xml:space="preserve">clinical </w:t>
            </w:r>
            <w:r w:rsidR="00B60915" w:rsidRPr="00916586">
              <w:t xml:space="preserve">claim or clinical evidence </w:t>
            </w:r>
            <w:r w:rsidRPr="00916586">
              <w:t>was presented in the submission. The submission made reference to the TGA clinical evaluation report and approved PI as “supporting information”</w:t>
            </w:r>
            <w:r w:rsidR="009F599A" w:rsidRPr="00916586">
              <w:t>.</w:t>
            </w:r>
            <w:r w:rsidRPr="00916586">
              <w:t xml:space="preserve"> </w:t>
            </w:r>
          </w:p>
          <w:p w14:paraId="72508224" w14:textId="77777777" w:rsidR="00A25D9F" w:rsidRPr="00916586" w:rsidRDefault="00A25D9F" w:rsidP="009F599A">
            <w:pPr>
              <w:pStyle w:val="TableText0"/>
            </w:pPr>
          </w:p>
          <w:p w14:paraId="159D8A9A" w14:textId="77777777" w:rsidR="00157674" w:rsidRPr="00916586" w:rsidRDefault="00157674" w:rsidP="00E0305C">
            <w:pPr>
              <w:pStyle w:val="TableText0"/>
            </w:pPr>
            <w:r w:rsidRPr="00916586">
              <w:t xml:space="preserve">The TGA clinical evaluation report </w:t>
            </w:r>
            <w:r w:rsidR="00B60915" w:rsidRPr="00916586">
              <w:t xml:space="preserve">concluded that with the established bioequivalence based on the total daily exposure between pregabalin </w:t>
            </w:r>
            <w:r w:rsidR="001956F2" w:rsidRPr="00916586">
              <w:t>C</w:t>
            </w:r>
            <w:r w:rsidR="00B60915" w:rsidRPr="00916586">
              <w:t xml:space="preserve">R tablets and pregabalin IR capsules in the Phase 1 studies, and the results of a placebo controlled study of pregabalin CR in adult subjects with PHN, the efficacy with pregabalin </w:t>
            </w:r>
            <w:r w:rsidR="001956F2" w:rsidRPr="00916586">
              <w:t>C</w:t>
            </w:r>
            <w:r w:rsidR="00B60915" w:rsidRPr="00916586">
              <w:t>R tablets was considered to have been demonstrated in the proposed indication, neuropathic pain (Clinical Evaluation Report for Lyrica CR, Submission PM-2020-00665-1-1).</w:t>
            </w:r>
          </w:p>
        </w:tc>
      </w:tr>
    </w:tbl>
    <w:p w14:paraId="07FF7A75" w14:textId="77777777" w:rsidR="00157674" w:rsidRPr="00916586" w:rsidRDefault="00157674" w:rsidP="00157674">
      <w:pPr>
        <w:pStyle w:val="TableFigureFooter"/>
      </w:pPr>
      <w:r w:rsidRPr="00916586">
        <w:t>Source: compiled during evaluation.</w:t>
      </w:r>
    </w:p>
    <w:p w14:paraId="6F0989EE" w14:textId="77777777" w:rsidR="00157674" w:rsidRPr="00916586" w:rsidRDefault="00B60915" w:rsidP="00157674">
      <w:pPr>
        <w:pStyle w:val="TableFigureFooter"/>
        <w:rPr>
          <w:iCs/>
        </w:rPr>
      </w:pPr>
      <w:r w:rsidRPr="00916586">
        <w:rPr>
          <w:iCs/>
          <w:vertAlign w:val="superscript"/>
        </w:rPr>
        <w:t>“</w:t>
      </w:r>
      <w:r w:rsidR="00157674" w:rsidRPr="00916586">
        <w:rPr>
          <w:iCs/>
        </w:rPr>
        <w:t>Extended” release was used interchangeably with “modified” release or “controlled” release in the TGA clinical evaluation report</w:t>
      </w:r>
      <w:r w:rsidRPr="00916586">
        <w:rPr>
          <w:iCs/>
        </w:rPr>
        <w:t>.</w:t>
      </w:r>
    </w:p>
    <w:p w14:paraId="5BFD6ED6" w14:textId="77777777" w:rsidR="00157674" w:rsidRPr="00916586" w:rsidRDefault="00157674" w:rsidP="00157674">
      <w:pPr>
        <w:pStyle w:val="TableFigureFooter"/>
      </w:pPr>
      <w:r w:rsidRPr="00916586">
        <w:t xml:space="preserve">CR=controlled release, ER = extended release; IR= immediate release; </w:t>
      </w:r>
      <w:r w:rsidR="00B60915" w:rsidRPr="00916586">
        <w:t xml:space="preserve">PHN = postherpetic neuralgia; </w:t>
      </w:r>
      <w:r w:rsidRPr="00916586">
        <w:t>PI = Product Information; TGA = Therapeutic Goods Administration</w:t>
      </w:r>
    </w:p>
    <w:p w14:paraId="2491FFDB" w14:textId="77777777" w:rsidR="005C25FF" w:rsidRPr="00916586" w:rsidRDefault="005C25FF" w:rsidP="004A6040">
      <w:pPr>
        <w:pStyle w:val="2-SectionHeading"/>
      </w:pPr>
      <w:bookmarkStart w:id="3" w:name="_Toc81837340"/>
      <w:r w:rsidRPr="00916586">
        <w:lastRenderedPageBreak/>
        <w:t>Background</w:t>
      </w:r>
      <w:bookmarkEnd w:id="3"/>
    </w:p>
    <w:p w14:paraId="10112E8E" w14:textId="77777777" w:rsidR="005C25FF" w:rsidRPr="00916586" w:rsidRDefault="005C25FF" w:rsidP="004A6040">
      <w:pPr>
        <w:pStyle w:val="4-SubsectionHeading"/>
      </w:pPr>
      <w:bookmarkStart w:id="4" w:name="_Toc22897638"/>
      <w:bookmarkStart w:id="5" w:name="_Toc81837341"/>
      <w:r w:rsidRPr="00916586">
        <w:t>Registration status</w:t>
      </w:r>
      <w:bookmarkEnd w:id="4"/>
      <w:bookmarkEnd w:id="5"/>
    </w:p>
    <w:p w14:paraId="7E33C7B0" w14:textId="77777777" w:rsidR="003D3F13" w:rsidRPr="00916586" w:rsidRDefault="00D310A1" w:rsidP="00946E25">
      <w:pPr>
        <w:pStyle w:val="3-BodyText"/>
      </w:pPr>
      <w:r w:rsidRPr="00916586">
        <w:t xml:space="preserve">Pregabalin CR 82.5 mg, 165 mg and 330 mg tablets </w:t>
      </w:r>
      <w:r w:rsidR="00E41D14" w:rsidRPr="00916586">
        <w:t>were registered on the Australian Register of Therapeutic Goods (ARTG) on 10 March 2021 for the treatment of neuropathic pain in adults.</w:t>
      </w:r>
    </w:p>
    <w:p w14:paraId="23809D6E" w14:textId="77777777" w:rsidR="009E0786" w:rsidRPr="00916586" w:rsidRDefault="00A33EFE" w:rsidP="00A33EFE">
      <w:pPr>
        <w:pStyle w:val="3-BodyText"/>
      </w:pPr>
      <w:r w:rsidRPr="00916586">
        <w:t>The table below summarises the international registration status for pregabalin CR.</w:t>
      </w:r>
    </w:p>
    <w:p w14:paraId="18244D6B" w14:textId="426016ED" w:rsidR="00A33EFE" w:rsidRPr="00916586" w:rsidRDefault="00A33EFE" w:rsidP="00A33EFE">
      <w:pPr>
        <w:pStyle w:val="TableFigureHeading"/>
      </w:pPr>
      <w:r w:rsidRPr="00916586">
        <w:rPr>
          <w:rStyle w:val="CommentReference"/>
          <w:b/>
          <w:szCs w:val="24"/>
        </w:rPr>
        <w:t xml:space="preserve">Table </w:t>
      </w:r>
      <w:r w:rsidR="007A7FAD" w:rsidRPr="00916586">
        <w:rPr>
          <w:rStyle w:val="CommentReference"/>
          <w:b/>
          <w:noProof/>
          <w:szCs w:val="24"/>
        </w:rPr>
        <w:t>2</w:t>
      </w:r>
      <w:r w:rsidR="00AF067B">
        <w:rPr>
          <w:rStyle w:val="CommentReference"/>
          <w:b/>
          <w:szCs w:val="24"/>
        </w:rPr>
        <w:t xml:space="preserve">: </w:t>
      </w:r>
      <w:r w:rsidRPr="00916586">
        <w:t>Pregabalin CR international registration status</w:t>
      </w:r>
    </w:p>
    <w:tbl>
      <w:tblPr>
        <w:tblStyle w:val="TableGrid"/>
        <w:tblW w:w="5000" w:type="pct"/>
        <w:tblLook w:val="04A0" w:firstRow="1" w:lastRow="0" w:firstColumn="1" w:lastColumn="0" w:noHBand="0" w:noVBand="1"/>
        <w:tblCaption w:val="Table 2: Pregabalin CR international registration status"/>
      </w:tblPr>
      <w:tblGrid>
        <w:gridCol w:w="2253"/>
        <w:gridCol w:w="1710"/>
        <w:gridCol w:w="1701"/>
        <w:gridCol w:w="3353"/>
      </w:tblGrid>
      <w:tr w:rsidR="00A33EFE" w:rsidRPr="00916586" w14:paraId="4C4FA292" w14:textId="77777777" w:rsidTr="00F002A0">
        <w:trPr>
          <w:tblHeader/>
        </w:trPr>
        <w:tc>
          <w:tcPr>
            <w:tcW w:w="1250" w:type="pct"/>
          </w:tcPr>
          <w:p w14:paraId="43BACE26" w14:textId="77777777" w:rsidR="00A33EFE" w:rsidRPr="00916586" w:rsidRDefault="00A33EFE" w:rsidP="00064FBA">
            <w:pPr>
              <w:pStyle w:val="In-tableHeading"/>
              <w:rPr>
                <w:lang w:val="en-AU"/>
              </w:rPr>
            </w:pPr>
            <w:r w:rsidRPr="00916586">
              <w:rPr>
                <w:lang w:val="en-AU"/>
              </w:rPr>
              <w:t>Country</w:t>
            </w:r>
          </w:p>
        </w:tc>
        <w:tc>
          <w:tcPr>
            <w:tcW w:w="948" w:type="pct"/>
          </w:tcPr>
          <w:p w14:paraId="70835E32" w14:textId="77777777" w:rsidR="00A33EFE" w:rsidRPr="00916586" w:rsidRDefault="00A33EFE" w:rsidP="00064FBA">
            <w:pPr>
              <w:pStyle w:val="In-tableHeading"/>
              <w:rPr>
                <w:lang w:val="en-AU"/>
              </w:rPr>
            </w:pPr>
            <w:r w:rsidRPr="00916586">
              <w:rPr>
                <w:lang w:val="en-AU"/>
              </w:rPr>
              <w:t>Submission Date</w:t>
            </w:r>
          </w:p>
        </w:tc>
        <w:tc>
          <w:tcPr>
            <w:tcW w:w="943" w:type="pct"/>
          </w:tcPr>
          <w:p w14:paraId="7AC18E8F" w14:textId="77777777" w:rsidR="00A33EFE" w:rsidRPr="00916586" w:rsidRDefault="00A33EFE" w:rsidP="00064FBA">
            <w:pPr>
              <w:pStyle w:val="In-tableHeading"/>
              <w:rPr>
                <w:lang w:val="en-AU"/>
              </w:rPr>
            </w:pPr>
            <w:r w:rsidRPr="00916586">
              <w:rPr>
                <w:lang w:val="en-AU"/>
              </w:rPr>
              <w:t>Approval Status</w:t>
            </w:r>
          </w:p>
        </w:tc>
        <w:tc>
          <w:tcPr>
            <w:tcW w:w="1859" w:type="pct"/>
          </w:tcPr>
          <w:p w14:paraId="6E870174" w14:textId="77777777" w:rsidR="00A33EFE" w:rsidRPr="00916586" w:rsidRDefault="00A33EFE" w:rsidP="00064FBA">
            <w:pPr>
              <w:pStyle w:val="In-tableHeading"/>
              <w:rPr>
                <w:lang w:val="en-AU"/>
              </w:rPr>
            </w:pPr>
            <w:r w:rsidRPr="00916586">
              <w:rPr>
                <w:lang w:val="en-AU"/>
              </w:rPr>
              <w:t>Approved Indications</w:t>
            </w:r>
          </w:p>
        </w:tc>
      </w:tr>
      <w:tr w:rsidR="00A33EFE" w:rsidRPr="00916586" w14:paraId="601B452D" w14:textId="77777777" w:rsidTr="00A75374">
        <w:tc>
          <w:tcPr>
            <w:tcW w:w="1250" w:type="pct"/>
          </w:tcPr>
          <w:p w14:paraId="261C9661" w14:textId="77777777" w:rsidR="00A33EFE" w:rsidRPr="00916586" w:rsidRDefault="00A33EFE" w:rsidP="00064FBA">
            <w:pPr>
              <w:pStyle w:val="TableText0"/>
            </w:pPr>
            <w:r w:rsidRPr="00916586">
              <w:t>United States of America (USA)</w:t>
            </w:r>
          </w:p>
        </w:tc>
        <w:tc>
          <w:tcPr>
            <w:tcW w:w="948" w:type="pct"/>
          </w:tcPr>
          <w:p w14:paraId="31C1CAD3" w14:textId="77777777" w:rsidR="00A33EFE" w:rsidRPr="00916586" w:rsidRDefault="00A33EFE" w:rsidP="00064FBA">
            <w:pPr>
              <w:pStyle w:val="TableText0"/>
            </w:pPr>
            <w:r w:rsidRPr="00916586">
              <w:t>15 December 2016</w:t>
            </w:r>
          </w:p>
        </w:tc>
        <w:tc>
          <w:tcPr>
            <w:tcW w:w="943" w:type="pct"/>
          </w:tcPr>
          <w:p w14:paraId="728ED458" w14:textId="77777777" w:rsidR="00A33EFE" w:rsidRPr="00916586" w:rsidRDefault="00A33EFE" w:rsidP="00064FBA">
            <w:pPr>
              <w:pStyle w:val="TableText0"/>
            </w:pPr>
            <w:r w:rsidRPr="00916586">
              <w:t>Approved</w:t>
            </w:r>
          </w:p>
          <w:p w14:paraId="6C75300C" w14:textId="77777777" w:rsidR="00A33EFE" w:rsidRPr="00916586" w:rsidRDefault="00A33EFE" w:rsidP="00064FBA">
            <w:pPr>
              <w:pStyle w:val="TableText0"/>
            </w:pPr>
            <w:r w:rsidRPr="00916586">
              <w:t>11 October 2017</w:t>
            </w:r>
          </w:p>
        </w:tc>
        <w:tc>
          <w:tcPr>
            <w:tcW w:w="1859" w:type="pct"/>
          </w:tcPr>
          <w:p w14:paraId="66C134C4" w14:textId="77777777" w:rsidR="00A33EFE" w:rsidRPr="00916586" w:rsidRDefault="00A33EFE" w:rsidP="00064FBA">
            <w:pPr>
              <w:pStyle w:val="TableText0"/>
            </w:pPr>
            <w:r w:rsidRPr="00916586">
              <w:t>Neuropathic pain associated with diabetic peripheral neuropathy (DPN)</w:t>
            </w:r>
          </w:p>
          <w:p w14:paraId="1D123F83" w14:textId="77777777" w:rsidR="00A33EFE" w:rsidRPr="00916586" w:rsidRDefault="00A33EFE" w:rsidP="00D318F4">
            <w:pPr>
              <w:pStyle w:val="TableText0"/>
            </w:pPr>
            <w:r w:rsidRPr="00916586">
              <w:t xml:space="preserve">Postherpetic </w:t>
            </w:r>
            <w:r w:rsidR="00D318F4" w:rsidRPr="00916586">
              <w:t>neuralgia</w:t>
            </w:r>
            <w:r w:rsidRPr="00916586">
              <w:t xml:space="preserve"> (PHN)</w:t>
            </w:r>
          </w:p>
        </w:tc>
      </w:tr>
      <w:tr w:rsidR="00A33EFE" w:rsidRPr="00916586" w14:paraId="6A5416D3" w14:textId="77777777" w:rsidTr="00A75374">
        <w:tc>
          <w:tcPr>
            <w:tcW w:w="1250" w:type="pct"/>
          </w:tcPr>
          <w:p w14:paraId="1139BF38" w14:textId="77777777" w:rsidR="00A33EFE" w:rsidRPr="00916586" w:rsidRDefault="00A33EFE" w:rsidP="00064FBA">
            <w:pPr>
              <w:pStyle w:val="TableText0"/>
            </w:pPr>
            <w:r w:rsidRPr="00916586">
              <w:t>Republic of Korea</w:t>
            </w:r>
          </w:p>
        </w:tc>
        <w:tc>
          <w:tcPr>
            <w:tcW w:w="948" w:type="pct"/>
          </w:tcPr>
          <w:p w14:paraId="6F698216" w14:textId="77777777" w:rsidR="00A33EFE" w:rsidRPr="00916586" w:rsidRDefault="00A33EFE" w:rsidP="00064FBA">
            <w:pPr>
              <w:pStyle w:val="TableText0"/>
            </w:pPr>
            <w:r w:rsidRPr="00916586">
              <w:t>15 June 2017</w:t>
            </w:r>
          </w:p>
        </w:tc>
        <w:tc>
          <w:tcPr>
            <w:tcW w:w="943" w:type="pct"/>
          </w:tcPr>
          <w:p w14:paraId="3DB06F6B" w14:textId="77777777" w:rsidR="00A33EFE" w:rsidRPr="00916586" w:rsidRDefault="00A33EFE" w:rsidP="00064FBA">
            <w:pPr>
              <w:pStyle w:val="TableText0"/>
            </w:pPr>
            <w:r w:rsidRPr="00916586">
              <w:t>Approved</w:t>
            </w:r>
          </w:p>
          <w:p w14:paraId="34AF253A" w14:textId="77777777" w:rsidR="00A33EFE" w:rsidRPr="00916586" w:rsidRDefault="00A33EFE" w:rsidP="00064FBA">
            <w:pPr>
              <w:pStyle w:val="TableText0"/>
            </w:pPr>
            <w:r w:rsidRPr="00916586">
              <w:t>18 July 2018</w:t>
            </w:r>
          </w:p>
        </w:tc>
        <w:tc>
          <w:tcPr>
            <w:tcW w:w="1859" w:type="pct"/>
          </w:tcPr>
          <w:p w14:paraId="3E33F53E" w14:textId="77777777" w:rsidR="00A33EFE" w:rsidRPr="00916586" w:rsidRDefault="00A33EFE" w:rsidP="00064FBA">
            <w:pPr>
              <w:pStyle w:val="TableText0"/>
            </w:pPr>
            <w:r w:rsidRPr="00916586">
              <w:t>Treatment of neuropathic pain in adults</w:t>
            </w:r>
          </w:p>
        </w:tc>
      </w:tr>
    </w:tbl>
    <w:p w14:paraId="36FC8B8C" w14:textId="77777777" w:rsidR="00A33EFE" w:rsidRPr="00916586" w:rsidRDefault="002914A8" w:rsidP="00A33EFE">
      <w:pPr>
        <w:pStyle w:val="TableFooter"/>
      </w:pPr>
      <w:r w:rsidRPr="00916586">
        <w:t>Source: Table 3, p</w:t>
      </w:r>
      <w:r w:rsidR="00A33EFE" w:rsidRPr="00916586">
        <w:t>24 of the TGA Clinical Evaluation Report</w:t>
      </w:r>
    </w:p>
    <w:p w14:paraId="11824D1C" w14:textId="77777777" w:rsidR="00A33EFE" w:rsidRPr="00916586" w:rsidRDefault="00A33EFE" w:rsidP="00A33EFE">
      <w:pPr>
        <w:pStyle w:val="TableFooter"/>
      </w:pPr>
      <w:r w:rsidRPr="00916586">
        <w:t>CR = controlled release.</w:t>
      </w:r>
    </w:p>
    <w:p w14:paraId="4ED4D714" w14:textId="77777777" w:rsidR="00CA52B6" w:rsidRPr="00916586" w:rsidRDefault="00CA52B6" w:rsidP="00A33EFE">
      <w:pPr>
        <w:pStyle w:val="TableFooter"/>
      </w:pPr>
    </w:p>
    <w:p w14:paraId="3D6A2441" w14:textId="0AAA7076" w:rsidR="00CA52B6" w:rsidRPr="00916586" w:rsidRDefault="00CA52B6" w:rsidP="00A33EFE">
      <w:pPr>
        <w:pStyle w:val="3-BodyText"/>
      </w:pPr>
      <w:r w:rsidRPr="00916586">
        <w:t xml:space="preserve">A submission from AFT Pharmaceuticals (Au) Pty Ltd, to list an oral solution of pregabalin (20mg/mL, 473 mL) </w:t>
      </w:r>
      <w:r w:rsidR="00F41D3A" w:rsidRPr="00916586">
        <w:t xml:space="preserve">on the PBS </w:t>
      </w:r>
      <w:r w:rsidRPr="00916586">
        <w:t xml:space="preserve">for the treatment of neuropathic pain, </w:t>
      </w:r>
      <w:r w:rsidR="00BF1253" w:rsidRPr="00916586">
        <w:t>was</w:t>
      </w:r>
      <w:r w:rsidRPr="00916586">
        <w:t xml:space="preserve"> considered at the November 2021 PBAC meeting</w:t>
      </w:r>
      <w:r w:rsidR="00F41D3A" w:rsidRPr="00916586">
        <w:t xml:space="preserve"> (item 5.25 of the November 2021 agenda)</w:t>
      </w:r>
      <w:r w:rsidRPr="00916586">
        <w:t>. The submission request</w:t>
      </w:r>
      <w:r w:rsidR="00BF1253" w:rsidRPr="00916586">
        <w:t>ed</w:t>
      </w:r>
      <w:r w:rsidRPr="00916586">
        <w:t xml:space="preserve"> an Authority Required (STREAMLINED) listing of pregabalin solution under the same circumstances as the existing listings of pregabalin IR capsules.</w:t>
      </w:r>
    </w:p>
    <w:p w14:paraId="2BFDA05D" w14:textId="77777777" w:rsidR="00B60939" w:rsidRPr="00916586" w:rsidRDefault="00B50DB8" w:rsidP="004E18E9">
      <w:pPr>
        <w:pStyle w:val="2-SectionHeading"/>
      </w:pPr>
      <w:bookmarkStart w:id="6" w:name="_Toc81837342"/>
      <w:r w:rsidRPr="00916586">
        <w:t>Requested listing</w:t>
      </w:r>
      <w:bookmarkEnd w:id="6"/>
    </w:p>
    <w:p w14:paraId="3BFDE5F4" w14:textId="77777777" w:rsidR="00915556" w:rsidRPr="00916586" w:rsidRDefault="00B50E2C" w:rsidP="00915556">
      <w:pPr>
        <w:pStyle w:val="3-BodyText"/>
      </w:pPr>
      <w:r w:rsidRPr="00916586">
        <w:t>The requested listing is presented below.</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174"/>
        <w:gridCol w:w="1345"/>
        <w:gridCol w:w="1323"/>
        <w:gridCol w:w="937"/>
        <w:gridCol w:w="1488"/>
        <w:gridCol w:w="1760"/>
      </w:tblGrid>
      <w:tr w:rsidR="00A33EFE" w:rsidRPr="00916586" w14:paraId="32DCB561" w14:textId="77777777" w:rsidTr="00AB41A9">
        <w:tc>
          <w:tcPr>
            <w:tcW w:w="1204" w:type="pct"/>
            <w:tcBorders>
              <w:bottom w:val="single" w:sz="4" w:space="0" w:color="auto"/>
            </w:tcBorders>
          </w:tcPr>
          <w:p w14:paraId="166B9723" w14:textId="77777777" w:rsidR="00A33EFE" w:rsidRPr="00916586" w:rsidRDefault="00A33EFE" w:rsidP="00105692">
            <w:pPr>
              <w:pStyle w:val="Tabletext"/>
              <w:keepNext/>
              <w:rPr>
                <w:b/>
                <w:bCs/>
              </w:rPr>
            </w:pPr>
            <w:r w:rsidRPr="00916586">
              <w:rPr>
                <w:b/>
              </w:rPr>
              <w:lastRenderedPageBreak/>
              <w:t>Name, restriction, manner of administration, form</w:t>
            </w:r>
          </w:p>
        </w:tc>
        <w:tc>
          <w:tcPr>
            <w:tcW w:w="745" w:type="pct"/>
            <w:tcBorders>
              <w:bottom w:val="single" w:sz="4" w:space="0" w:color="auto"/>
            </w:tcBorders>
          </w:tcPr>
          <w:p w14:paraId="3891D6DB" w14:textId="77777777" w:rsidR="00A33EFE" w:rsidRPr="00916586" w:rsidRDefault="00A33EFE" w:rsidP="00105692">
            <w:pPr>
              <w:pStyle w:val="Tabletext"/>
              <w:keepNext/>
              <w:jc w:val="center"/>
              <w:rPr>
                <w:b/>
                <w:bCs/>
              </w:rPr>
            </w:pPr>
            <w:r w:rsidRPr="00916586">
              <w:rPr>
                <w:b/>
              </w:rPr>
              <w:t>Maximum quantity (packs)</w:t>
            </w:r>
          </w:p>
        </w:tc>
        <w:tc>
          <w:tcPr>
            <w:tcW w:w="733" w:type="pct"/>
            <w:tcBorders>
              <w:bottom w:val="single" w:sz="4" w:space="0" w:color="auto"/>
            </w:tcBorders>
          </w:tcPr>
          <w:p w14:paraId="4DEC71CA" w14:textId="77777777" w:rsidR="00A33EFE" w:rsidRPr="00916586" w:rsidRDefault="00A33EFE" w:rsidP="00105692">
            <w:pPr>
              <w:pStyle w:val="Tabletext"/>
              <w:keepNext/>
              <w:jc w:val="center"/>
              <w:rPr>
                <w:b/>
                <w:bCs/>
              </w:rPr>
            </w:pPr>
            <w:r w:rsidRPr="00916586">
              <w:rPr>
                <w:b/>
              </w:rPr>
              <w:t>Maximum quantity (units)</w:t>
            </w:r>
          </w:p>
        </w:tc>
        <w:tc>
          <w:tcPr>
            <w:tcW w:w="519" w:type="pct"/>
            <w:tcBorders>
              <w:bottom w:val="single" w:sz="4" w:space="0" w:color="auto"/>
            </w:tcBorders>
          </w:tcPr>
          <w:p w14:paraId="02D6313F" w14:textId="77777777" w:rsidR="00A33EFE" w:rsidRPr="00916586" w:rsidRDefault="00A33EFE" w:rsidP="00105692">
            <w:pPr>
              <w:pStyle w:val="Tabletext"/>
              <w:keepNext/>
              <w:rPr>
                <w:b/>
                <w:bCs/>
              </w:rPr>
            </w:pPr>
            <w:r w:rsidRPr="00916586">
              <w:rPr>
                <w:b/>
              </w:rPr>
              <w:t>No. of repeats</w:t>
            </w:r>
          </w:p>
        </w:tc>
        <w:tc>
          <w:tcPr>
            <w:tcW w:w="824" w:type="pct"/>
            <w:tcBorders>
              <w:bottom w:val="single" w:sz="4" w:space="0" w:color="auto"/>
            </w:tcBorders>
          </w:tcPr>
          <w:p w14:paraId="6E2BEFB6" w14:textId="77777777" w:rsidR="00A33EFE" w:rsidRPr="00916586" w:rsidRDefault="00A33EFE" w:rsidP="00105692">
            <w:pPr>
              <w:pStyle w:val="Tabletext"/>
              <w:keepNext/>
              <w:jc w:val="center"/>
              <w:rPr>
                <w:b/>
                <w:bCs/>
              </w:rPr>
            </w:pPr>
            <w:r w:rsidRPr="00916586">
              <w:rPr>
                <w:b/>
              </w:rPr>
              <w:t xml:space="preserve">Dispensed price for </w:t>
            </w:r>
            <w:r w:rsidR="002A7A2C" w:rsidRPr="00916586">
              <w:rPr>
                <w:b/>
              </w:rPr>
              <w:t>Max. Qty</w:t>
            </w:r>
            <w:r w:rsidRPr="00916586">
              <w:rPr>
                <w:b/>
              </w:rPr>
              <w:t xml:space="preserve"> </w:t>
            </w:r>
            <w:r w:rsidRPr="00916586">
              <w:rPr>
                <w:b/>
                <w:vertAlign w:val="superscript"/>
              </w:rPr>
              <w:t>a</w:t>
            </w:r>
          </w:p>
        </w:tc>
        <w:tc>
          <w:tcPr>
            <w:tcW w:w="975" w:type="pct"/>
            <w:tcBorders>
              <w:bottom w:val="single" w:sz="4" w:space="0" w:color="auto"/>
            </w:tcBorders>
          </w:tcPr>
          <w:p w14:paraId="2698114E" w14:textId="77777777" w:rsidR="00A33EFE" w:rsidRPr="00916586" w:rsidRDefault="00A33EFE" w:rsidP="00105692">
            <w:pPr>
              <w:pStyle w:val="Tabletext"/>
              <w:keepNext/>
              <w:rPr>
                <w:b/>
                <w:bCs/>
              </w:rPr>
            </w:pPr>
            <w:r w:rsidRPr="00916586">
              <w:rPr>
                <w:b/>
              </w:rPr>
              <w:t>Proprietary name and manufacturer</w:t>
            </w:r>
          </w:p>
        </w:tc>
      </w:tr>
      <w:tr w:rsidR="00A33EFE" w:rsidRPr="00916586" w14:paraId="7BF1CB4B" w14:textId="77777777" w:rsidTr="00AB41A9">
        <w:tc>
          <w:tcPr>
            <w:tcW w:w="1204" w:type="pct"/>
            <w:tcBorders>
              <w:bottom w:val="nil"/>
            </w:tcBorders>
            <w:vAlign w:val="center"/>
          </w:tcPr>
          <w:p w14:paraId="58270E1F" w14:textId="77777777" w:rsidR="00A33EFE" w:rsidRPr="00916586" w:rsidRDefault="00A33EFE" w:rsidP="00105692">
            <w:pPr>
              <w:pStyle w:val="Tabletext"/>
              <w:keepNext/>
            </w:pPr>
            <w:r w:rsidRPr="00916586">
              <w:rPr>
                <w:smallCaps/>
              </w:rPr>
              <w:t xml:space="preserve">PREGABALIN </w:t>
            </w:r>
          </w:p>
        </w:tc>
        <w:tc>
          <w:tcPr>
            <w:tcW w:w="745" w:type="pct"/>
            <w:tcBorders>
              <w:bottom w:val="nil"/>
            </w:tcBorders>
            <w:vAlign w:val="center"/>
          </w:tcPr>
          <w:p w14:paraId="6D55AAD4" w14:textId="77777777" w:rsidR="00A33EFE" w:rsidRPr="00916586" w:rsidRDefault="00A33EFE" w:rsidP="00105692">
            <w:pPr>
              <w:pStyle w:val="Tabletext"/>
              <w:keepNext/>
              <w:jc w:val="center"/>
              <w:rPr>
                <w:rFonts w:ascii="Times" w:hAnsi="Times"/>
              </w:rPr>
            </w:pPr>
          </w:p>
        </w:tc>
        <w:tc>
          <w:tcPr>
            <w:tcW w:w="733" w:type="pct"/>
            <w:tcBorders>
              <w:bottom w:val="nil"/>
            </w:tcBorders>
            <w:vAlign w:val="center"/>
          </w:tcPr>
          <w:p w14:paraId="0A87729E" w14:textId="77777777" w:rsidR="00A33EFE" w:rsidRPr="00916586" w:rsidRDefault="00A33EFE" w:rsidP="00105692">
            <w:pPr>
              <w:pStyle w:val="Tabletext"/>
              <w:keepNext/>
              <w:jc w:val="center"/>
              <w:rPr>
                <w:rFonts w:ascii="Times" w:hAnsi="Times"/>
              </w:rPr>
            </w:pPr>
          </w:p>
        </w:tc>
        <w:tc>
          <w:tcPr>
            <w:tcW w:w="519" w:type="pct"/>
            <w:tcBorders>
              <w:bottom w:val="nil"/>
            </w:tcBorders>
            <w:vAlign w:val="center"/>
          </w:tcPr>
          <w:p w14:paraId="0944C495" w14:textId="77777777" w:rsidR="00A33EFE" w:rsidRPr="00916586" w:rsidRDefault="00A33EFE" w:rsidP="00105692">
            <w:pPr>
              <w:pStyle w:val="Tabletext"/>
              <w:keepNext/>
              <w:jc w:val="center"/>
              <w:rPr>
                <w:rFonts w:ascii="Times" w:hAnsi="Times"/>
              </w:rPr>
            </w:pPr>
          </w:p>
        </w:tc>
        <w:tc>
          <w:tcPr>
            <w:tcW w:w="824" w:type="pct"/>
            <w:tcBorders>
              <w:bottom w:val="nil"/>
            </w:tcBorders>
            <w:vAlign w:val="center"/>
          </w:tcPr>
          <w:p w14:paraId="2E364FE9" w14:textId="77777777" w:rsidR="00A33EFE" w:rsidRPr="00916586" w:rsidRDefault="00A33EFE" w:rsidP="00105692">
            <w:pPr>
              <w:pStyle w:val="Tabletext"/>
              <w:keepNext/>
              <w:jc w:val="center"/>
              <w:rPr>
                <w:rFonts w:ascii="Times" w:hAnsi="Times"/>
              </w:rPr>
            </w:pPr>
          </w:p>
        </w:tc>
        <w:tc>
          <w:tcPr>
            <w:tcW w:w="975" w:type="pct"/>
            <w:vMerge w:val="restart"/>
          </w:tcPr>
          <w:p w14:paraId="74A477EE" w14:textId="77777777" w:rsidR="00284ABA" w:rsidRPr="00916586" w:rsidRDefault="00284ABA" w:rsidP="00105692">
            <w:pPr>
              <w:pStyle w:val="Tabletext"/>
              <w:keepNext/>
              <w:jc w:val="center"/>
            </w:pPr>
          </w:p>
          <w:p w14:paraId="6499E0F1" w14:textId="77777777" w:rsidR="00284ABA" w:rsidRPr="00916586" w:rsidRDefault="00284ABA" w:rsidP="00105692">
            <w:pPr>
              <w:pStyle w:val="Tabletext"/>
              <w:keepNext/>
              <w:jc w:val="center"/>
            </w:pPr>
          </w:p>
          <w:p w14:paraId="7E576493" w14:textId="77777777" w:rsidR="00A33EFE" w:rsidRPr="00916586" w:rsidRDefault="00A33EFE" w:rsidP="00105692">
            <w:pPr>
              <w:pStyle w:val="Tabletext"/>
              <w:keepNext/>
              <w:jc w:val="center"/>
            </w:pPr>
            <w:r w:rsidRPr="00916586">
              <w:t>LYRICA</w:t>
            </w:r>
            <w:r w:rsidRPr="00916586">
              <w:rPr>
                <w:vertAlign w:val="superscript"/>
              </w:rPr>
              <w:t xml:space="preserve">® </w:t>
            </w:r>
            <w:r w:rsidRPr="00916586">
              <w:t>CR,</w:t>
            </w:r>
          </w:p>
          <w:p w14:paraId="79BA523C" w14:textId="77777777" w:rsidR="00A33EFE" w:rsidRPr="00916586" w:rsidRDefault="00A33EFE" w:rsidP="00105692">
            <w:pPr>
              <w:pStyle w:val="Tabletext"/>
              <w:keepNext/>
              <w:jc w:val="center"/>
            </w:pPr>
            <w:r w:rsidRPr="00916586">
              <w:t>Upjohn Australia Pty Ltd</w:t>
            </w:r>
          </w:p>
        </w:tc>
      </w:tr>
      <w:tr w:rsidR="00A33EFE" w:rsidRPr="00916586" w14:paraId="39F0BAFA" w14:textId="77777777" w:rsidTr="00AB41A9">
        <w:tc>
          <w:tcPr>
            <w:tcW w:w="1204" w:type="pct"/>
            <w:tcBorders>
              <w:top w:val="nil"/>
              <w:bottom w:val="nil"/>
            </w:tcBorders>
            <w:vAlign w:val="center"/>
          </w:tcPr>
          <w:p w14:paraId="0610F40F" w14:textId="77777777" w:rsidR="00A33EFE" w:rsidRPr="00916586" w:rsidRDefault="00A33EFE" w:rsidP="00105692">
            <w:pPr>
              <w:pStyle w:val="Tabletext"/>
              <w:keepNext/>
              <w:rPr>
                <w:smallCaps/>
              </w:rPr>
            </w:pPr>
            <w:r w:rsidRPr="00916586">
              <w:t xml:space="preserve">Modified release tablet, 82.5 mg, 30 tablets </w:t>
            </w:r>
          </w:p>
        </w:tc>
        <w:tc>
          <w:tcPr>
            <w:tcW w:w="745" w:type="pct"/>
            <w:tcBorders>
              <w:top w:val="nil"/>
              <w:bottom w:val="nil"/>
            </w:tcBorders>
            <w:vAlign w:val="center"/>
          </w:tcPr>
          <w:p w14:paraId="536FA802" w14:textId="77777777" w:rsidR="00A33EFE" w:rsidRPr="00916586" w:rsidRDefault="00A33EFE" w:rsidP="00105692">
            <w:pPr>
              <w:pStyle w:val="Tabletext"/>
              <w:keepNext/>
              <w:jc w:val="center"/>
            </w:pPr>
            <w:r w:rsidRPr="00916586">
              <w:t>1</w:t>
            </w:r>
          </w:p>
        </w:tc>
        <w:tc>
          <w:tcPr>
            <w:tcW w:w="733" w:type="pct"/>
            <w:tcBorders>
              <w:top w:val="nil"/>
              <w:bottom w:val="nil"/>
            </w:tcBorders>
            <w:vAlign w:val="center"/>
          </w:tcPr>
          <w:p w14:paraId="7D8D3648" w14:textId="77777777" w:rsidR="00A33EFE" w:rsidRPr="00916586" w:rsidRDefault="00A33EFE" w:rsidP="00105692">
            <w:pPr>
              <w:pStyle w:val="Tabletext"/>
              <w:keepNext/>
              <w:jc w:val="center"/>
            </w:pPr>
            <w:r w:rsidRPr="00916586">
              <w:t>30</w:t>
            </w:r>
          </w:p>
        </w:tc>
        <w:tc>
          <w:tcPr>
            <w:tcW w:w="519" w:type="pct"/>
            <w:tcBorders>
              <w:top w:val="nil"/>
              <w:bottom w:val="nil"/>
            </w:tcBorders>
            <w:vAlign w:val="center"/>
          </w:tcPr>
          <w:p w14:paraId="2D685507" w14:textId="77777777" w:rsidR="00A33EFE" w:rsidRPr="00916586" w:rsidRDefault="00A33EFE" w:rsidP="00105692">
            <w:pPr>
              <w:pStyle w:val="Tabletext"/>
              <w:keepNext/>
              <w:jc w:val="center"/>
            </w:pPr>
            <w:r w:rsidRPr="00916586">
              <w:t>5</w:t>
            </w:r>
          </w:p>
        </w:tc>
        <w:tc>
          <w:tcPr>
            <w:tcW w:w="824" w:type="pct"/>
            <w:tcBorders>
              <w:top w:val="nil"/>
              <w:bottom w:val="nil"/>
            </w:tcBorders>
            <w:vAlign w:val="center"/>
          </w:tcPr>
          <w:p w14:paraId="1692C48A" w14:textId="77777777" w:rsidR="00A33EFE" w:rsidRPr="00916586" w:rsidRDefault="000440D3" w:rsidP="00105692">
            <w:pPr>
              <w:pStyle w:val="Tabletext"/>
              <w:keepNext/>
              <w:jc w:val="center"/>
            </w:pPr>
            <w:r w:rsidRPr="00916586">
              <w:t>$22.94</w:t>
            </w:r>
          </w:p>
        </w:tc>
        <w:tc>
          <w:tcPr>
            <w:tcW w:w="975" w:type="pct"/>
            <w:vMerge/>
            <w:vAlign w:val="center"/>
          </w:tcPr>
          <w:p w14:paraId="178A9131" w14:textId="77777777" w:rsidR="00A33EFE" w:rsidRPr="00916586" w:rsidRDefault="00A33EFE" w:rsidP="00105692">
            <w:pPr>
              <w:pStyle w:val="Tabletext"/>
              <w:keepNext/>
              <w:jc w:val="center"/>
            </w:pPr>
          </w:p>
        </w:tc>
      </w:tr>
      <w:tr w:rsidR="00A33EFE" w:rsidRPr="00916586" w14:paraId="74418575" w14:textId="77777777" w:rsidTr="00AB41A9">
        <w:tc>
          <w:tcPr>
            <w:tcW w:w="1204" w:type="pct"/>
            <w:tcBorders>
              <w:top w:val="nil"/>
              <w:bottom w:val="nil"/>
            </w:tcBorders>
            <w:vAlign w:val="center"/>
          </w:tcPr>
          <w:p w14:paraId="6341C8CF" w14:textId="77777777" w:rsidR="00A33EFE" w:rsidRPr="00916586" w:rsidRDefault="00A33EFE" w:rsidP="00105692">
            <w:pPr>
              <w:pStyle w:val="Tabletext"/>
              <w:keepNext/>
            </w:pPr>
            <w:r w:rsidRPr="00916586">
              <w:t>Modified release tablet, 165 mg, 30 tablets</w:t>
            </w:r>
          </w:p>
        </w:tc>
        <w:tc>
          <w:tcPr>
            <w:tcW w:w="745" w:type="pct"/>
            <w:tcBorders>
              <w:top w:val="nil"/>
              <w:bottom w:val="nil"/>
            </w:tcBorders>
            <w:vAlign w:val="center"/>
          </w:tcPr>
          <w:p w14:paraId="6DC18BAE" w14:textId="77777777" w:rsidR="00A33EFE" w:rsidRPr="00916586" w:rsidRDefault="00A33EFE" w:rsidP="00105692">
            <w:pPr>
              <w:pStyle w:val="Tabletext"/>
              <w:keepNext/>
              <w:jc w:val="center"/>
            </w:pPr>
            <w:r w:rsidRPr="00916586">
              <w:t>1</w:t>
            </w:r>
          </w:p>
        </w:tc>
        <w:tc>
          <w:tcPr>
            <w:tcW w:w="733" w:type="pct"/>
            <w:tcBorders>
              <w:top w:val="nil"/>
              <w:bottom w:val="nil"/>
            </w:tcBorders>
            <w:vAlign w:val="center"/>
          </w:tcPr>
          <w:p w14:paraId="3518944A" w14:textId="77777777" w:rsidR="00A33EFE" w:rsidRPr="00916586" w:rsidRDefault="00A33EFE" w:rsidP="00105692">
            <w:pPr>
              <w:pStyle w:val="Tabletext"/>
              <w:keepNext/>
              <w:jc w:val="center"/>
            </w:pPr>
            <w:r w:rsidRPr="00916586">
              <w:t>30</w:t>
            </w:r>
          </w:p>
        </w:tc>
        <w:tc>
          <w:tcPr>
            <w:tcW w:w="519" w:type="pct"/>
            <w:tcBorders>
              <w:top w:val="nil"/>
              <w:bottom w:val="nil"/>
            </w:tcBorders>
            <w:vAlign w:val="center"/>
          </w:tcPr>
          <w:p w14:paraId="0AFD9AF3" w14:textId="77777777" w:rsidR="00A33EFE" w:rsidRPr="00916586" w:rsidRDefault="00A33EFE" w:rsidP="00105692">
            <w:pPr>
              <w:pStyle w:val="Tabletext"/>
              <w:keepNext/>
              <w:jc w:val="center"/>
            </w:pPr>
            <w:r w:rsidRPr="00916586">
              <w:t>5</w:t>
            </w:r>
          </w:p>
        </w:tc>
        <w:tc>
          <w:tcPr>
            <w:tcW w:w="824" w:type="pct"/>
            <w:tcBorders>
              <w:top w:val="nil"/>
              <w:bottom w:val="nil"/>
            </w:tcBorders>
            <w:vAlign w:val="center"/>
          </w:tcPr>
          <w:p w14:paraId="3E2E1B5E" w14:textId="77777777" w:rsidR="00A33EFE" w:rsidRPr="00916586" w:rsidRDefault="000440D3" w:rsidP="00105692">
            <w:pPr>
              <w:pStyle w:val="Tabletext"/>
              <w:keepNext/>
              <w:jc w:val="center"/>
            </w:pPr>
            <w:r w:rsidRPr="00916586">
              <w:t>$28.75</w:t>
            </w:r>
          </w:p>
        </w:tc>
        <w:tc>
          <w:tcPr>
            <w:tcW w:w="975" w:type="pct"/>
            <w:vMerge/>
            <w:vAlign w:val="center"/>
          </w:tcPr>
          <w:p w14:paraId="09DCBCBE" w14:textId="77777777" w:rsidR="00A33EFE" w:rsidRPr="00916586" w:rsidRDefault="00A33EFE" w:rsidP="00105692">
            <w:pPr>
              <w:pStyle w:val="Tabletext"/>
              <w:keepNext/>
              <w:jc w:val="center"/>
            </w:pPr>
          </w:p>
        </w:tc>
      </w:tr>
      <w:tr w:rsidR="00A33EFE" w:rsidRPr="00916586" w14:paraId="597CAE82" w14:textId="77777777" w:rsidTr="00AB41A9">
        <w:tc>
          <w:tcPr>
            <w:tcW w:w="1204" w:type="pct"/>
            <w:tcBorders>
              <w:top w:val="nil"/>
            </w:tcBorders>
            <w:vAlign w:val="center"/>
          </w:tcPr>
          <w:p w14:paraId="10A9E1CD" w14:textId="77777777" w:rsidR="00A33EFE" w:rsidRPr="00916586" w:rsidRDefault="00A33EFE" w:rsidP="00105692">
            <w:pPr>
              <w:pStyle w:val="Tabletext"/>
              <w:keepNext/>
            </w:pPr>
            <w:r w:rsidRPr="00916586">
              <w:t>Modified release tablet, 330 mg, 30 tablets</w:t>
            </w:r>
          </w:p>
        </w:tc>
        <w:tc>
          <w:tcPr>
            <w:tcW w:w="745" w:type="pct"/>
            <w:tcBorders>
              <w:top w:val="nil"/>
            </w:tcBorders>
            <w:vAlign w:val="center"/>
          </w:tcPr>
          <w:p w14:paraId="60483888" w14:textId="77777777" w:rsidR="00A33EFE" w:rsidRPr="00916586" w:rsidRDefault="00A33EFE" w:rsidP="00105692">
            <w:pPr>
              <w:pStyle w:val="Tabletext"/>
              <w:keepNext/>
              <w:jc w:val="center"/>
            </w:pPr>
            <w:r w:rsidRPr="00916586">
              <w:t>1</w:t>
            </w:r>
          </w:p>
        </w:tc>
        <w:tc>
          <w:tcPr>
            <w:tcW w:w="733" w:type="pct"/>
            <w:tcBorders>
              <w:top w:val="nil"/>
            </w:tcBorders>
            <w:vAlign w:val="center"/>
          </w:tcPr>
          <w:p w14:paraId="4DADA90D" w14:textId="77777777" w:rsidR="00A33EFE" w:rsidRPr="00916586" w:rsidRDefault="00A33EFE" w:rsidP="00105692">
            <w:pPr>
              <w:pStyle w:val="Tabletext"/>
              <w:keepNext/>
              <w:jc w:val="center"/>
            </w:pPr>
            <w:r w:rsidRPr="00916586">
              <w:t>30</w:t>
            </w:r>
          </w:p>
        </w:tc>
        <w:tc>
          <w:tcPr>
            <w:tcW w:w="519" w:type="pct"/>
            <w:tcBorders>
              <w:top w:val="nil"/>
            </w:tcBorders>
            <w:vAlign w:val="center"/>
          </w:tcPr>
          <w:p w14:paraId="1A3B23ED" w14:textId="77777777" w:rsidR="00A33EFE" w:rsidRPr="00916586" w:rsidRDefault="00A33EFE" w:rsidP="00105692">
            <w:pPr>
              <w:pStyle w:val="Tabletext"/>
              <w:keepNext/>
              <w:jc w:val="center"/>
            </w:pPr>
            <w:r w:rsidRPr="00916586">
              <w:t>5</w:t>
            </w:r>
          </w:p>
        </w:tc>
        <w:tc>
          <w:tcPr>
            <w:tcW w:w="824" w:type="pct"/>
            <w:tcBorders>
              <w:top w:val="nil"/>
            </w:tcBorders>
            <w:vAlign w:val="center"/>
          </w:tcPr>
          <w:p w14:paraId="69DE0A85" w14:textId="77777777" w:rsidR="00A33EFE" w:rsidRPr="00916586" w:rsidRDefault="000440D3" w:rsidP="00105692">
            <w:pPr>
              <w:pStyle w:val="Tabletext"/>
              <w:keepNext/>
              <w:jc w:val="center"/>
            </w:pPr>
            <w:r w:rsidRPr="00916586">
              <w:t>$36.95</w:t>
            </w:r>
          </w:p>
        </w:tc>
        <w:tc>
          <w:tcPr>
            <w:tcW w:w="975" w:type="pct"/>
            <w:vMerge/>
            <w:vAlign w:val="center"/>
          </w:tcPr>
          <w:p w14:paraId="06467ED7" w14:textId="77777777" w:rsidR="00A33EFE" w:rsidRPr="00916586" w:rsidRDefault="00A33EFE" w:rsidP="00105692">
            <w:pPr>
              <w:pStyle w:val="Tabletext"/>
              <w:keepNext/>
              <w:jc w:val="center"/>
            </w:pPr>
          </w:p>
        </w:tc>
      </w:tr>
    </w:tbl>
    <w:p w14:paraId="1F3F981B" w14:textId="77777777" w:rsidR="00D66183" w:rsidRPr="00B96474" w:rsidRDefault="00710C26" w:rsidP="00105692">
      <w:pPr>
        <w:pStyle w:val="TableFigureFooter"/>
        <w:keepNext/>
      </w:pPr>
      <w:r w:rsidRPr="00B96474">
        <w:rPr>
          <w:vertAlign w:val="superscript"/>
        </w:rPr>
        <w:t>a</w:t>
      </w:r>
      <w:r w:rsidRPr="00B96474">
        <w:t xml:space="preserve"> The </w:t>
      </w:r>
      <w:r w:rsidR="00A17D07" w:rsidRPr="00B96474">
        <w:t>requested DPMQ</w:t>
      </w:r>
      <w:r w:rsidR="000440D3" w:rsidRPr="00B96474">
        <w:t>s were</w:t>
      </w:r>
      <w:r w:rsidR="00A17D07" w:rsidRPr="00B96474">
        <w:t xml:space="preserve"> revised based on applicable mark-ups and fees as at 1 July 202</w:t>
      </w:r>
      <w:r w:rsidRPr="00B96474">
        <w:t>1.</w:t>
      </w:r>
    </w:p>
    <w:tbl>
      <w:tblPr>
        <w:tblW w:w="5000" w:type="pct"/>
        <w:tblLook w:val="0000" w:firstRow="0" w:lastRow="0" w:firstColumn="0" w:lastColumn="0" w:noHBand="0" w:noVBand="0"/>
      </w:tblPr>
      <w:tblGrid>
        <w:gridCol w:w="3381"/>
        <w:gridCol w:w="5636"/>
      </w:tblGrid>
      <w:tr w:rsidR="00D318F4" w:rsidRPr="00916586" w14:paraId="3FF1BE37" w14:textId="77777777" w:rsidTr="00AB41A9">
        <w:trPr>
          <w:cantSplit/>
        </w:trPr>
        <w:tc>
          <w:tcPr>
            <w:tcW w:w="1875" w:type="pct"/>
            <w:tcBorders>
              <w:top w:val="single" w:sz="4" w:space="0" w:color="auto"/>
              <w:left w:val="single" w:sz="4" w:space="0" w:color="auto"/>
              <w:bottom w:val="single" w:sz="4" w:space="0" w:color="auto"/>
              <w:right w:val="single" w:sz="4" w:space="0" w:color="auto"/>
            </w:tcBorders>
          </w:tcPr>
          <w:p w14:paraId="65BB0658" w14:textId="77777777" w:rsidR="00D318F4" w:rsidRPr="00916586" w:rsidRDefault="00D318F4" w:rsidP="00105692">
            <w:pPr>
              <w:pStyle w:val="TableText0"/>
              <w:rPr>
                <w:b/>
              </w:rPr>
            </w:pPr>
            <w:r w:rsidRPr="00916586">
              <w:rPr>
                <w:b/>
              </w:rPr>
              <w:t>Category / Program:</w:t>
            </w:r>
          </w:p>
        </w:tc>
        <w:tc>
          <w:tcPr>
            <w:tcW w:w="3125" w:type="pct"/>
            <w:tcBorders>
              <w:top w:val="single" w:sz="4" w:space="0" w:color="auto"/>
              <w:left w:val="single" w:sz="4" w:space="0" w:color="auto"/>
              <w:bottom w:val="single" w:sz="4" w:space="0" w:color="auto"/>
              <w:right w:val="single" w:sz="4" w:space="0" w:color="auto"/>
            </w:tcBorders>
          </w:tcPr>
          <w:p w14:paraId="52EF4332" w14:textId="77777777" w:rsidR="00D318F4" w:rsidRPr="00916586" w:rsidRDefault="00D318F4" w:rsidP="00105692">
            <w:pPr>
              <w:pStyle w:val="TableText0"/>
            </w:pPr>
            <w:r w:rsidRPr="00916586">
              <w:t>GENERAL – General Schedule (Code GE)</w:t>
            </w:r>
          </w:p>
        </w:tc>
      </w:tr>
      <w:tr w:rsidR="00D318F4" w:rsidRPr="00916586" w14:paraId="4DF507C8" w14:textId="77777777" w:rsidTr="00AB41A9">
        <w:trPr>
          <w:cantSplit/>
        </w:trPr>
        <w:tc>
          <w:tcPr>
            <w:tcW w:w="1875" w:type="pct"/>
            <w:tcBorders>
              <w:top w:val="single" w:sz="4" w:space="0" w:color="auto"/>
              <w:left w:val="single" w:sz="4" w:space="0" w:color="auto"/>
              <w:bottom w:val="single" w:sz="4" w:space="0" w:color="auto"/>
              <w:right w:val="single" w:sz="4" w:space="0" w:color="auto"/>
            </w:tcBorders>
          </w:tcPr>
          <w:p w14:paraId="381B10C8" w14:textId="77777777" w:rsidR="00D318F4" w:rsidRPr="00916586" w:rsidRDefault="00D318F4" w:rsidP="00105692">
            <w:pPr>
              <w:pStyle w:val="TableText0"/>
              <w:rPr>
                <w:b/>
              </w:rPr>
            </w:pPr>
            <w:r w:rsidRPr="00916586">
              <w:rPr>
                <w:b/>
              </w:rPr>
              <w:t>PBS Indication:</w:t>
            </w:r>
          </w:p>
        </w:tc>
        <w:tc>
          <w:tcPr>
            <w:tcW w:w="3125" w:type="pct"/>
            <w:tcBorders>
              <w:top w:val="single" w:sz="4" w:space="0" w:color="auto"/>
              <w:left w:val="single" w:sz="4" w:space="0" w:color="auto"/>
              <w:bottom w:val="single" w:sz="4" w:space="0" w:color="auto"/>
              <w:right w:val="single" w:sz="4" w:space="0" w:color="auto"/>
            </w:tcBorders>
          </w:tcPr>
          <w:p w14:paraId="015FA978" w14:textId="77777777" w:rsidR="00D318F4" w:rsidRPr="00916586" w:rsidRDefault="00D318F4" w:rsidP="00105692">
            <w:pPr>
              <w:pStyle w:val="TableText0"/>
            </w:pPr>
            <w:r w:rsidRPr="00916586">
              <w:t>Neuropathic pain in adults</w:t>
            </w:r>
          </w:p>
        </w:tc>
      </w:tr>
      <w:tr w:rsidR="00D318F4" w:rsidRPr="00916586" w14:paraId="1B4F1AEA" w14:textId="77777777" w:rsidTr="00AB41A9">
        <w:trPr>
          <w:cantSplit/>
        </w:trPr>
        <w:tc>
          <w:tcPr>
            <w:tcW w:w="1875" w:type="pct"/>
            <w:tcBorders>
              <w:top w:val="single" w:sz="4" w:space="0" w:color="auto"/>
              <w:left w:val="single" w:sz="4" w:space="0" w:color="auto"/>
              <w:bottom w:val="single" w:sz="4" w:space="0" w:color="auto"/>
              <w:right w:val="single" w:sz="4" w:space="0" w:color="auto"/>
            </w:tcBorders>
          </w:tcPr>
          <w:p w14:paraId="4C385D6C" w14:textId="77777777" w:rsidR="00D318F4" w:rsidRPr="00916586" w:rsidRDefault="00D318F4" w:rsidP="00105692">
            <w:pPr>
              <w:pStyle w:val="TableText0"/>
              <w:rPr>
                <w:b/>
              </w:rPr>
            </w:pPr>
            <w:r w:rsidRPr="00916586">
              <w:rPr>
                <w:b/>
              </w:rPr>
              <w:t>Treatment phase:</w:t>
            </w:r>
          </w:p>
        </w:tc>
        <w:tc>
          <w:tcPr>
            <w:tcW w:w="3125" w:type="pct"/>
            <w:tcBorders>
              <w:top w:val="single" w:sz="4" w:space="0" w:color="auto"/>
              <w:left w:val="single" w:sz="4" w:space="0" w:color="auto"/>
              <w:bottom w:val="single" w:sz="4" w:space="0" w:color="auto"/>
              <w:right w:val="single" w:sz="4" w:space="0" w:color="auto"/>
            </w:tcBorders>
          </w:tcPr>
          <w:p w14:paraId="2964CE67" w14:textId="77777777" w:rsidR="00D318F4" w:rsidRPr="00916586" w:rsidRDefault="00D318F4" w:rsidP="00105692">
            <w:pPr>
              <w:pStyle w:val="TableText0"/>
            </w:pPr>
            <w:r w:rsidRPr="00916586">
              <w:t>Initial and continuing</w:t>
            </w:r>
          </w:p>
        </w:tc>
      </w:tr>
      <w:tr w:rsidR="00D318F4" w:rsidRPr="00916586" w14:paraId="4B403C21" w14:textId="77777777" w:rsidTr="00AB41A9">
        <w:trPr>
          <w:cantSplit/>
        </w:trPr>
        <w:tc>
          <w:tcPr>
            <w:tcW w:w="1875" w:type="pct"/>
            <w:tcBorders>
              <w:top w:val="single" w:sz="4" w:space="0" w:color="auto"/>
              <w:left w:val="single" w:sz="4" w:space="0" w:color="auto"/>
              <w:bottom w:val="single" w:sz="4" w:space="0" w:color="auto"/>
              <w:right w:val="single" w:sz="4" w:space="0" w:color="auto"/>
            </w:tcBorders>
          </w:tcPr>
          <w:p w14:paraId="44C84026" w14:textId="77777777" w:rsidR="00D318F4" w:rsidRPr="00916586" w:rsidRDefault="00D318F4" w:rsidP="00105692">
            <w:pPr>
              <w:pStyle w:val="TableText0"/>
              <w:rPr>
                <w:i/>
              </w:rPr>
            </w:pPr>
            <w:r w:rsidRPr="00916586">
              <w:rPr>
                <w:b/>
              </w:rPr>
              <w:t>Restriction:</w:t>
            </w:r>
          </w:p>
        </w:tc>
        <w:tc>
          <w:tcPr>
            <w:tcW w:w="3125" w:type="pct"/>
            <w:tcBorders>
              <w:top w:val="single" w:sz="4" w:space="0" w:color="auto"/>
              <w:left w:val="single" w:sz="4" w:space="0" w:color="auto"/>
              <w:bottom w:val="single" w:sz="4" w:space="0" w:color="auto"/>
              <w:right w:val="single" w:sz="4" w:space="0" w:color="auto"/>
            </w:tcBorders>
          </w:tcPr>
          <w:p w14:paraId="5151D409" w14:textId="77777777" w:rsidR="00D318F4" w:rsidRPr="00916586" w:rsidRDefault="00D318F4" w:rsidP="00105692">
            <w:pPr>
              <w:pStyle w:val="TableText0"/>
            </w:pPr>
            <w:r w:rsidRPr="00916586">
              <w:fldChar w:fldCharType="begin">
                <w:ffData>
                  <w:name w:val="Check5"/>
                  <w:enabled/>
                  <w:calcOnExit w:val="0"/>
                  <w:checkBox>
                    <w:sizeAuto/>
                    <w:default w:val="1"/>
                  </w:checkBox>
                </w:ffData>
              </w:fldChar>
            </w:r>
            <w:r w:rsidRPr="00916586">
              <w:instrText xml:space="preserve"> FORMCHECKBOX </w:instrText>
            </w:r>
            <w:r w:rsidR="004710A3">
              <w:fldChar w:fldCharType="separate"/>
            </w:r>
            <w:r w:rsidRPr="00916586">
              <w:fldChar w:fldCharType="end"/>
            </w:r>
            <w:r w:rsidRPr="00916586">
              <w:t>Streamlined</w:t>
            </w:r>
          </w:p>
        </w:tc>
      </w:tr>
      <w:tr w:rsidR="00D318F4" w:rsidRPr="00916586" w14:paraId="12892CBC" w14:textId="77777777" w:rsidTr="00AB41A9">
        <w:trPr>
          <w:cantSplit/>
        </w:trPr>
        <w:tc>
          <w:tcPr>
            <w:tcW w:w="1875" w:type="pct"/>
            <w:tcBorders>
              <w:top w:val="single" w:sz="4" w:space="0" w:color="auto"/>
              <w:left w:val="single" w:sz="4" w:space="0" w:color="auto"/>
              <w:bottom w:val="single" w:sz="4" w:space="0" w:color="auto"/>
              <w:right w:val="single" w:sz="4" w:space="0" w:color="auto"/>
            </w:tcBorders>
          </w:tcPr>
          <w:p w14:paraId="7A4F962D" w14:textId="77777777" w:rsidR="00D318F4" w:rsidRPr="00916586" w:rsidRDefault="00D318F4" w:rsidP="00105692">
            <w:pPr>
              <w:pStyle w:val="TableText0"/>
              <w:rPr>
                <w:b/>
              </w:rPr>
            </w:pPr>
            <w:r w:rsidRPr="00916586">
              <w:rPr>
                <w:b/>
              </w:rPr>
              <w:t>Clinical criteria:</w:t>
            </w:r>
          </w:p>
        </w:tc>
        <w:tc>
          <w:tcPr>
            <w:tcW w:w="3125" w:type="pct"/>
            <w:tcBorders>
              <w:top w:val="single" w:sz="4" w:space="0" w:color="auto"/>
              <w:left w:val="single" w:sz="4" w:space="0" w:color="auto"/>
              <w:bottom w:val="single" w:sz="4" w:space="0" w:color="auto"/>
              <w:right w:val="single" w:sz="4" w:space="0" w:color="auto"/>
            </w:tcBorders>
          </w:tcPr>
          <w:p w14:paraId="5A413488" w14:textId="77777777" w:rsidR="00D318F4" w:rsidRPr="00916586" w:rsidRDefault="00D318F4" w:rsidP="00105692">
            <w:pPr>
              <w:pStyle w:val="TableText0"/>
              <w:rPr>
                <w:rFonts w:cs="Arial"/>
              </w:rPr>
            </w:pPr>
            <w:r w:rsidRPr="00916586">
              <w:rPr>
                <w:rFonts w:cs="Arial"/>
              </w:rPr>
              <w:t>The condition must be refractory to treatment with other drugs.</w:t>
            </w:r>
          </w:p>
        </w:tc>
      </w:tr>
      <w:tr w:rsidR="00D318F4" w:rsidRPr="00916586" w14:paraId="5CF9317D" w14:textId="77777777" w:rsidTr="00AB41A9">
        <w:trPr>
          <w:cantSplit/>
        </w:trPr>
        <w:tc>
          <w:tcPr>
            <w:tcW w:w="1875" w:type="pct"/>
            <w:tcBorders>
              <w:top w:val="single" w:sz="4" w:space="0" w:color="auto"/>
              <w:left w:val="single" w:sz="4" w:space="0" w:color="auto"/>
              <w:bottom w:val="single" w:sz="4" w:space="0" w:color="auto"/>
              <w:right w:val="single" w:sz="4" w:space="0" w:color="auto"/>
            </w:tcBorders>
          </w:tcPr>
          <w:p w14:paraId="3385EE48" w14:textId="77777777" w:rsidR="00D318F4" w:rsidRPr="00916586" w:rsidRDefault="00D318F4" w:rsidP="00105692">
            <w:pPr>
              <w:pStyle w:val="TableText0"/>
              <w:rPr>
                <w:b/>
              </w:rPr>
            </w:pPr>
            <w:r w:rsidRPr="00916586">
              <w:rPr>
                <w:b/>
              </w:rPr>
              <w:t>Prescriber:</w:t>
            </w:r>
          </w:p>
        </w:tc>
        <w:tc>
          <w:tcPr>
            <w:tcW w:w="3125" w:type="pct"/>
            <w:tcBorders>
              <w:top w:val="single" w:sz="4" w:space="0" w:color="auto"/>
              <w:left w:val="single" w:sz="4" w:space="0" w:color="auto"/>
              <w:bottom w:val="single" w:sz="4" w:space="0" w:color="auto"/>
              <w:right w:val="single" w:sz="4" w:space="0" w:color="auto"/>
            </w:tcBorders>
          </w:tcPr>
          <w:p w14:paraId="34130CA9" w14:textId="77777777" w:rsidR="00D318F4" w:rsidRPr="00916586" w:rsidRDefault="00D318F4" w:rsidP="00105692">
            <w:pPr>
              <w:pStyle w:val="TableText0"/>
            </w:pPr>
            <w:r w:rsidRPr="00916586">
              <w:t>Initial and continuing: Medical Practitioner</w:t>
            </w:r>
          </w:p>
          <w:p w14:paraId="59D97454" w14:textId="77777777" w:rsidR="00D318F4" w:rsidRPr="00916586" w:rsidRDefault="00D318F4" w:rsidP="00105692">
            <w:pPr>
              <w:pStyle w:val="TableText0"/>
            </w:pPr>
          </w:p>
          <w:p w14:paraId="0650988E" w14:textId="77777777" w:rsidR="00D318F4" w:rsidRPr="00916586" w:rsidRDefault="00D318F4" w:rsidP="00105692">
            <w:pPr>
              <w:pStyle w:val="TableText0"/>
            </w:pPr>
            <w:r w:rsidRPr="00916586">
              <w:t>Continuing: 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D318F4" w:rsidRPr="00916586" w14:paraId="2A20C403" w14:textId="77777777" w:rsidTr="00AB41A9">
        <w:trPr>
          <w:cantSplit/>
        </w:trPr>
        <w:tc>
          <w:tcPr>
            <w:tcW w:w="1875" w:type="pct"/>
            <w:tcBorders>
              <w:top w:val="single" w:sz="4" w:space="0" w:color="auto"/>
              <w:left w:val="single" w:sz="4" w:space="0" w:color="auto"/>
              <w:bottom w:val="single" w:sz="4" w:space="0" w:color="auto"/>
              <w:right w:val="single" w:sz="4" w:space="0" w:color="auto"/>
            </w:tcBorders>
          </w:tcPr>
          <w:p w14:paraId="5EEC6133" w14:textId="77777777" w:rsidR="00D318F4" w:rsidRPr="00916586" w:rsidRDefault="00D318F4" w:rsidP="00105692">
            <w:pPr>
              <w:pStyle w:val="TableText0"/>
              <w:rPr>
                <w:b/>
              </w:rPr>
            </w:pPr>
            <w:r w:rsidRPr="00916586">
              <w:rPr>
                <w:b/>
              </w:rPr>
              <w:t>Prescriber instructions:</w:t>
            </w:r>
          </w:p>
        </w:tc>
        <w:tc>
          <w:tcPr>
            <w:tcW w:w="3125" w:type="pct"/>
            <w:tcBorders>
              <w:top w:val="single" w:sz="4" w:space="0" w:color="auto"/>
              <w:left w:val="single" w:sz="4" w:space="0" w:color="auto"/>
              <w:bottom w:val="single" w:sz="4" w:space="0" w:color="auto"/>
              <w:right w:val="single" w:sz="4" w:space="0" w:color="auto"/>
            </w:tcBorders>
          </w:tcPr>
          <w:p w14:paraId="2D59C4BC" w14:textId="77777777" w:rsidR="00D318F4" w:rsidRPr="00916586" w:rsidRDefault="00D318F4" w:rsidP="00105692">
            <w:pPr>
              <w:pStyle w:val="TableText0"/>
            </w:pPr>
            <w:r w:rsidRPr="00916586">
              <w:t xml:space="preserve">No increase in the maximum quantity or number of units may be authorised. </w:t>
            </w:r>
          </w:p>
          <w:p w14:paraId="67DD26A7" w14:textId="77777777" w:rsidR="00D318F4" w:rsidRPr="00916586" w:rsidRDefault="00D318F4" w:rsidP="00105692">
            <w:pPr>
              <w:pStyle w:val="TableText0"/>
            </w:pPr>
            <w:r w:rsidRPr="00916586">
              <w:t xml:space="preserve">No increase in the maximum number of repeats may be authorised. </w:t>
            </w:r>
          </w:p>
        </w:tc>
      </w:tr>
    </w:tbl>
    <w:p w14:paraId="68424190" w14:textId="01482AC6" w:rsidR="00D55F0B" w:rsidRPr="00916586" w:rsidRDefault="00D318F4" w:rsidP="00105692">
      <w:pPr>
        <w:pStyle w:val="TableFigureFooter"/>
        <w:keepNext/>
      </w:pPr>
      <w:r w:rsidRPr="00916586">
        <w:t xml:space="preserve">Source: Table 1.2, p12 of the submission. </w:t>
      </w:r>
    </w:p>
    <w:p w14:paraId="50DA1E55" w14:textId="77777777" w:rsidR="00806B84" w:rsidRPr="00916586" w:rsidRDefault="00806B84" w:rsidP="00806B84">
      <w:pPr>
        <w:pStyle w:val="3-BodyText"/>
      </w:pPr>
      <w:r w:rsidRPr="00916586">
        <w:t xml:space="preserve">Listing was requested on the PBS “under the same restrictions and clinical criteria” </w:t>
      </w:r>
      <w:r w:rsidR="005E6537" w:rsidRPr="00916586">
        <w:t>as</w:t>
      </w:r>
      <w:r w:rsidRPr="00916586">
        <w:t xml:space="preserve"> the currently listed pregabalin IR capsules. </w:t>
      </w:r>
    </w:p>
    <w:p w14:paraId="5ACA87BB" w14:textId="77777777" w:rsidR="000440D3" w:rsidRPr="00916586" w:rsidRDefault="00710C26" w:rsidP="00F9393E">
      <w:pPr>
        <w:pStyle w:val="3-BodyText"/>
      </w:pPr>
      <w:r w:rsidRPr="00916586">
        <w:t>Pregabalin</w:t>
      </w:r>
      <w:r w:rsidR="00C673D9" w:rsidRPr="00916586">
        <w:t xml:space="preserve"> </w:t>
      </w:r>
      <w:r w:rsidR="00496DFB" w:rsidRPr="00916586">
        <w:t xml:space="preserve">IR </w:t>
      </w:r>
      <w:r w:rsidR="000440D3" w:rsidRPr="00916586">
        <w:t>(</w:t>
      </w:r>
      <w:r w:rsidR="00C673D9" w:rsidRPr="00916586">
        <w:t>25 mg, 75 mg, 150 mg and 300 mg</w:t>
      </w:r>
      <w:r w:rsidR="00496DFB" w:rsidRPr="00916586">
        <w:t xml:space="preserve"> capsules</w:t>
      </w:r>
      <w:r w:rsidR="000440D3" w:rsidRPr="00916586">
        <w:t xml:space="preserve">, </w:t>
      </w:r>
      <w:r w:rsidR="004F6ADF" w:rsidRPr="00916586">
        <w:t xml:space="preserve">each in a pack </w:t>
      </w:r>
      <w:r w:rsidR="00E817C8" w:rsidRPr="00916586">
        <w:t xml:space="preserve">size </w:t>
      </w:r>
      <w:r w:rsidR="004F6ADF" w:rsidRPr="00916586">
        <w:t xml:space="preserve">of </w:t>
      </w:r>
      <w:r w:rsidR="000440D3" w:rsidRPr="00916586">
        <w:t>5</w:t>
      </w:r>
      <w:r w:rsidR="00C673D9" w:rsidRPr="00916586">
        <w:t>6 capsules) are currently PBS</w:t>
      </w:r>
      <w:r w:rsidR="004F6ADF" w:rsidRPr="00916586">
        <w:t xml:space="preserve"> listed</w:t>
      </w:r>
      <w:r w:rsidR="00C673D9" w:rsidRPr="00916586">
        <w:t xml:space="preserve"> for the treatment of neuropathic pain</w:t>
      </w:r>
      <w:r w:rsidR="004F6ADF" w:rsidRPr="00916586">
        <w:t>.</w:t>
      </w:r>
    </w:p>
    <w:p w14:paraId="26C5FD82" w14:textId="77777777" w:rsidR="00F67A69" w:rsidRPr="00916586" w:rsidRDefault="00491722" w:rsidP="00F9393E">
      <w:pPr>
        <w:pStyle w:val="3-BodyText"/>
      </w:pPr>
      <w:r w:rsidRPr="00916586">
        <w:t>No special pricing arrangement</w:t>
      </w:r>
      <w:r w:rsidR="00496DFB" w:rsidRPr="00916586">
        <w:t xml:space="preserve"> (SPA)</w:t>
      </w:r>
      <w:r w:rsidRPr="00916586">
        <w:t xml:space="preserve"> was proposed in the submission. </w:t>
      </w:r>
      <w:r w:rsidR="00E817C8" w:rsidRPr="00916586">
        <w:t xml:space="preserve">The requested ex-manufacturer prices for pregabalin CR </w:t>
      </w:r>
      <w:r w:rsidR="00A67AE0" w:rsidRPr="00916586">
        <w:t>(</w:t>
      </w:r>
      <w:r w:rsidR="00E817C8" w:rsidRPr="00916586">
        <w:t>82.5 mg, 165 mg and 330 mg</w:t>
      </w:r>
      <w:r w:rsidR="00496DFB" w:rsidRPr="00916586">
        <w:t xml:space="preserve"> tablet strengths)</w:t>
      </w:r>
      <w:r w:rsidR="00BB2419" w:rsidRPr="00916586">
        <w:t xml:space="preserve"> </w:t>
      </w:r>
      <w:r w:rsidR="00496DFB" w:rsidRPr="00916586">
        <w:t xml:space="preserve">were </w:t>
      </w:r>
      <w:r w:rsidR="00E817C8" w:rsidRPr="00916586">
        <w:t>not cost-minimis</w:t>
      </w:r>
      <w:r w:rsidR="003F3EC4" w:rsidRPr="00916586">
        <w:t>ed to</w:t>
      </w:r>
      <w:r w:rsidR="00E817C8" w:rsidRPr="00916586">
        <w:t xml:space="preserve"> the total daily doses</w:t>
      </w:r>
      <w:r w:rsidR="00496DFB" w:rsidRPr="00916586">
        <w:t xml:space="preserve"> required (refer to </w:t>
      </w:r>
      <w:r w:rsidR="00C655C2" w:rsidRPr="00916586">
        <w:t>paragraph 6.1</w:t>
      </w:r>
      <w:r w:rsidR="00D92E72" w:rsidRPr="00916586">
        <w:t>9</w:t>
      </w:r>
      <w:r w:rsidR="00C655C2" w:rsidRPr="00916586">
        <w:t xml:space="preserve"> </w:t>
      </w:r>
      <w:r w:rsidR="00496DFB" w:rsidRPr="00916586">
        <w:t>further below</w:t>
      </w:r>
      <w:r w:rsidR="00C655C2" w:rsidRPr="00916586">
        <w:t>)</w:t>
      </w:r>
      <w:r w:rsidR="00E817C8" w:rsidRPr="00916586">
        <w:t xml:space="preserve">. </w:t>
      </w:r>
    </w:p>
    <w:p w14:paraId="149B1F46" w14:textId="77777777" w:rsidR="00F316AE" w:rsidRPr="00916586" w:rsidRDefault="00F316AE" w:rsidP="00F316AE">
      <w:pPr>
        <w:pStyle w:val="3-BodyText"/>
        <w:rPr>
          <w:iCs/>
          <w:snapToGrid/>
        </w:rPr>
      </w:pPr>
      <w:r w:rsidRPr="00916586">
        <w:rPr>
          <w:iCs/>
          <w:snapToGrid/>
        </w:rPr>
        <w:t>The Australian Medicines Handbook (Neurological drugs. Adelaide: AMH Pty Ltd, 2020)</w:t>
      </w:r>
      <w:r w:rsidRPr="00916586">
        <w:rPr>
          <w:rStyle w:val="FootnoteReference"/>
          <w:iCs/>
        </w:rPr>
        <w:footnoteReference w:id="1"/>
      </w:r>
      <w:r w:rsidRPr="00916586">
        <w:rPr>
          <w:iCs/>
        </w:rPr>
        <w:t xml:space="preserve"> </w:t>
      </w:r>
      <w:r w:rsidRPr="00916586">
        <w:rPr>
          <w:iCs/>
          <w:snapToGrid/>
        </w:rPr>
        <w:t>recommends consideration of uneven dose splitting of IR pregabalin, with the higher dose in the evening as this can improve sleep and reduce daytime sedation. Uneven dose splitting is not possible with pregabalin CR.</w:t>
      </w:r>
    </w:p>
    <w:p w14:paraId="392DD429" w14:textId="47A9133E" w:rsidR="00460595" w:rsidRPr="00AF067B" w:rsidRDefault="00460595" w:rsidP="00AF067B">
      <w:pPr>
        <w:ind w:firstLine="709"/>
        <w:rPr>
          <w:rFonts w:asciiTheme="minorHAnsi" w:hAnsiTheme="minorHAnsi"/>
          <w:i/>
        </w:rPr>
      </w:pPr>
      <w:bookmarkStart w:id="7" w:name="_Hlk76375324"/>
      <w:r w:rsidRPr="00916586">
        <w:rPr>
          <w:rFonts w:asciiTheme="minorHAnsi" w:hAnsiTheme="minorHAnsi"/>
          <w:i/>
        </w:rPr>
        <w:t>For more detail on PBAC’s view, see section 7 PBAC outcome.</w:t>
      </w:r>
      <w:bookmarkEnd w:id="7"/>
    </w:p>
    <w:p w14:paraId="2E30F699" w14:textId="77777777" w:rsidR="00B50DB8" w:rsidRPr="00916586" w:rsidRDefault="00203181" w:rsidP="004E18E9">
      <w:pPr>
        <w:pStyle w:val="2-SectionHeading"/>
      </w:pPr>
      <w:bookmarkStart w:id="8" w:name="_Toc81837343"/>
      <w:r w:rsidRPr="00916586">
        <w:lastRenderedPageBreak/>
        <w:t xml:space="preserve">Population and </w:t>
      </w:r>
      <w:r w:rsidR="008E0D3C" w:rsidRPr="00916586">
        <w:t>d</w:t>
      </w:r>
      <w:r w:rsidRPr="00916586">
        <w:t>isease</w:t>
      </w:r>
      <w:bookmarkEnd w:id="8"/>
    </w:p>
    <w:p w14:paraId="27710CEC" w14:textId="77777777" w:rsidR="002F4337" w:rsidRPr="00916586" w:rsidRDefault="009F599A" w:rsidP="002F4337">
      <w:pPr>
        <w:pStyle w:val="3-BodyText"/>
      </w:pPr>
      <w:r w:rsidRPr="00916586">
        <w:t xml:space="preserve">Around 7–8% of adults have pain with </w:t>
      </w:r>
      <w:r w:rsidR="00D663CD" w:rsidRPr="00916586">
        <w:t>“</w:t>
      </w:r>
      <w:r w:rsidRPr="00916586">
        <w:t>neuropathic characteristics</w:t>
      </w:r>
      <w:r w:rsidR="00D663CD" w:rsidRPr="00916586">
        <w:t>”</w:t>
      </w:r>
      <w:r w:rsidRPr="00916586">
        <w:t xml:space="preserve">. </w:t>
      </w:r>
      <w:r w:rsidR="002F4337" w:rsidRPr="00916586">
        <w:t>Approximately 25% and 35% of diabetics and people with HIV infection, respectively, experience neuropathic pain (International Association for the Study of Pain, 2020)</w:t>
      </w:r>
      <w:r w:rsidR="002F4337" w:rsidRPr="00916586">
        <w:rPr>
          <w:rStyle w:val="FootnoteReference"/>
        </w:rPr>
        <w:footnoteReference w:id="2"/>
      </w:r>
      <w:r w:rsidR="002F4337" w:rsidRPr="00916586">
        <w:t>.</w:t>
      </w:r>
    </w:p>
    <w:p w14:paraId="37097C32" w14:textId="77777777" w:rsidR="002C2775" w:rsidRPr="00916586" w:rsidRDefault="002F4337" w:rsidP="00DF4E0F">
      <w:pPr>
        <w:pStyle w:val="3-BodyText"/>
      </w:pPr>
      <w:r w:rsidRPr="00916586">
        <w:t xml:space="preserve">Examples </w:t>
      </w:r>
      <w:r w:rsidR="00EB1B6C" w:rsidRPr="00916586">
        <w:t xml:space="preserve">of neuropathic pain </w:t>
      </w:r>
      <w:r w:rsidRPr="00916586">
        <w:t xml:space="preserve">include </w:t>
      </w:r>
      <w:r w:rsidR="00EA5EBD" w:rsidRPr="00916586">
        <w:t>postherpetic neuralgia (</w:t>
      </w:r>
      <w:r w:rsidRPr="00916586">
        <w:t>PHN</w:t>
      </w:r>
      <w:r w:rsidR="00EA5EBD" w:rsidRPr="00916586">
        <w:t>)</w:t>
      </w:r>
      <w:r w:rsidRPr="00916586">
        <w:t xml:space="preserve">, diabetic peripheral neuropathy (DPN), radiculopathy, and limb amputation. There are several options for drug treatment. Analgesics are usually only partially effective; </w:t>
      </w:r>
      <w:r w:rsidR="00536747" w:rsidRPr="00916586">
        <w:t xml:space="preserve">analgesic </w:t>
      </w:r>
      <w:r w:rsidRPr="00916586">
        <w:t xml:space="preserve">adjuvants </w:t>
      </w:r>
      <w:r w:rsidR="00536747" w:rsidRPr="00916586">
        <w:t xml:space="preserve">(such as gabapentin, pregabalin, amitriptyline) </w:t>
      </w:r>
      <w:r w:rsidRPr="00916586">
        <w:t>are the mainstay of drug therapy</w:t>
      </w:r>
      <w:r w:rsidR="00536747" w:rsidRPr="00916586">
        <w:t xml:space="preserve"> and c</w:t>
      </w:r>
      <w:r w:rsidRPr="00916586">
        <w:t>hoice of an adjuvant</w:t>
      </w:r>
      <w:r w:rsidR="00491722" w:rsidRPr="00916586">
        <w:t xml:space="preserve"> </w:t>
      </w:r>
      <w:r w:rsidRPr="00916586">
        <w:t>is largely dependent on efficacy, adverse effects/contraindications, need for sedation, and cost. The proposed treatment line for pregabalin CR is similar to that for pregabalin IR, that is, the condition must be</w:t>
      </w:r>
      <w:r w:rsidR="00926B4B" w:rsidRPr="00916586">
        <w:t xml:space="preserve"> refractory to other treatments </w:t>
      </w:r>
      <w:r w:rsidR="00926B4B" w:rsidRPr="00F03F0D">
        <w:t xml:space="preserve">(refer to Quality Use of Medicines </w:t>
      </w:r>
      <w:r w:rsidR="00D663CD" w:rsidRPr="00F03F0D">
        <w:t xml:space="preserve">(QUM) </w:t>
      </w:r>
      <w:r w:rsidR="00926B4B" w:rsidRPr="00F03F0D">
        <w:t>further below)</w:t>
      </w:r>
      <w:r w:rsidR="00926B4B" w:rsidRPr="00916586">
        <w:t xml:space="preserve">. </w:t>
      </w:r>
    </w:p>
    <w:p w14:paraId="01EE686E" w14:textId="77777777" w:rsidR="002F4337" w:rsidRPr="00916586" w:rsidRDefault="002F4337" w:rsidP="002F4337">
      <w:pPr>
        <w:pStyle w:val="3-BodyText"/>
      </w:pPr>
      <w:r w:rsidRPr="00916586">
        <w:t>Pregabalin is marketed in Australia under several brand names including Lyrica</w:t>
      </w:r>
      <w:r w:rsidR="008522A5" w:rsidRPr="00916586">
        <w:t>®</w:t>
      </w:r>
      <w:r w:rsidRPr="00916586">
        <w:t xml:space="preserve"> (pregabalin IR). The intervention is pregabalin CR, with three proposed tablet strengths of 82.5 mg, 165 mg, and 330 mg, dosed once daily for neuropathic pain.</w:t>
      </w:r>
    </w:p>
    <w:p w14:paraId="3228E468" w14:textId="77777777" w:rsidR="00064FBA" w:rsidRPr="00916586" w:rsidRDefault="002F4337" w:rsidP="002F4337">
      <w:pPr>
        <w:pStyle w:val="3-BodyText"/>
      </w:pPr>
      <w:r w:rsidRPr="00916586">
        <w:t>The recommended starting dose is 165 mg once daily, administered after an evening meal. Based on response/tolerability, the dosage may be increased to 330 mg once daily, after an interval of 3 to 7 days. If there is still insufficient pain relief following 2 to 4 weeks of treatment, dose may be increased (if tolerant) by an additional 165 mg/day to 495 mg/day, and then after an additional 7-day interval, by 165 mg/day up to a maximum recommended dose of 660 mg once daily.</w:t>
      </w:r>
    </w:p>
    <w:p w14:paraId="65CF3635" w14:textId="77777777" w:rsidR="00C10947" w:rsidRPr="00916586" w:rsidRDefault="00064FBA" w:rsidP="00C10947">
      <w:pPr>
        <w:pStyle w:val="3-BodyText"/>
        <w:rPr>
          <w:snapToGrid/>
        </w:rPr>
      </w:pPr>
      <w:r w:rsidRPr="00916586">
        <w:t>Patients with diabetic neuropathy, in accordance with clinical practice, should be assessed for renal impairment prior to commencing pregabalin CR and dosage adjusted appropriately</w:t>
      </w:r>
      <w:r w:rsidR="00536747" w:rsidRPr="00916586">
        <w:t xml:space="preserve"> (</w:t>
      </w:r>
      <w:r w:rsidR="007A7FAD" w:rsidRPr="00916586">
        <w:t xml:space="preserve">Table </w:t>
      </w:r>
      <w:r w:rsidR="007A7FAD" w:rsidRPr="00916586">
        <w:rPr>
          <w:noProof/>
        </w:rPr>
        <w:t>3</w:t>
      </w:r>
      <w:r w:rsidR="00536747" w:rsidRPr="00916586">
        <w:t>)</w:t>
      </w:r>
      <w:r w:rsidR="001652A9" w:rsidRPr="00916586">
        <w:t>.</w:t>
      </w:r>
      <w:r w:rsidR="00C10947" w:rsidRPr="00916586">
        <w:t xml:space="preserve"> </w:t>
      </w:r>
      <w:r w:rsidR="00536747" w:rsidRPr="00916586">
        <w:t xml:space="preserve">Pregabalin CR is not recommended for patients with creatinine clearance (CLcr) &lt;30 mL/min or who are undergoing haemodialysis. Those patients should receive pregabalin IR. </w:t>
      </w:r>
      <w:r w:rsidR="00C10947" w:rsidRPr="00916586">
        <w:rPr>
          <w:snapToGrid/>
        </w:rPr>
        <w:t>Dosage adjustment based on renal function is also required for pregabalin IR</w:t>
      </w:r>
      <w:r w:rsidR="00536747" w:rsidRPr="00916586">
        <w:rPr>
          <w:snapToGrid/>
        </w:rPr>
        <w:t>.</w:t>
      </w:r>
    </w:p>
    <w:p w14:paraId="595F8A96" w14:textId="7DB5E865" w:rsidR="00064FBA" w:rsidRPr="00916586" w:rsidRDefault="00064FBA" w:rsidP="00064FBA">
      <w:pPr>
        <w:pStyle w:val="TableFigureHeading"/>
      </w:pPr>
      <w:bookmarkStart w:id="9" w:name="_Ref80720905"/>
      <w:r w:rsidRPr="00916586">
        <w:t xml:space="preserve">Table </w:t>
      </w:r>
      <w:r w:rsidR="007A7FAD" w:rsidRPr="00916586">
        <w:rPr>
          <w:noProof/>
        </w:rPr>
        <w:t>3</w:t>
      </w:r>
      <w:bookmarkEnd w:id="9"/>
      <w:r w:rsidR="00AF067B">
        <w:t xml:space="preserve">: </w:t>
      </w:r>
      <w:r w:rsidRPr="00916586">
        <w:t>Pregabalin CR dosage adjustment based on renal function.</w:t>
      </w:r>
    </w:p>
    <w:tbl>
      <w:tblPr>
        <w:tblStyle w:val="TableGrid"/>
        <w:tblW w:w="5000" w:type="pct"/>
        <w:tblLook w:val="04A0" w:firstRow="1" w:lastRow="0" w:firstColumn="1" w:lastColumn="0" w:noHBand="0" w:noVBand="1"/>
        <w:tblCaption w:val="Table 3: Pregabalin CR dosage adjustment based on renal function."/>
      </w:tblPr>
      <w:tblGrid>
        <w:gridCol w:w="2770"/>
        <w:gridCol w:w="940"/>
        <w:gridCol w:w="934"/>
        <w:gridCol w:w="956"/>
        <w:gridCol w:w="941"/>
        <w:gridCol w:w="2476"/>
      </w:tblGrid>
      <w:tr w:rsidR="00064FBA" w:rsidRPr="00916586" w14:paraId="7C59D13B" w14:textId="77777777" w:rsidTr="00F002A0">
        <w:trPr>
          <w:tblHeader/>
        </w:trPr>
        <w:tc>
          <w:tcPr>
            <w:tcW w:w="1536" w:type="pct"/>
          </w:tcPr>
          <w:p w14:paraId="41547595" w14:textId="77777777" w:rsidR="00064FBA" w:rsidRPr="00916586" w:rsidRDefault="00064FBA" w:rsidP="00064FBA">
            <w:pPr>
              <w:pStyle w:val="In-tableHeading"/>
              <w:rPr>
                <w:lang w:val="en-AU"/>
              </w:rPr>
            </w:pPr>
            <w:r w:rsidRPr="00916586">
              <w:rPr>
                <w:lang w:val="en-AU"/>
              </w:rPr>
              <w:t>Creatinine Clearance (CLcr) (mL/min)</w:t>
            </w:r>
          </w:p>
        </w:tc>
        <w:tc>
          <w:tcPr>
            <w:tcW w:w="2090" w:type="pct"/>
            <w:gridSpan w:val="4"/>
          </w:tcPr>
          <w:p w14:paraId="602FADD8" w14:textId="77777777" w:rsidR="00064FBA" w:rsidRPr="00916586" w:rsidRDefault="00064FBA" w:rsidP="00064FBA">
            <w:pPr>
              <w:pStyle w:val="In-tableHeading"/>
              <w:rPr>
                <w:lang w:val="en-AU"/>
              </w:rPr>
            </w:pPr>
            <w:r w:rsidRPr="00916586">
              <w:rPr>
                <w:lang w:val="en-AU"/>
              </w:rPr>
              <w:t>Pregabalin CR tablets - Daily Dose (mg/day)</w:t>
            </w:r>
          </w:p>
        </w:tc>
        <w:tc>
          <w:tcPr>
            <w:tcW w:w="1374" w:type="pct"/>
          </w:tcPr>
          <w:p w14:paraId="202D13B5" w14:textId="77777777" w:rsidR="00064FBA" w:rsidRPr="00916586" w:rsidRDefault="00064FBA" w:rsidP="00064FBA">
            <w:pPr>
              <w:pStyle w:val="In-tableHeading"/>
              <w:rPr>
                <w:lang w:val="en-AU"/>
              </w:rPr>
            </w:pPr>
            <w:r w:rsidRPr="00916586">
              <w:rPr>
                <w:lang w:val="en-AU"/>
              </w:rPr>
              <w:t>Dose Regimen</w:t>
            </w:r>
          </w:p>
        </w:tc>
      </w:tr>
      <w:tr w:rsidR="00064FBA" w:rsidRPr="00916586" w14:paraId="0DAC3B34" w14:textId="77777777" w:rsidTr="00AB41A9">
        <w:tc>
          <w:tcPr>
            <w:tcW w:w="1536" w:type="pct"/>
          </w:tcPr>
          <w:p w14:paraId="1CBCB368" w14:textId="77777777" w:rsidR="00064FBA" w:rsidRPr="00916586" w:rsidRDefault="00064FBA" w:rsidP="00064FBA">
            <w:pPr>
              <w:pStyle w:val="TableText0"/>
            </w:pPr>
            <w:r w:rsidRPr="00916586">
              <w:t>≥ 60</w:t>
            </w:r>
          </w:p>
          <w:p w14:paraId="0E3B50B6" w14:textId="77777777" w:rsidR="00064FBA" w:rsidRPr="00916586" w:rsidRDefault="00064FBA" w:rsidP="00064FBA">
            <w:pPr>
              <w:pStyle w:val="TableText0"/>
            </w:pPr>
            <w:r w:rsidRPr="00916586">
              <w:t>30 - 60</w:t>
            </w:r>
          </w:p>
        </w:tc>
        <w:tc>
          <w:tcPr>
            <w:tcW w:w="521" w:type="pct"/>
          </w:tcPr>
          <w:p w14:paraId="149404E0" w14:textId="77777777" w:rsidR="00064FBA" w:rsidRPr="00916586" w:rsidRDefault="00064FBA" w:rsidP="00064FBA">
            <w:pPr>
              <w:pStyle w:val="TableText0"/>
            </w:pPr>
            <w:r w:rsidRPr="00916586">
              <w:t>165</w:t>
            </w:r>
          </w:p>
          <w:p w14:paraId="0D8BC60B" w14:textId="77777777" w:rsidR="00064FBA" w:rsidRPr="00916586" w:rsidRDefault="00064FBA" w:rsidP="00064FBA">
            <w:pPr>
              <w:pStyle w:val="TableText0"/>
            </w:pPr>
            <w:r w:rsidRPr="00916586">
              <w:t>82.5</w:t>
            </w:r>
          </w:p>
        </w:tc>
        <w:tc>
          <w:tcPr>
            <w:tcW w:w="518" w:type="pct"/>
          </w:tcPr>
          <w:p w14:paraId="46393E1B" w14:textId="77777777" w:rsidR="00064FBA" w:rsidRPr="00916586" w:rsidRDefault="00064FBA" w:rsidP="00064FBA">
            <w:pPr>
              <w:pStyle w:val="TableText0"/>
            </w:pPr>
            <w:r w:rsidRPr="00916586">
              <w:t>330</w:t>
            </w:r>
          </w:p>
          <w:p w14:paraId="1D106ECC" w14:textId="77777777" w:rsidR="00064FBA" w:rsidRPr="00916586" w:rsidRDefault="00064FBA" w:rsidP="00064FBA">
            <w:pPr>
              <w:pStyle w:val="TableText0"/>
            </w:pPr>
            <w:r w:rsidRPr="00916586">
              <w:t>165</w:t>
            </w:r>
          </w:p>
        </w:tc>
        <w:tc>
          <w:tcPr>
            <w:tcW w:w="530" w:type="pct"/>
          </w:tcPr>
          <w:p w14:paraId="1A774B8C" w14:textId="77777777" w:rsidR="00064FBA" w:rsidRPr="00916586" w:rsidRDefault="00064FBA" w:rsidP="00064FBA">
            <w:pPr>
              <w:pStyle w:val="TableText0"/>
            </w:pPr>
            <w:r w:rsidRPr="00916586">
              <w:t>495</w:t>
            </w:r>
            <w:r w:rsidRPr="00916586">
              <w:rPr>
                <w:vertAlign w:val="superscript"/>
              </w:rPr>
              <w:t>a</w:t>
            </w:r>
          </w:p>
          <w:p w14:paraId="6D99FF9D" w14:textId="77777777" w:rsidR="00064FBA" w:rsidRPr="00916586" w:rsidRDefault="00064FBA" w:rsidP="00064FBA">
            <w:pPr>
              <w:pStyle w:val="TableText0"/>
            </w:pPr>
            <w:r w:rsidRPr="00916586">
              <w:t>247.5</w:t>
            </w:r>
            <w:r w:rsidRPr="00916586">
              <w:rPr>
                <w:vertAlign w:val="superscript"/>
              </w:rPr>
              <w:t>c</w:t>
            </w:r>
          </w:p>
        </w:tc>
        <w:tc>
          <w:tcPr>
            <w:tcW w:w="522" w:type="pct"/>
          </w:tcPr>
          <w:p w14:paraId="47F02E5C" w14:textId="77777777" w:rsidR="00064FBA" w:rsidRPr="00916586" w:rsidRDefault="00064FBA" w:rsidP="00064FBA">
            <w:pPr>
              <w:pStyle w:val="TableText0"/>
            </w:pPr>
            <w:r w:rsidRPr="00916586">
              <w:t>660</w:t>
            </w:r>
            <w:r w:rsidRPr="00916586">
              <w:rPr>
                <w:vertAlign w:val="superscript"/>
              </w:rPr>
              <w:t>b</w:t>
            </w:r>
          </w:p>
          <w:p w14:paraId="642F50DE" w14:textId="77777777" w:rsidR="00064FBA" w:rsidRPr="00916586" w:rsidRDefault="00064FBA" w:rsidP="00064FBA">
            <w:pPr>
              <w:pStyle w:val="TableText0"/>
            </w:pPr>
            <w:r w:rsidRPr="00916586">
              <w:t>330</w:t>
            </w:r>
          </w:p>
        </w:tc>
        <w:tc>
          <w:tcPr>
            <w:tcW w:w="1374" w:type="pct"/>
          </w:tcPr>
          <w:p w14:paraId="063E3F80" w14:textId="77777777" w:rsidR="00064FBA" w:rsidRPr="00916586" w:rsidRDefault="00064FBA" w:rsidP="00064FBA">
            <w:pPr>
              <w:pStyle w:val="TableText0"/>
            </w:pPr>
            <w:r w:rsidRPr="00916586">
              <w:t>Once a day</w:t>
            </w:r>
          </w:p>
          <w:p w14:paraId="1D16C5BA" w14:textId="77777777" w:rsidR="00064FBA" w:rsidRPr="00916586" w:rsidRDefault="00064FBA" w:rsidP="00064FBA">
            <w:pPr>
              <w:pStyle w:val="TableText0"/>
            </w:pPr>
            <w:r w:rsidRPr="00916586">
              <w:t>Once a day</w:t>
            </w:r>
          </w:p>
        </w:tc>
      </w:tr>
      <w:tr w:rsidR="00064FBA" w:rsidRPr="00916586" w14:paraId="57B41E7D" w14:textId="77777777" w:rsidTr="00AB41A9">
        <w:tc>
          <w:tcPr>
            <w:tcW w:w="1536" w:type="pct"/>
          </w:tcPr>
          <w:p w14:paraId="2367EA12" w14:textId="77777777" w:rsidR="00064FBA" w:rsidRPr="00916586" w:rsidRDefault="00064FBA" w:rsidP="00064FBA">
            <w:pPr>
              <w:pStyle w:val="TableText0"/>
            </w:pPr>
            <w:r w:rsidRPr="00916586">
              <w:t>&lt; 30 / haemodialysis</w:t>
            </w:r>
          </w:p>
        </w:tc>
        <w:tc>
          <w:tcPr>
            <w:tcW w:w="3464" w:type="pct"/>
            <w:gridSpan w:val="5"/>
          </w:tcPr>
          <w:p w14:paraId="648B8682" w14:textId="77777777" w:rsidR="00064FBA" w:rsidRPr="00916586" w:rsidRDefault="00064FBA" w:rsidP="00064FBA">
            <w:pPr>
              <w:pStyle w:val="TableText0"/>
            </w:pPr>
            <w:r w:rsidRPr="00916586">
              <w:t>Dose with pregabalin IR</w:t>
            </w:r>
          </w:p>
        </w:tc>
      </w:tr>
    </w:tbl>
    <w:p w14:paraId="34028584" w14:textId="77777777" w:rsidR="00064FBA" w:rsidRPr="00916586" w:rsidRDefault="00064FBA" w:rsidP="00064FBA">
      <w:pPr>
        <w:pStyle w:val="TableFooter"/>
      </w:pPr>
      <w:r w:rsidRPr="00916586">
        <w:t>Source: Approved PI for pregabalin CR</w:t>
      </w:r>
    </w:p>
    <w:p w14:paraId="5FC8E634" w14:textId="77777777" w:rsidR="00064FBA" w:rsidRPr="00916586" w:rsidRDefault="00064FBA" w:rsidP="00064FBA">
      <w:pPr>
        <w:pStyle w:val="TableFooter"/>
        <w:rPr>
          <w:vertAlign w:val="superscript"/>
        </w:rPr>
      </w:pPr>
      <w:r w:rsidRPr="00916586">
        <w:rPr>
          <w:vertAlign w:val="superscript"/>
        </w:rPr>
        <w:t xml:space="preserve">a </w:t>
      </w:r>
      <w:r w:rsidRPr="00916586">
        <w:t>495 mg = 3 × 165 mg tablets taken once a day.</w:t>
      </w:r>
      <w:r w:rsidRPr="00916586">
        <w:rPr>
          <w:vertAlign w:val="superscript"/>
        </w:rPr>
        <w:t xml:space="preserve"> </w:t>
      </w:r>
    </w:p>
    <w:p w14:paraId="39343D25" w14:textId="77777777" w:rsidR="00064FBA" w:rsidRPr="00916586" w:rsidRDefault="00064FBA" w:rsidP="00064FBA">
      <w:pPr>
        <w:pStyle w:val="TableFooter"/>
      </w:pPr>
      <w:r w:rsidRPr="00916586">
        <w:rPr>
          <w:vertAlign w:val="superscript"/>
        </w:rPr>
        <w:t xml:space="preserve">b </w:t>
      </w:r>
      <w:r w:rsidRPr="00916586">
        <w:t xml:space="preserve">660 mg = 2 × 330 mg tablets taken once a day. </w:t>
      </w:r>
    </w:p>
    <w:p w14:paraId="2A04EF80" w14:textId="60A61F59" w:rsidR="00460595" w:rsidRPr="00916586" w:rsidRDefault="00064FBA" w:rsidP="00AF067B">
      <w:pPr>
        <w:pStyle w:val="TableFooter"/>
        <w:spacing w:after="120"/>
      </w:pPr>
      <w:r w:rsidRPr="00916586">
        <w:rPr>
          <w:vertAlign w:val="superscript"/>
        </w:rPr>
        <w:t xml:space="preserve">c </w:t>
      </w:r>
      <w:r w:rsidRPr="00916586">
        <w:t>247.5 mg = 3 × 82.5 mg tablets taken once a day</w:t>
      </w:r>
    </w:p>
    <w:p w14:paraId="2A8FE6A8" w14:textId="1586092F" w:rsidR="00460595" w:rsidRPr="00105692" w:rsidRDefault="00460595" w:rsidP="00105692">
      <w:pPr>
        <w:ind w:firstLine="709"/>
        <w:rPr>
          <w:rFonts w:asciiTheme="minorHAnsi" w:hAnsiTheme="minorHAnsi"/>
          <w:i/>
        </w:rPr>
      </w:pPr>
      <w:r w:rsidRPr="00916586">
        <w:rPr>
          <w:rFonts w:asciiTheme="minorHAnsi" w:hAnsiTheme="minorHAnsi"/>
          <w:i/>
        </w:rPr>
        <w:t>For more detail on PBAC’s view, see section 7 PBAC outcome.</w:t>
      </w:r>
    </w:p>
    <w:p w14:paraId="6D90941E" w14:textId="77777777" w:rsidR="00B50DB8" w:rsidRPr="00916586" w:rsidRDefault="00B50DB8" w:rsidP="004E18E9">
      <w:pPr>
        <w:pStyle w:val="2-SectionHeading"/>
      </w:pPr>
      <w:bookmarkStart w:id="10" w:name="_Toc81837344"/>
      <w:r w:rsidRPr="00916586">
        <w:lastRenderedPageBreak/>
        <w:t>Comparator</w:t>
      </w:r>
      <w:bookmarkEnd w:id="10"/>
    </w:p>
    <w:p w14:paraId="5E8F41FA" w14:textId="77777777" w:rsidR="00064FBA" w:rsidRPr="00916586" w:rsidRDefault="00064FBA" w:rsidP="00064FBA">
      <w:pPr>
        <w:pStyle w:val="3-BodyText"/>
        <w:rPr>
          <w:snapToGrid/>
        </w:rPr>
      </w:pPr>
      <w:r w:rsidRPr="00916586">
        <w:t xml:space="preserve">The submission nominated </w:t>
      </w:r>
      <w:r w:rsidR="005C39FE" w:rsidRPr="00916586">
        <w:t xml:space="preserve">the current PBS-listed </w:t>
      </w:r>
      <w:r w:rsidRPr="00916586">
        <w:t>pregabalin IR (Lyrica®</w:t>
      </w:r>
      <w:r w:rsidR="002F6672" w:rsidRPr="00916586">
        <w:t>)</w:t>
      </w:r>
      <w:r w:rsidRPr="00916586">
        <w:t xml:space="preserve"> capsules</w:t>
      </w:r>
      <w:r w:rsidR="005C39FE" w:rsidRPr="00916586">
        <w:t xml:space="preserve"> as the comparator</w:t>
      </w:r>
      <w:r w:rsidRPr="00916586">
        <w:t xml:space="preserve">. </w:t>
      </w:r>
      <w:r w:rsidR="002F6672" w:rsidRPr="00916586">
        <w:t>There are f</w:t>
      </w:r>
      <w:r w:rsidRPr="00916586">
        <w:t>our</w:t>
      </w:r>
      <w:r w:rsidR="002F6672" w:rsidRPr="00916586">
        <w:t xml:space="preserve"> </w:t>
      </w:r>
      <w:r w:rsidRPr="00916586">
        <w:t>available</w:t>
      </w:r>
      <w:r w:rsidR="005C39FE" w:rsidRPr="00916586">
        <w:t xml:space="preserve"> strengths</w:t>
      </w:r>
      <w:r w:rsidRPr="00916586">
        <w:t xml:space="preserve"> </w:t>
      </w:r>
      <w:r w:rsidR="006E67A5" w:rsidRPr="00916586">
        <w:t>of</w:t>
      </w:r>
      <w:r w:rsidRPr="00916586">
        <w:t xml:space="preserve"> pregabalin IR capsules </w:t>
      </w:r>
      <w:r w:rsidR="006E67A5" w:rsidRPr="00916586">
        <w:t>on the PBS for</w:t>
      </w:r>
      <w:r w:rsidRPr="00916586">
        <w:t xml:space="preserve"> the treatment of neuropathic pain: 25 mg, 75 mg, 150 mg</w:t>
      </w:r>
      <w:r w:rsidR="00D80A44" w:rsidRPr="00916586">
        <w:t>,</w:t>
      </w:r>
      <w:r w:rsidRPr="00916586">
        <w:t xml:space="preserve"> and 300 mg capsules.</w:t>
      </w:r>
    </w:p>
    <w:p w14:paraId="38E2F00F" w14:textId="2401801B" w:rsidR="00142D8F" w:rsidRPr="00916586" w:rsidRDefault="004C1501" w:rsidP="004C1501">
      <w:pPr>
        <w:pStyle w:val="3-BodyText"/>
        <w:rPr>
          <w:snapToGrid/>
        </w:rPr>
      </w:pPr>
      <w:r w:rsidRPr="00916586">
        <w:rPr>
          <w:snapToGrid/>
        </w:rPr>
        <w:t xml:space="preserve">There was no information provided in the submission regarding pregabalin prescribing patterns and the current distribution of pregabalin IR doses for neuropathic pain in Australian clinical practice. This would have been informative to identify which pregabalin IR capsule strengths would be replaced by the various pregabalin CR tablet strengths. Some patients may use equally divided doses whereas others may use a higher dose at night for sedation. </w:t>
      </w:r>
      <w:r w:rsidR="00C616CA">
        <w:rPr>
          <w:iCs/>
          <w:snapToGrid/>
        </w:rPr>
        <w:t xml:space="preserve">The Pre-Sub-Committee </w:t>
      </w:r>
      <w:r w:rsidR="008C5EED" w:rsidRPr="00916586">
        <w:rPr>
          <w:iCs/>
          <w:snapToGrid/>
        </w:rPr>
        <w:t>Respo</w:t>
      </w:r>
      <w:r w:rsidR="00A10B77" w:rsidRPr="00916586">
        <w:rPr>
          <w:iCs/>
          <w:snapToGrid/>
        </w:rPr>
        <w:t>nse (PSCR)</w:t>
      </w:r>
      <w:r w:rsidR="00994A40">
        <w:rPr>
          <w:iCs/>
          <w:snapToGrid/>
        </w:rPr>
        <w:t xml:space="preserve"> </w:t>
      </w:r>
      <w:r w:rsidR="00A10B77" w:rsidRPr="00916586">
        <w:rPr>
          <w:iCs/>
          <w:snapToGrid/>
        </w:rPr>
        <w:t>provided</w:t>
      </w:r>
      <w:r w:rsidR="001F5147" w:rsidRPr="00916586">
        <w:rPr>
          <w:iCs/>
          <w:snapToGrid/>
        </w:rPr>
        <w:t xml:space="preserve"> </w:t>
      </w:r>
      <w:r w:rsidR="00067C30" w:rsidRPr="00916586">
        <w:rPr>
          <w:iCs/>
          <w:snapToGrid/>
        </w:rPr>
        <w:t xml:space="preserve">additional analyses </w:t>
      </w:r>
      <w:r w:rsidR="00A73FFA" w:rsidRPr="00916586">
        <w:rPr>
          <w:iCs/>
          <w:snapToGrid/>
        </w:rPr>
        <w:t>using</w:t>
      </w:r>
      <w:r w:rsidR="00067C30" w:rsidRPr="00916586">
        <w:rPr>
          <w:iCs/>
          <w:snapToGrid/>
        </w:rPr>
        <w:t xml:space="preserve"> the PBS 10% sample to support revisions to the economic analysis and financial estimates (discussed further in the sections below).</w:t>
      </w:r>
      <w:r w:rsidR="008C5EED" w:rsidRPr="00916586">
        <w:rPr>
          <w:iCs/>
          <w:snapToGrid/>
        </w:rPr>
        <w:t xml:space="preserve"> The</w:t>
      </w:r>
      <w:r w:rsidR="00A036BD" w:rsidRPr="00916586">
        <w:rPr>
          <w:iCs/>
          <w:snapToGrid/>
        </w:rPr>
        <w:t xml:space="preserve"> ESC considered</w:t>
      </w:r>
      <w:r w:rsidR="008C5EED" w:rsidRPr="00916586">
        <w:rPr>
          <w:iCs/>
          <w:snapToGrid/>
        </w:rPr>
        <w:t xml:space="preserve"> data provided was </w:t>
      </w:r>
      <w:r w:rsidR="0001253C" w:rsidRPr="00916586">
        <w:rPr>
          <w:iCs/>
          <w:snapToGrid/>
        </w:rPr>
        <w:t>reasonable to inform how substitution of pregabalin IR to CR may occur</w:t>
      </w:r>
      <w:r w:rsidR="00067C30" w:rsidRPr="00916586">
        <w:rPr>
          <w:iCs/>
          <w:snapToGrid/>
        </w:rPr>
        <w:t xml:space="preserve"> in practice</w:t>
      </w:r>
      <w:r w:rsidR="0001253C" w:rsidRPr="00916586">
        <w:rPr>
          <w:iCs/>
          <w:snapToGrid/>
        </w:rPr>
        <w:t>.</w:t>
      </w:r>
      <w:r w:rsidR="0001253C" w:rsidRPr="00916586">
        <w:rPr>
          <w:i/>
          <w:snapToGrid/>
        </w:rPr>
        <w:t xml:space="preserve"> </w:t>
      </w:r>
    </w:p>
    <w:p w14:paraId="752039ED" w14:textId="77777777" w:rsidR="00995CF7" w:rsidRPr="00916586" w:rsidRDefault="00995CF7" w:rsidP="002E1071">
      <w:pPr>
        <w:pStyle w:val="3-BodyText"/>
        <w:rPr>
          <w:snapToGrid/>
        </w:rPr>
      </w:pPr>
      <w:r w:rsidRPr="00916586">
        <w:rPr>
          <w:snapToGrid/>
        </w:rPr>
        <w:t>A comparison of pregabalin CR and pregabalin IR is summarised in the table below.</w:t>
      </w:r>
    </w:p>
    <w:p w14:paraId="481D4A12" w14:textId="77777777" w:rsidR="00F002A0" w:rsidRDefault="00F002A0">
      <w:pPr>
        <w:jc w:val="left"/>
        <w:rPr>
          <w:rFonts w:ascii="Arial Narrow" w:eastAsiaTheme="majorEastAsia" w:hAnsi="Arial Narrow" w:cstheme="majorBidi"/>
          <w:b/>
          <w:bCs/>
          <w:sz w:val="20"/>
        </w:rPr>
      </w:pPr>
      <w:r>
        <w:br w:type="page"/>
      </w:r>
    </w:p>
    <w:p w14:paraId="705B2810" w14:textId="5C9E833B" w:rsidR="00995CF7" w:rsidRPr="00916586" w:rsidRDefault="00995CF7" w:rsidP="00995CF7">
      <w:pPr>
        <w:pStyle w:val="TableFigureHeading"/>
      </w:pPr>
      <w:r w:rsidRPr="00916586">
        <w:lastRenderedPageBreak/>
        <w:t xml:space="preserve">Table </w:t>
      </w:r>
      <w:r w:rsidR="007A7FAD" w:rsidRPr="00916586">
        <w:rPr>
          <w:noProof/>
        </w:rPr>
        <w:t>4</w:t>
      </w:r>
      <w:r w:rsidR="00AF067B">
        <w:t xml:space="preserve">: </w:t>
      </w:r>
      <w:r w:rsidRPr="00916586">
        <w:t xml:space="preserve">Comparison of pregabalin IR and pregabalin CR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Comparison of pregabalin IR and pregabalin CR "/>
      </w:tblPr>
      <w:tblGrid>
        <w:gridCol w:w="2733"/>
        <w:gridCol w:w="3141"/>
        <w:gridCol w:w="3143"/>
      </w:tblGrid>
      <w:tr w:rsidR="00995CF7" w:rsidRPr="00916586" w14:paraId="21F9F7B8" w14:textId="77777777" w:rsidTr="008A7850">
        <w:trPr>
          <w:tblHeader/>
        </w:trPr>
        <w:tc>
          <w:tcPr>
            <w:tcW w:w="1515" w:type="pct"/>
            <w:shd w:val="clear" w:color="auto" w:fill="auto"/>
          </w:tcPr>
          <w:p w14:paraId="741CEE76" w14:textId="77777777" w:rsidR="00995CF7" w:rsidRPr="00916586" w:rsidRDefault="00995CF7" w:rsidP="00174082">
            <w:pPr>
              <w:pStyle w:val="Tabletext"/>
              <w:rPr>
                <w:b/>
              </w:rPr>
            </w:pPr>
            <w:r w:rsidRPr="00916586">
              <w:rPr>
                <w:b/>
              </w:rPr>
              <w:t>Comparison</w:t>
            </w:r>
          </w:p>
        </w:tc>
        <w:tc>
          <w:tcPr>
            <w:tcW w:w="1742" w:type="pct"/>
            <w:shd w:val="clear" w:color="auto" w:fill="auto"/>
          </w:tcPr>
          <w:p w14:paraId="14F5206D" w14:textId="77777777" w:rsidR="00995CF7" w:rsidRPr="00916586" w:rsidRDefault="00995CF7" w:rsidP="00174082">
            <w:pPr>
              <w:pStyle w:val="Tabletext"/>
              <w:rPr>
                <w:b/>
              </w:rPr>
            </w:pPr>
            <w:r w:rsidRPr="00916586">
              <w:rPr>
                <w:b/>
              </w:rPr>
              <w:t>Comparator</w:t>
            </w:r>
          </w:p>
          <w:p w14:paraId="1AE9BD4E" w14:textId="77777777" w:rsidR="00995CF7" w:rsidRPr="00916586" w:rsidRDefault="00995CF7" w:rsidP="00174082">
            <w:pPr>
              <w:pStyle w:val="Tabletext"/>
              <w:rPr>
                <w:b/>
              </w:rPr>
            </w:pPr>
            <w:r w:rsidRPr="00916586">
              <w:rPr>
                <w:b/>
              </w:rPr>
              <w:t>Pregabalin IR</w:t>
            </w:r>
          </w:p>
        </w:tc>
        <w:tc>
          <w:tcPr>
            <w:tcW w:w="1743" w:type="pct"/>
            <w:shd w:val="clear" w:color="auto" w:fill="auto"/>
          </w:tcPr>
          <w:p w14:paraId="14102CA9" w14:textId="77777777" w:rsidR="00995CF7" w:rsidRPr="00916586" w:rsidRDefault="00995CF7" w:rsidP="00174082">
            <w:pPr>
              <w:pStyle w:val="Tabletext"/>
              <w:rPr>
                <w:b/>
              </w:rPr>
            </w:pPr>
            <w:r w:rsidRPr="00916586">
              <w:rPr>
                <w:b/>
              </w:rPr>
              <w:t>Proposed medicine</w:t>
            </w:r>
          </w:p>
          <w:p w14:paraId="4B8E0245" w14:textId="77777777" w:rsidR="00995CF7" w:rsidRPr="00916586" w:rsidRDefault="00995CF7" w:rsidP="00174082">
            <w:pPr>
              <w:pStyle w:val="Tabletext"/>
              <w:rPr>
                <w:b/>
              </w:rPr>
            </w:pPr>
            <w:r w:rsidRPr="00916586">
              <w:rPr>
                <w:b/>
              </w:rPr>
              <w:t>Pregabalin CR</w:t>
            </w:r>
          </w:p>
        </w:tc>
      </w:tr>
      <w:tr w:rsidR="00995CF7" w:rsidRPr="00916586" w14:paraId="70C5A4CD" w14:textId="77777777" w:rsidTr="00174082">
        <w:tc>
          <w:tcPr>
            <w:tcW w:w="1515" w:type="pct"/>
            <w:shd w:val="clear" w:color="auto" w:fill="auto"/>
          </w:tcPr>
          <w:p w14:paraId="0DA121D7" w14:textId="77777777" w:rsidR="00995CF7" w:rsidRPr="00916586" w:rsidRDefault="00995CF7" w:rsidP="00174082">
            <w:pPr>
              <w:pStyle w:val="Tabletext"/>
            </w:pPr>
            <w:r w:rsidRPr="00916586">
              <w:t>Drug class</w:t>
            </w:r>
          </w:p>
        </w:tc>
        <w:tc>
          <w:tcPr>
            <w:tcW w:w="3485" w:type="pct"/>
            <w:gridSpan w:val="2"/>
            <w:shd w:val="clear" w:color="auto" w:fill="auto"/>
          </w:tcPr>
          <w:p w14:paraId="799C0055" w14:textId="77777777" w:rsidR="00995CF7" w:rsidRPr="00916586" w:rsidRDefault="00995CF7" w:rsidP="00174082">
            <w:pPr>
              <w:pStyle w:val="Tabletext"/>
            </w:pPr>
            <w:r w:rsidRPr="00916586">
              <w:t>Gabapentinoid</w:t>
            </w:r>
          </w:p>
        </w:tc>
      </w:tr>
      <w:tr w:rsidR="00995CF7" w:rsidRPr="00916586" w14:paraId="4AA6531B" w14:textId="77777777" w:rsidTr="00174082">
        <w:tc>
          <w:tcPr>
            <w:tcW w:w="1515" w:type="pct"/>
          </w:tcPr>
          <w:p w14:paraId="69504A46" w14:textId="77777777" w:rsidR="00995CF7" w:rsidRPr="00916586" w:rsidRDefault="00995CF7" w:rsidP="00174082">
            <w:pPr>
              <w:pStyle w:val="Tabletext"/>
            </w:pPr>
            <w:r w:rsidRPr="00916586">
              <w:t>Approved TGA indications</w:t>
            </w:r>
          </w:p>
        </w:tc>
        <w:tc>
          <w:tcPr>
            <w:tcW w:w="1742" w:type="pct"/>
          </w:tcPr>
          <w:p w14:paraId="483E5EBC" w14:textId="77777777" w:rsidR="00995CF7" w:rsidRPr="00916586" w:rsidRDefault="00995CF7" w:rsidP="00174082">
            <w:pPr>
              <w:pStyle w:val="Tabletext"/>
            </w:pPr>
            <w:r w:rsidRPr="00916586">
              <w:t>Neuropathic pain in adults</w:t>
            </w:r>
          </w:p>
          <w:p w14:paraId="1BC51D14" w14:textId="77777777" w:rsidR="00995CF7" w:rsidRPr="00916586" w:rsidRDefault="00995CF7" w:rsidP="00174082">
            <w:pPr>
              <w:pStyle w:val="Tabletext"/>
            </w:pPr>
            <w:r w:rsidRPr="00916586">
              <w:t>Adjunctive therapy in adults with partial seizures with or without secondary generalisation.</w:t>
            </w:r>
          </w:p>
        </w:tc>
        <w:tc>
          <w:tcPr>
            <w:tcW w:w="1743" w:type="pct"/>
          </w:tcPr>
          <w:p w14:paraId="73F94661" w14:textId="77777777" w:rsidR="00995CF7" w:rsidRPr="00916586" w:rsidRDefault="00995CF7" w:rsidP="00174082">
            <w:pPr>
              <w:pStyle w:val="Tabletext"/>
            </w:pPr>
            <w:r w:rsidRPr="00916586">
              <w:t>Neuropathic pain in adults</w:t>
            </w:r>
          </w:p>
          <w:p w14:paraId="3D0DE755" w14:textId="77777777" w:rsidR="00995CF7" w:rsidRPr="00916586" w:rsidRDefault="00995CF7" w:rsidP="00174082">
            <w:pPr>
              <w:pStyle w:val="Tabletext"/>
            </w:pPr>
          </w:p>
          <w:p w14:paraId="59707787" w14:textId="77777777" w:rsidR="00995CF7" w:rsidRPr="00916586" w:rsidRDefault="00995CF7" w:rsidP="00174082">
            <w:pPr>
              <w:pStyle w:val="Tabletext"/>
            </w:pPr>
            <w:r w:rsidRPr="00916586">
              <w:t>Efficacy of pregabalin CR has not been established in fibromyalgia or as an adjunctive therapy for adult patients with partial seizures with or without secondary generalisation.</w:t>
            </w:r>
          </w:p>
        </w:tc>
      </w:tr>
      <w:tr w:rsidR="00995CF7" w:rsidRPr="00916586" w14:paraId="5E7AE660" w14:textId="77777777" w:rsidTr="00174082">
        <w:tc>
          <w:tcPr>
            <w:tcW w:w="1515" w:type="pct"/>
          </w:tcPr>
          <w:p w14:paraId="69CEFD36" w14:textId="77777777" w:rsidR="00995CF7" w:rsidRPr="00916586" w:rsidRDefault="00995CF7" w:rsidP="00174082">
            <w:pPr>
              <w:pStyle w:val="Tabletext"/>
            </w:pPr>
            <w:r w:rsidRPr="00916586">
              <w:t>Course of treatment</w:t>
            </w:r>
          </w:p>
        </w:tc>
        <w:tc>
          <w:tcPr>
            <w:tcW w:w="1742" w:type="pct"/>
          </w:tcPr>
          <w:p w14:paraId="44D4E89E" w14:textId="77777777" w:rsidR="00995CF7" w:rsidRPr="00916586" w:rsidRDefault="00995CF7" w:rsidP="00174082">
            <w:pPr>
              <w:pStyle w:val="Tabletext"/>
            </w:pPr>
            <w:r w:rsidRPr="00916586">
              <w:t xml:space="preserve">Capsules, administered orally, in two divided doses (with or without food). </w:t>
            </w:r>
          </w:p>
          <w:p w14:paraId="36ECD3BC" w14:textId="77777777" w:rsidR="00995CF7" w:rsidRPr="00916586" w:rsidRDefault="00995CF7" w:rsidP="00174082">
            <w:pPr>
              <w:pStyle w:val="Tabletext"/>
            </w:pPr>
          </w:p>
          <w:p w14:paraId="3683A113" w14:textId="77777777" w:rsidR="00995CF7" w:rsidRPr="00916586" w:rsidRDefault="00995CF7" w:rsidP="00174082">
            <w:pPr>
              <w:pStyle w:val="Tabletext"/>
            </w:pPr>
            <w:r w:rsidRPr="00916586">
              <w:t xml:space="preserve">Starting dose: 150 mg per day, given as two divided doses. </w:t>
            </w:r>
          </w:p>
          <w:p w14:paraId="72C71E35" w14:textId="77777777" w:rsidR="00995CF7" w:rsidRPr="00916586" w:rsidRDefault="00995CF7" w:rsidP="00174082">
            <w:pPr>
              <w:pStyle w:val="Tabletext"/>
            </w:pPr>
          </w:p>
          <w:p w14:paraId="5BDEBBF5" w14:textId="77777777" w:rsidR="00995CF7" w:rsidRPr="00916586" w:rsidRDefault="00995CF7" w:rsidP="00174082">
            <w:pPr>
              <w:pStyle w:val="Tabletext"/>
            </w:pPr>
            <w:r w:rsidRPr="00916586">
              <w:t xml:space="preserve">Based on individual patient response and tolerability, the dosage may be increased to 300 mg per day, given as two divided doses, after an interval of 3 to 7 days, and if needed, to a maximum dose of 600 mg per day after an additional 7-day interval. </w:t>
            </w:r>
          </w:p>
          <w:p w14:paraId="0ADD84A4" w14:textId="77777777" w:rsidR="00995CF7" w:rsidRPr="00916586" w:rsidRDefault="00995CF7" w:rsidP="00174082">
            <w:pPr>
              <w:pStyle w:val="Tabletext"/>
            </w:pPr>
          </w:p>
          <w:p w14:paraId="6F364ADC" w14:textId="77777777" w:rsidR="00995CF7" w:rsidRPr="00916586" w:rsidRDefault="00995CF7" w:rsidP="00174082">
            <w:pPr>
              <w:pStyle w:val="Tabletext"/>
            </w:pPr>
          </w:p>
          <w:p w14:paraId="10E2DE79" w14:textId="77777777" w:rsidR="00995CF7" w:rsidRPr="00916586" w:rsidRDefault="00995CF7" w:rsidP="00174082">
            <w:pPr>
              <w:pStyle w:val="Tabletext"/>
            </w:pPr>
          </w:p>
          <w:p w14:paraId="6A7D87DE" w14:textId="77777777" w:rsidR="00995CF7" w:rsidRPr="00916586" w:rsidRDefault="00995CF7" w:rsidP="00174082">
            <w:pPr>
              <w:pStyle w:val="Tabletext"/>
            </w:pPr>
          </w:p>
          <w:p w14:paraId="6CD24D87" w14:textId="77777777" w:rsidR="00995CF7" w:rsidRPr="00916586" w:rsidRDefault="00995CF7" w:rsidP="00174082">
            <w:pPr>
              <w:pStyle w:val="Tabletext"/>
            </w:pPr>
          </w:p>
          <w:p w14:paraId="5AF513E0" w14:textId="77777777" w:rsidR="00995CF7" w:rsidRPr="00916586" w:rsidRDefault="00995CF7" w:rsidP="00174082">
            <w:pPr>
              <w:pStyle w:val="Tabletext"/>
            </w:pPr>
          </w:p>
          <w:p w14:paraId="07085E82" w14:textId="77777777" w:rsidR="00995CF7" w:rsidRPr="00916586" w:rsidRDefault="00995CF7" w:rsidP="00174082">
            <w:pPr>
              <w:pStyle w:val="Tabletext"/>
            </w:pPr>
          </w:p>
          <w:p w14:paraId="671E4471" w14:textId="77777777" w:rsidR="00995CF7" w:rsidRPr="00916586" w:rsidRDefault="00995CF7" w:rsidP="00174082">
            <w:pPr>
              <w:pStyle w:val="Tabletext"/>
            </w:pPr>
          </w:p>
          <w:p w14:paraId="0F348B21" w14:textId="77777777" w:rsidR="00995CF7" w:rsidRPr="00916586" w:rsidRDefault="00995CF7" w:rsidP="00174082">
            <w:pPr>
              <w:pStyle w:val="Tabletext"/>
            </w:pPr>
            <w:r w:rsidRPr="00916586">
              <w:t>Effectiveness in the treatment of neuropathic pain has not been assessed in controlled clinical trials for treatment periods longer than 12 weeks. The risks and benefits of treatment should be assessed before extending therapy for longer than 12 weeks</w:t>
            </w:r>
          </w:p>
        </w:tc>
        <w:tc>
          <w:tcPr>
            <w:tcW w:w="1743" w:type="pct"/>
          </w:tcPr>
          <w:p w14:paraId="6DCA2FED" w14:textId="77777777" w:rsidR="00995CF7" w:rsidRPr="00916586" w:rsidRDefault="00995CF7" w:rsidP="00174082">
            <w:pPr>
              <w:pStyle w:val="Tabletext"/>
            </w:pPr>
            <w:r w:rsidRPr="00916586">
              <w:t>Tablets, administered orally once daily after an evening meal.</w:t>
            </w:r>
          </w:p>
          <w:p w14:paraId="009D871F" w14:textId="77777777" w:rsidR="00995CF7" w:rsidRPr="00916586" w:rsidRDefault="00995CF7" w:rsidP="00174082">
            <w:pPr>
              <w:pStyle w:val="Tabletext"/>
            </w:pPr>
          </w:p>
          <w:p w14:paraId="365552A8" w14:textId="77777777" w:rsidR="00995CF7" w:rsidRPr="00916586" w:rsidRDefault="00995CF7" w:rsidP="00174082">
            <w:pPr>
              <w:pStyle w:val="Tabletext"/>
            </w:pPr>
            <w:r w:rsidRPr="00916586">
              <w:t>Starting dose: 165 mg once daily.</w:t>
            </w:r>
          </w:p>
          <w:p w14:paraId="0250B8D3" w14:textId="77777777" w:rsidR="00995CF7" w:rsidRPr="00916586" w:rsidRDefault="00995CF7" w:rsidP="00174082">
            <w:pPr>
              <w:pStyle w:val="Tabletext"/>
            </w:pPr>
          </w:p>
          <w:p w14:paraId="6DCF21A9" w14:textId="77777777" w:rsidR="00995CF7" w:rsidRPr="00916586" w:rsidRDefault="00995CF7" w:rsidP="00174082">
            <w:pPr>
              <w:pStyle w:val="Tabletext"/>
            </w:pPr>
          </w:p>
          <w:p w14:paraId="3E4B3447" w14:textId="302FD7EF" w:rsidR="00995CF7" w:rsidRPr="00916586" w:rsidRDefault="00995CF7" w:rsidP="00174082">
            <w:pPr>
              <w:pStyle w:val="Tabletext"/>
            </w:pPr>
            <w:r w:rsidRPr="00916586">
              <w:t>Based on individual patient response and tolerability, the dosage may be increased to 330 mg once daily, after an interval of 3 to 7 days. In patients who do not experience sufficient pain relief following 2 to 4 weeks of treatment with 330 mg once daily and who are able to tolerate, dose may be increased by an additional 165 mg/day to 495 mg/day and then after an additional 7-day interval by 165 mg/day up to 660 mg once daily. The maximum</w:t>
            </w:r>
            <w:r w:rsidR="00AF067B">
              <w:t xml:space="preserve"> </w:t>
            </w:r>
            <w:r w:rsidRPr="00916586">
              <w:t>recommended dose is 660 mg once daily.</w:t>
            </w:r>
          </w:p>
          <w:p w14:paraId="66215724" w14:textId="77777777" w:rsidR="00995CF7" w:rsidRPr="00916586" w:rsidRDefault="00995CF7" w:rsidP="00174082">
            <w:pPr>
              <w:pStyle w:val="Tabletext"/>
            </w:pPr>
          </w:p>
          <w:p w14:paraId="2818E7A1" w14:textId="77777777" w:rsidR="00995CF7" w:rsidRPr="00916586" w:rsidRDefault="00995CF7" w:rsidP="00174082">
            <w:pPr>
              <w:pStyle w:val="Tabletext"/>
            </w:pPr>
            <w:r w:rsidRPr="00916586">
              <w:t>Effectiveness in the treatment of neuropathic pain has not been assessed in controlled clinical trials for treatment periods longer than 19 weeks. The risks and benefits of treatment should be assessed before extending therapy for longer than 19 weeks</w:t>
            </w:r>
          </w:p>
        </w:tc>
      </w:tr>
      <w:tr w:rsidR="00995CF7" w:rsidRPr="00916586" w14:paraId="58573125" w14:textId="77777777" w:rsidTr="00174082">
        <w:tc>
          <w:tcPr>
            <w:tcW w:w="1515" w:type="pct"/>
          </w:tcPr>
          <w:p w14:paraId="2BE4D761" w14:textId="77777777" w:rsidR="00995CF7" w:rsidRPr="00916586" w:rsidRDefault="00995CF7" w:rsidP="00174082">
            <w:pPr>
              <w:pStyle w:val="Tabletext"/>
            </w:pPr>
            <w:r w:rsidRPr="00916586">
              <w:t xml:space="preserve">Conversion from pregabalin IR capsules to pregabalin CR Tablets as indicated in the approved PI for pregabalin CR. </w:t>
            </w:r>
          </w:p>
        </w:tc>
        <w:tc>
          <w:tcPr>
            <w:tcW w:w="3485" w:type="pct"/>
            <w:gridSpan w:val="2"/>
          </w:tcPr>
          <w:tbl>
            <w:tblPr>
              <w:tblStyle w:val="TableGrid"/>
              <w:tblW w:w="0" w:type="auto"/>
              <w:tblLook w:val="04A0" w:firstRow="1" w:lastRow="0" w:firstColumn="1" w:lastColumn="0" w:noHBand="0" w:noVBand="1"/>
              <w:tblCaption w:val="Conversion from pregabalin IR capsules to pregabalin CR Tablets as indicated in the approved PI for pregabalin CR. "/>
            </w:tblPr>
            <w:tblGrid>
              <w:gridCol w:w="3029"/>
              <w:gridCol w:w="3029"/>
            </w:tblGrid>
            <w:tr w:rsidR="00995CF7" w:rsidRPr="00916586" w14:paraId="461C6F6C" w14:textId="77777777" w:rsidTr="00F002A0">
              <w:trPr>
                <w:tblHeader/>
              </w:trPr>
              <w:tc>
                <w:tcPr>
                  <w:tcW w:w="4508" w:type="dxa"/>
                </w:tcPr>
                <w:p w14:paraId="05276A4D" w14:textId="77777777" w:rsidR="00995CF7" w:rsidRPr="00916586" w:rsidRDefault="00995CF7" w:rsidP="00174082">
                  <w:pPr>
                    <w:pStyle w:val="Tabletext"/>
                    <w:rPr>
                      <w:b/>
                    </w:rPr>
                  </w:pPr>
                  <w:r w:rsidRPr="00916586">
                    <w:rPr>
                      <w:b/>
                    </w:rPr>
                    <w:t>Pregabalin IR Capsules</w:t>
                  </w:r>
                </w:p>
                <w:p w14:paraId="5425B914" w14:textId="77777777" w:rsidR="00995CF7" w:rsidRPr="00916586" w:rsidRDefault="00995CF7" w:rsidP="00174082">
                  <w:pPr>
                    <w:pStyle w:val="Tabletext"/>
                    <w:rPr>
                      <w:b/>
                    </w:rPr>
                  </w:pPr>
                  <w:r w:rsidRPr="00916586">
                    <w:rPr>
                      <w:b/>
                    </w:rPr>
                    <w:t>Total Daily Dose</w:t>
                  </w:r>
                </w:p>
                <w:p w14:paraId="463A1B71" w14:textId="77777777" w:rsidR="00995CF7" w:rsidRPr="00916586" w:rsidRDefault="00995CF7" w:rsidP="00174082">
                  <w:pPr>
                    <w:pStyle w:val="Tabletext"/>
                    <w:rPr>
                      <w:b/>
                    </w:rPr>
                  </w:pPr>
                  <w:r w:rsidRPr="00916586">
                    <w:rPr>
                      <w:b/>
                    </w:rPr>
                    <w:t>(dosed twice daily)</w:t>
                  </w:r>
                </w:p>
              </w:tc>
              <w:tc>
                <w:tcPr>
                  <w:tcW w:w="4509" w:type="dxa"/>
                </w:tcPr>
                <w:p w14:paraId="3E3B9C76" w14:textId="77777777" w:rsidR="00995CF7" w:rsidRPr="00916586" w:rsidRDefault="00995CF7" w:rsidP="00174082">
                  <w:pPr>
                    <w:pStyle w:val="Tabletext"/>
                    <w:rPr>
                      <w:b/>
                    </w:rPr>
                  </w:pPr>
                  <w:r w:rsidRPr="00916586">
                    <w:rPr>
                      <w:b/>
                    </w:rPr>
                    <w:t>Pregabalin CR Tablets</w:t>
                  </w:r>
                </w:p>
                <w:p w14:paraId="0FEE2F9D" w14:textId="77777777" w:rsidR="00995CF7" w:rsidRPr="00916586" w:rsidRDefault="00995CF7" w:rsidP="00174082">
                  <w:pPr>
                    <w:pStyle w:val="Tabletext"/>
                    <w:rPr>
                      <w:b/>
                    </w:rPr>
                  </w:pPr>
                  <w:r w:rsidRPr="00916586">
                    <w:rPr>
                      <w:b/>
                    </w:rPr>
                    <w:t>Total Daily Dose</w:t>
                  </w:r>
                </w:p>
                <w:p w14:paraId="3FA55E38" w14:textId="77777777" w:rsidR="00995CF7" w:rsidRPr="00916586" w:rsidRDefault="00995CF7" w:rsidP="00174082">
                  <w:pPr>
                    <w:pStyle w:val="Tabletext"/>
                    <w:rPr>
                      <w:b/>
                    </w:rPr>
                  </w:pPr>
                  <w:r w:rsidRPr="00916586">
                    <w:rPr>
                      <w:b/>
                    </w:rPr>
                    <w:t>(dosed once daily)</w:t>
                  </w:r>
                </w:p>
              </w:tc>
            </w:tr>
            <w:tr w:rsidR="00995CF7" w:rsidRPr="00916586" w14:paraId="1873E6F0" w14:textId="77777777" w:rsidTr="00174082">
              <w:tc>
                <w:tcPr>
                  <w:tcW w:w="4508" w:type="dxa"/>
                </w:tcPr>
                <w:p w14:paraId="4BEB5D59" w14:textId="77777777" w:rsidR="00995CF7" w:rsidRPr="00916586" w:rsidRDefault="00995CF7" w:rsidP="00174082">
                  <w:pPr>
                    <w:pStyle w:val="Tabletext"/>
                  </w:pPr>
                  <w:r w:rsidRPr="00916586">
                    <w:t>75 mg / day</w:t>
                  </w:r>
                </w:p>
              </w:tc>
              <w:tc>
                <w:tcPr>
                  <w:tcW w:w="4509" w:type="dxa"/>
                </w:tcPr>
                <w:p w14:paraId="1F68F461" w14:textId="77777777" w:rsidR="00995CF7" w:rsidRPr="00916586" w:rsidRDefault="00995CF7" w:rsidP="00174082">
                  <w:pPr>
                    <w:pStyle w:val="Tabletext"/>
                  </w:pPr>
                  <w:r w:rsidRPr="00916586">
                    <w:t>82.5 mg / day</w:t>
                  </w:r>
                </w:p>
              </w:tc>
            </w:tr>
            <w:tr w:rsidR="00995CF7" w:rsidRPr="00916586" w14:paraId="34929801" w14:textId="77777777" w:rsidTr="00174082">
              <w:tc>
                <w:tcPr>
                  <w:tcW w:w="4508" w:type="dxa"/>
                </w:tcPr>
                <w:p w14:paraId="316F336B" w14:textId="77777777" w:rsidR="00995CF7" w:rsidRPr="00916586" w:rsidRDefault="00995CF7" w:rsidP="00174082">
                  <w:pPr>
                    <w:pStyle w:val="Tabletext"/>
                  </w:pPr>
                  <w:r w:rsidRPr="00916586">
                    <w:t>150 mg / day</w:t>
                  </w:r>
                </w:p>
              </w:tc>
              <w:tc>
                <w:tcPr>
                  <w:tcW w:w="4509" w:type="dxa"/>
                </w:tcPr>
                <w:p w14:paraId="12146C7C" w14:textId="77777777" w:rsidR="00995CF7" w:rsidRPr="00916586" w:rsidRDefault="00995CF7" w:rsidP="00174082">
                  <w:pPr>
                    <w:pStyle w:val="Tabletext"/>
                  </w:pPr>
                  <w:r w:rsidRPr="00916586">
                    <w:t>165 mg / day</w:t>
                  </w:r>
                </w:p>
              </w:tc>
            </w:tr>
            <w:tr w:rsidR="00995CF7" w:rsidRPr="00916586" w14:paraId="3085F703" w14:textId="77777777" w:rsidTr="00174082">
              <w:tc>
                <w:tcPr>
                  <w:tcW w:w="4508" w:type="dxa"/>
                </w:tcPr>
                <w:p w14:paraId="76DE38B9" w14:textId="77777777" w:rsidR="00995CF7" w:rsidRPr="00916586" w:rsidRDefault="00995CF7" w:rsidP="00174082">
                  <w:pPr>
                    <w:pStyle w:val="Tabletext"/>
                  </w:pPr>
                  <w:r w:rsidRPr="00916586">
                    <w:t>225 mg / day</w:t>
                  </w:r>
                </w:p>
              </w:tc>
              <w:tc>
                <w:tcPr>
                  <w:tcW w:w="4509" w:type="dxa"/>
                </w:tcPr>
                <w:p w14:paraId="463313A8" w14:textId="77777777" w:rsidR="00995CF7" w:rsidRPr="00916586" w:rsidRDefault="00995CF7" w:rsidP="00174082">
                  <w:pPr>
                    <w:pStyle w:val="Tabletext"/>
                  </w:pPr>
                  <w:r w:rsidRPr="00916586">
                    <w:t>247.5 mg / day</w:t>
                  </w:r>
                  <w:r w:rsidRPr="00916586">
                    <w:rPr>
                      <w:vertAlign w:val="superscript"/>
                    </w:rPr>
                    <w:t>a</w:t>
                  </w:r>
                </w:p>
              </w:tc>
            </w:tr>
            <w:tr w:rsidR="00995CF7" w:rsidRPr="00916586" w14:paraId="7FCC51B1" w14:textId="77777777" w:rsidTr="00174082">
              <w:tc>
                <w:tcPr>
                  <w:tcW w:w="4508" w:type="dxa"/>
                </w:tcPr>
                <w:p w14:paraId="1E6205E8" w14:textId="77777777" w:rsidR="00995CF7" w:rsidRPr="00916586" w:rsidRDefault="00995CF7" w:rsidP="00174082">
                  <w:pPr>
                    <w:pStyle w:val="Tabletext"/>
                  </w:pPr>
                  <w:r w:rsidRPr="00916586">
                    <w:t>300 mg / day</w:t>
                  </w:r>
                </w:p>
              </w:tc>
              <w:tc>
                <w:tcPr>
                  <w:tcW w:w="4509" w:type="dxa"/>
                </w:tcPr>
                <w:p w14:paraId="31896AA0" w14:textId="77777777" w:rsidR="00995CF7" w:rsidRPr="00916586" w:rsidRDefault="00995CF7" w:rsidP="00174082">
                  <w:pPr>
                    <w:pStyle w:val="Tabletext"/>
                  </w:pPr>
                  <w:r w:rsidRPr="00916586">
                    <w:t>330 mg / day</w:t>
                  </w:r>
                </w:p>
              </w:tc>
            </w:tr>
            <w:tr w:rsidR="00995CF7" w:rsidRPr="00916586" w14:paraId="2AEDE5BD" w14:textId="77777777" w:rsidTr="00174082">
              <w:tc>
                <w:tcPr>
                  <w:tcW w:w="4508" w:type="dxa"/>
                </w:tcPr>
                <w:p w14:paraId="5C66DDC6" w14:textId="77777777" w:rsidR="00995CF7" w:rsidRPr="00916586" w:rsidRDefault="00995CF7" w:rsidP="00174082">
                  <w:pPr>
                    <w:pStyle w:val="Tabletext"/>
                  </w:pPr>
                  <w:r w:rsidRPr="00916586">
                    <w:t>450 mg / day</w:t>
                  </w:r>
                </w:p>
              </w:tc>
              <w:tc>
                <w:tcPr>
                  <w:tcW w:w="4509" w:type="dxa"/>
                </w:tcPr>
                <w:p w14:paraId="7156D31D" w14:textId="77777777" w:rsidR="00995CF7" w:rsidRPr="00916586" w:rsidRDefault="00995CF7" w:rsidP="00174082">
                  <w:pPr>
                    <w:pStyle w:val="Tabletext"/>
                  </w:pPr>
                  <w:r w:rsidRPr="00916586">
                    <w:t>495 mg / day</w:t>
                  </w:r>
                  <w:r w:rsidRPr="00916586">
                    <w:rPr>
                      <w:vertAlign w:val="superscript"/>
                    </w:rPr>
                    <w:t>b</w:t>
                  </w:r>
                </w:p>
              </w:tc>
            </w:tr>
            <w:tr w:rsidR="00995CF7" w:rsidRPr="00916586" w14:paraId="48F52BEE" w14:textId="77777777" w:rsidTr="00174082">
              <w:tc>
                <w:tcPr>
                  <w:tcW w:w="4508" w:type="dxa"/>
                </w:tcPr>
                <w:p w14:paraId="03935436" w14:textId="77777777" w:rsidR="00995CF7" w:rsidRPr="00916586" w:rsidRDefault="00995CF7" w:rsidP="00174082">
                  <w:pPr>
                    <w:pStyle w:val="Tabletext"/>
                  </w:pPr>
                  <w:r w:rsidRPr="00916586">
                    <w:t>600 mg / daily</w:t>
                  </w:r>
                </w:p>
              </w:tc>
              <w:tc>
                <w:tcPr>
                  <w:tcW w:w="4509" w:type="dxa"/>
                </w:tcPr>
                <w:p w14:paraId="46125935" w14:textId="77777777" w:rsidR="00995CF7" w:rsidRPr="00916586" w:rsidRDefault="00995CF7" w:rsidP="00174082">
                  <w:pPr>
                    <w:pStyle w:val="Tabletext"/>
                  </w:pPr>
                  <w:r w:rsidRPr="00916586">
                    <w:t>660 mg / day</w:t>
                  </w:r>
                  <w:r w:rsidRPr="00916586">
                    <w:rPr>
                      <w:vertAlign w:val="superscript"/>
                    </w:rPr>
                    <w:t>c</w:t>
                  </w:r>
                </w:p>
              </w:tc>
            </w:tr>
          </w:tbl>
          <w:p w14:paraId="00A335F6" w14:textId="77777777" w:rsidR="00995CF7" w:rsidRPr="00916586" w:rsidRDefault="00995CF7" w:rsidP="00174082">
            <w:pPr>
              <w:pStyle w:val="TableFooter"/>
            </w:pPr>
            <w:r w:rsidRPr="00916586">
              <w:t>Note: When switching from pregabalin IR to pregabalin CR on the day of the switch, patients should take their morning dose of pregabalin IR as prescribed and initiate pregabalin CR therapy after an evening meal.</w:t>
            </w:r>
          </w:p>
          <w:p w14:paraId="1059D272" w14:textId="77777777" w:rsidR="00995CF7" w:rsidRPr="00916586" w:rsidRDefault="00995CF7" w:rsidP="00174082">
            <w:pPr>
              <w:pStyle w:val="TableFooter"/>
            </w:pPr>
            <w:r w:rsidRPr="00916586">
              <w:rPr>
                <w:vertAlign w:val="superscript"/>
              </w:rPr>
              <w:t xml:space="preserve">a </w:t>
            </w:r>
            <w:r w:rsidRPr="00916586">
              <w:t>247.5 mg = 3 × 82.5 mg tablets taken once a day</w:t>
            </w:r>
          </w:p>
          <w:p w14:paraId="60EB1C1B" w14:textId="77777777" w:rsidR="00995CF7" w:rsidRPr="00916586" w:rsidRDefault="00995CF7" w:rsidP="00174082">
            <w:pPr>
              <w:pStyle w:val="TableFooter"/>
              <w:rPr>
                <w:vertAlign w:val="superscript"/>
              </w:rPr>
            </w:pPr>
            <w:r w:rsidRPr="00916586">
              <w:rPr>
                <w:vertAlign w:val="superscript"/>
              </w:rPr>
              <w:t xml:space="preserve">b </w:t>
            </w:r>
            <w:r w:rsidRPr="00916586">
              <w:t>495 mg = 3 × 165 mg tablets taken once a day.</w:t>
            </w:r>
            <w:r w:rsidRPr="00916586">
              <w:rPr>
                <w:vertAlign w:val="superscript"/>
              </w:rPr>
              <w:t xml:space="preserve"> </w:t>
            </w:r>
          </w:p>
          <w:p w14:paraId="36A22218" w14:textId="77777777" w:rsidR="00995CF7" w:rsidRPr="00916586" w:rsidRDefault="00995CF7" w:rsidP="00174082">
            <w:pPr>
              <w:pStyle w:val="TableFooter"/>
            </w:pPr>
            <w:r w:rsidRPr="00916586">
              <w:rPr>
                <w:vertAlign w:val="superscript"/>
              </w:rPr>
              <w:t xml:space="preserve">c </w:t>
            </w:r>
            <w:r w:rsidRPr="00916586">
              <w:t>660 mg = 2 × 330 mg tablets taken once a day.</w:t>
            </w:r>
          </w:p>
          <w:p w14:paraId="0502D2A2" w14:textId="77777777" w:rsidR="00995CF7" w:rsidRPr="00916586" w:rsidRDefault="00995CF7" w:rsidP="00174082">
            <w:pPr>
              <w:pStyle w:val="TableFooter"/>
              <w:rPr>
                <w:i/>
              </w:rPr>
            </w:pPr>
            <w:r w:rsidRPr="00916586">
              <w:lastRenderedPageBreak/>
              <w:t>IR = immediate release; CR = controlled release</w:t>
            </w:r>
          </w:p>
        </w:tc>
      </w:tr>
      <w:tr w:rsidR="00995CF7" w:rsidRPr="00916586" w14:paraId="58D10BB7" w14:textId="77777777" w:rsidTr="00174082">
        <w:tc>
          <w:tcPr>
            <w:tcW w:w="1515" w:type="pct"/>
          </w:tcPr>
          <w:p w14:paraId="24053D4C" w14:textId="77777777" w:rsidR="00995CF7" w:rsidRPr="00916586" w:rsidRDefault="00995CF7" w:rsidP="00174082">
            <w:pPr>
              <w:pStyle w:val="Tabletext"/>
            </w:pPr>
            <w:r w:rsidRPr="00916586">
              <w:lastRenderedPageBreak/>
              <w:t>Proposed/approved PBS restrictions</w:t>
            </w:r>
          </w:p>
        </w:tc>
        <w:tc>
          <w:tcPr>
            <w:tcW w:w="1742" w:type="pct"/>
          </w:tcPr>
          <w:p w14:paraId="780D52D0" w14:textId="77777777" w:rsidR="00995CF7" w:rsidRPr="00916586" w:rsidRDefault="00995CF7" w:rsidP="00174082">
            <w:pPr>
              <w:pStyle w:val="Tabletext"/>
              <w:rPr>
                <w:u w:val="single"/>
              </w:rPr>
            </w:pPr>
            <w:r w:rsidRPr="00916586">
              <w:rPr>
                <w:u w:val="single"/>
              </w:rPr>
              <w:t>Listed</w:t>
            </w:r>
          </w:p>
          <w:p w14:paraId="322EFD55" w14:textId="77777777" w:rsidR="00995CF7" w:rsidRPr="00916586" w:rsidRDefault="00995CF7" w:rsidP="00174082">
            <w:pPr>
              <w:pStyle w:val="Tabletext"/>
            </w:pPr>
            <w:r w:rsidRPr="00916586">
              <w:t>Neuropathic pain</w:t>
            </w:r>
          </w:p>
          <w:p w14:paraId="4FB984D0" w14:textId="77777777" w:rsidR="00995CF7" w:rsidRPr="00916586" w:rsidRDefault="00995CF7" w:rsidP="00174082">
            <w:pPr>
              <w:pStyle w:val="Tabletext"/>
            </w:pPr>
            <w:r w:rsidRPr="00916586">
              <w:t>The condition must be refractory</w:t>
            </w:r>
            <w:r w:rsidR="00BD65C1" w:rsidRPr="00916586">
              <w:t xml:space="preserve"> to treatment with other drugs.</w:t>
            </w:r>
          </w:p>
        </w:tc>
        <w:tc>
          <w:tcPr>
            <w:tcW w:w="1743" w:type="pct"/>
          </w:tcPr>
          <w:p w14:paraId="1B28FEB9" w14:textId="77777777" w:rsidR="00995CF7" w:rsidRPr="00916586" w:rsidRDefault="00995CF7" w:rsidP="00174082">
            <w:pPr>
              <w:pStyle w:val="Tabletext"/>
              <w:rPr>
                <w:u w:val="single"/>
              </w:rPr>
            </w:pPr>
            <w:r w:rsidRPr="00916586">
              <w:rPr>
                <w:u w:val="single"/>
              </w:rPr>
              <w:t>Proposed</w:t>
            </w:r>
          </w:p>
          <w:p w14:paraId="0EC0CCE9" w14:textId="77777777" w:rsidR="00995CF7" w:rsidRPr="00916586" w:rsidRDefault="00995CF7" w:rsidP="00174082">
            <w:pPr>
              <w:pStyle w:val="Tabletext"/>
            </w:pPr>
            <w:r w:rsidRPr="00916586">
              <w:t>Neuropathic pain</w:t>
            </w:r>
          </w:p>
          <w:p w14:paraId="1581C7FC" w14:textId="77777777" w:rsidR="00995CF7" w:rsidRPr="00916586" w:rsidRDefault="00995CF7" w:rsidP="00174082">
            <w:pPr>
              <w:pStyle w:val="Tabletext"/>
            </w:pPr>
            <w:r w:rsidRPr="00916586">
              <w:t>The condition must be refractory to treatment with other drugs.</w:t>
            </w:r>
          </w:p>
          <w:p w14:paraId="2EE1D102" w14:textId="77777777" w:rsidR="00995CF7" w:rsidRPr="00916586" w:rsidRDefault="00995CF7" w:rsidP="00174082">
            <w:pPr>
              <w:pStyle w:val="Tabletext"/>
            </w:pPr>
          </w:p>
          <w:p w14:paraId="281C17FD" w14:textId="77777777" w:rsidR="00995CF7" w:rsidRPr="00B96474" w:rsidRDefault="00995CF7" w:rsidP="00174082">
            <w:pPr>
              <w:pStyle w:val="Tabletext"/>
              <w:rPr>
                <w:iCs/>
              </w:rPr>
            </w:pPr>
            <w:r w:rsidRPr="00B96474">
              <w:rPr>
                <w:iCs/>
              </w:rPr>
              <w:t>Pregabalin CR is not proposed for fibromyalgia or acute pain or chronic pain of non-neuropathic origin.</w:t>
            </w:r>
          </w:p>
        </w:tc>
      </w:tr>
      <w:tr w:rsidR="00995CF7" w:rsidRPr="00916586" w14:paraId="6AD7F9B8" w14:textId="77777777" w:rsidTr="00174082">
        <w:tc>
          <w:tcPr>
            <w:tcW w:w="1515" w:type="pct"/>
          </w:tcPr>
          <w:p w14:paraId="66BB5E45" w14:textId="77777777" w:rsidR="00995CF7" w:rsidRPr="00916586" w:rsidRDefault="00995CF7" w:rsidP="00174082">
            <w:pPr>
              <w:pStyle w:val="Tabletext"/>
            </w:pPr>
            <w:r w:rsidRPr="00916586">
              <w:t>Toxicities/contraindications/special populations (or other characteristics) that may result in differences in use</w:t>
            </w:r>
          </w:p>
        </w:tc>
        <w:tc>
          <w:tcPr>
            <w:tcW w:w="1742" w:type="pct"/>
          </w:tcPr>
          <w:p w14:paraId="3D1C6165" w14:textId="77777777" w:rsidR="00995CF7" w:rsidRPr="00916586" w:rsidRDefault="00995CF7" w:rsidP="00174082">
            <w:pPr>
              <w:pStyle w:val="Tabletext"/>
            </w:pPr>
            <w:r w:rsidRPr="00916586">
              <w:t>Indicated for CLcr less than 30 mL/min with dosage adjustment required</w:t>
            </w:r>
          </w:p>
        </w:tc>
        <w:tc>
          <w:tcPr>
            <w:tcW w:w="1743" w:type="pct"/>
          </w:tcPr>
          <w:p w14:paraId="04D141DA" w14:textId="77777777" w:rsidR="00995CF7" w:rsidRPr="00916586" w:rsidRDefault="00995CF7" w:rsidP="00174082">
            <w:pPr>
              <w:pStyle w:val="Tabletext"/>
            </w:pPr>
            <w:r w:rsidRPr="00916586">
              <w:t>Not recommended for patients with CLcr less than 30 mL/min or who are undergoing haemodialysis. Those patients should receive pregabalin IR.</w:t>
            </w:r>
          </w:p>
        </w:tc>
      </w:tr>
      <w:tr w:rsidR="00995CF7" w:rsidRPr="00916586" w14:paraId="32EDE190" w14:textId="77777777" w:rsidTr="00174082">
        <w:tc>
          <w:tcPr>
            <w:tcW w:w="1515" w:type="pct"/>
          </w:tcPr>
          <w:p w14:paraId="7A940A84" w14:textId="77777777" w:rsidR="00995CF7" w:rsidRPr="00916586" w:rsidRDefault="00995CF7" w:rsidP="00174082">
            <w:pPr>
              <w:pStyle w:val="Tabletext"/>
            </w:pPr>
            <w:r w:rsidRPr="00916586">
              <w:t>Any differences that may result in changes in patient compliance</w:t>
            </w:r>
          </w:p>
        </w:tc>
        <w:tc>
          <w:tcPr>
            <w:tcW w:w="1742" w:type="pct"/>
          </w:tcPr>
          <w:p w14:paraId="1C6461C4" w14:textId="77777777" w:rsidR="00995CF7" w:rsidRPr="00916586" w:rsidRDefault="00995CF7" w:rsidP="00174082">
            <w:pPr>
              <w:pStyle w:val="Tabletext"/>
            </w:pPr>
            <w:r w:rsidRPr="00916586">
              <w:t>-</w:t>
            </w:r>
          </w:p>
        </w:tc>
        <w:tc>
          <w:tcPr>
            <w:tcW w:w="1743" w:type="pct"/>
          </w:tcPr>
          <w:p w14:paraId="520760C3" w14:textId="77777777" w:rsidR="00995CF7" w:rsidRPr="00B96474" w:rsidRDefault="00995CF7" w:rsidP="00174082">
            <w:pPr>
              <w:pStyle w:val="Tabletext"/>
            </w:pPr>
            <w:r w:rsidRPr="00916586">
              <w:t>The submission stated that pregabalin CR once daily dosing is expected to enhance compliance/adherence compared to the IR formulation, which is administered in two or three divided doses.</w:t>
            </w:r>
            <w:r w:rsidRPr="00B96474">
              <w:t xml:space="preserve"> The approved Product Information recommends that the total daily dose of pregabalin IR should be administered in two divided doses</w:t>
            </w:r>
            <w:r w:rsidR="00767FF0" w:rsidRPr="00B96474">
              <w:t>.</w:t>
            </w:r>
          </w:p>
          <w:p w14:paraId="0017FA67" w14:textId="77777777" w:rsidR="00995CF7" w:rsidRPr="00916586" w:rsidRDefault="00995CF7" w:rsidP="00174082">
            <w:pPr>
              <w:pStyle w:val="Tabletext"/>
              <w:rPr>
                <w:i/>
              </w:rPr>
            </w:pPr>
            <w:r w:rsidRPr="00B96474">
              <w:t>No evidence was presented in the submission to demonstrate adherence is improved with the CR formulation compared with the IR formulation.</w:t>
            </w:r>
          </w:p>
        </w:tc>
      </w:tr>
    </w:tbl>
    <w:p w14:paraId="6AF3283A" w14:textId="77777777" w:rsidR="00995CF7" w:rsidRPr="00916586" w:rsidRDefault="00995CF7" w:rsidP="00995CF7">
      <w:pPr>
        <w:pStyle w:val="TableFooter"/>
      </w:pPr>
      <w:r w:rsidRPr="00916586">
        <w:t>Source: Compiled during the evaluation from Section 1 of the submission, the approved Product Information for pregabalin IR and pregabalin CR, and PBS online.</w:t>
      </w:r>
    </w:p>
    <w:p w14:paraId="0D5B3B86" w14:textId="4405D94E" w:rsidR="00995CF7" w:rsidRPr="00916586" w:rsidRDefault="00995CF7" w:rsidP="00995CF7">
      <w:pPr>
        <w:pStyle w:val="TableFooter"/>
      </w:pPr>
      <w:r w:rsidRPr="00916586">
        <w:rPr>
          <w:vertAlign w:val="superscript"/>
        </w:rPr>
        <w:t>a</w:t>
      </w:r>
      <w:r w:rsidRPr="00916586">
        <w:t xml:space="preserve"> TGA Clinical Evaluation Report for pregabalin CR (Submission PM-2020-00665-1-1, Section 4.3, p 36).</w:t>
      </w:r>
    </w:p>
    <w:p w14:paraId="0A79A536" w14:textId="77C3BECA" w:rsidR="00AF067B" w:rsidRPr="00916586" w:rsidRDefault="00995CF7" w:rsidP="00105692">
      <w:pPr>
        <w:pStyle w:val="TableFooter"/>
        <w:spacing w:after="120"/>
      </w:pPr>
      <w:r w:rsidRPr="00916586">
        <w:t>IR = immediate release; CR = controlled release; CLcr = creatinine clearance; TGA = Therapeutic Goods Administration; PI = Product Information</w:t>
      </w:r>
    </w:p>
    <w:p w14:paraId="61BED5C1" w14:textId="54E0F503" w:rsidR="00460595" w:rsidRPr="00AF067B" w:rsidRDefault="00460595" w:rsidP="00AF067B">
      <w:pPr>
        <w:ind w:firstLine="709"/>
        <w:rPr>
          <w:rFonts w:asciiTheme="minorHAnsi" w:hAnsiTheme="minorHAnsi"/>
          <w:i/>
        </w:rPr>
      </w:pPr>
      <w:r w:rsidRPr="00916586">
        <w:rPr>
          <w:rFonts w:asciiTheme="minorHAnsi" w:hAnsiTheme="minorHAnsi"/>
          <w:i/>
        </w:rPr>
        <w:t>For more detail on PBAC’s view, see section 7 PBAC outcome.</w:t>
      </w:r>
    </w:p>
    <w:p w14:paraId="711B39D5" w14:textId="77777777" w:rsidR="00223D5A" w:rsidRPr="00916586" w:rsidRDefault="00223D5A" w:rsidP="00223D5A">
      <w:pPr>
        <w:pStyle w:val="2-SectionHeading"/>
        <w:numPr>
          <w:ilvl w:val="0"/>
          <w:numId w:val="1"/>
        </w:numPr>
      </w:pPr>
      <w:bookmarkStart w:id="11" w:name="_Toc81837345"/>
      <w:bookmarkStart w:id="12" w:name="_Toc22897640"/>
      <w:r w:rsidRPr="00916586">
        <w:t>Consideration of the evidence</w:t>
      </w:r>
      <w:bookmarkEnd w:id="11"/>
    </w:p>
    <w:p w14:paraId="3C868FB9" w14:textId="77777777" w:rsidR="00460595" w:rsidRPr="00916586" w:rsidRDefault="00460595" w:rsidP="009261A6">
      <w:pPr>
        <w:pStyle w:val="4-SubsectionHeading"/>
      </w:pPr>
      <w:bookmarkStart w:id="13" w:name="_Hlk76375935"/>
      <w:bookmarkStart w:id="14" w:name="_Toc81837346"/>
      <w:r w:rsidRPr="00916586">
        <w:t>Sponsor hearing</w:t>
      </w:r>
    </w:p>
    <w:p w14:paraId="1144830D" w14:textId="77777777" w:rsidR="00460595" w:rsidRPr="00916586" w:rsidRDefault="00460595" w:rsidP="00460595">
      <w:pPr>
        <w:widowControl w:val="0"/>
        <w:numPr>
          <w:ilvl w:val="1"/>
          <w:numId w:val="1"/>
        </w:numPr>
        <w:spacing w:after="120"/>
        <w:rPr>
          <w:rFonts w:cs="Calibri"/>
          <w:bCs/>
          <w:snapToGrid w:val="0"/>
        </w:rPr>
      </w:pPr>
      <w:r w:rsidRPr="00916586">
        <w:rPr>
          <w:rFonts w:cs="Calibri"/>
          <w:bCs/>
          <w:snapToGrid w:val="0"/>
        </w:rPr>
        <w:t>There was no hearing for this item.</w:t>
      </w:r>
    </w:p>
    <w:p w14:paraId="0C645135" w14:textId="77777777" w:rsidR="00460595" w:rsidRPr="00916586" w:rsidRDefault="00460595" w:rsidP="009261A6">
      <w:pPr>
        <w:pStyle w:val="4-SubsectionHeading"/>
      </w:pPr>
      <w:r w:rsidRPr="00916586">
        <w:t>Consumer comments</w:t>
      </w:r>
    </w:p>
    <w:p w14:paraId="7F8C1CAA" w14:textId="77777777" w:rsidR="00460595" w:rsidRPr="00916586" w:rsidRDefault="00460595" w:rsidP="00460595">
      <w:pPr>
        <w:widowControl w:val="0"/>
        <w:numPr>
          <w:ilvl w:val="1"/>
          <w:numId w:val="1"/>
        </w:numPr>
        <w:spacing w:after="120"/>
        <w:rPr>
          <w:rFonts w:asciiTheme="minorHAnsi" w:hAnsiTheme="minorHAnsi"/>
          <w:bCs/>
          <w:snapToGrid w:val="0"/>
        </w:rPr>
      </w:pPr>
      <w:bookmarkStart w:id="15" w:name="_Hlk76382618"/>
      <w:r w:rsidRPr="00916586">
        <w:rPr>
          <w:rFonts w:asciiTheme="minorHAnsi" w:hAnsiTheme="minorHAnsi"/>
          <w:bCs/>
          <w:snapToGrid w:val="0"/>
        </w:rPr>
        <w:t>The PBAC noted the advice received from Musculoskeletal Australia outlining three patient experiences of being treated wi</w:t>
      </w:r>
      <w:r w:rsidR="005C648F" w:rsidRPr="00916586">
        <w:rPr>
          <w:rFonts w:asciiTheme="minorHAnsi" w:hAnsiTheme="minorHAnsi"/>
          <w:bCs/>
          <w:snapToGrid w:val="0"/>
        </w:rPr>
        <w:t xml:space="preserve">th immediate release pregabalin. </w:t>
      </w:r>
      <w:r w:rsidR="00CC741E" w:rsidRPr="00916586">
        <w:rPr>
          <w:rFonts w:asciiTheme="minorHAnsi" w:hAnsiTheme="minorHAnsi"/>
          <w:bCs/>
          <w:snapToGrid w:val="0"/>
        </w:rPr>
        <w:t xml:space="preserve">All three patients offered minimal support for listing of pregabalin CR due to the negative side effects and limited benefits of pregabalin treatment for pain. </w:t>
      </w:r>
    </w:p>
    <w:bookmarkEnd w:id="13"/>
    <w:bookmarkEnd w:id="15"/>
    <w:p w14:paraId="3D34B1B9" w14:textId="77777777" w:rsidR="00B60939" w:rsidRPr="00916586" w:rsidRDefault="00B60939" w:rsidP="002E4F02">
      <w:pPr>
        <w:pStyle w:val="4-SubsectionHeading"/>
      </w:pPr>
      <w:r w:rsidRPr="00916586">
        <w:t xml:space="preserve">Clinical </w:t>
      </w:r>
      <w:r w:rsidR="00D5243B" w:rsidRPr="00916586">
        <w:t>studies</w:t>
      </w:r>
      <w:bookmarkEnd w:id="12"/>
      <w:bookmarkEnd w:id="14"/>
    </w:p>
    <w:p w14:paraId="2992EBBD" w14:textId="77777777" w:rsidR="007778D7" w:rsidRPr="00916586" w:rsidRDefault="00A343C2" w:rsidP="00EF2C84">
      <w:pPr>
        <w:pStyle w:val="3-BodyText"/>
      </w:pPr>
      <w:r w:rsidRPr="00916586">
        <w:rPr>
          <w:snapToGrid/>
        </w:rPr>
        <w:t xml:space="preserve">No comparative clinical evidence or </w:t>
      </w:r>
      <w:r w:rsidR="00BD65C1" w:rsidRPr="00916586">
        <w:rPr>
          <w:snapToGrid/>
        </w:rPr>
        <w:t xml:space="preserve">explicit </w:t>
      </w:r>
      <w:r w:rsidRPr="00916586">
        <w:rPr>
          <w:snapToGrid/>
        </w:rPr>
        <w:t>clinical claim was presented in the submission.</w:t>
      </w:r>
      <w:r w:rsidR="00EF2C84" w:rsidRPr="00916586">
        <w:rPr>
          <w:snapToGrid/>
        </w:rPr>
        <w:t xml:space="preserve"> </w:t>
      </w:r>
      <w:r w:rsidRPr="00916586">
        <w:rPr>
          <w:snapToGrid/>
        </w:rPr>
        <w:t xml:space="preserve">The submission noted that the key/supporting evidence was based on an adequate and well-controlled 19-week randomised placebo controlled trial of daily </w:t>
      </w:r>
      <w:r w:rsidRPr="00916586">
        <w:rPr>
          <w:snapToGrid/>
        </w:rPr>
        <w:lastRenderedPageBreak/>
        <w:t xml:space="preserve">doses of pregabalin CR 82.5 mg, 165 mg, 247.5 mg, 330 mg, 495 mg, or 660 mg strengths in adults with PHN. The submission </w:t>
      </w:r>
      <w:r w:rsidR="006405EB" w:rsidRPr="00916586">
        <w:rPr>
          <w:snapToGrid/>
        </w:rPr>
        <w:t>referred</w:t>
      </w:r>
      <w:r w:rsidRPr="00916586">
        <w:rPr>
          <w:snapToGrid/>
        </w:rPr>
        <w:t xml:space="preserve"> to supporting information in the TGA clinical evaluation report and the PI for pregabalin CR.</w:t>
      </w:r>
    </w:p>
    <w:p w14:paraId="016BD93E" w14:textId="2F2461E5" w:rsidR="00620C25" w:rsidRPr="00AF067B" w:rsidRDefault="00196BD4" w:rsidP="00EC5836">
      <w:pPr>
        <w:pStyle w:val="3-BodyText"/>
      </w:pPr>
      <w:r w:rsidRPr="00916586">
        <w:rPr>
          <w:snapToGrid/>
        </w:rPr>
        <w:t xml:space="preserve">Of note, “modified” release or “extended” release (ER), or “controlled” release </w:t>
      </w:r>
      <w:r w:rsidR="00C84FCC" w:rsidRPr="00916586">
        <w:rPr>
          <w:snapToGrid/>
        </w:rPr>
        <w:t xml:space="preserve">(CR) </w:t>
      </w:r>
      <w:r w:rsidRPr="00916586">
        <w:rPr>
          <w:snapToGrid/>
        </w:rPr>
        <w:t>were used interchangeably in the clinical evaluation report for pregabalin CR.</w:t>
      </w:r>
    </w:p>
    <w:p w14:paraId="2179DB78" w14:textId="77777777" w:rsidR="00B60939" w:rsidRPr="00916586" w:rsidRDefault="00B60939" w:rsidP="00EC5836">
      <w:pPr>
        <w:pStyle w:val="4-SubsectionHeading"/>
      </w:pPr>
      <w:bookmarkStart w:id="16" w:name="_Toc22897641"/>
      <w:bookmarkStart w:id="17" w:name="_Toc81837347"/>
      <w:r w:rsidRPr="00916586">
        <w:t>Comparative effectiveness</w:t>
      </w:r>
      <w:bookmarkEnd w:id="16"/>
      <w:bookmarkEnd w:id="17"/>
    </w:p>
    <w:p w14:paraId="5AE54A0F" w14:textId="77777777" w:rsidR="0096093B" w:rsidRPr="00916586" w:rsidRDefault="0096093B" w:rsidP="00196BD4">
      <w:pPr>
        <w:pStyle w:val="3-BodyText"/>
        <w:rPr>
          <w:i/>
          <w:snapToGrid/>
        </w:rPr>
      </w:pPr>
      <w:r w:rsidRPr="00916586">
        <w:rPr>
          <w:iCs/>
          <w:snapToGrid/>
        </w:rPr>
        <w:t>In the absence of a clinical comparison being presented in the submission, relevant advice from the TGA Delegate from the CER is presented below.</w:t>
      </w:r>
    </w:p>
    <w:p w14:paraId="29570106" w14:textId="77777777" w:rsidR="00196BD4" w:rsidRPr="00916586" w:rsidRDefault="00196BD4" w:rsidP="00196BD4">
      <w:pPr>
        <w:pStyle w:val="3-BodyText"/>
        <w:rPr>
          <w:snapToGrid/>
        </w:rPr>
      </w:pPr>
      <w:r w:rsidRPr="00916586">
        <w:rPr>
          <w:snapToGrid/>
        </w:rPr>
        <w:t xml:space="preserve">Pregabalin </w:t>
      </w:r>
      <w:r w:rsidR="00BD65C1" w:rsidRPr="00916586">
        <w:rPr>
          <w:snapToGrid/>
        </w:rPr>
        <w:t>C</w:t>
      </w:r>
      <w:r w:rsidRPr="00916586">
        <w:rPr>
          <w:snapToGrid/>
        </w:rPr>
        <w:t xml:space="preserve">R tablets demonstrated linear </w:t>
      </w:r>
      <w:r w:rsidR="007778D7" w:rsidRPr="00916586">
        <w:rPr>
          <w:snapToGrid/>
        </w:rPr>
        <w:t>pharmacokinetics (</w:t>
      </w:r>
      <w:r w:rsidRPr="00916586">
        <w:rPr>
          <w:snapToGrid/>
        </w:rPr>
        <w:t>PKs</w:t>
      </w:r>
      <w:r w:rsidR="007778D7" w:rsidRPr="00916586">
        <w:rPr>
          <w:snapToGrid/>
        </w:rPr>
        <w:t>)</w:t>
      </w:r>
      <w:r w:rsidRPr="00916586">
        <w:rPr>
          <w:snapToGrid/>
        </w:rPr>
        <w:t xml:space="preserve"> with dose-proportional increases in maximum observed concentration (Cmax) and area under the curve (AUC) with once daily doses ranging from 82.5–660 mg.</w:t>
      </w:r>
    </w:p>
    <w:p w14:paraId="09CEFDA1" w14:textId="77777777" w:rsidR="00196BD4" w:rsidRPr="00916586" w:rsidRDefault="00196BD4" w:rsidP="00196BD4">
      <w:pPr>
        <w:pStyle w:val="3-BodyText"/>
        <w:rPr>
          <w:snapToGrid/>
        </w:rPr>
      </w:pPr>
      <w:r w:rsidRPr="00916586">
        <w:rPr>
          <w:snapToGrid/>
        </w:rPr>
        <w:t xml:space="preserve">Pregabalin </w:t>
      </w:r>
      <w:r w:rsidR="00BD65C1" w:rsidRPr="00916586">
        <w:rPr>
          <w:snapToGrid/>
        </w:rPr>
        <w:t>C</w:t>
      </w:r>
      <w:r w:rsidRPr="00916586">
        <w:rPr>
          <w:snapToGrid/>
        </w:rPr>
        <w:t>R tablets administered once daily (82.5 mg to 660 mg), following an evening meal, have equivalent AUC and lower Cmax relative to a comparative dose of pregabalin IR capsules administered without food twice daily or three times daily (75 mg/d</w:t>
      </w:r>
      <w:r w:rsidR="00542240" w:rsidRPr="00916586">
        <w:rPr>
          <w:snapToGrid/>
        </w:rPr>
        <w:t>ay</w:t>
      </w:r>
      <w:r w:rsidRPr="00916586">
        <w:rPr>
          <w:snapToGrid/>
        </w:rPr>
        <w:t xml:space="preserve"> to 600 mg/d</w:t>
      </w:r>
      <w:r w:rsidR="00542240" w:rsidRPr="00916586">
        <w:rPr>
          <w:snapToGrid/>
        </w:rPr>
        <w:t>ay</w:t>
      </w:r>
      <w:r w:rsidRPr="00916586">
        <w:rPr>
          <w:snapToGrid/>
        </w:rPr>
        <w:t>)</w:t>
      </w:r>
      <w:r w:rsidR="007778D7" w:rsidRPr="00916586">
        <w:rPr>
          <w:snapToGrid/>
        </w:rPr>
        <w:t>.</w:t>
      </w:r>
    </w:p>
    <w:p w14:paraId="64E4B0AD" w14:textId="77777777" w:rsidR="00BD65C1" w:rsidRPr="00916586" w:rsidRDefault="00BD65C1" w:rsidP="00BD65C1">
      <w:pPr>
        <w:pStyle w:val="3-BodyText"/>
        <w:rPr>
          <w:snapToGrid/>
        </w:rPr>
      </w:pPr>
      <w:r w:rsidRPr="00916586">
        <w:rPr>
          <w:snapToGrid/>
        </w:rPr>
        <w:t xml:space="preserve">Across the studies, the relative bioavailability of </w:t>
      </w:r>
      <w:r w:rsidRPr="00916586">
        <w:t>the pregabalin CR tablets was approximately 93% to 97% of pregabalin IR capsules when given once daily after a 600-750 calorie medium-fat evening meal.</w:t>
      </w:r>
    </w:p>
    <w:p w14:paraId="345AB69D" w14:textId="77777777" w:rsidR="007778D7" w:rsidRPr="00916586" w:rsidRDefault="007778D7" w:rsidP="007778D7">
      <w:pPr>
        <w:pStyle w:val="3-BodyText"/>
        <w:rPr>
          <w:snapToGrid/>
        </w:rPr>
      </w:pPr>
      <w:r w:rsidRPr="00916586">
        <w:rPr>
          <w:snapToGrid/>
        </w:rPr>
        <w:t xml:space="preserve">The pregabalin CR doses utilised in the pregabalin CR randomised placebo-controlled study </w:t>
      </w:r>
      <w:r w:rsidR="00542240" w:rsidRPr="00916586">
        <w:rPr>
          <w:snapToGrid/>
        </w:rPr>
        <w:t xml:space="preserve">(Study 1224) </w:t>
      </w:r>
      <w:r w:rsidRPr="00916586">
        <w:rPr>
          <w:snapToGrid/>
        </w:rPr>
        <w:t>were designed to correspond to pregabalin IR doses used in the treatment of neuropathic pain, based upon the results of the Phase 1 studies, with adjustment of treatment doses for CLcr, and flexible dosing during the single blinded (SB) phase to allow tailored dose optimization.</w:t>
      </w:r>
    </w:p>
    <w:p w14:paraId="171C6FBE" w14:textId="77777777" w:rsidR="00542240" w:rsidRPr="00916586" w:rsidRDefault="00542240" w:rsidP="00542240">
      <w:pPr>
        <w:pStyle w:val="3-BodyText"/>
        <w:rPr>
          <w:snapToGrid/>
        </w:rPr>
      </w:pPr>
      <w:r w:rsidRPr="00916586">
        <w:rPr>
          <w:snapToGrid/>
        </w:rPr>
        <w:t xml:space="preserve">In Study 1224, the time to loss of therapeutic response (LTR) was statistically significantly longer with pregabalin CR compared to placebo, with fewer pregabalin CR treated subjects (13.9%) experiencing LTR during the </w:t>
      </w:r>
      <w:r w:rsidR="00EA5EBD" w:rsidRPr="00916586">
        <w:rPr>
          <w:snapToGrid/>
        </w:rPr>
        <w:t>double blinded (</w:t>
      </w:r>
      <w:r w:rsidRPr="00916586">
        <w:rPr>
          <w:snapToGrid/>
        </w:rPr>
        <w:t>DB</w:t>
      </w:r>
      <w:r w:rsidR="00EA5EBD" w:rsidRPr="00916586">
        <w:rPr>
          <w:snapToGrid/>
        </w:rPr>
        <w:t>)</w:t>
      </w:r>
      <w:r w:rsidRPr="00916586">
        <w:rPr>
          <w:snapToGrid/>
        </w:rPr>
        <w:t xml:space="preserve"> phase compared to placebo treated subjects (30.7%).</w:t>
      </w:r>
    </w:p>
    <w:p w14:paraId="38F7832C" w14:textId="77777777" w:rsidR="002C2775" w:rsidRPr="00916586" w:rsidRDefault="00196BD4" w:rsidP="00196BD4">
      <w:pPr>
        <w:pStyle w:val="3-BodyText"/>
      </w:pPr>
      <w:r w:rsidRPr="00916586">
        <w:rPr>
          <w:snapToGrid/>
        </w:rPr>
        <w:t>The evaluator agreed that with the established bioequivalence</w:t>
      </w:r>
      <w:r w:rsidR="0096093B" w:rsidRPr="00916586">
        <w:rPr>
          <w:snapToGrid/>
        </w:rPr>
        <w:t>,</w:t>
      </w:r>
      <w:r w:rsidRPr="00916586">
        <w:rPr>
          <w:snapToGrid/>
        </w:rPr>
        <w:t xml:space="preserve"> based on the total daily exposure between pregabalin </w:t>
      </w:r>
      <w:r w:rsidR="00BD65C1" w:rsidRPr="00916586">
        <w:rPr>
          <w:snapToGrid/>
        </w:rPr>
        <w:t xml:space="preserve">CR </w:t>
      </w:r>
      <w:r w:rsidRPr="00916586">
        <w:rPr>
          <w:snapToGrid/>
        </w:rPr>
        <w:t xml:space="preserve">tablets and pregabalin IR capsules in the Phase 1 studies, and the results of Study 1224 in adult subjects with PHN, the efficacy </w:t>
      </w:r>
      <w:r w:rsidR="003F5958" w:rsidRPr="00916586">
        <w:rPr>
          <w:snapToGrid/>
        </w:rPr>
        <w:t xml:space="preserve">of </w:t>
      </w:r>
      <w:r w:rsidRPr="00916586">
        <w:rPr>
          <w:snapToGrid/>
        </w:rPr>
        <w:t xml:space="preserve">pregabalin </w:t>
      </w:r>
      <w:r w:rsidR="00BD65C1" w:rsidRPr="00916586">
        <w:rPr>
          <w:snapToGrid/>
        </w:rPr>
        <w:t xml:space="preserve">CR </w:t>
      </w:r>
      <w:r w:rsidRPr="00916586">
        <w:rPr>
          <w:snapToGrid/>
        </w:rPr>
        <w:t>tablets was considered to have been demonstrated in the proposed indication, neuropathic pain</w:t>
      </w:r>
      <w:r w:rsidR="00542240" w:rsidRPr="00916586">
        <w:rPr>
          <w:snapToGrid/>
        </w:rPr>
        <w:t xml:space="preserve">. </w:t>
      </w:r>
      <w:r w:rsidRPr="00916586">
        <w:rPr>
          <w:snapToGrid/>
        </w:rPr>
        <w:t xml:space="preserve">The change in formulation/pharmacokinetic profile did not affect the efficacy relative to that observed for the pregabalin IR formulation. </w:t>
      </w:r>
    </w:p>
    <w:p w14:paraId="05436D05" w14:textId="371BFC25" w:rsidR="00934988" w:rsidRPr="00AF067B" w:rsidRDefault="00EB1B6C" w:rsidP="00AF067B">
      <w:pPr>
        <w:pStyle w:val="3-BodyText"/>
        <w:rPr>
          <w:rStyle w:val="CommentReference"/>
          <w:rFonts w:asciiTheme="minorHAnsi" w:hAnsiTheme="minorHAnsi"/>
          <w:b w:val="0"/>
          <w:sz w:val="24"/>
          <w:szCs w:val="24"/>
        </w:rPr>
      </w:pPr>
      <w:r w:rsidRPr="00916586">
        <w:t xml:space="preserve">Worthy of note is that the efficacy of pregabalin CR, versus placebo, in the treatment of neuropathic pain has not been assessed for treatment periods of longer than 19 weeks. The risks and benefits of treatment should be assessed before extending therapy for longer than 19 weeks. This differs for pregabalin IR (Section 4.2 of the approved PI) which has not been assessed for treatment periods longer than 12 </w:t>
      </w:r>
      <w:r w:rsidRPr="00916586">
        <w:lastRenderedPageBreak/>
        <w:t>weeks. The risks and benefits of pregabalin IR for neuropathic pain should be assessed before extending therapy for longer than 12 weeks.</w:t>
      </w:r>
    </w:p>
    <w:p w14:paraId="06BA130A" w14:textId="77777777" w:rsidR="00B60939" w:rsidRPr="00916586" w:rsidRDefault="00B60939" w:rsidP="00D86231">
      <w:pPr>
        <w:pStyle w:val="4-SubsectionHeading"/>
      </w:pPr>
      <w:bookmarkStart w:id="18" w:name="_Toc22897642"/>
      <w:bookmarkStart w:id="19" w:name="_Toc81837348"/>
      <w:r w:rsidRPr="00916586">
        <w:t>Comparative harms</w:t>
      </w:r>
      <w:bookmarkEnd w:id="18"/>
      <w:bookmarkEnd w:id="19"/>
    </w:p>
    <w:p w14:paraId="2B791F48" w14:textId="77777777" w:rsidR="00542240" w:rsidRPr="00916586" w:rsidRDefault="00542240" w:rsidP="00542240">
      <w:pPr>
        <w:pStyle w:val="3-BodyText"/>
      </w:pPr>
      <w:r w:rsidRPr="00916586">
        <w:t xml:space="preserve">In the submitted studies, pregabalin </w:t>
      </w:r>
      <w:r w:rsidR="001956F2" w:rsidRPr="00916586">
        <w:t>C</w:t>
      </w:r>
      <w:r w:rsidRPr="00916586">
        <w:t>R tablets with doses ranging from 82.5</w:t>
      </w:r>
      <w:r w:rsidR="003F5958" w:rsidRPr="00916586">
        <w:t xml:space="preserve"> mg</w:t>
      </w:r>
      <w:r w:rsidRPr="00916586">
        <w:t xml:space="preserve"> to 660 mg administered once daily after an evening meal were shown to be generally safe and well tolerated, with no evidence of a dose-dependent pattern of events.</w:t>
      </w:r>
    </w:p>
    <w:p w14:paraId="60B1CCEB" w14:textId="77777777" w:rsidR="00542240" w:rsidRPr="00916586" w:rsidRDefault="00542240" w:rsidP="001A3DDC">
      <w:pPr>
        <w:pStyle w:val="3-BodyText"/>
      </w:pPr>
      <w:r w:rsidRPr="00916586">
        <w:t xml:space="preserve">Reported cases of events of interest (dizziness, somnolence, oedema, weight gain, gastrointestinal disorders, and euphoric mood) in the submitted Phase 3 studies of pregabalin </w:t>
      </w:r>
      <w:r w:rsidR="001956F2" w:rsidRPr="00916586">
        <w:t>C</w:t>
      </w:r>
      <w:r w:rsidRPr="00916586">
        <w:t>R were consistent with the known effects of pregabalin IR</w:t>
      </w:r>
      <w:r w:rsidR="001A3DDC" w:rsidRPr="00916586">
        <w:t xml:space="preserve">. There were no clinically significant differences between pregabalin </w:t>
      </w:r>
      <w:r w:rsidR="001956F2" w:rsidRPr="00916586">
        <w:t>C</w:t>
      </w:r>
      <w:r w:rsidR="001A3DDC" w:rsidRPr="00916586">
        <w:t>R and placebo in terms of laboratory tests, vital signs and physical examination findings</w:t>
      </w:r>
      <w:r w:rsidR="001A3DDC" w:rsidRPr="00916586">
        <w:rPr>
          <w:iCs/>
        </w:rPr>
        <w:t>.</w:t>
      </w:r>
    </w:p>
    <w:p w14:paraId="200F4351" w14:textId="77777777" w:rsidR="00A002BB" w:rsidRPr="00916586" w:rsidRDefault="00542240" w:rsidP="00542240">
      <w:pPr>
        <w:pStyle w:val="3-BodyText"/>
      </w:pPr>
      <w:r w:rsidRPr="00916586">
        <w:t xml:space="preserve">The overall safety profile of pregabalin </w:t>
      </w:r>
      <w:r w:rsidR="001956F2" w:rsidRPr="00916586">
        <w:t>C</w:t>
      </w:r>
      <w:r w:rsidRPr="00916586">
        <w:t xml:space="preserve">R tablets appeared to be consistent with that seen with pregabalin IR capsules. Most </w:t>
      </w:r>
      <w:r w:rsidR="00EB3996" w:rsidRPr="00916586">
        <w:t>adverse events (</w:t>
      </w:r>
      <w:r w:rsidRPr="00916586">
        <w:t>AEs</w:t>
      </w:r>
      <w:r w:rsidR="00EB3996" w:rsidRPr="00916586">
        <w:t>)</w:t>
      </w:r>
      <w:r w:rsidRPr="00916586">
        <w:t xml:space="preserve"> were mild to moderate in severity</w:t>
      </w:r>
      <w:r w:rsidR="00E0305C">
        <w:t>.</w:t>
      </w:r>
      <w:r w:rsidR="00AD6C9A" w:rsidRPr="00916586">
        <w:t xml:space="preserve"> </w:t>
      </w:r>
    </w:p>
    <w:p w14:paraId="128DF005" w14:textId="6C69CA35" w:rsidR="00FC1884" w:rsidRPr="00916586" w:rsidRDefault="00A002BB" w:rsidP="001A3DDC">
      <w:pPr>
        <w:pStyle w:val="3-BodyText"/>
      </w:pPr>
      <w:r w:rsidRPr="00916586">
        <w:t xml:space="preserve">The submission did not provide information on potential safety concerns. </w:t>
      </w:r>
      <w:r w:rsidR="00C1288B" w:rsidRPr="00916586">
        <w:t xml:space="preserve">Post-marketing experience in the US indicated that prescribing errors </w:t>
      </w:r>
      <w:r w:rsidR="00EA5EBD" w:rsidRPr="00916586">
        <w:t xml:space="preserve">occurred in 11.2% of cases, </w:t>
      </w:r>
      <w:r w:rsidR="00C1288B" w:rsidRPr="00916586">
        <w:t>which mostly</w:t>
      </w:r>
      <w:r w:rsidR="002043FB" w:rsidRPr="00916586">
        <w:t xml:space="preserve"> involved prescribing IR doses instead of </w:t>
      </w:r>
      <w:r w:rsidR="00C1288B" w:rsidRPr="00916586">
        <w:t xml:space="preserve">extended release </w:t>
      </w:r>
      <w:r w:rsidR="002043FB" w:rsidRPr="00916586">
        <w:t xml:space="preserve">doses (such as 75 mg instead of 82.5 mg or 300 mg instead of 330 mg). </w:t>
      </w:r>
      <w:r w:rsidR="0049241F" w:rsidRPr="00916586">
        <w:t>Given that these formulations are dosed differently (pregabalin IR twice daily and pregabalin CR once daily), there are safety and pain control implications for patients should these prescribing errors occur.</w:t>
      </w:r>
      <w:r w:rsidR="008F4ABC" w:rsidRPr="00916586">
        <w:t xml:space="preserve"> </w:t>
      </w:r>
      <w:r w:rsidR="00A10B77" w:rsidRPr="00916586">
        <w:rPr>
          <w:iCs/>
        </w:rPr>
        <w:t>The PSCR stated</w:t>
      </w:r>
      <w:r w:rsidR="008F4ABC" w:rsidRPr="00916586">
        <w:rPr>
          <w:iCs/>
        </w:rPr>
        <w:t xml:space="preserve"> </w:t>
      </w:r>
      <w:r w:rsidR="001F01FA" w:rsidRPr="00916586">
        <w:rPr>
          <w:iCs/>
        </w:rPr>
        <w:t xml:space="preserve">that </w:t>
      </w:r>
      <w:r w:rsidR="00A73FFA" w:rsidRPr="00916586">
        <w:rPr>
          <w:iCs/>
        </w:rPr>
        <w:t xml:space="preserve">risk of prescribing error was not raised </w:t>
      </w:r>
      <w:r w:rsidR="008F4ABC" w:rsidRPr="00916586">
        <w:rPr>
          <w:iCs/>
        </w:rPr>
        <w:t>during TGA evaluation.</w:t>
      </w:r>
      <w:r w:rsidR="008F4ABC" w:rsidRPr="00916586">
        <w:t xml:space="preserve"> </w:t>
      </w:r>
    </w:p>
    <w:p w14:paraId="6A3DB978" w14:textId="77777777" w:rsidR="00B60939" w:rsidRPr="00916586" w:rsidRDefault="00B60939" w:rsidP="00E9094A">
      <w:pPr>
        <w:pStyle w:val="4-SubsectionHeading"/>
      </w:pPr>
      <w:bookmarkStart w:id="20" w:name="_Toc22897644"/>
      <w:bookmarkStart w:id="21" w:name="_Toc81837350"/>
      <w:r w:rsidRPr="00916586">
        <w:t>Clinical claim</w:t>
      </w:r>
      <w:bookmarkEnd w:id="20"/>
      <w:bookmarkEnd w:id="21"/>
    </w:p>
    <w:p w14:paraId="5D011FA3" w14:textId="77777777" w:rsidR="001A3DDC" w:rsidRPr="00916586" w:rsidRDefault="00196BD4" w:rsidP="001A3DDC">
      <w:pPr>
        <w:pStyle w:val="3-BodyText"/>
        <w:rPr>
          <w:rFonts w:eastAsia="Calibri"/>
        </w:rPr>
      </w:pPr>
      <w:r w:rsidRPr="00916586">
        <w:rPr>
          <w:snapToGrid/>
        </w:rPr>
        <w:t xml:space="preserve">No </w:t>
      </w:r>
      <w:r w:rsidR="009C6435" w:rsidRPr="00916586">
        <w:rPr>
          <w:snapToGrid/>
        </w:rPr>
        <w:t xml:space="preserve">explicit </w:t>
      </w:r>
      <w:r w:rsidRPr="00916586">
        <w:rPr>
          <w:snapToGrid/>
        </w:rPr>
        <w:t>clinical claim was presented in the submission. However, the submission stated that a cost minimisation approach was taken to establish the pricing of pregabalin CR tablets relative to the currently listed pregabalin IR capsules.</w:t>
      </w:r>
      <w:r w:rsidR="001A3DDC" w:rsidRPr="00916586">
        <w:rPr>
          <w:snapToGrid/>
        </w:rPr>
        <w:t xml:space="preserve"> This is consistent with a </w:t>
      </w:r>
      <w:r w:rsidR="00E953EC" w:rsidRPr="00916586">
        <w:rPr>
          <w:snapToGrid/>
        </w:rPr>
        <w:t xml:space="preserve">claim of </w:t>
      </w:r>
      <w:r w:rsidR="001A3DDC" w:rsidRPr="00916586">
        <w:rPr>
          <w:snapToGrid/>
        </w:rPr>
        <w:t>non-inferiority.</w:t>
      </w:r>
    </w:p>
    <w:p w14:paraId="7C01C015" w14:textId="19EC1740" w:rsidR="005F7588" w:rsidRPr="00AF067B" w:rsidRDefault="00460595" w:rsidP="00AF067B">
      <w:pPr>
        <w:widowControl w:val="0"/>
        <w:numPr>
          <w:ilvl w:val="1"/>
          <w:numId w:val="1"/>
        </w:numPr>
        <w:spacing w:after="120"/>
        <w:rPr>
          <w:rFonts w:asciiTheme="minorHAnsi" w:hAnsiTheme="minorHAnsi"/>
          <w:snapToGrid w:val="0"/>
          <w:szCs w:val="20"/>
        </w:rPr>
      </w:pPr>
      <w:bookmarkStart w:id="22" w:name="_Hlk76376200"/>
      <w:r w:rsidRPr="00916586">
        <w:rPr>
          <w:rFonts w:asciiTheme="minorHAnsi" w:hAnsiTheme="minorHAnsi"/>
          <w:iCs/>
          <w:snapToGrid w:val="0"/>
        </w:rPr>
        <w:t>The</w:t>
      </w:r>
      <w:r w:rsidRPr="00916586">
        <w:rPr>
          <w:rFonts w:asciiTheme="minorHAnsi" w:hAnsiTheme="minorHAnsi"/>
          <w:snapToGrid w:val="0"/>
          <w:szCs w:val="20"/>
        </w:rPr>
        <w:t xml:space="preserve"> PBAC considered</w:t>
      </w:r>
      <w:r w:rsidR="00CC741E" w:rsidRPr="00916586">
        <w:rPr>
          <w:rFonts w:asciiTheme="minorHAnsi" w:hAnsiTheme="minorHAnsi"/>
          <w:snapToGrid w:val="0"/>
          <w:szCs w:val="20"/>
        </w:rPr>
        <w:t xml:space="preserve"> that the claim of non-inferior</w:t>
      </w:r>
      <w:r w:rsidRPr="00916586">
        <w:rPr>
          <w:rFonts w:asciiTheme="minorHAnsi" w:hAnsiTheme="minorHAnsi"/>
          <w:snapToGrid w:val="0"/>
          <w:szCs w:val="20"/>
        </w:rPr>
        <w:t xml:space="preserve"> comparative effectiveness </w:t>
      </w:r>
      <w:r w:rsidR="00CC741E" w:rsidRPr="00916586">
        <w:rPr>
          <w:rFonts w:asciiTheme="minorHAnsi" w:hAnsiTheme="minorHAnsi"/>
          <w:snapToGrid w:val="0"/>
          <w:szCs w:val="20"/>
        </w:rPr>
        <w:t xml:space="preserve">and safety </w:t>
      </w:r>
      <w:r w:rsidRPr="00916586">
        <w:rPr>
          <w:rFonts w:asciiTheme="minorHAnsi" w:hAnsiTheme="minorHAnsi"/>
          <w:snapToGrid w:val="0"/>
          <w:szCs w:val="20"/>
        </w:rPr>
        <w:t>wa</w:t>
      </w:r>
      <w:r w:rsidR="00CC741E" w:rsidRPr="00916586">
        <w:rPr>
          <w:rFonts w:asciiTheme="minorHAnsi" w:hAnsiTheme="minorHAnsi"/>
          <w:snapToGrid w:val="0"/>
          <w:szCs w:val="20"/>
        </w:rPr>
        <w:t xml:space="preserve">s reasonably </w:t>
      </w:r>
      <w:r w:rsidRPr="00916586">
        <w:rPr>
          <w:rFonts w:asciiTheme="minorHAnsi" w:hAnsiTheme="minorHAnsi"/>
          <w:snapToGrid w:val="0"/>
          <w:szCs w:val="20"/>
        </w:rPr>
        <w:t>supported by the data.</w:t>
      </w:r>
      <w:r w:rsidR="003F364E" w:rsidRPr="00916586">
        <w:rPr>
          <w:rFonts w:asciiTheme="minorHAnsi" w:hAnsiTheme="minorHAnsi"/>
          <w:snapToGrid w:val="0"/>
          <w:szCs w:val="20"/>
        </w:rPr>
        <w:t xml:space="preserve"> </w:t>
      </w:r>
      <w:bookmarkEnd w:id="22"/>
    </w:p>
    <w:p w14:paraId="6A32D126" w14:textId="77777777" w:rsidR="00B60939" w:rsidRPr="00916586" w:rsidRDefault="00B60939" w:rsidP="00E9094A">
      <w:pPr>
        <w:pStyle w:val="4-SubsectionHeading"/>
      </w:pPr>
      <w:bookmarkStart w:id="23" w:name="_Toc22897645"/>
      <w:bookmarkStart w:id="24" w:name="_Toc81837351"/>
      <w:r w:rsidRPr="00916586">
        <w:t>Economic analysis</w:t>
      </w:r>
      <w:bookmarkEnd w:id="23"/>
      <w:bookmarkEnd w:id="24"/>
      <w:r w:rsidR="00491B3A" w:rsidRPr="00916586">
        <w:t xml:space="preserve"> </w:t>
      </w:r>
    </w:p>
    <w:p w14:paraId="3A8E91D2" w14:textId="77777777" w:rsidR="00E0313B" w:rsidRPr="00916586" w:rsidRDefault="00E0313B" w:rsidP="00E0313B">
      <w:pPr>
        <w:pStyle w:val="3-BodyText"/>
      </w:pPr>
      <w:r w:rsidRPr="00916586">
        <w:t>No formal economic analysis was presented in the submission</w:t>
      </w:r>
      <w:r w:rsidR="006359A5" w:rsidRPr="00916586">
        <w:t>;</w:t>
      </w:r>
      <w:r w:rsidRPr="00916586">
        <w:t xml:space="preserve"> rather</w:t>
      </w:r>
      <w:r w:rsidR="006359A5" w:rsidRPr="00916586">
        <w:t>,</w:t>
      </w:r>
      <w:r w:rsidRPr="00916586">
        <w:t xml:space="preserve"> </w:t>
      </w:r>
      <w:r w:rsidR="00246F60" w:rsidRPr="00916586">
        <w:t>the PI daily dose relativity (1.1</w:t>
      </w:r>
      <w:r w:rsidR="00363C17" w:rsidRPr="00916586">
        <w:t> </w:t>
      </w:r>
      <w:r w:rsidR="00246F60" w:rsidRPr="00916586">
        <w:t>:</w:t>
      </w:r>
      <w:r w:rsidR="00CE6178" w:rsidRPr="00916586">
        <w:t> </w:t>
      </w:r>
      <w:r w:rsidR="00246F60" w:rsidRPr="00916586">
        <w:t>1 pregabalin CR</w:t>
      </w:r>
      <w:r w:rsidR="00CE6178" w:rsidRPr="00916586">
        <w:t> </w:t>
      </w:r>
      <w:r w:rsidR="00246F60" w:rsidRPr="00916586">
        <w:t>:</w:t>
      </w:r>
      <w:r w:rsidR="00CE6178" w:rsidRPr="00916586">
        <w:t> </w:t>
      </w:r>
      <w:r w:rsidR="00246F60" w:rsidRPr="00916586">
        <w:t xml:space="preserve">pregabalin IR) was </w:t>
      </w:r>
      <w:r w:rsidR="00207439" w:rsidRPr="00916586">
        <w:t xml:space="preserve">implicitly </w:t>
      </w:r>
      <w:r w:rsidR="00246F60" w:rsidRPr="00916586">
        <w:t xml:space="preserve">assumed to represent equi-effective doses, and the proposed </w:t>
      </w:r>
      <w:r w:rsidRPr="00916586">
        <w:t>pricing of pregabalin CR 82.5 mg tablets, 165 mg tablets and 330 mg tablets was directly based on the price of pregabalin IR 75</w:t>
      </w:r>
      <w:r w:rsidR="00745EE6" w:rsidRPr="00916586">
        <w:t> </w:t>
      </w:r>
      <w:r w:rsidRPr="00916586">
        <w:t>mg capsules, 150</w:t>
      </w:r>
      <w:r w:rsidR="00745EE6" w:rsidRPr="00916586">
        <w:t> </w:t>
      </w:r>
      <w:r w:rsidRPr="00916586">
        <w:t>mg capsules and 300</w:t>
      </w:r>
      <w:r w:rsidR="00745EE6" w:rsidRPr="00916586">
        <w:t> </w:t>
      </w:r>
      <w:r w:rsidRPr="00916586">
        <w:t xml:space="preserve">mg capsules, respectively (converting current 28-day supply to proposed 30-day supply). </w:t>
      </w:r>
    </w:p>
    <w:p w14:paraId="774912AF" w14:textId="7ECCCB76" w:rsidR="00C12F8D" w:rsidRPr="00AF067B" w:rsidRDefault="00246F60" w:rsidP="00C12F8D">
      <w:pPr>
        <w:pStyle w:val="3-BodyText"/>
      </w:pPr>
      <w:r w:rsidRPr="00916586">
        <w:t xml:space="preserve">The </w:t>
      </w:r>
      <w:r w:rsidR="0080705F" w:rsidRPr="00916586">
        <w:t>submission</w:t>
      </w:r>
      <w:r w:rsidRPr="00916586">
        <w:t xml:space="preserve"> matched the daily price of the CR formulation to the 1.1:</w:t>
      </w:r>
      <w:r w:rsidR="00CE6178" w:rsidRPr="00916586">
        <w:t> </w:t>
      </w:r>
      <w:r w:rsidRPr="00916586">
        <w:t xml:space="preserve">1 equivalent IR capsule strength, not the IR total daily dose (TDD). Given the IR is dosed twice daily, </w:t>
      </w:r>
      <w:r w:rsidRPr="00916586">
        <w:lastRenderedPageBreak/>
        <w:t xml:space="preserve">the </w:t>
      </w:r>
      <w:r w:rsidR="0080705F" w:rsidRPr="00916586">
        <w:t>original</w:t>
      </w:r>
      <w:r w:rsidRPr="00916586">
        <w:t xml:space="preserve"> approach effectively applied a TDD relativity of 0.55:1, which does not represent equi-effective substitution.</w:t>
      </w:r>
      <w:r w:rsidR="0080705F" w:rsidRPr="00916586">
        <w:t xml:space="preserve"> </w:t>
      </w:r>
      <w:r w:rsidR="008502A3" w:rsidRPr="00916586">
        <w:rPr>
          <w:iCs/>
        </w:rPr>
        <w:t>The PSCR</w:t>
      </w:r>
      <w:r w:rsidR="00A10B77" w:rsidRPr="00916586">
        <w:rPr>
          <w:iCs/>
        </w:rPr>
        <w:t xml:space="preserve"> </w:t>
      </w:r>
      <w:r w:rsidR="008502A3" w:rsidRPr="00916586">
        <w:rPr>
          <w:iCs/>
        </w:rPr>
        <w:t>acknowledged the incorrect matching of the daily price</w:t>
      </w:r>
      <w:r w:rsidR="005619EB" w:rsidRPr="00916586">
        <w:rPr>
          <w:iCs/>
        </w:rPr>
        <w:t xml:space="preserve"> of CR formulation to the IR strength</w:t>
      </w:r>
      <w:r w:rsidR="00B101BE" w:rsidRPr="00916586">
        <w:rPr>
          <w:iCs/>
        </w:rPr>
        <w:t xml:space="preserve"> and </w:t>
      </w:r>
      <w:r w:rsidR="003F5728" w:rsidRPr="00916586">
        <w:rPr>
          <w:iCs/>
        </w:rPr>
        <w:t>agreed</w:t>
      </w:r>
      <w:r w:rsidR="00B101BE" w:rsidRPr="00916586">
        <w:rPr>
          <w:iCs/>
        </w:rPr>
        <w:t xml:space="preserve"> that </w:t>
      </w:r>
      <w:r w:rsidR="005619EB" w:rsidRPr="00916586">
        <w:rPr>
          <w:iCs/>
        </w:rPr>
        <w:t>CR formulation should match the IR TDD</w:t>
      </w:r>
      <w:r w:rsidR="008502A3" w:rsidRPr="00916586">
        <w:rPr>
          <w:iCs/>
        </w:rPr>
        <w:t>.</w:t>
      </w:r>
      <w:r w:rsidR="005619EB" w:rsidRPr="00916586">
        <w:rPr>
          <w:iCs/>
        </w:rPr>
        <w:t xml:space="preserve"> The sponsor</w:t>
      </w:r>
      <w:r w:rsidR="00AA6FB6" w:rsidRPr="00916586">
        <w:rPr>
          <w:iCs/>
        </w:rPr>
        <w:t xml:space="preserve"> </w:t>
      </w:r>
      <w:r w:rsidR="005619EB" w:rsidRPr="00916586">
        <w:rPr>
          <w:iCs/>
        </w:rPr>
        <w:t xml:space="preserve">proposed lower AEMP </w:t>
      </w:r>
      <w:r w:rsidR="00B101BE" w:rsidRPr="00916586">
        <w:rPr>
          <w:iCs/>
        </w:rPr>
        <w:t>as shown in</w:t>
      </w:r>
      <w:r w:rsidR="00AA6FB6" w:rsidRPr="00916586">
        <w:rPr>
          <w:iCs/>
        </w:rPr>
        <w:t xml:space="preserve"> the</w:t>
      </w:r>
      <w:r w:rsidR="00B101BE" w:rsidRPr="00916586">
        <w:rPr>
          <w:iCs/>
        </w:rPr>
        <w:t xml:space="preserve"> table below.</w:t>
      </w:r>
      <w:r w:rsidR="001E52AF" w:rsidRPr="00916586">
        <w:rPr>
          <w:i/>
        </w:rPr>
        <w:t xml:space="preserve"> </w:t>
      </w:r>
    </w:p>
    <w:p w14:paraId="495EC2F4" w14:textId="77777777" w:rsidR="00410A36" w:rsidRPr="00916586" w:rsidRDefault="00410A36" w:rsidP="00410A36">
      <w:pPr>
        <w:pStyle w:val="Caption"/>
        <w:keepNext/>
        <w:spacing w:after="0"/>
        <w:rPr>
          <w:rFonts w:ascii="Arial Narrow" w:hAnsi="Arial Narrow"/>
          <w:color w:val="auto"/>
          <w:sz w:val="20"/>
          <w:szCs w:val="20"/>
        </w:rPr>
      </w:pPr>
      <w:r w:rsidRPr="00916586">
        <w:rPr>
          <w:rFonts w:ascii="Arial Narrow" w:hAnsi="Arial Narrow"/>
          <w:color w:val="auto"/>
          <w:sz w:val="20"/>
          <w:szCs w:val="20"/>
        </w:rPr>
        <w:t xml:space="preserve">Table </w:t>
      </w:r>
      <w:r w:rsidR="007A7FAD" w:rsidRPr="00916586">
        <w:rPr>
          <w:rFonts w:ascii="Arial Narrow" w:hAnsi="Arial Narrow"/>
          <w:noProof/>
          <w:color w:val="auto"/>
          <w:sz w:val="20"/>
          <w:szCs w:val="20"/>
        </w:rPr>
        <w:t>5</w:t>
      </w:r>
      <w:r w:rsidRPr="00916586">
        <w:rPr>
          <w:rFonts w:ascii="Arial Narrow" w:hAnsi="Arial Narrow"/>
          <w:color w:val="auto"/>
          <w:sz w:val="20"/>
          <w:szCs w:val="20"/>
        </w:rPr>
        <w:t>: PSCR revised pricing proposal for pregab</w:t>
      </w:r>
      <w:r w:rsidR="00916586">
        <w:rPr>
          <w:rFonts w:ascii="Arial Narrow" w:hAnsi="Arial Narrow"/>
          <w:color w:val="auto"/>
          <w:sz w:val="20"/>
          <w:szCs w:val="20"/>
        </w:rPr>
        <w:t>a</w:t>
      </w:r>
      <w:r w:rsidRPr="00916586">
        <w:rPr>
          <w:rFonts w:ascii="Arial Narrow" w:hAnsi="Arial Narrow"/>
          <w:color w:val="auto"/>
          <w:sz w:val="20"/>
          <w:szCs w:val="20"/>
        </w:rPr>
        <w:t>lin CR packs</w:t>
      </w:r>
    </w:p>
    <w:tbl>
      <w:tblPr>
        <w:tblStyle w:val="TableGrid0"/>
        <w:tblW w:w="5000" w:type="pct"/>
        <w:tblInd w:w="0" w:type="dxa"/>
        <w:tblCellMar>
          <w:top w:w="37" w:type="dxa"/>
          <w:left w:w="101" w:type="dxa"/>
          <w:right w:w="108" w:type="dxa"/>
        </w:tblCellMar>
        <w:tblLook w:val="04A0" w:firstRow="1" w:lastRow="0" w:firstColumn="1" w:lastColumn="0" w:noHBand="0" w:noVBand="1"/>
        <w:tblCaption w:val="Table 5: PSCR revised pricing proposal for pregabalin CR packs"/>
      </w:tblPr>
      <w:tblGrid>
        <w:gridCol w:w="3899"/>
        <w:gridCol w:w="1762"/>
        <w:gridCol w:w="1261"/>
        <w:gridCol w:w="2096"/>
      </w:tblGrid>
      <w:tr w:rsidR="00C12F8D" w:rsidRPr="00916586" w14:paraId="5DBA7843" w14:textId="77777777" w:rsidTr="00F002A0">
        <w:trPr>
          <w:trHeight w:val="326"/>
          <w:tblHeader/>
        </w:trPr>
        <w:tc>
          <w:tcPr>
            <w:tcW w:w="2162" w:type="pct"/>
            <w:tcBorders>
              <w:top w:val="single" w:sz="4" w:space="0" w:color="000000"/>
              <w:left w:val="single" w:sz="4" w:space="0" w:color="000000"/>
              <w:bottom w:val="single" w:sz="4" w:space="0" w:color="000000"/>
              <w:right w:val="single" w:sz="3" w:space="0" w:color="000000"/>
            </w:tcBorders>
            <w:shd w:val="clear" w:color="auto" w:fill="auto"/>
          </w:tcPr>
          <w:p w14:paraId="5369DC63" w14:textId="77777777" w:rsidR="00C12F8D" w:rsidRPr="00916586" w:rsidRDefault="00C12F8D" w:rsidP="00510BC1">
            <w:pPr>
              <w:spacing w:line="259" w:lineRule="auto"/>
              <w:rPr>
                <w:rFonts w:ascii="Arial Narrow" w:hAnsi="Arial Narrow"/>
                <w:iCs/>
                <w:sz w:val="20"/>
                <w:szCs w:val="20"/>
              </w:rPr>
            </w:pPr>
            <w:r w:rsidRPr="00916586">
              <w:rPr>
                <w:rFonts w:ascii="Arial Narrow" w:eastAsia="Arial" w:hAnsi="Arial Narrow"/>
                <w:b/>
                <w:iCs/>
                <w:sz w:val="20"/>
                <w:szCs w:val="20"/>
              </w:rPr>
              <w:t xml:space="preserve">Medicine </w:t>
            </w:r>
          </w:p>
        </w:tc>
        <w:tc>
          <w:tcPr>
            <w:tcW w:w="977" w:type="pct"/>
            <w:tcBorders>
              <w:top w:val="single" w:sz="4" w:space="0" w:color="000000"/>
              <w:left w:val="single" w:sz="3" w:space="0" w:color="000000"/>
              <w:bottom w:val="single" w:sz="4" w:space="0" w:color="000000"/>
              <w:right w:val="single" w:sz="4" w:space="0" w:color="000000"/>
            </w:tcBorders>
            <w:shd w:val="clear" w:color="auto" w:fill="auto"/>
          </w:tcPr>
          <w:p w14:paraId="1F38A253" w14:textId="77777777" w:rsidR="00C12F8D" w:rsidRPr="00916586" w:rsidRDefault="00C12F8D" w:rsidP="00510BC1">
            <w:pPr>
              <w:spacing w:line="259" w:lineRule="auto"/>
              <w:ind w:left="9"/>
              <w:jc w:val="center"/>
              <w:rPr>
                <w:rFonts w:ascii="Arial Narrow" w:hAnsi="Arial Narrow"/>
                <w:iCs/>
                <w:sz w:val="20"/>
                <w:szCs w:val="20"/>
              </w:rPr>
            </w:pPr>
            <w:r w:rsidRPr="00916586">
              <w:rPr>
                <w:rFonts w:ascii="Arial Narrow" w:eastAsia="Arial" w:hAnsi="Arial Narrow"/>
                <w:b/>
                <w:iCs/>
                <w:sz w:val="20"/>
                <w:szCs w:val="20"/>
              </w:rPr>
              <w:t xml:space="preserve">Tablets per pack </w:t>
            </w:r>
          </w:p>
        </w:tc>
        <w:tc>
          <w:tcPr>
            <w:tcW w:w="699" w:type="pct"/>
            <w:tcBorders>
              <w:top w:val="single" w:sz="4" w:space="0" w:color="000000"/>
              <w:left w:val="single" w:sz="4" w:space="0" w:color="000000"/>
              <w:bottom w:val="single" w:sz="4" w:space="0" w:color="000000"/>
              <w:right w:val="single" w:sz="3" w:space="0" w:color="000000"/>
            </w:tcBorders>
            <w:shd w:val="clear" w:color="auto" w:fill="auto"/>
          </w:tcPr>
          <w:p w14:paraId="5AB81441" w14:textId="77777777" w:rsidR="00C12F8D" w:rsidRPr="00916586" w:rsidRDefault="00C12F8D" w:rsidP="00510BC1">
            <w:pPr>
              <w:spacing w:line="259" w:lineRule="auto"/>
              <w:ind w:left="5"/>
              <w:jc w:val="center"/>
              <w:rPr>
                <w:rFonts w:ascii="Arial Narrow" w:hAnsi="Arial Narrow"/>
                <w:iCs/>
                <w:sz w:val="20"/>
                <w:szCs w:val="20"/>
              </w:rPr>
            </w:pPr>
            <w:r w:rsidRPr="00916586">
              <w:rPr>
                <w:rFonts w:ascii="Arial Narrow" w:eastAsia="Arial" w:hAnsi="Arial Narrow"/>
                <w:b/>
                <w:iCs/>
                <w:sz w:val="20"/>
                <w:szCs w:val="20"/>
              </w:rPr>
              <w:t xml:space="preserve">AEMP </w:t>
            </w:r>
            <w:r w:rsidRPr="00916586">
              <w:rPr>
                <w:rFonts w:ascii="Arial Narrow" w:eastAsia="Arial" w:hAnsi="Arial Narrow"/>
                <w:b/>
                <w:iCs/>
                <w:sz w:val="20"/>
                <w:szCs w:val="20"/>
                <w:vertAlign w:val="superscript"/>
              </w:rPr>
              <w:t>a</w:t>
            </w:r>
            <w:r w:rsidRPr="00916586">
              <w:rPr>
                <w:rFonts w:ascii="Arial Narrow" w:eastAsia="Arial" w:hAnsi="Arial Narrow"/>
                <w:b/>
                <w:iCs/>
                <w:sz w:val="20"/>
                <w:szCs w:val="20"/>
              </w:rPr>
              <w:t xml:space="preserve"> </w:t>
            </w:r>
          </w:p>
        </w:tc>
        <w:tc>
          <w:tcPr>
            <w:tcW w:w="1162" w:type="pct"/>
            <w:tcBorders>
              <w:top w:val="single" w:sz="4" w:space="0" w:color="000000"/>
              <w:left w:val="single" w:sz="3" w:space="0" w:color="000000"/>
              <w:bottom w:val="single" w:sz="4" w:space="0" w:color="000000"/>
              <w:right w:val="single" w:sz="3" w:space="0" w:color="000000"/>
            </w:tcBorders>
            <w:shd w:val="clear" w:color="auto" w:fill="auto"/>
          </w:tcPr>
          <w:p w14:paraId="62EDF41A" w14:textId="77777777" w:rsidR="00C12F8D" w:rsidRPr="00916586" w:rsidRDefault="00C12F8D" w:rsidP="00510BC1">
            <w:pPr>
              <w:spacing w:line="259" w:lineRule="auto"/>
              <w:ind w:left="7"/>
              <w:jc w:val="center"/>
              <w:rPr>
                <w:rFonts w:ascii="Arial Narrow" w:hAnsi="Arial Narrow"/>
                <w:iCs/>
                <w:sz w:val="20"/>
                <w:szCs w:val="20"/>
              </w:rPr>
            </w:pPr>
            <w:r w:rsidRPr="00916586">
              <w:rPr>
                <w:rFonts w:ascii="Arial Narrow" w:eastAsia="Arial" w:hAnsi="Arial Narrow"/>
                <w:b/>
                <w:iCs/>
                <w:sz w:val="20"/>
                <w:szCs w:val="20"/>
              </w:rPr>
              <w:t xml:space="preserve">Total tablets per script </w:t>
            </w:r>
          </w:p>
        </w:tc>
      </w:tr>
      <w:tr w:rsidR="00C12F8D" w:rsidRPr="00916586" w14:paraId="384AA964" w14:textId="77777777" w:rsidTr="00AB41A9">
        <w:trPr>
          <w:trHeight w:val="277"/>
        </w:trPr>
        <w:tc>
          <w:tcPr>
            <w:tcW w:w="2162" w:type="pct"/>
            <w:tcBorders>
              <w:top w:val="single" w:sz="4" w:space="0" w:color="000000"/>
              <w:left w:val="single" w:sz="4" w:space="0" w:color="000000"/>
              <w:bottom w:val="single" w:sz="4" w:space="0" w:color="000000"/>
              <w:right w:val="single" w:sz="3" w:space="0" w:color="000000"/>
            </w:tcBorders>
            <w:shd w:val="clear" w:color="auto" w:fill="auto"/>
          </w:tcPr>
          <w:p w14:paraId="55A494FB" w14:textId="77777777" w:rsidR="00C12F8D" w:rsidRPr="00916586" w:rsidRDefault="00C12F8D" w:rsidP="00510BC1">
            <w:pPr>
              <w:spacing w:line="259" w:lineRule="auto"/>
              <w:rPr>
                <w:rFonts w:ascii="Arial Narrow" w:hAnsi="Arial Narrow"/>
                <w:iCs/>
                <w:sz w:val="20"/>
                <w:szCs w:val="20"/>
              </w:rPr>
            </w:pPr>
            <w:r w:rsidRPr="00916586">
              <w:rPr>
                <w:rFonts w:ascii="Arial Narrow" w:eastAsia="Arial" w:hAnsi="Arial Narrow"/>
                <w:iCs/>
                <w:sz w:val="20"/>
                <w:szCs w:val="20"/>
              </w:rPr>
              <w:t>Pregabalin 82.5mg modified release tablet</w:t>
            </w:r>
            <w:r w:rsidRPr="00916586">
              <w:rPr>
                <w:rFonts w:ascii="Arial Narrow" w:hAnsi="Arial Narrow"/>
                <w:b/>
                <w:iCs/>
                <w:sz w:val="20"/>
                <w:szCs w:val="20"/>
              </w:rPr>
              <w:t xml:space="preserve"> </w:t>
            </w:r>
          </w:p>
        </w:tc>
        <w:tc>
          <w:tcPr>
            <w:tcW w:w="977" w:type="pct"/>
            <w:tcBorders>
              <w:top w:val="single" w:sz="4" w:space="0" w:color="000000"/>
              <w:left w:val="single" w:sz="3" w:space="0" w:color="000000"/>
              <w:bottom w:val="single" w:sz="4" w:space="0" w:color="000000"/>
              <w:right w:val="single" w:sz="4" w:space="0" w:color="000000"/>
            </w:tcBorders>
            <w:shd w:val="clear" w:color="auto" w:fill="auto"/>
          </w:tcPr>
          <w:p w14:paraId="25F43794" w14:textId="77777777" w:rsidR="00C12F8D" w:rsidRPr="00916586" w:rsidRDefault="00C12F8D" w:rsidP="00510BC1">
            <w:pPr>
              <w:spacing w:line="259" w:lineRule="auto"/>
              <w:ind w:left="8"/>
              <w:jc w:val="center"/>
              <w:rPr>
                <w:rFonts w:ascii="Arial Narrow" w:hAnsi="Arial Narrow"/>
                <w:iCs/>
                <w:sz w:val="20"/>
                <w:szCs w:val="20"/>
              </w:rPr>
            </w:pPr>
            <w:r w:rsidRPr="00916586">
              <w:rPr>
                <w:rFonts w:ascii="Arial Narrow" w:eastAsia="Arial" w:hAnsi="Arial Narrow"/>
                <w:iCs/>
                <w:sz w:val="20"/>
                <w:szCs w:val="20"/>
              </w:rPr>
              <w:t xml:space="preserve">30 </w:t>
            </w:r>
          </w:p>
        </w:tc>
        <w:tc>
          <w:tcPr>
            <w:tcW w:w="699" w:type="pct"/>
            <w:tcBorders>
              <w:top w:val="single" w:sz="4" w:space="0" w:color="000000"/>
              <w:left w:val="single" w:sz="4" w:space="0" w:color="000000"/>
              <w:bottom w:val="single" w:sz="4" w:space="0" w:color="000000"/>
              <w:right w:val="single" w:sz="3" w:space="0" w:color="000000"/>
            </w:tcBorders>
            <w:shd w:val="clear" w:color="auto" w:fill="auto"/>
          </w:tcPr>
          <w:p w14:paraId="2504ECCD" w14:textId="77777777" w:rsidR="00C12F8D" w:rsidRPr="00916586" w:rsidRDefault="00C12F8D" w:rsidP="00510BC1">
            <w:pPr>
              <w:spacing w:line="259" w:lineRule="auto"/>
              <w:ind w:left="8"/>
              <w:jc w:val="center"/>
              <w:rPr>
                <w:rFonts w:ascii="Arial Narrow" w:hAnsi="Arial Narrow"/>
                <w:iCs/>
                <w:sz w:val="20"/>
                <w:szCs w:val="20"/>
              </w:rPr>
            </w:pPr>
            <w:r w:rsidRPr="00916586">
              <w:rPr>
                <w:rFonts w:ascii="Arial Narrow" w:eastAsia="Arial" w:hAnsi="Arial Narrow"/>
                <w:iCs/>
                <w:sz w:val="20"/>
                <w:szCs w:val="20"/>
              </w:rPr>
              <w:t xml:space="preserve">$5.60 </w:t>
            </w:r>
          </w:p>
        </w:tc>
        <w:tc>
          <w:tcPr>
            <w:tcW w:w="1162" w:type="pct"/>
            <w:tcBorders>
              <w:top w:val="single" w:sz="4" w:space="0" w:color="000000"/>
              <w:left w:val="single" w:sz="3" w:space="0" w:color="000000"/>
              <w:bottom w:val="single" w:sz="4" w:space="0" w:color="000000"/>
              <w:right w:val="single" w:sz="3" w:space="0" w:color="000000"/>
            </w:tcBorders>
            <w:shd w:val="clear" w:color="auto" w:fill="auto"/>
          </w:tcPr>
          <w:p w14:paraId="48FD4B9D" w14:textId="77777777" w:rsidR="00C12F8D" w:rsidRPr="00916586" w:rsidRDefault="00C12F8D" w:rsidP="00510BC1">
            <w:pPr>
              <w:spacing w:line="259" w:lineRule="auto"/>
              <w:ind w:left="5"/>
              <w:jc w:val="center"/>
              <w:rPr>
                <w:rFonts w:ascii="Arial Narrow" w:hAnsi="Arial Narrow"/>
                <w:iCs/>
                <w:sz w:val="20"/>
                <w:szCs w:val="20"/>
              </w:rPr>
            </w:pPr>
            <w:r w:rsidRPr="00916586">
              <w:rPr>
                <w:rFonts w:ascii="Arial Narrow" w:eastAsia="Arial" w:hAnsi="Arial Narrow"/>
                <w:iCs/>
                <w:sz w:val="20"/>
                <w:szCs w:val="20"/>
              </w:rPr>
              <w:t xml:space="preserve">30 </w:t>
            </w:r>
          </w:p>
        </w:tc>
      </w:tr>
      <w:tr w:rsidR="00C12F8D" w:rsidRPr="00916586" w14:paraId="3CD8885E" w14:textId="77777777" w:rsidTr="00AB41A9">
        <w:trPr>
          <w:trHeight w:val="275"/>
        </w:trPr>
        <w:tc>
          <w:tcPr>
            <w:tcW w:w="2162" w:type="pct"/>
            <w:tcBorders>
              <w:top w:val="single" w:sz="4" w:space="0" w:color="000000"/>
              <w:left w:val="single" w:sz="4" w:space="0" w:color="000000"/>
              <w:bottom w:val="single" w:sz="3" w:space="0" w:color="000000"/>
              <w:right w:val="single" w:sz="3" w:space="0" w:color="000000"/>
            </w:tcBorders>
            <w:shd w:val="clear" w:color="auto" w:fill="auto"/>
          </w:tcPr>
          <w:p w14:paraId="235135A0" w14:textId="77777777" w:rsidR="00C12F8D" w:rsidRPr="00916586" w:rsidRDefault="00C12F8D" w:rsidP="00510BC1">
            <w:pPr>
              <w:spacing w:line="259" w:lineRule="auto"/>
              <w:rPr>
                <w:rFonts w:ascii="Arial Narrow" w:hAnsi="Arial Narrow"/>
                <w:iCs/>
                <w:sz w:val="20"/>
                <w:szCs w:val="20"/>
              </w:rPr>
            </w:pPr>
            <w:r w:rsidRPr="00916586">
              <w:rPr>
                <w:rFonts w:ascii="Arial Narrow" w:eastAsia="Arial" w:hAnsi="Arial Narrow"/>
                <w:iCs/>
                <w:sz w:val="20"/>
                <w:szCs w:val="20"/>
              </w:rPr>
              <w:t>Pregabalin 165mg modified release tablet</w:t>
            </w:r>
            <w:r w:rsidRPr="00916586">
              <w:rPr>
                <w:rFonts w:ascii="Arial Narrow" w:hAnsi="Arial Narrow"/>
                <w:b/>
                <w:iCs/>
                <w:sz w:val="20"/>
                <w:szCs w:val="20"/>
              </w:rPr>
              <w:t xml:space="preserve"> </w:t>
            </w:r>
          </w:p>
        </w:tc>
        <w:tc>
          <w:tcPr>
            <w:tcW w:w="977" w:type="pct"/>
            <w:tcBorders>
              <w:top w:val="single" w:sz="4" w:space="0" w:color="000000"/>
              <w:left w:val="single" w:sz="3" w:space="0" w:color="000000"/>
              <w:bottom w:val="single" w:sz="3" w:space="0" w:color="000000"/>
              <w:right w:val="single" w:sz="4" w:space="0" w:color="000000"/>
            </w:tcBorders>
            <w:shd w:val="clear" w:color="auto" w:fill="auto"/>
          </w:tcPr>
          <w:p w14:paraId="7D82FBDC" w14:textId="77777777" w:rsidR="00C12F8D" w:rsidRPr="00916586" w:rsidRDefault="00C12F8D" w:rsidP="00510BC1">
            <w:pPr>
              <w:spacing w:line="259" w:lineRule="auto"/>
              <w:ind w:left="8"/>
              <w:jc w:val="center"/>
              <w:rPr>
                <w:rFonts w:ascii="Arial Narrow" w:hAnsi="Arial Narrow"/>
                <w:iCs/>
                <w:sz w:val="20"/>
                <w:szCs w:val="20"/>
              </w:rPr>
            </w:pPr>
            <w:r w:rsidRPr="00916586">
              <w:rPr>
                <w:rFonts w:ascii="Arial Narrow" w:eastAsia="Arial" w:hAnsi="Arial Narrow"/>
                <w:iCs/>
                <w:sz w:val="20"/>
                <w:szCs w:val="20"/>
              </w:rPr>
              <w:t xml:space="preserve">30 </w:t>
            </w:r>
          </w:p>
        </w:tc>
        <w:tc>
          <w:tcPr>
            <w:tcW w:w="699" w:type="pct"/>
            <w:tcBorders>
              <w:top w:val="single" w:sz="4" w:space="0" w:color="000000"/>
              <w:left w:val="single" w:sz="4" w:space="0" w:color="000000"/>
              <w:bottom w:val="single" w:sz="3" w:space="0" w:color="000000"/>
              <w:right w:val="single" w:sz="3" w:space="0" w:color="000000"/>
            </w:tcBorders>
            <w:shd w:val="clear" w:color="auto" w:fill="auto"/>
          </w:tcPr>
          <w:p w14:paraId="250524BA" w14:textId="77777777" w:rsidR="00C12F8D" w:rsidRPr="00916586" w:rsidRDefault="00C12F8D" w:rsidP="00510BC1">
            <w:pPr>
              <w:spacing w:line="259" w:lineRule="auto"/>
              <w:ind w:left="8"/>
              <w:jc w:val="center"/>
              <w:rPr>
                <w:rFonts w:ascii="Arial Narrow" w:hAnsi="Arial Narrow"/>
                <w:iCs/>
                <w:sz w:val="20"/>
                <w:szCs w:val="20"/>
              </w:rPr>
            </w:pPr>
            <w:r w:rsidRPr="00916586">
              <w:rPr>
                <w:rFonts w:ascii="Arial Narrow" w:eastAsia="Arial" w:hAnsi="Arial Narrow"/>
                <w:iCs/>
                <w:sz w:val="20"/>
                <w:szCs w:val="20"/>
              </w:rPr>
              <w:t xml:space="preserve">$8.00 </w:t>
            </w:r>
          </w:p>
        </w:tc>
        <w:tc>
          <w:tcPr>
            <w:tcW w:w="1162" w:type="pct"/>
            <w:tcBorders>
              <w:top w:val="single" w:sz="4" w:space="0" w:color="000000"/>
              <w:left w:val="single" w:sz="3" w:space="0" w:color="000000"/>
              <w:bottom w:val="single" w:sz="3" w:space="0" w:color="000000"/>
              <w:right w:val="single" w:sz="3" w:space="0" w:color="000000"/>
            </w:tcBorders>
            <w:shd w:val="clear" w:color="auto" w:fill="auto"/>
          </w:tcPr>
          <w:p w14:paraId="515ECC82" w14:textId="77777777" w:rsidR="00C12F8D" w:rsidRPr="00916586" w:rsidRDefault="00C12F8D" w:rsidP="00510BC1">
            <w:pPr>
              <w:spacing w:line="259" w:lineRule="auto"/>
              <w:ind w:left="5"/>
              <w:jc w:val="center"/>
              <w:rPr>
                <w:rFonts w:ascii="Arial Narrow" w:hAnsi="Arial Narrow"/>
                <w:iCs/>
                <w:sz w:val="20"/>
                <w:szCs w:val="20"/>
              </w:rPr>
            </w:pPr>
            <w:r w:rsidRPr="00916586">
              <w:rPr>
                <w:rFonts w:ascii="Arial Narrow" w:eastAsia="Arial" w:hAnsi="Arial Narrow"/>
                <w:iCs/>
                <w:sz w:val="20"/>
                <w:szCs w:val="20"/>
              </w:rPr>
              <w:t xml:space="preserve">30 </w:t>
            </w:r>
          </w:p>
        </w:tc>
      </w:tr>
      <w:tr w:rsidR="00C12F8D" w:rsidRPr="00916586" w14:paraId="438E65A5" w14:textId="77777777" w:rsidTr="00AB41A9">
        <w:trPr>
          <w:trHeight w:val="275"/>
        </w:trPr>
        <w:tc>
          <w:tcPr>
            <w:tcW w:w="2162" w:type="pct"/>
            <w:tcBorders>
              <w:top w:val="single" w:sz="3" w:space="0" w:color="000000"/>
              <w:left w:val="single" w:sz="4" w:space="0" w:color="000000"/>
              <w:bottom w:val="single" w:sz="4" w:space="0" w:color="000000"/>
              <w:right w:val="single" w:sz="3" w:space="0" w:color="000000"/>
            </w:tcBorders>
            <w:shd w:val="clear" w:color="auto" w:fill="auto"/>
          </w:tcPr>
          <w:p w14:paraId="59F462A0" w14:textId="77777777" w:rsidR="00C12F8D" w:rsidRPr="00916586" w:rsidRDefault="00C12F8D" w:rsidP="00510BC1">
            <w:pPr>
              <w:spacing w:line="259" w:lineRule="auto"/>
              <w:rPr>
                <w:rFonts w:ascii="Arial Narrow" w:hAnsi="Arial Narrow"/>
                <w:iCs/>
                <w:sz w:val="20"/>
                <w:szCs w:val="20"/>
              </w:rPr>
            </w:pPr>
            <w:r w:rsidRPr="00916586">
              <w:rPr>
                <w:rFonts w:ascii="Arial Narrow" w:eastAsia="Arial" w:hAnsi="Arial Narrow"/>
                <w:iCs/>
                <w:sz w:val="20"/>
                <w:szCs w:val="20"/>
              </w:rPr>
              <w:t>Pregabalin 330mg modified release tablet</w:t>
            </w:r>
            <w:r w:rsidRPr="00916586">
              <w:rPr>
                <w:rFonts w:ascii="Arial Narrow" w:hAnsi="Arial Narrow"/>
                <w:b/>
                <w:iCs/>
                <w:sz w:val="20"/>
                <w:szCs w:val="20"/>
              </w:rPr>
              <w:t xml:space="preserve"> </w:t>
            </w:r>
          </w:p>
        </w:tc>
        <w:tc>
          <w:tcPr>
            <w:tcW w:w="977" w:type="pct"/>
            <w:tcBorders>
              <w:top w:val="single" w:sz="3" w:space="0" w:color="000000"/>
              <w:left w:val="single" w:sz="3" w:space="0" w:color="000000"/>
              <w:bottom w:val="single" w:sz="4" w:space="0" w:color="000000"/>
              <w:right w:val="single" w:sz="4" w:space="0" w:color="000000"/>
            </w:tcBorders>
            <w:shd w:val="clear" w:color="auto" w:fill="auto"/>
          </w:tcPr>
          <w:p w14:paraId="0F788439" w14:textId="77777777" w:rsidR="00C12F8D" w:rsidRPr="00916586" w:rsidRDefault="00C12F8D" w:rsidP="00510BC1">
            <w:pPr>
              <w:spacing w:line="259" w:lineRule="auto"/>
              <w:ind w:left="8"/>
              <w:jc w:val="center"/>
              <w:rPr>
                <w:rFonts w:ascii="Arial Narrow" w:hAnsi="Arial Narrow"/>
                <w:iCs/>
                <w:sz w:val="20"/>
                <w:szCs w:val="20"/>
              </w:rPr>
            </w:pPr>
            <w:r w:rsidRPr="00916586">
              <w:rPr>
                <w:rFonts w:ascii="Arial Narrow" w:eastAsia="Arial" w:hAnsi="Arial Narrow"/>
                <w:iCs/>
                <w:sz w:val="20"/>
                <w:szCs w:val="20"/>
              </w:rPr>
              <w:t xml:space="preserve">30 </w:t>
            </w:r>
          </w:p>
        </w:tc>
        <w:tc>
          <w:tcPr>
            <w:tcW w:w="699" w:type="pct"/>
            <w:tcBorders>
              <w:top w:val="single" w:sz="3" w:space="0" w:color="000000"/>
              <w:left w:val="single" w:sz="4" w:space="0" w:color="000000"/>
              <w:bottom w:val="single" w:sz="4" w:space="0" w:color="000000"/>
              <w:right w:val="single" w:sz="3" w:space="0" w:color="000000"/>
            </w:tcBorders>
            <w:shd w:val="clear" w:color="auto" w:fill="auto"/>
          </w:tcPr>
          <w:p w14:paraId="1D7527FF" w14:textId="77777777" w:rsidR="00C12F8D" w:rsidRPr="00916586" w:rsidRDefault="00C12F8D" w:rsidP="00510BC1">
            <w:pPr>
              <w:spacing w:line="259" w:lineRule="auto"/>
              <w:ind w:left="8"/>
              <w:jc w:val="center"/>
              <w:rPr>
                <w:rFonts w:ascii="Arial Narrow" w:hAnsi="Arial Narrow"/>
                <w:iCs/>
                <w:sz w:val="20"/>
                <w:szCs w:val="20"/>
              </w:rPr>
            </w:pPr>
            <w:r w:rsidRPr="00916586">
              <w:rPr>
                <w:rFonts w:ascii="Arial Narrow" w:eastAsia="Arial" w:hAnsi="Arial Narrow"/>
                <w:iCs/>
                <w:sz w:val="20"/>
                <w:szCs w:val="20"/>
              </w:rPr>
              <w:t xml:space="preserve">$10.11 </w:t>
            </w:r>
          </w:p>
        </w:tc>
        <w:tc>
          <w:tcPr>
            <w:tcW w:w="1162" w:type="pct"/>
            <w:tcBorders>
              <w:top w:val="single" w:sz="3" w:space="0" w:color="000000"/>
              <w:left w:val="single" w:sz="3" w:space="0" w:color="000000"/>
              <w:bottom w:val="single" w:sz="4" w:space="0" w:color="000000"/>
              <w:right w:val="single" w:sz="3" w:space="0" w:color="000000"/>
            </w:tcBorders>
            <w:shd w:val="clear" w:color="auto" w:fill="auto"/>
          </w:tcPr>
          <w:p w14:paraId="328C1856" w14:textId="77777777" w:rsidR="00C12F8D" w:rsidRPr="00916586" w:rsidRDefault="00C12F8D" w:rsidP="00510BC1">
            <w:pPr>
              <w:spacing w:line="259" w:lineRule="auto"/>
              <w:ind w:left="5"/>
              <w:jc w:val="center"/>
              <w:rPr>
                <w:rFonts w:ascii="Arial Narrow" w:hAnsi="Arial Narrow"/>
                <w:iCs/>
                <w:sz w:val="20"/>
                <w:szCs w:val="20"/>
              </w:rPr>
            </w:pPr>
            <w:r w:rsidRPr="00916586">
              <w:rPr>
                <w:rFonts w:ascii="Arial Narrow" w:eastAsia="Arial" w:hAnsi="Arial Narrow"/>
                <w:iCs/>
                <w:sz w:val="20"/>
                <w:szCs w:val="20"/>
              </w:rPr>
              <w:t xml:space="preserve">30 </w:t>
            </w:r>
          </w:p>
        </w:tc>
      </w:tr>
    </w:tbl>
    <w:p w14:paraId="48DE52F1" w14:textId="77777777" w:rsidR="00C12F8D" w:rsidRPr="00916586" w:rsidRDefault="00C12F8D" w:rsidP="00C12F8D">
      <w:pPr>
        <w:keepLines/>
        <w:ind w:left="-6" w:right="2132" w:hanging="11"/>
        <w:rPr>
          <w:rFonts w:ascii="Arial Narrow" w:hAnsi="Arial Narrow"/>
          <w:iCs/>
          <w:sz w:val="18"/>
        </w:rPr>
      </w:pPr>
      <w:r w:rsidRPr="00916586">
        <w:rPr>
          <w:rFonts w:ascii="Arial Narrow" w:hAnsi="Arial Narrow"/>
          <w:iCs/>
          <w:sz w:val="18"/>
        </w:rPr>
        <w:t>Abbreviations: AEMP = approved ex-manufacturer price</w:t>
      </w:r>
    </w:p>
    <w:p w14:paraId="4854633D" w14:textId="11A66289" w:rsidR="00C12F8D" w:rsidRPr="00AF067B" w:rsidRDefault="00C12F8D" w:rsidP="00AF067B">
      <w:pPr>
        <w:spacing w:after="120" w:line="262" w:lineRule="auto"/>
        <w:ind w:right="663"/>
        <w:rPr>
          <w:rFonts w:ascii="Arial Narrow" w:eastAsia="Arial" w:hAnsi="Arial Narrow"/>
          <w:iCs/>
          <w:sz w:val="20"/>
        </w:rPr>
      </w:pPr>
      <w:r w:rsidRPr="00916586">
        <w:rPr>
          <w:rFonts w:ascii="Arial Narrow" w:hAnsi="Arial Narrow"/>
          <w:iCs/>
          <w:sz w:val="18"/>
        </w:rPr>
        <w:t xml:space="preserve"> </w:t>
      </w:r>
      <w:r w:rsidRPr="00916586">
        <w:rPr>
          <w:rFonts w:ascii="Arial Narrow" w:hAnsi="Arial Narrow"/>
          <w:iCs/>
          <w:sz w:val="18"/>
          <w:vertAlign w:val="superscript"/>
        </w:rPr>
        <w:t xml:space="preserve">a  </w:t>
      </w:r>
      <w:r w:rsidRPr="00916586">
        <w:rPr>
          <w:rFonts w:ascii="Arial Narrow" w:hAnsi="Arial Narrow"/>
          <w:iCs/>
          <w:sz w:val="18"/>
        </w:rPr>
        <w:t xml:space="preserve">Prices take into consideration the price </w:t>
      </w:r>
      <w:r w:rsidR="006405EB" w:rsidRPr="00916586">
        <w:rPr>
          <w:rFonts w:ascii="Arial Narrow" w:hAnsi="Arial Narrow"/>
          <w:iCs/>
          <w:sz w:val="18"/>
        </w:rPr>
        <w:t>reduction</w:t>
      </w:r>
      <w:r w:rsidRPr="00916586">
        <w:rPr>
          <w:rFonts w:ascii="Arial Narrow" w:hAnsi="Arial Narrow"/>
          <w:iCs/>
          <w:sz w:val="18"/>
        </w:rPr>
        <w:t xml:space="preserve"> for pregabalin announced for October 2021 as a result of price disclosure</w:t>
      </w:r>
      <w:r w:rsidR="00BF08BD" w:rsidRPr="00916586">
        <w:rPr>
          <w:rFonts w:ascii="Arial Narrow" w:eastAsia="Arial" w:hAnsi="Arial Narrow"/>
          <w:iCs/>
          <w:sz w:val="20"/>
        </w:rPr>
        <w:t xml:space="preserve">. </w:t>
      </w:r>
    </w:p>
    <w:p w14:paraId="687009D4" w14:textId="77777777" w:rsidR="00F810A7" w:rsidRPr="00916586" w:rsidRDefault="003B2AC7" w:rsidP="00F810A7">
      <w:pPr>
        <w:pStyle w:val="3-BodyText"/>
        <w:rPr>
          <w:iCs/>
        </w:rPr>
      </w:pPr>
      <w:r w:rsidRPr="00916586">
        <w:rPr>
          <w:iCs/>
        </w:rPr>
        <w:t>R</w:t>
      </w:r>
      <w:r w:rsidR="00410A36" w:rsidRPr="00916586">
        <w:rPr>
          <w:iCs/>
        </w:rPr>
        <w:t xml:space="preserve">evised comparison of the proposed prices and TDD costs undertaken in the PSCR, based on the dose regimen distributions derived from the PBS 10% sample is presented in the table below. </w:t>
      </w:r>
      <w:r w:rsidR="00F810A7" w:rsidRPr="00916586">
        <w:rPr>
          <w:iCs/>
        </w:rPr>
        <w:t xml:space="preserve"> </w:t>
      </w:r>
      <w:r w:rsidR="00510BC1" w:rsidRPr="00916586">
        <w:rPr>
          <w:iCs/>
        </w:rPr>
        <w:t>The PSCR</w:t>
      </w:r>
      <w:r w:rsidR="00A10B77" w:rsidRPr="00916586">
        <w:rPr>
          <w:iCs/>
        </w:rPr>
        <w:t xml:space="preserve"> </w:t>
      </w:r>
      <w:r w:rsidR="00510BC1" w:rsidRPr="00916586">
        <w:rPr>
          <w:iCs/>
        </w:rPr>
        <w:t xml:space="preserve">noted </w:t>
      </w:r>
      <w:r w:rsidR="00D703DD" w:rsidRPr="00916586">
        <w:rPr>
          <w:iCs/>
        </w:rPr>
        <w:t xml:space="preserve">that </w:t>
      </w:r>
      <w:r w:rsidR="00510BC1" w:rsidRPr="00916586">
        <w:rPr>
          <w:iCs/>
        </w:rPr>
        <w:t xml:space="preserve">both 225 mg TDD and 450 mg TDD </w:t>
      </w:r>
      <w:r w:rsidR="00D703DD" w:rsidRPr="00916586">
        <w:rPr>
          <w:iCs/>
        </w:rPr>
        <w:t>are not cost-minimised when converted to CR formulations</w:t>
      </w:r>
      <w:r w:rsidR="00410A36" w:rsidRPr="00916586">
        <w:rPr>
          <w:iCs/>
        </w:rPr>
        <w:t>, and argued that the PBS 10% sample data indicated the proportional use of the 225 mg and 450 mg daily regimens of pregabalin would likely have a minimal financial impact, even though the proposed prices would make the equivalent CR prices marginally more expensive.</w:t>
      </w:r>
      <w:r w:rsidR="00D703DD" w:rsidRPr="00916586">
        <w:rPr>
          <w:iCs/>
        </w:rPr>
        <w:t xml:space="preserve"> </w:t>
      </w:r>
    </w:p>
    <w:p w14:paraId="2D35EEB9" w14:textId="77777777" w:rsidR="0013486E" w:rsidRPr="00916586" w:rsidRDefault="0013486E">
      <w:pPr>
        <w:jc w:val="left"/>
        <w:rPr>
          <w:rFonts w:ascii="Arial Narrow" w:hAnsi="Arial Narrow"/>
          <w:b/>
          <w:iCs/>
          <w:snapToGrid w:val="0"/>
          <w:sz w:val="20"/>
          <w:szCs w:val="20"/>
        </w:rPr>
      </w:pPr>
      <w:r w:rsidRPr="00916586">
        <w:rPr>
          <w:rFonts w:ascii="Arial Narrow" w:hAnsi="Arial Narrow"/>
          <w:b/>
          <w:iCs/>
          <w:sz w:val="20"/>
          <w:szCs w:val="20"/>
        </w:rPr>
        <w:br w:type="page"/>
      </w:r>
    </w:p>
    <w:p w14:paraId="0913E77B" w14:textId="77777777" w:rsidR="002833C1" w:rsidRPr="00916586" w:rsidRDefault="00C5191F" w:rsidP="00AF067B">
      <w:pPr>
        <w:pStyle w:val="3-BodyText"/>
        <w:numPr>
          <w:ilvl w:val="0"/>
          <w:numId w:val="0"/>
        </w:numPr>
        <w:spacing w:after="0"/>
        <w:rPr>
          <w:rFonts w:ascii="Arial Narrow" w:hAnsi="Arial Narrow"/>
          <w:b/>
          <w:iCs/>
          <w:sz w:val="20"/>
        </w:rPr>
      </w:pPr>
      <w:r w:rsidRPr="00916586">
        <w:rPr>
          <w:rFonts w:ascii="Arial Narrow" w:hAnsi="Arial Narrow"/>
          <w:b/>
          <w:iCs/>
          <w:sz w:val="20"/>
          <w:szCs w:val="20"/>
        </w:rPr>
        <w:lastRenderedPageBreak/>
        <w:t xml:space="preserve">Table </w:t>
      </w:r>
      <w:r w:rsidR="007A7FAD" w:rsidRPr="00916586">
        <w:rPr>
          <w:rFonts w:ascii="Arial Narrow" w:hAnsi="Arial Narrow"/>
          <w:b/>
          <w:iCs/>
          <w:noProof/>
          <w:sz w:val="20"/>
          <w:szCs w:val="20"/>
        </w:rPr>
        <w:t>6</w:t>
      </w:r>
      <w:r w:rsidRPr="00916586">
        <w:rPr>
          <w:rFonts w:ascii="Arial Narrow" w:hAnsi="Arial Narrow"/>
          <w:b/>
          <w:iCs/>
          <w:sz w:val="20"/>
          <w:szCs w:val="20"/>
        </w:rPr>
        <w:t xml:space="preserve">: </w:t>
      </w:r>
      <w:r w:rsidR="002833C1" w:rsidRPr="00916586">
        <w:rPr>
          <w:rFonts w:ascii="Arial Narrow" w:hAnsi="Arial Narrow"/>
          <w:b/>
          <w:iCs/>
          <w:sz w:val="20"/>
        </w:rPr>
        <w:t>Results of the cost-minimisation based on total daily dose (TDD) – recalculated with the new IR prices (post October 2021) and new proposed CR prices – reworked</w:t>
      </w:r>
    </w:p>
    <w:tbl>
      <w:tblPr>
        <w:tblStyle w:val="TableGrid0"/>
        <w:tblW w:w="5000" w:type="pct"/>
        <w:tblInd w:w="0" w:type="dxa"/>
        <w:tblCellMar>
          <w:top w:w="5" w:type="dxa"/>
          <w:left w:w="101" w:type="dxa"/>
          <w:right w:w="48" w:type="dxa"/>
        </w:tblCellMar>
        <w:tblLook w:val="04A0" w:firstRow="1" w:lastRow="0" w:firstColumn="1" w:lastColumn="0" w:noHBand="0" w:noVBand="1"/>
        <w:tblCaption w:val="Table 6: Results of the cost-minimisation based on total daily dose (TDD) – recalculated with the new IR prices (post October 2021) and new proposed CR prices – reworked"/>
      </w:tblPr>
      <w:tblGrid>
        <w:gridCol w:w="1562"/>
        <w:gridCol w:w="1117"/>
        <w:gridCol w:w="1578"/>
        <w:gridCol w:w="1115"/>
        <w:gridCol w:w="1267"/>
        <w:gridCol w:w="1196"/>
        <w:gridCol w:w="1173"/>
      </w:tblGrid>
      <w:tr w:rsidR="002833C1" w:rsidRPr="00916586" w14:paraId="7D515A8F" w14:textId="77777777" w:rsidTr="00F002A0">
        <w:trPr>
          <w:trHeight w:val="966"/>
          <w:tblHeader/>
        </w:trPr>
        <w:tc>
          <w:tcPr>
            <w:tcW w:w="1487" w:type="pct"/>
            <w:gridSpan w:val="2"/>
            <w:tcBorders>
              <w:top w:val="single" w:sz="8" w:space="0" w:color="000000"/>
              <w:left w:val="single" w:sz="8" w:space="0" w:color="000000"/>
              <w:bottom w:val="single" w:sz="8" w:space="0" w:color="000000"/>
              <w:right w:val="single" w:sz="8" w:space="0" w:color="000000"/>
            </w:tcBorders>
            <w:vAlign w:val="center"/>
          </w:tcPr>
          <w:p w14:paraId="5BA41CF8" w14:textId="77777777" w:rsidR="002833C1" w:rsidRPr="00916586" w:rsidRDefault="002833C1" w:rsidP="00FE79F4">
            <w:pPr>
              <w:spacing w:line="259" w:lineRule="auto"/>
              <w:ind w:right="48"/>
              <w:jc w:val="center"/>
              <w:rPr>
                <w:rFonts w:ascii="Arial Narrow" w:hAnsi="Arial Narrow" w:cs="Times New Roman"/>
                <w:iCs/>
                <w:sz w:val="20"/>
                <w:szCs w:val="20"/>
              </w:rPr>
            </w:pPr>
            <w:r w:rsidRPr="00916586">
              <w:rPr>
                <w:rFonts w:ascii="Arial Narrow" w:eastAsia="Arial" w:hAnsi="Arial Narrow" w:cs="Times New Roman"/>
                <w:b/>
                <w:iCs/>
                <w:sz w:val="20"/>
                <w:szCs w:val="20"/>
              </w:rPr>
              <w:t xml:space="preserve">Pregabalin IR </w:t>
            </w:r>
          </w:p>
        </w:tc>
        <w:tc>
          <w:tcPr>
            <w:tcW w:w="1495" w:type="pct"/>
            <w:gridSpan w:val="2"/>
            <w:tcBorders>
              <w:top w:val="single" w:sz="8" w:space="0" w:color="000000"/>
              <w:left w:val="single" w:sz="8" w:space="0" w:color="000000"/>
              <w:bottom w:val="single" w:sz="8" w:space="0" w:color="000000"/>
              <w:right w:val="single" w:sz="8" w:space="0" w:color="000000"/>
            </w:tcBorders>
            <w:vAlign w:val="center"/>
          </w:tcPr>
          <w:p w14:paraId="41F83447" w14:textId="77777777" w:rsidR="002833C1" w:rsidRPr="00916586" w:rsidRDefault="002833C1" w:rsidP="00FE79F4">
            <w:pPr>
              <w:spacing w:line="259" w:lineRule="auto"/>
              <w:ind w:right="55"/>
              <w:jc w:val="center"/>
              <w:rPr>
                <w:rFonts w:ascii="Arial Narrow" w:hAnsi="Arial Narrow" w:cs="Times New Roman"/>
                <w:iCs/>
                <w:sz w:val="20"/>
                <w:szCs w:val="20"/>
              </w:rPr>
            </w:pPr>
            <w:r w:rsidRPr="00916586">
              <w:rPr>
                <w:rFonts w:ascii="Arial Narrow" w:eastAsia="Arial" w:hAnsi="Arial Narrow" w:cs="Times New Roman"/>
                <w:b/>
                <w:iCs/>
                <w:sz w:val="20"/>
                <w:szCs w:val="20"/>
              </w:rPr>
              <w:t xml:space="preserve">Pregabalin CR </w:t>
            </w:r>
          </w:p>
        </w:tc>
        <w:tc>
          <w:tcPr>
            <w:tcW w:w="703" w:type="pct"/>
            <w:tcBorders>
              <w:top w:val="single" w:sz="8" w:space="0" w:color="000000"/>
              <w:left w:val="single" w:sz="8" w:space="0" w:color="000000"/>
              <w:bottom w:val="single" w:sz="4" w:space="0" w:color="FFFFFF"/>
              <w:right w:val="single" w:sz="7" w:space="0" w:color="000000"/>
            </w:tcBorders>
          </w:tcPr>
          <w:p w14:paraId="69FA6DFE" w14:textId="77777777" w:rsidR="002833C1" w:rsidRPr="00916586" w:rsidRDefault="002833C1" w:rsidP="00FE79F4">
            <w:pPr>
              <w:spacing w:line="239" w:lineRule="auto"/>
              <w:jc w:val="center"/>
              <w:rPr>
                <w:rFonts w:ascii="Arial Narrow" w:hAnsi="Arial Narrow" w:cs="Times New Roman"/>
                <w:iCs/>
                <w:sz w:val="20"/>
                <w:szCs w:val="20"/>
              </w:rPr>
            </w:pPr>
            <w:r w:rsidRPr="00916586">
              <w:rPr>
                <w:rFonts w:ascii="Arial Narrow" w:eastAsia="Arial" w:hAnsi="Arial Narrow" w:cs="Times New Roman"/>
                <w:b/>
                <w:iCs/>
                <w:sz w:val="20"/>
                <w:szCs w:val="20"/>
              </w:rPr>
              <w:t xml:space="preserve">Additional daily cost </w:t>
            </w:r>
          </w:p>
          <w:p w14:paraId="475AA02F" w14:textId="77777777" w:rsidR="002833C1" w:rsidRPr="00916586" w:rsidRDefault="002833C1" w:rsidP="00FE79F4">
            <w:pPr>
              <w:spacing w:line="259" w:lineRule="auto"/>
              <w:jc w:val="center"/>
              <w:rPr>
                <w:rFonts w:ascii="Arial Narrow" w:hAnsi="Arial Narrow" w:cs="Times New Roman"/>
                <w:iCs/>
                <w:sz w:val="20"/>
                <w:szCs w:val="20"/>
              </w:rPr>
            </w:pPr>
            <w:r w:rsidRPr="00916586">
              <w:rPr>
                <w:rFonts w:ascii="Arial Narrow" w:eastAsia="Arial" w:hAnsi="Arial Narrow" w:cs="Times New Roman"/>
                <w:b/>
                <w:iCs/>
                <w:sz w:val="20"/>
                <w:szCs w:val="20"/>
              </w:rPr>
              <w:t xml:space="preserve">associated with CR </w:t>
            </w:r>
          </w:p>
        </w:tc>
        <w:tc>
          <w:tcPr>
            <w:tcW w:w="664" w:type="pct"/>
            <w:tcBorders>
              <w:top w:val="single" w:sz="8" w:space="0" w:color="000000"/>
              <w:left w:val="single" w:sz="7" w:space="0" w:color="000000"/>
              <w:bottom w:val="single" w:sz="4" w:space="0" w:color="FFFFFF"/>
              <w:right w:val="single" w:sz="7" w:space="0" w:color="000000"/>
            </w:tcBorders>
          </w:tcPr>
          <w:p w14:paraId="7AC00F06" w14:textId="77777777" w:rsidR="002833C1" w:rsidRPr="00916586" w:rsidRDefault="002833C1" w:rsidP="00FE79F4">
            <w:pPr>
              <w:spacing w:line="239" w:lineRule="auto"/>
              <w:jc w:val="center"/>
              <w:rPr>
                <w:rFonts w:ascii="Arial Narrow" w:hAnsi="Arial Narrow" w:cs="Times New Roman"/>
                <w:iCs/>
                <w:sz w:val="20"/>
                <w:szCs w:val="20"/>
              </w:rPr>
            </w:pPr>
            <w:r w:rsidRPr="00916586">
              <w:rPr>
                <w:rFonts w:ascii="Arial Narrow" w:eastAsia="Arial" w:hAnsi="Arial Narrow" w:cs="Times New Roman"/>
                <w:b/>
                <w:iCs/>
                <w:sz w:val="20"/>
                <w:szCs w:val="20"/>
              </w:rPr>
              <w:t xml:space="preserve">% of total population </w:t>
            </w:r>
          </w:p>
          <w:p w14:paraId="350D6539" w14:textId="77777777" w:rsidR="002833C1" w:rsidRPr="00916586" w:rsidRDefault="002833C1" w:rsidP="00FE79F4">
            <w:pPr>
              <w:spacing w:line="259" w:lineRule="auto"/>
              <w:ind w:left="13"/>
              <w:rPr>
                <w:rFonts w:ascii="Arial Narrow" w:hAnsi="Arial Narrow" w:cs="Times New Roman"/>
                <w:iCs/>
                <w:sz w:val="20"/>
                <w:szCs w:val="20"/>
              </w:rPr>
            </w:pPr>
            <w:r w:rsidRPr="00916586">
              <w:rPr>
                <w:rFonts w:ascii="Arial Narrow" w:eastAsia="Arial" w:hAnsi="Arial Narrow" w:cs="Times New Roman"/>
                <w:b/>
                <w:iCs/>
                <w:sz w:val="20"/>
                <w:szCs w:val="20"/>
              </w:rPr>
              <w:t xml:space="preserve">on this dose </w:t>
            </w:r>
          </w:p>
          <w:p w14:paraId="5DF101EA" w14:textId="77777777" w:rsidR="002833C1" w:rsidRPr="00916586" w:rsidRDefault="002833C1" w:rsidP="00FE79F4">
            <w:pPr>
              <w:spacing w:line="259" w:lineRule="auto"/>
              <w:ind w:right="56"/>
              <w:jc w:val="center"/>
              <w:rPr>
                <w:rFonts w:ascii="Arial Narrow" w:hAnsi="Arial Narrow" w:cs="Times New Roman"/>
                <w:iCs/>
                <w:sz w:val="20"/>
                <w:szCs w:val="20"/>
                <w:vertAlign w:val="superscript"/>
              </w:rPr>
            </w:pPr>
            <w:r w:rsidRPr="00916586">
              <w:rPr>
                <w:rFonts w:ascii="Arial Narrow" w:eastAsia="Arial" w:hAnsi="Arial Narrow" w:cs="Times New Roman"/>
                <w:b/>
                <w:iCs/>
                <w:sz w:val="20"/>
                <w:szCs w:val="20"/>
                <w:vertAlign w:val="superscript"/>
              </w:rPr>
              <w:t xml:space="preserve">c </w:t>
            </w:r>
          </w:p>
        </w:tc>
        <w:tc>
          <w:tcPr>
            <w:tcW w:w="651" w:type="pct"/>
            <w:tcBorders>
              <w:top w:val="single" w:sz="8" w:space="0" w:color="000000"/>
              <w:left w:val="single" w:sz="7" w:space="0" w:color="000000"/>
              <w:bottom w:val="single" w:sz="4" w:space="0" w:color="FFFFFF"/>
              <w:right w:val="single" w:sz="7" w:space="0" w:color="000000"/>
            </w:tcBorders>
          </w:tcPr>
          <w:p w14:paraId="01E34F6B" w14:textId="77777777" w:rsidR="002833C1" w:rsidRPr="00916586" w:rsidRDefault="002833C1" w:rsidP="00FE79F4">
            <w:pPr>
              <w:spacing w:line="259" w:lineRule="auto"/>
              <w:ind w:right="54"/>
              <w:jc w:val="center"/>
              <w:rPr>
                <w:rFonts w:ascii="Arial Narrow" w:hAnsi="Arial Narrow" w:cs="Times New Roman"/>
                <w:iCs/>
                <w:sz w:val="20"/>
                <w:szCs w:val="20"/>
              </w:rPr>
            </w:pPr>
            <w:r w:rsidRPr="00916586">
              <w:rPr>
                <w:rFonts w:ascii="Arial Narrow" w:eastAsia="Arial" w:hAnsi="Arial Narrow" w:cs="Times New Roman"/>
                <w:b/>
                <w:iCs/>
                <w:sz w:val="20"/>
                <w:szCs w:val="20"/>
              </w:rPr>
              <w:t xml:space="preserve">as a % of </w:t>
            </w:r>
          </w:p>
          <w:p w14:paraId="086A7472" w14:textId="77777777" w:rsidR="002833C1" w:rsidRPr="00916586" w:rsidRDefault="002833C1" w:rsidP="00FE79F4">
            <w:pPr>
              <w:spacing w:line="259" w:lineRule="auto"/>
              <w:ind w:left="6"/>
              <w:rPr>
                <w:rFonts w:ascii="Arial Narrow" w:hAnsi="Arial Narrow" w:cs="Times New Roman"/>
                <w:iCs/>
                <w:sz w:val="20"/>
                <w:szCs w:val="20"/>
              </w:rPr>
            </w:pPr>
            <w:r w:rsidRPr="00916586">
              <w:rPr>
                <w:rFonts w:ascii="Arial Narrow" w:eastAsia="Arial" w:hAnsi="Arial Narrow" w:cs="Times New Roman"/>
                <w:b/>
                <w:iCs/>
                <w:sz w:val="20"/>
                <w:szCs w:val="20"/>
              </w:rPr>
              <w:t xml:space="preserve">total eligible </w:t>
            </w:r>
          </w:p>
          <w:p w14:paraId="7701F236" w14:textId="77777777" w:rsidR="002833C1" w:rsidRPr="00916586" w:rsidRDefault="002833C1" w:rsidP="00FE79F4">
            <w:pPr>
              <w:spacing w:line="259" w:lineRule="auto"/>
              <w:ind w:right="53"/>
              <w:jc w:val="center"/>
              <w:rPr>
                <w:rFonts w:ascii="Arial Narrow" w:hAnsi="Arial Narrow" w:cs="Times New Roman"/>
                <w:iCs/>
                <w:sz w:val="20"/>
                <w:szCs w:val="20"/>
              </w:rPr>
            </w:pPr>
            <w:r w:rsidRPr="00916586">
              <w:rPr>
                <w:rFonts w:ascii="Arial Narrow" w:eastAsia="Arial" w:hAnsi="Arial Narrow" w:cs="Times New Roman"/>
                <w:b/>
                <w:iCs/>
                <w:sz w:val="20"/>
                <w:szCs w:val="20"/>
              </w:rPr>
              <w:t xml:space="preserve">population </w:t>
            </w:r>
          </w:p>
          <w:p w14:paraId="20B5E650" w14:textId="77777777" w:rsidR="002833C1" w:rsidRPr="00916586" w:rsidRDefault="002833C1" w:rsidP="00FE79F4">
            <w:pPr>
              <w:spacing w:line="259" w:lineRule="auto"/>
              <w:ind w:right="52"/>
              <w:jc w:val="center"/>
              <w:rPr>
                <w:rFonts w:ascii="Arial Narrow" w:hAnsi="Arial Narrow" w:cs="Times New Roman"/>
                <w:iCs/>
                <w:sz w:val="20"/>
                <w:szCs w:val="20"/>
              </w:rPr>
            </w:pPr>
            <w:r w:rsidRPr="00916586">
              <w:rPr>
                <w:rFonts w:ascii="Arial Narrow" w:eastAsia="Arial" w:hAnsi="Arial Narrow" w:cs="Times New Roman"/>
                <w:b/>
                <w:iCs/>
                <w:sz w:val="20"/>
                <w:szCs w:val="20"/>
              </w:rPr>
              <w:t xml:space="preserve">(70.8%) </w:t>
            </w:r>
          </w:p>
        </w:tc>
      </w:tr>
      <w:tr w:rsidR="002833C1" w:rsidRPr="00916586" w14:paraId="5699419A" w14:textId="77777777" w:rsidTr="007A18D9">
        <w:trPr>
          <w:trHeight w:val="491"/>
        </w:trPr>
        <w:tc>
          <w:tcPr>
            <w:tcW w:w="867" w:type="pct"/>
            <w:tcBorders>
              <w:top w:val="single" w:sz="8" w:space="0" w:color="000000"/>
              <w:left w:val="single" w:sz="8" w:space="0" w:color="000000"/>
              <w:bottom w:val="single" w:sz="4" w:space="0" w:color="FFFFFF"/>
              <w:right w:val="single" w:sz="7" w:space="0" w:color="000000"/>
            </w:tcBorders>
            <w:vAlign w:val="center"/>
          </w:tcPr>
          <w:p w14:paraId="350C1570" w14:textId="77777777" w:rsidR="002833C1" w:rsidRPr="00916586" w:rsidRDefault="002833C1" w:rsidP="00FE79F4">
            <w:pPr>
              <w:spacing w:line="259" w:lineRule="auto"/>
              <w:ind w:left="43"/>
              <w:rPr>
                <w:rFonts w:ascii="Arial Narrow" w:hAnsi="Arial Narrow" w:cs="Times New Roman"/>
                <w:iCs/>
                <w:sz w:val="20"/>
                <w:szCs w:val="20"/>
              </w:rPr>
            </w:pPr>
            <w:r w:rsidRPr="00916586">
              <w:rPr>
                <w:rFonts w:ascii="Arial Narrow" w:eastAsia="Arial" w:hAnsi="Arial Narrow" w:cs="Times New Roman"/>
                <w:b/>
                <w:iCs/>
                <w:sz w:val="20"/>
                <w:szCs w:val="20"/>
              </w:rPr>
              <w:t xml:space="preserve">Total Daily Dose  </w:t>
            </w:r>
          </w:p>
        </w:tc>
        <w:tc>
          <w:tcPr>
            <w:tcW w:w="619" w:type="pct"/>
            <w:tcBorders>
              <w:top w:val="single" w:sz="8" w:space="0" w:color="000000"/>
              <w:left w:val="single" w:sz="7" w:space="0" w:color="000000"/>
              <w:bottom w:val="single" w:sz="4" w:space="0" w:color="FFFFFF"/>
              <w:right w:val="single" w:sz="8" w:space="0" w:color="000000"/>
            </w:tcBorders>
          </w:tcPr>
          <w:p w14:paraId="2B9F3C56" w14:textId="77777777" w:rsidR="002833C1" w:rsidRPr="00916586" w:rsidRDefault="002833C1" w:rsidP="00FE79F4">
            <w:pPr>
              <w:spacing w:line="259" w:lineRule="auto"/>
              <w:jc w:val="center"/>
              <w:rPr>
                <w:rFonts w:ascii="Arial Narrow" w:hAnsi="Arial Narrow" w:cs="Times New Roman"/>
                <w:iCs/>
                <w:sz w:val="20"/>
                <w:szCs w:val="20"/>
              </w:rPr>
            </w:pPr>
            <w:r w:rsidRPr="00916586">
              <w:rPr>
                <w:rFonts w:ascii="Arial Narrow" w:eastAsia="Arial" w:hAnsi="Arial Narrow" w:cs="Times New Roman"/>
                <w:b/>
                <w:iCs/>
                <w:sz w:val="20"/>
                <w:szCs w:val="20"/>
              </w:rPr>
              <w:t xml:space="preserve">Cost per TDD </w:t>
            </w:r>
            <w:r w:rsidRPr="00916586">
              <w:rPr>
                <w:rFonts w:ascii="Arial Narrow" w:eastAsia="Arial" w:hAnsi="Arial Narrow" w:cs="Times New Roman"/>
                <w:b/>
                <w:iCs/>
                <w:sz w:val="20"/>
                <w:szCs w:val="20"/>
                <w:vertAlign w:val="superscript"/>
              </w:rPr>
              <w:t>a</w:t>
            </w:r>
            <w:r w:rsidRPr="00916586">
              <w:rPr>
                <w:rFonts w:ascii="Arial Narrow" w:eastAsia="Arial" w:hAnsi="Arial Narrow" w:cs="Times New Roman"/>
                <w:b/>
                <w:iCs/>
                <w:sz w:val="20"/>
                <w:szCs w:val="20"/>
              </w:rPr>
              <w:t xml:space="preserve"> </w:t>
            </w:r>
          </w:p>
        </w:tc>
        <w:tc>
          <w:tcPr>
            <w:tcW w:w="876" w:type="pct"/>
            <w:tcBorders>
              <w:top w:val="single" w:sz="8" w:space="0" w:color="000000"/>
              <w:left w:val="single" w:sz="8" w:space="0" w:color="000000"/>
              <w:bottom w:val="single" w:sz="4" w:space="0" w:color="FFFFFF"/>
              <w:right w:val="single" w:sz="7" w:space="0" w:color="000000"/>
            </w:tcBorders>
            <w:vAlign w:val="center"/>
          </w:tcPr>
          <w:p w14:paraId="16DA7022" w14:textId="77777777" w:rsidR="002833C1" w:rsidRPr="00916586" w:rsidRDefault="002833C1" w:rsidP="00FE79F4">
            <w:pPr>
              <w:spacing w:line="259" w:lineRule="auto"/>
              <w:ind w:right="52"/>
              <w:jc w:val="center"/>
              <w:rPr>
                <w:rFonts w:ascii="Arial Narrow" w:hAnsi="Arial Narrow" w:cs="Times New Roman"/>
                <w:iCs/>
                <w:sz w:val="20"/>
                <w:szCs w:val="20"/>
              </w:rPr>
            </w:pPr>
            <w:r w:rsidRPr="00916586">
              <w:rPr>
                <w:rFonts w:ascii="Arial Narrow" w:eastAsia="Arial" w:hAnsi="Arial Narrow" w:cs="Times New Roman"/>
                <w:b/>
                <w:iCs/>
                <w:sz w:val="20"/>
                <w:szCs w:val="20"/>
              </w:rPr>
              <w:t xml:space="preserve">TDD </w:t>
            </w:r>
          </w:p>
        </w:tc>
        <w:tc>
          <w:tcPr>
            <w:tcW w:w="619" w:type="pct"/>
            <w:tcBorders>
              <w:top w:val="single" w:sz="8" w:space="0" w:color="000000"/>
              <w:left w:val="single" w:sz="7" w:space="0" w:color="000000"/>
              <w:bottom w:val="single" w:sz="4" w:space="0" w:color="FFFFFF"/>
              <w:right w:val="single" w:sz="8" w:space="0" w:color="000000"/>
            </w:tcBorders>
          </w:tcPr>
          <w:p w14:paraId="550C875E" w14:textId="77777777" w:rsidR="002833C1" w:rsidRPr="00916586" w:rsidRDefault="002833C1" w:rsidP="00FE79F4">
            <w:pPr>
              <w:spacing w:line="259" w:lineRule="auto"/>
              <w:jc w:val="center"/>
              <w:rPr>
                <w:rFonts w:ascii="Arial Narrow" w:hAnsi="Arial Narrow" w:cs="Times New Roman"/>
                <w:iCs/>
                <w:sz w:val="20"/>
                <w:szCs w:val="20"/>
              </w:rPr>
            </w:pPr>
            <w:r w:rsidRPr="00916586">
              <w:rPr>
                <w:rFonts w:ascii="Arial Narrow" w:eastAsia="Arial" w:hAnsi="Arial Narrow" w:cs="Times New Roman"/>
                <w:b/>
                <w:iCs/>
                <w:sz w:val="20"/>
                <w:szCs w:val="20"/>
              </w:rPr>
              <w:t xml:space="preserve">Cost per TDD </w:t>
            </w:r>
            <w:r w:rsidRPr="00916586">
              <w:rPr>
                <w:rFonts w:ascii="Arial Narrow" w:eastAsia="Arial" w:hAnsi="Arial Narrow" w:cs="Times New Roman"/>
                <w:b/>
                <w:iCs/>
                <w:sz w:val="20"/>
                <w:szCs w:val="20"/>
                <w:vertAlign w:val="superscript"/>
              </w:rPr>
              <w:t>b</w:t>
            </w:r>
            <w:r w:rsidRPr="00916586">
              <w:rPr>
                <w:rFonts w:ascii="Arial Narrow" w:eastAsia="Arial" w:hAnsi="Arial Narrow" w:cs="Times New Roman"/>
                <w:b/>
                <w:iCs/>
                <w:sz w:val="20"/>
                <w:szCs w:val="20"/>
              </w:rPr>
              <w:t xml:space="preserve"> </w:t>
            </w:r>
          </w:p>
        </w:tc>
        <w:tc>
          <w:tcPr>
            <w:tcW w:w="703" w:type="pct"/>
            <w:tcBorders>
              <w:top w:val="single" w:sz="4" w:space="0" w:color="FFFFFF"/>
              <w:left w:val="single" w:sz="8" w:space="0" w:color="000000"/>
              <w:bottom w:val="single" w:sz="4" w:space="0" w:color="FFFFFF"/>
              <w:right w:val="single" w:sz="7" w:space="0" w:color="000000"/>
            </w:tcBorders>
          </w:tcPr>
          <w:p w14:paraId="5CB1F1C5" w14:textId="77777777" w:rsidR="002833C1" w:rsidRPr="00916586" w:rsidRDefault="002833C1" w:rsidP="00FE79F4">
            <w:pPr>
              <w:spacing w:line="259" w:lineRule="auto"/>
              <w:ind w:right="5"/>
              <w:jc w:val="center"/>
              <w:rPr>
                <w:rFonts w:ascii="Arial Narrow" w:hAnsi="Arial Narrow" w:cs="Times New Roman"/>
                <w:iCs/>
                <w:sz w:val="20"/>
                <w:szCs w:val="20"/>
              </w:rPr>
            </w:pPr>
            <w:r w:rsidRPr="00916586">
              <w:rPr>
                <w:rFonts w:ascii="Arial Narrow" w:eastAsia="Arial" w:hAnsi="Arial Narrow" w:cs="Times New Roman"/>
                <w:b/>
                <w:iCs/>
                <w:sz w:val="20"/>
                <w:szCs w:val="20"/>
              </w:rPr>
              <w:t xml:space="preserve"> </w:t>
            </w:r>
          </w:p>
        </w:tc>
        <w:tc>
          <w:tcPr>
            <w:tcW w:w="664" w:type="pct"/>
            <w:tcBorders>
              <w:top w:val="single" w:sz="4" w:space="0" w:color="FFFFFF"/>
              <w:left w:val="single" w:sz="7" w:space="0" w:color="000000"/>
              <w:bottom w:val="single" w:sz="4" w:space="0" w:color="FFFFFF"/>
              <w:right w:val="single" w:sz="7" w:space="0" w:color="000000"/>
            </w:tcBorders>
          </w:tcPr>
          <w:p w14:paraId="3194FD7E" w14:textId="77777777" w:rsidR="002833C1" w:rsidRPr="00916586" w:rsidRDefault="002833C1" w:rsidP="00FE79F4">
            <w:pPr>
              <w:spacing w:line="259" w:lineRule="auto"/>
              <w:ind w:left="1"/>
              <w:rPr>
                <w:rFonts w:ascii="Arial Narrow" w:hAnsi="Arial Narrow" w:cs="Times New Roman"/>
                <w:iCs/>
                <w:sz w:val="20"/>
                <w:szCs w:val="20"/>
              </w:rPr>
            </w:pPr>
            <w:r w:rsidRPr="00916586">
              <w:rPr>
                <w:rFonts w:ascii="Arial Narrow" w:eastAsia="Arial" w:hAnsi="Arial Narrow" w:cs="Times New Roman"/>
                <w:b/>
                <w:iCs/>
                <w:sz w:val="20"/>
                <w:szCs w:val="20"/>
              </w:rPr>
              <w:t xml:space="preserve"> </w:t>
            </w:r>
          </w:p>
        </w:tc>
        <w:tc>
          <w:tcPr>
            <w:tcW w:w="651" w:type="pct"/>
            <w:tcBorders>
              <w:top w:val="single" w:sz="4" w:space="0" w:color="FFFFFF"/>
              <w:left w:val="single" w:sz="7" w:space="0" w:color="000000"/>
              <w:bottom w:val="single" w:sz="4" w:space="0" w:color="FFFFFF"/>
              <w:right w:val="single" w:sz="7" w:space="0" w:color="000000"/>
            </w:tcBorders>
          </w:tcPr>
          <w:p w14:paraId="3BCD85F8" w14:textId="77777777" w:rsidR="002833C1" w:rsidRPr="00916586" w:rsidRDefault="002833C1" w:rsidP="00FE79F4">
            <w:pPr>
              <w:spacing w:line="259" w:lineRule="auto"/>
              <w:ind w:left="1"/>
              <w:rPr>
                <w:rFonts w:ascii="Arial Narrow" w:hAnsi="Arial Narrow" w:cs="Times New Roman"/>
                <w:iCs/>
                <w:sz w:val="20"/>
                <w:szCs w:val="20"/>
              </w:rPr>
            </w:pPr>
            <w:r w:rsidRPr="00916586">
              <w:rPr>
                <w:rFonts w:ascii="Arial Narrow" w:eastAsia="Arial" w:hAnsi="Arial Narrow" w:cs="Times New Roman"/>
                <w:b/>
                <w:iCs/>
                <w:sz w:val="20"/>
                <w:szCs w:val="20"/>
              </w:rPr>
              <w:t xml:space="preserve"> </w:t>
            </w:r>
          </w:p>
        </w:tc>
      </w:tr>
      <w:tr w:rsidR="002833C1" w:rsidRPr="00916586" w14:paraId="7F382887" w14:textId="77777777" w:rsidTr="007A18D9">
        <w:trPr>
          <w:trHeight w:val="490"/>
        </w:trPr>
        <w:tc>
          <w:tcPr>
            <w:tcW w:w="867" w:type="pct"/>
            <w:tcBorders>
              <w:top w:val="single" w:sz="4" w:space="0" w:color="FFFFFF"/>
              <w:left w:val="single" w:sz="8" w:space="0" w:color="000000"/>
              <w:bottom w:val="single" w:sz="8" w:space="0" w:color="000000"/>
              <w:right w:val="single" w:sz="7" w:space="0" w:color="000000"/>
            </w:tcBorders>
          </w:tcPr>
          <w:p w14:paraId="507687DD" w14:textId="77777777" w:rsidR="002833C1" w:rsidRPr="00916586" w:rsidRDefault="002833C1" w:rsidP="00FE79F4">
            <w:pPr>
              <w:spacing w:line="259" w:lineRule="auto"/>
              <w:jc w:val="center"/>
              <w:rPr>
                <w:rFonts w:ascii="Arial Narrow" w:hAnsi="Arial Narrow" w:cs="Times New Roman"/>
                <w:iCs/>
                <w:sz w:val="20"/>
                <w:szCs w:val="20"/>
              </w:rPr>
            </w:pPr>
            <w:r w:rsidRPr="00916586">
              <w:rPr>
                <w:rFonts w:ascii="Arial Narrow" w:eastAsia="Arial" w:hAnsi="Arial Narrow" w:cs="Times New Roman"/>
                <w:b/>
                <w:iCs/>
                <w:sz w:val="20"/>
                <w:szCs w:val="20"/>
              </w:rPr>
              <w:t xml:space="preserve">(dosed twice daily) </w:t>
            </w:r>
          </w:p>
        </w:tc>
        <w:tc>
          <w:tcPr>
            <w:tcW w:w="619" w:type="pct"/>
            <w:tcBorders>
              <w:top w:val="single" w:sz="4" w:space="0" w:color="FFFFFF"/>
              <w:left w:val="single" w:sz="7" w:space="0" w:color="000000"/>
              <w:bottom w:val="single" w:sz="8" w:space="0" w:color="000000"/>
              <w:right w:val="single" w:sz="8" w:space="0" w:color="000000"/>
            </w:tcBorders>
            <w:vAlign w:val="center"/>
          </w:tcPr>
          <w:p w14:paraId="6E46F7BC" w14:textId="77777777" w:rsidR="002833C1" w:rsidRPr="00916586" w:rsidRDefault="002833C1" w:rsidP="00FE79F4">
            <w:pPr>
              <w:spacing w:line="259" w:lineRule="auto"/>
              <w:ind w:right="53"/>
              <w:jc w:val="center"/>
              <w:rPr>
                <w:rFonts w:ascii="Arial Narrow" w:hAnsi="Arial Narrow" w:cs="Times New Roman"/>
                <w:iCs/>
                <w:sz w:val="20"/>
                <w:szCs w:val="20"/>
              </w:rPr>
            </w:pPr>
            <w:r w:rsidRPr="00916586">
              <w:rPr>
                <w:rFonts w:ascii="Arial Narrow" w:eastAsia="Arial" w:hAnsi="Arial Narrow" w:cs="Times New Roman"/>
                <w:b/>
                <w:iCs/>
                <w:sz w:val="20"/>
                <w:szCs w:val="20"/>
              </w:rPr>
              <w:t xml:space="preserve">(A) </w:t>
            </w:r>
          </w:p>
        </w:tc>
        <w:tc>
          <w:tcPr>
            <w:tcW w:w="876" w:type="pct"/>
            <w:tcBorders>
              <w:top w:val="single" w:sz="4" w:space="0" w:color="FFFFFF"/>
              <w:left w:val="single" w:sz="8" w:space="0" w:color="000000"/>
              <w:bottom w:val="single" w:sz="8" w:space="0" w:color="000000"/>
              <w:right w:val="single" w:sz="7" w:space="0" w:color="000000"/>
            </w:tcBorders>
          </w:tcPr>
          <w:p w14:paraId="339AC7F5" w14:textId="77777777" w:rsidR="002833C1" w:rsidRPr="00916586" w:rsidRDefault="002833C1" w:rsidP="00FE79F4">
            <w:pPr>
              <w:spacing w:line="259" w:lineRule="auto"/>
              <w:ind w:right="54"/>
              <w:jc w:val="center"/>
              <w:rPr>
                <w:rFonts w:ascii="Arial Narrow" w:hAnsi="Arial Narrow" w:cs="Times New Roman"/>
                <w:iCs/>
                <w:sz w:val="20"/>
                <w:szCs w:val="20"/>
              </w:rPr>
            </w:pPr>
            <w:r w:rsidRPr="00916586">
              <w:rPr>
                <w:rFonts w:ascii="Arial Narrow" w:eastAsia="Arial" w:hAnsi="Arial Narrow" w:cs="Times New Roman"/>
                <w:b/>
                <w:iCs/>
                <w:sz w:val="20"/>
                <w:szCs w:val="20"/>
              </w:rPr>
              <w:t xml:space="preserve">(dosed once </w:t>
            </w:r>
          </w:p>
          <w:p w14:paraId="53F5C1C4" w14:textId="77777777" w:rsidR="002833C1" w:rsidRPr="00916586" w:rsidRDefault="002833C1" w:rsidP="00FE79F4">
            <w:pPr>
              <w:spacing w:line="259" w:lineRule="auto"/>
              <w:ind w:right="51"/>
              <w:jc w:val="center"/>
              <w:rPr>
                <w:rFonts w:ascii="Arial Narrow" w:hAnsi="Arial Narrow" w:cs="Times New Roman"/>
                <w:iCs/>
                <w:sz w:val="20"/>
                <w:szCs w:val="20"/>
              </w:rPr>
            </w:pPr>
            <w:r w:rsidRPr="00916586">
              <w:rPr>
                <w:rFonts w:ascii="Arial Narrow" w:eastAsia="Arial" w:hAnsi="Arial Narrow" w:cs="Times New Roman"/>
                <w:b/>
                <w:iCs/>
                <w:sz w:val="20"/>
                <w:szCs w:val="20"/>
              </w:rPr>
              <w:t xml:space="preserve">daily) </w:t>
            </w:r>
          </w:p>
        </w:tc>
        <w:tc>
          <w:tcPr>
            <w:tcW w:w="619" w:type="pct"/>
            <w:tcBorders>
              <w:top w:val="single" w:sz="4" w:space="0" w:color="FFFFFF"/>
              <w:left w:val="single" w:sz="7" w:space="0" w:color="000000"/>
              <w:bottom w:val="single" w:sz="8" w:space="0" w:color="000000"/>
              <w:right w:val="single" w:sz="8" w:space="0" w:color="000000"/>
            </w:tcBorders>
            <w:vAlign w:val="center"/>
          </w:tcPr>
          <w:p w14:paraId="16176C26" w14:textId="77777777" w:rsidR="002833C1" w:rsidRPr="00916586" w:rsidRDefault="002833C1" w:rsidP="00FE79F4">
            <w:pPr>
              <w:spacing w:line="259" w:lineRule="auto"/>
              <w:ind w:right="53"/>
              <w:jc w:val="center"/>
              <w:rPr>
                <w:rFonts w:ascii="Arial Narrow" w:hAnsi="Arial Narrow" w:cs="Times New Roman"/>
                <w:iCs/>
                <w:sz w:val="20"/>
                <w:szCs w:val="20"/>
              </w:rPr>
            </w:pPr>
            <w:r w:rsidRPr="00916586">
              <w:rPr>
                <w:rFonts w:ascii="Arial Narrow" w:eastAsia="Arial" w:hAnsi="Arial Narrow" w:cs="Times New Roman"/>
                <w:b/>
                <w:iCs/>
                <w:sz w:val="20"/>
                <w:szCs w:val="20"/>
              </w:rPr>
              <w:t xml:space="preserve">(B) </w:t>
            </w:r>
          </w:p>
        </w:tc>
        <w:tc>
          <w:tcPr>
            <w:tcW w:w="703" w:type="pct"/>
            <w:tcBorders>
              <w:top w:val="single" w:sz="4" w:space="0" w:color="FFFFFF"/>
              <w:left w:val="single" w:sz="8" w:space="0" w:color="000000"/>
              <w:bottom w:val="single" w:sz="8" w:space="0" w:color="000000"/>
              <w:right w:val="single" w:sz="7" w:space="0" w:color="000000"/>
            </w:tcBorders>
            <w:vAlign w:val="center"/>
          </w:tcPr>
          <w:p w14:paraId="1B9CAF85" w14:textId="77777777" w:rsidR="002833C1" w:rsidRPr="00916586" w:rsidRDefault="002833C1" w:rsidP="00FE79F4">
            <w:pPr>
              <w:spacing w:line="259" w:lineRule="auto"/>
              <w:ind w:right="53"/>
              <w:jc w:val="center"/>
              <w:rPr>
                <w:rFonts w:ascii="Arial Narrow" w:hAnsi="Arial Narrow" w:cs="Times New Roman"/>
                <w:iCs/>
                <w:sz w:val="20"/>
                <w:szCs w:val="20"/>
              </w:rPr>
            </w:pPr>
            <w:r w:rsidRPr="00916586">
              <w:rPr>
                <w:rFonts w:ascii="Arial Narrow" w:eastAsia="Arial" w:hAnsi="Arial Narrow" w:cs="Times New Roman"/>
                <w:b/>
                <w:iCs/>
                <w:sz w:val="20"/>
                <w:szCs w:val="20"/>
              </w:rPr>
              <w:t>(B – A)</w:t>
            </w:r>
            <w:r w:rsidRPr="00916586">
              <w:rPr>
                <w:rFonts w:ascii="Arial Narrow" w:eastAsia="Arial" w:hAnsi="Arial Narrow" w:cs="Times New Roman"/>
                <w:iCs/>
                <w:sz w:val="20"/>
                <w:szCs w:val="20"/>
              </w:rPr>
              <w:t xml:space="preserve"> </w:t>
            </w:r>
          </w:p>
        </w:tc>
        <w:tc>
          <w:tcPr>
            <w:tcW w:w="664" w:type="pct"/>
            <w:tcBorders>
              <w:top w:val="single" w:sz="4" w:space="0" w:color="FFFFFF"/>
              <w:left w:val="single" w:sz="7" w:space="0" w:color="000000"/>
              <w:bottom w:val="single" w:sz="8" w:space="0" w:color="000000"/>
              <w:right w:val="single" w:sz="7" w:space="0" w:color="000000"/>
            </w:tcBorders>
          </w:tcPr>
          <w:p w14:paraId="65064041" w14:textId="77777777" w:rsidR="002833C1" w:rsidRPr="00916586" w:rsidRDefault="002833C1" w:rsidP="00FE79F4">
            <w:pPr>
              <w:spacing w:line="259" w:lineRule="auto"/>
              <w:ind w:left="1"/>
              <w:rPr>
                <w:rFonts w:ascii="Arial Narrow" w:hAnsi="Arial Narrow" w:cs="Times New Roman"/>
                <w:iCs/>
                <w:sz w:val="20"/>
                <w:szCs w:val="20"/>
              </w:rPr>
            </w:pPr>
            <w:r w:rsidRPr="00916586">
              <w:rPr>
                <w:rFonts w:ascii="Arial Narrow" w:eastAsia="Arial" w:hAnsi="Arial Narrow" w:cs="Times New Roman"/>
                <w:b/>
                <w:iCs/>
                <w:sz w:val="20"/>
                <w:szCs w:val="20"/>
              </w:rPr>
              <w:t xml:space="preserve"> </w:t>
            </w:r>
          </w:p>
        </w:tc>
        <w:tc>
          <w:tcPr>
            <w:tcW w:w="651" w:type="pct"/>
            <w:tcBorders>
              <w:top w:val="single" w:sz="4" w:space="0" w:color="FFFFFF"/>
              <w:left w:val="single" w:sz="7" w:space="0" w:color="000000"/>
              <w:bottom w:val="single" w:sz="8" w:space="0" w:color="000000"/>
              <w:right w:val="single" w:sz="7" w:space="0" w:color="000000"/>
            </w:tcBorders>
          </w:tcPr>
          <w:p w14:paraId="3BDBEDA2" w14:textId="77777777" w:rsidR="002833C1" w:rsidRPr="00916586" w:rsidRDefault="002833C1" w:rsidP="00FE79F4">
            <w:pPr>
              <w:spacing w:line="259" w:lineRule="auto"/>
              <w:ind w:left="1"/>
              <w:rPr>
                <w:rFonts w:ascii="Arial Narrow" w:hAnsi="Arial Narrow" w:cs="Times New Roman"/>
                <w:iCs/>
                <w:sz w:val="20"/>
                <w:szCs w:val="20"/>
              </w:rPr>
            </w:pPr>
            <w:r w:rsidRPr="00916586">
              <w:rPr>
                <w:rFonts w:ascii="Arial Narrow" w:eastAsia="Arial" w:hAnsi="Arial Narrow" w:cs="Times New Roman"/>
                <w:b/>
                <w:iCs/>
                <w:sz w:val="20"/>
                <w:szCs w:val="20"/>
              </w:rPr>
              <w:t xml:space="preserve"> </w:t>
            </w:r>
          </w:p>
        </w:tc>
      </w:tr>
      <w:tr w:rsidR="002833C1" w:rsidRPr="00916586" w14:paraId="0E989532" w14:textId="77777777" w:rsidTr="007A18D9">
        <w:trPr>
          <w:trHeight w:val="284"/>
        </w:trPr>
        <w:tc>
          <w:tcPr>
            <w:tcW w:w="867" w:type="pct"/>
            <w:tcBorders>
              <w:top w:val="single" w:sz="8" w:space="0" w:color="000000"/>
              <w:left w:val="single" w:sz="8" w:space="0" w:color="000000"/>
              <w:bottom w:val="single" w:sz="7" w:space="0" w:color="000000"/>
              <w:right w:val="single" w:sz="7" w:space="0" w:color="000000"/>
            </w:tcBorders>
          </w:tcPr>
          <w:p w14:paraId="2877CA97" w14:textId="77777777" w:rsidR="002833C1" w:rsidRPr="00916586" w:rsidRDefault="002833C1" w:rsidP="00FE79F4">
            <w:pPr>
              <w:spacing w:line="259" w:lineRule="auto"/>
              <w:ind w:left="2"/>
              <w:rPr>
                <w:rFonts w:ascii="Arial Narrow" w:hAnsi="Arial Narrow" w:cs="Times New Roman"/>
                <w:iCs/>
                <w:sz w:val="20"/>
                <w:szCs w:val="20"/>
              </w:rPr>
            </w:pPr>
            <w:r w:rsidRPr="00916586">
              <w:rPr>
                <w:rFonts w:ascii="Arial Narrow" w:eastAsia="Arial" w:hAnsi="Arial Narrow" w:cs="Times New Roman"/>
                <w:iCs/>
                <w:sz w:val="20"/>
                <w:szCs w:val="20"/>
              </w:rPr>
              <w:t xml:space="preserve">75 mg / daily </w:t>
            </w:r>
          </w:p>
        </w:tc>
        <w:tc>
          <w:tcPr>
            <w:tcW w:w="619" w:type="pct"/>
            <w:tcBorders>
              <w:top w:val="single" w:sz="8" w:space="0" w:color="000000"/>
              <w:left w:val="single" w:sz="7" w:space="0" w:color="000000"/>
              <w:bottom w:val="single" w:sz="7" w:space="0" w:color="000000"/>
              <w:right w:val="single" w:sz="8" w:space="0" w:color="000000"/>
            </w:tcBorders>
          </w:tcPr>
          <w:p w14:paraId="16A3CCF6" w14:textId="77777777" w:rsidR="002833C1" w:rsidRPr="00916586" w:rsidRDefault="002833C1" w:rsidP="00FE79F4">
            <w:pPr>
              <w:spacing w:line="259" w:lineRule="auto"/>
              <w:ind w:right="49"/>
              <w:jc w:val="center"/>
              <w:rPr>
                <w:rFonts w:ascii="Arial Narrow" w:hAnsi="Arial Narrow" w:cs="Times New Roman"/>
                <w:iCs/>
                <w:sz w:val="20"/>
                <w:szCs w:val="20"/>
              </w:rPr>
            </w:pPr>
            <w:r w:rsidRPr="00916586">
              <w:rPr>
                <w:rFonts w:ascii="Arial Narrow" w:eastAsia="Arial" w:hAnsi="Arial Narrow" w:cs="Times New Roman"/>
                <w:iCs/>
                <w:sz w:val="20"/>
                <w:szCs w:val="20"/>
              </w:rPr>
              <w:t xml:space="preserve">$0.20 </w:t>
            </w:r>
          </w:p>
        </w:tc>
        <w:tc>
          <w:tcPr>
            <w:tcW w:w="876" w:type="pct"/>
            <w:tcBorders>
              <w:top w:val="single" w:sz="8" w:space="0" w:color="000000"/>
              <w:left w:val="single" w:sz="8" w:space="0" w:color="000000"/>
              <w:bottom w:val="single" w:sz="7" w:space="0" w:color="000000"/>
              <w:right w:val="single" w:sz="7" w:space="0" w:color="000000"/>
            </w:tcBorders>
          </w:tcPr>
          <w:p w14:paraId="24FAC57F" w14:textId="77777777" w:rsidR="002833C1" w:rsidRPr="00916586" w:rsidRDefault="002833C1" w:rsidP="00FE79F4">
            <w:pPr>
              <w:spacing w:line="259" w:lineRule="auto"/>
              <w:rPr>
                <w:rFonts w:ascii="Arial Narrow" w:hAnsi="Arial Narrow" w:cs="Times New Roman"/>
                <w:iCs/>
                <w:sz w:val="20"/>
                <w:szCs w:val="20"/>
              </w:rPr>
            </w:pPr>
            <w:r w:rsidRPr="00916586">
              <w:rPr>
                <w:rFonts w:ascii="Arial Narrow" w:eastAsia="Arial" w:hAnsi="Arial Narrow" w:cs="Times New Roman"/>
                <w:iCs/>
                <w:sz w:val="20"/>
                <w:szCs w:val="20"/>
              </w:rPr>
              <w:t xml:space="preserve">82.5 mg / daily </w:t>
            </w:r>
          </w:p>
        </w:tc>
        <w:tc>
          <w:tcPr>
            <w:tcW w:w="619" w:type="pct"/>
            <w:tcBorders>
              <w:top w:val="single" w:sz="8" w:space="0" w:color="000000"/>
              <w:left w:val="single" w:sz="7" w:space="0" w:color="000000"/>
              <w:bottom w:val="single" w:sz="7" w:space="0" w:color="000000"/>
              <w:right w:val="single" w:sz="8" w:space="0" w:color="000000"/>
            </w:tcBorders>
          </w:tcPr>
          <w:p w14:paraId="43776198" w14:textId="77777777" w:rsidR="002833C1" w:rsidRPr="00916586" w:rsidRDefault="002833C1" w:rsidP="00FE79F4">
            <w:pPr>
              <w:spacing w:line="259" w:lineRule="auto"/>
              <w:ind w:right="54"/>
              <w:jc w:val="center"/>
              <w:rPr>
                <w:rFonts w:ascii="Arial Narrow" w:hAnsi="Arial Narrow" w:cs="Times New Roman"/>
                <w:iCs/>
                <w:sz w:val="20"/>
                <w:szCs w:val="20"/>
              </w:rPr>
            </w:pPr>
            <w:r w:rsidRPr="00916586">
              <w:rPr>
                <w:rFonts w:ascii="Arial Narrow" w:eastAsia="Arial" w:hAnsi="Arial Narrow" w:cs="Times New Roman"/>
                <w:iCs/>
                <w:sz w:val="20"/>
                <w:szCs w:val="20"/>
              </w:rPr>
              <w:t xml:space="preserve">$0.19 </w:t>
            </w:r>
          </w:p>
        </w:tc>
        <w:tc>
          <w:tcPr>
            <w:tcW w:w="703" w:type="pct"/>
            <w:tcBorders>
              <w:top w:val="single" w:sz="8" w:space="0" w:color="000000"/>
              <w:left w:val="single" w:sz="8" w:space="0" w:color="000000"/>
              <w:bottom w:val="single" w:sz="7" w:space="0" w:color="000000"/>
              <w:right w:val="single" w:sz="7" w:space="0" w:color="000000"/>
            </w:tcBorders>
          </w:tcPr>
          <w:p w14:paraId="55E7D07F" w14:textId="77777777" w:rsidR="002833C1" w:rsidRPr="00916586" w:rsidRDefault="002833C1" w:rsidP="00FE79F4">
            <w:pPr>
              <w:spacing w:line="259" w:lineRule="auto"/>
              <w:ind w:right="54"/>
              <w:jc w:val="center"/>
              <w:rPr>
                <w:rFonts w:ascii="Arial Narrow" w:hAnsi="Arial Narrow" w:cs="Times New Roman"/>
                <w:iCs/>
                <w:sz w:val="20"/>
                <w:szCs w:val="20"/>
              </w:rPr>
            </w:pPr>
            <w:r w:rsidRPr="00916586">
              <w:rPr>
                <w:rFonts w:ascii="Arial Narrow" w:eastAsia="Arial" w:hAnsi="Arial Narrow" w:cs="Times New Roman"/>
                <w:iCs/>
                <w:sz w:val="20"/>
                <w:szCs w:val="20"/>
              </w:rPr>
              <w:t xml:space="preserve">-$0.01 </w:t>
            </w:r>
          </w:p>
        </w:tc>
        <w:tc>
          <w:tcPr>
            <w:tcW w:w="664" w:type="pct"/>
            <w:tcBorders>
              <w:top w:val="single" w:sz="8" w:space="0" w:color="000000"/>
              <w:left w:val="single" w:sz="7" w:space="0" w:color="000000"/>
              <w:bottom w:val="single" w:sz="7" w:space="0" w:color="000000"/>
              <w:right w:val="single" w:sz="7" w:space="0" w:color="000000"/>
            </w:tcBorders>
          </w:tcPr>
          <w:p w14:paraId="39366E88" w14:textId="77777777" w:rsidR="002833C1" w:rsidRPr="00916586" w:rsidRDefault="002833C1" w:rsidP="00FE79F4">
            <w:pPr>
              <w:spacing w:line="259" w:lineRule="auto"/>
              <w:ind w:right="52"/>
              <w:jc w:val="right"/>
              <w:rPr>
                <w:rFonts w:ascii="Arial Narrow" w:hAnsi="Arial Narrow" w:cs="Times New Roman"/>
                <w:iCs/>
                <w:sz w:val="20"/>
                <w:szCs w:val="20"/>
              </w:rPr>
            </w:pPr>
            <w:r w:rsidRPr="00916586">
              <w:rPr>
                <w:rFonts w:ascii="Arial Narrow" w:eastAsia="Arial" w:hAnsi="Arial Narrow" w:cs="Times New Roman"/>
                <w:iCs/>
                <w:sz w:val="20"/>
                <w:szCs w:val="20"/>
              </w:rPr>
              <w:t xml:space="preserve">35.3% </w:t>
            </w:r>
          </w:p>
        </w:tc>
        <w:tc>
          <w:tcPr>
            <w:tcW w:w="651" w:type="pct"/>
            <w:tcBorders>
              <w:top w:val="single" w:sz="8" w:space="0" w:color="000000"/>
              <w:left w:val="single" w:sz="7" w:space="0" w:color="000000"/>
              <w:bottom w:val="single" w:sz="7" w:space="0" w:color="000000"/>
              <w:right w:val="single" w:sz="7" w:space="0" w:color="000000"/>
            </w:tcBorders>
          </w:tcPr>
          <w:p w14:paraId="783B1B70" w14:textId="77777777" w:rsidR="002833C1" w:rsidRPr="00916586" w:rsidRDefault="002833C1" w:rsidP="00FE79F4">
            <w:pPr>
              <w:spacing w:line="259" w:lineRule="auto"/>
              <w:ind w:right="52"/>
              <w:jc w:val="right"/>
              <w:rPr>
                <w:rFonts w:ascii="Arial Narrow" w:hAnsi="Arial Narrow" w:cs="Times New Roman"/>
                <w:iCs/>
                <w:sz w:val="20"/>
                <w:szCs w:val="20"/>
              </w:rPr>
            </w:pPr>
            <w:r w:rsidRPr="00916586">
              <w:rPr>
                <w:rFonts w:ascii="Arial Narrow" w:eastAsia="Arial" w:hAnsi="Arial Narrow" w:cs="Times New Roman"/>
                <w:iCs/>
                <w:sz w:val="20"/>
                <w:szCs w:val="20"/>
              </w:rPr>
              <w:t xml:space="preserve">49.9% </w:t>
            </w:r>
          </w:p>
        </w:tc>
      </w:tr>
      <w:tr w:rsidR="002833C1" w:rsidRPr="00916586" w14:paraId="246E0705" w14:textId="77777777" w:rsidTr="007A18D9">
        <w:trPr>
          <w:trHeight w:val="284"/>
        </w:trPr>
        <w:tc>
          <w:tcPr>
            <w:tcW w:w="867" w:type="pct"/>
            <w:tcBorders>
              <w:top w:val="single" w:sz="7" w:space="0" w:color="000000"/>
              <w:left w:val="single" w:sz="8" w:space="0" w:color="000000"/>
              <w:bottom w:val="single" w:sz="8" w:space="0" w:color="000000"/>
              <w:right w:val="single" w:sz="7" w:space="0" w:color="000000"/>
            </w:tcBorders>
          </w:tcPr>
          <w:p w14:paraId="0EA05C3C" w14:textId="77777777" w:rsidR="002833C1" w:rsidRPr="00916586" w:rsidRDefault="002833C1" w:rsidP="00FE79F4">
            <w:pPr>
              <w:spacing w:line="259" w:lineRule="auto"/>
              <w:ind w:left="2"/>
              <w:rPr>
                <w:rFonts w:ascii="Arial Narrow" w:hAnsi="Arial Narrow" w:cs="Times New Roman"/>
                <w:iCs/>
                <w:sz w:val="20"/>
                <w:szCs w:val="20"/>
              </w:rPr>
            </w:pPr>
            <w:r w:rsidRPr="00916586">
              <w:rPr>
                <w:rFonts w:ascii="Arial Narrow" w:eastAsia="Arial" w:hAnsi="Arial Narrow" w:cs="Times New Roman"/>
                <w:iCs/>
                <w:sz w:val="20"/>
                <w:szCs w:val="20"/>
              </w:rPr>
              <w:t xml:space="preserve">150 mg / daily </w:t>
            </w:r>
          </w:p>
        </w:tc>
        <w:tc>
          <w:tcPr>
            <w:tcW w:w="619" w:type="pct"/>
            <w:tcBorders>
              <w:top w:val="single" w:sz="7" w:space="0" w:color="000000"/>
              <w:left w:val="single" w:sz="7" w:space="0" w:color="000000"/>
              <w:bottom w:val="single" w:sz="8" w:space="0" w:color="000000"/>
              <w:right w:val="single" w:sz="8" w:space="0" w:color="000000"/>
            </w:tcBorders>
          </w:tcPr>
          <w:p w14:paraId="38FF1EB2" w14:textId="77777777" w:rsidR="002833C1" w:rsidRPr="00916586" w:rsidRDefault="002833C1" w:rsidP="00FE79F4">
            <w:pPr>
              <w:spacing w:line="259" w:lineRule="auto"/>
              <w:ind w:right="49"/>
              <w:jc w:val="center"/>
              <w:rPr>
                <w:rFonts w:ascii="Arial Narrow" w:hAnsi="Arial Narrow" w:cs="Times New Roman"/>
                <w:iCs/>
                <w:sz w:val="20"/>
                <w:szCs w:val="20"/>
              </w:rPr>
            </w:pPr>
            <w:r w:rsidRPr="00916586">
              <w:rPr>
                <w:rFonts w:ascii="Arial Narrow" w:eastAsia="Arial" w:hAnsi="Arial Narrow" w:cs="Times New Roman"/>
                <w:iCs/>
                <w:sz w:val="20"/>
                <w:szCs w:val="20"/>
              </w:rPr>
              <w:t xml:space="preserve">$0.29 </w:t>
            </w:r>
          </w:p>
        </w:tc>
        <w:tc>
          <w:tcPr>
            <w:tcW w:w="876" w:type="pct"/>
            <w:tcBorders>
              <w:top w:val="single" w:sz="7" w:space="0" w:color="000000"/>
              <w:left w:val="single" w:sz="8" w:space="0" w:color="000000"/>
              <w:bottom w:val="single" w:sz="8" w:space="0" w:color="000000"/>
              <w:right w:val="single" w:sz="7" w:space="0" w:color="000000"/>
            </w:tcBorders>
          </w:tcPr>
          <w:p w14:paraId="2E4975A5" w14:textId="77777777" w:rsidR="002833C1" w:rsidRPr="00916586" w:rsidRDefault="002833C1" w:rsidP="00FE79F4">
            <w:pPr>
              <w:spacing w:line="259" w:lineRule="auto"/>
              <w:rPr>
                <w:rFonts w:ascii="Arial Narrow" w:hAnsi="Arial Narrow" w:cs="Times New Roman"/>
                <w:iCs/>
                <w:sz w:val="20"/>
                <w:szCs w:val="20"/>
              </w:rPr>
            </w:pPr>
            <w:r w:rsidRPr="00916586">
              <w:rPr>
                <w:rFonts w:ascii="Arial Narrow" w:eastAsia="Arial" w:hAnsi="Arial Narrow" w:cs="Times New Roman"/>
                <w:iCs/>
                <w:sz w:val="20"/>
                <w:szCs w:val="20"/>
              </w:rPr>
              <w:t xml:space="preserve">165 mg / daily </w:t>
            </w:r>
          </w:p>
        </w:tc>
        <w:tc>
          <w:tcPr>
            <w:tcW w:w="619" w:type="pct"/>
            <w:tcBorders>
              <w:top w:val="single" w:sz="7" w:space="0" w:color="000000"/>
              <w:left w:val="single" w:sz="7" w:space="0" w:color="000000"/>
              <w:bottom w:val="single" w:sz="8" w:space="0" w:color="000000"/>
              <w:right w:val="single" w:sz="8" w:space="0" w:color="000000"/>
            </w:tcBorders>
          </w:tcPr>
          <w:p w14:paraId="533312C2" w14:textId="77777777" w:rsidR="002833C1" w:rsidRPr="00916586" w:rsidRDefault="002833C1" w:rsidP="00FE79F4">
            <w:pPr>
              <w:spacing w:line="259" w:lineRule="auto"/>
              <w:ind w:right="54"/>
              <w:jc w:val="center"/>
              <w:rPr>
                <w:rFonts w:ascii="Arial Narrow" w:hAnsi="Arial Narrow" w:cs="Times New Roman"/>
                <w:iCs/>
                <w:sz w:val="20"/>
                <w:szCs w:val="20"/>
              </w:rPr>
            </w:pPr>
            <w:r w:rsidRPr="00916586">
              <w:rPr>
                <w:rFonts w:ascii="Arial Narrow" w:eastAsia="Arial" w:hAnsi="Arial Narrow" w:cs="Times New Roman"/>
                <w:iCs/>
                <w:sz w:val="20"/>
                <w:szCs w:val="20"/>
              </w:rPr>
              <w:t xml:space="preserve">$0.27 </w:t>
            </w:r>
          </w:p>
        </w:tc>
        <w:tc>
          <w:tcPr>
            <w:tcW w:w="703" w:type="pct"/>
            <w:tcBorders>
              <w:top w:val="single" w:sz="7" w:space="0" w:color="000000"/>
              <w:left w:val="single" w:sz="8" w:space="0" w:color="000000"/>
              <w:bottom w:val="single" w:sz="8" w:space="0" w:color="000000"/>
              <w:right w:val="single" w:sz="7" w:space="0" w:color="000000"/>
            </w:tcBorders>
          </w:tcPr>
          <w:p w14:paraId="696371D1" w14:textId="77777777" w:rsidR="002833C1" w:rsidRPr="00916586" w:rsidRDefault="002833C1" w:rsidP="00FE79F4">
            <w:pPr>
              <w:spacing w:line="259" w:lineRule="auto"/>
              <w:ind w:right="54"/>
              <w:jc w:val="center"/>
              <w:rPr>
                <w:rFonts w:ascii="Arial Narrow" w:hAnsi="Arial Narrow" w:cs="Times New Roman"/>
                <w:iCs/>
                <w:sz w:val="20"/>
                <w:szCs w:val="20"/>
              </w:rPr>
            </w:pPr>
            <w:r w:rsidRPr="00916586">
              <w:rPr>
                <w:rFonts w:ascii="Arial Narrow" w:eastAsia="Arial" w:hAnsi="Arial Narrow" w:cs="Times New Roman"/>
                <w:iCs/>
                <w:sz w:val="20"/>
                <w:szCs w:val="20"/>
              </w:rPr>
              <w:t xml:space="preserve">-$0.03 </w:t>
            </w:r>
          </w:p>
        </w:tc>
        <w:tc>
          <w:tcPr>
            <w:tcW w:w="664" w:type="pct"/>
            <w:tcBorders>
              <w:top w:val="single" w:sz="7" w:space="0" w:color="000000"/>
              <w:left w:val="single" w:sz="7" w:space="0" w:color="000000"/>
              <w:bottom w:val="single" w:sz="8" w:space="0" w:color="000000"/>
              <w:right w:val="single" w:sz="7" w:space="0" w:color="000000"/>
            </w:tcBorders>
          </w:tcPr>
          <w:p w14:paraId="27125ADC" w14:textId="77777777" w:rsidR="002833C1" w:rsidRPr="00916586" w:rsidRDefault="002833C1" w:rsidP="00FE79F4">
            <w:pPr>
              <w:spacing w:line="259" w:lineRule="auto"/>
              <w:ind w:right="52"/>
              <w:jc w:val="right"/>
              <w:rPr>
                <w:rFonts w:ascii="Arial Narrow" w:hAnsi="Arial Narrow" w:cs="Times New Roman"/>
                <w:iCs/>
                <w:sz w:val="20"/>
                <w:szCs w:val="20"/>
              </w:rPr>
            </w:pPr>
            <w:r w:rsidRPr="00916586">
              <w:rPr>
                <w:rFonts w:ascii="Arial Narrow" w:eastAsia="Arial" w:hAnsi="Arial Narrow" w:cs="Times New Roman"/>
                <w:iCs/>
                <w:sz w:val="20"/>
                <w:szCs w:val="20"/>
              </w:rPr>
              <w:t xml:space="preserve">22.0% </w:t>
            </w:r>
          </w:p>
        </w:tc>
        <w:tc>
          <w:tcPr>
            <w:tcW w:w="651" w:type="pct"/>
            <w:tcBorders>
              <w:top w:val="single" w:sz="7" w:space="0" w:color="000000"/>
              <w:left w:val="single" w:sz="7" w:space="0" w:color="000000"/>
              <w:bottom w:val="single" w:sz="8" w:space="0" w:color="000000"/>
              <w:right w:val="single" w:sz="7" w:space="0" w:color="000000"/>
            </w:tcBorders>
          </w:tcPr>
          <w:p w14:paraId="06346E09" w14:textId="77777777" w:rsidR="002833C1" w:rsidRPr="00916586" w:rsidRDefault="002833C1" w:rsidP="00FE79F4">
            <w:pPr>
              <w:spacing w:line="259" w:lineRule="auto"/>
              <w:ind w:right="52"/>
              <w:jc w:val="right"/>
              <w:rPr>
                <w:rFonts w:ascii="Arial Narrow" w:hAnsi="Arial Narrow" w:cs="Times New Roman"/>
                <w:iCs/>
                <w:sz w:val="20"/>
                <w:szCs w:val="20"/>
              </w:rPr>
            </w:pPr>
            <w:r w:rsidRPr="00916586">
              <w:rPr>
                <w:rFonts w:ascii="Arial Narrow" w:eastAsia="Arial" w:hAnsi="Arial Narrow" w:cs="Times New Roman"/>
                <w:iCs/>
                <w:sz w:val="20"/>
                <w:szCs w:val="20"/>
              </w:rPr>
              <w:t xml:space="preserve">31.1% </w:t>
            </w:r>
          </w:p>
        </w:tc>
      </w:tr>
      <w:tr w:rsidR="002833C1" w:rsidRPr="00916586" w14:paraId="358EF898" w14:textId="77777777" w:rsidTr="007A18D9">
        <w:trPr>
          <w:trHeight w:val="275"/>
        </w:trPr>
        <w:tc>
          <w:tcPr>
            <w:tcW w:w="867" w:type="pct"/>
            <w:tcBorders>
              <w:top w:val="nil"/>
              <w:left w:val="single" w:sz="8" w:space="0" w:color="000000"/>
              <w:bottom w:val="single" w:sz="7" w:space="0" w:color="000000"/>
              <w:right w:val="single" w:sz="7" w:space="0" w:color="000000"/>
            </w:tcBorders>
          </w:tcPr>
          <w:p w14:paraId="2C1003B0" w14:textId="77777777" w:rsidR="002833C1" w:rsidRPr="00916586" w:rsidRDefault="002833C1" w:rsidP="00FE79F4">
            <w:pPr>
              <w:spacing w:line="259" w:lineRule="auto"/>
              <w:ind w:left="2"/>
              <w:rPr>
                <w:rFonts w:ascii="Arial Narrow" w:hAnsi="Arial Narrow" w:cs="Times New Roman"/>
                <w:iCs/>
                <w:sz w:val="20"/>
                <w:szCs w:val="20"/>
              </w:rPr>
            </w:pPr>
            <w:r w:rsidRPr="00916586">
              <w:rPr>
                <w:rFonts w:ascii="Arial Narrow" w:eastAsia="Arial" w:hAnsi="Arial Narrow" w:cs="Times New Roman"/>
                <w:iCs/>
                <w:sz w:val="20"/>
                <w:szCs w:val="20"/>
              </w:rPr>
              <w:t xml:space="preserve">225 mg / daily </w:t>
            </w:r>
          </w:p>
        </w:tc>
        <w:tc>
          <w:tcPr>
            <w:tcW w:w="619" w:type="pct"/>
            <w:tcBorders>
              <w:top w:val="nil"/>
              <w:left w:val="single" w:sz="7" w:space="0" w:color="000000"/>
              <w:bottom w:val="single" w:sz="7" w:space="0" w:color="000000"/>
              <w:right w:val="single" w:sz="8" w:space="0" w:color="000000"/>
            </w:tcBorders>
          </w:tcPr>
          <w:p w14:paraId="7D6A4B9A" w14:textId="77777777" w:rsidR="002833C1" w:rsidRPr="00916586" w:rsidRDefault="002833C1" w:rsidP="00FE79F4">
            <w:pPr>
              <w:spacing w:line="259" w:lineRule="auto"/>
              <w:ind w:right="42"/>
              <w:jc w:val="center"/>
              <w:rPr>
                <w:rFonts w:ascii="Arial Narrow" w:hAnsi="Arial Narrow" w:cs="Times New Roman"/>
                <w:iCs/>
                <w:sz w:val="20"/>
                <w:szCs w:val="20"/>
              </w:rPr>
            </w:pPr>
            <w:r w:rsidRPr="00916586">
              <w:rPr>
                <w:rFonts w:ascii="Arial Narrow" w:eastAsia="Arial" w:hAnsi="Arial Narrow" w:cs="Times New Roman"/>
                <w:iCs/>
                <w:sz w:val="20"/>
                <w:szCs w:val="20"/>
              </w:rPr>
              <w:t xml:space="preserve">$0.37 </w:t>
            </w:r>
          </w:p>
        </w:tc>
        <w:tc>
          <w:tcPr>
            <w:tcW w:w="876" w:type="pct"/>
            <w:tcBorders>
              <w:top w:val="nil"/>
              <w:left w:val="single" w:sz="8" w:space="0" w:color="000000"/>
              <w:bottom w:val="single" w:sz="7" w:space="0" w:color="000000"/>
              <w:right w:val="single" w:sz="7" w:space="0" w:color="000000"/>
            </w:tcBorders>
          </w:tcPr>
          <w:p w14:paraId="71E35CE3" w14:textId="77777777" w:rsidR="002833C1" w:rsidRPr="00916586" w:rsidRDefault="002833C1" w:rsidP="00FE79F4">
            <w:pPr>
              <w:spacing w:line="259" w:lineRule="auto"/>
              <w:rPr>
                <w:rFonts w:ascii="Arial Narrow" w:hAnsi="Arial Narrow" w:cs="Times New Roman"/>
                <w:iCs/>
                <w:sz w:val="20"/>
                <w:szCs w:val="20"/>
              </w:rPr>
            </w:pPr>
            <w:r w:rsidRPr="00916586">
              <w:rPr>
                <w:rFonts w:ascii="Arial Narrow" w:eastAsia="Arial" w:hAnsi="Arial Narrow" w:cs="Times New Roman"/>
                <w:iCs/>
                <w:sz w:val="20"/>
                <w:szCs w:val="20"/>
              </w:rPr>
              <w:t xml:space="preserve">247.5 mg / daily </w:t>
            </w:r>
            <w:r w:rsidRPr="00916586">
              <w:rPr>
                <w:rFonts w:ascii="Arial Narrow" w:eastAsia="Arial" w:hAnsi="Arial Narrow" w:cs="Times New Roman"/>
                <w:iCs/>
                <w:sz w:val="20"/>
                <w:szCs w:val="20"/>
                <w:vertAlign w:val="superscript"/>
              </w:rPr>
              <w:t>d</w:t>
            </w:r>
            <w:r w:rsidRPr="00916586">
              <w:rPr>
                <w:rFonts w:ascii="Arial Narrow" w:eastAsia="Arial" w:hAnsi="Arial Narrow" w:cs="Times New Roman"/>
                <w:iCs/>
                <w:sz w:val="20"/>
                <w:szCs w:val="20"/>
              </w:rPr>
              <w:t xml:space="preserve"> </w:t>
            </w:r>
          </w:p>
        </w:tc>
        <w:tc>
          <w:tcPr>
            <w:tcW w:w="619" w:type="pct"/>
            <w:tcBorders>
              <w:top w:val="nil"/>
              <w:left w:val="single" w:sz="7" w:space="0" w:color="000000"/>
              <w:bottom w:val="single" w:sz="7" w:space="0" w:color="000000"/>
              <w:right w:val="single" w:sz="8" w:space="0" w:color="000000"/>
            </w:tcBorders>
          </w:tcPr>
          <w:p w14:paraId="3A6F59BD" w14:textId="77777777" w:rsidR="002833C1" w:rsidRPr="00916586" w:rsidRDefault="002833C1" w:rsidP="00FE79F4">
            <w:pPr>
              <w:spacing w:line="259" w:lineRule="auto"/>
              <w:ind w:right="46"/>
              <w:jc w:val="center"/>
              <w:rPr>
                <w:rFonts w:ascii="Arial Narrow" w:hAnsi="Arial Narrow" w:cs="Times New Roman"/>
                <w:iCs/>
                <w:sz w:val="20"/>
                <w:szCs w:val="20"/>
              </w:rPr>
            </w:pPr>
            <w:r w:rsidRPr="00916586">
              <w:rPr>
                <w:rFonts w:ascii="Arial Narrow" w:eastAsia="Arial" w:hAnsi="Arial Narrow" w:cs="Times New Roman"/>
                <w:iCs/>
                <w:sz w:val="20"/>
                <w:szCs w:val="20"/>
              </w:rPr>
              <w:t xml:space="preserve">$0.45 </w:t>
            </w:r>
          </w:p>
        </w:tc>
        <w:tc>
          <w:tcPr>
            <w:tcW w:w="703" w:type="pct"/>
            <w:tcBorders>
              <w:top w:val="nil"/>
              <w:left w:val="single" w:sz="8" w:space="0" w:color="000000"/>
              <w:bottom w:val="single" w:sz="7" w:space="0" w:color="000000"/>
              <w:right w:val="single" w:sz="7" w:space="0" w:color="000000"/>
            </w:tcBorders>
          </w:tcPr>
          <w:p w14:paraId="5CD28971" w14:textId="77777777" w:rsidR="002833C1" w:rsidRPr="00916586" w:rsidRDefault="002833C1" w:rsidP="00FE79F4">
            <w:pPr>
              <w:spacing w:line="259" w:lineRule="auto"/>
              <w:ind w:right="44"/>
              <w:jc w:val="center"/>
              <w:rPr>
                <w:rFonts w:ascii="Arial Narrow" w:hAnsi="Arial Narrow" w:cs="Times New Roman"/>
                <w:iCs/>
                <w:sz w:val="20"/>
                <w:szCs w:val="20"/>
              </w:rPr>
            </w:pPr>
            <w:r w:rsidRPr="00916586">
              <w:rPr>
                <w:rFonts w:ascii="Arial Narrow" w:eastAsia="Arial" w:hAnsi="Arial Narrow" w:cs="Times New Roman"/>
                <w:iCs/>
                <w:sz w:val="20"/>
                <w:szCs w:val="20"/>
              </w:rPr>
              <w:t xml:space="preserve">$0.08 </w:t>
            </w:r>
          </w:p>
        </w:tc>
        <w:tc>
          <w:tcPr>
            <w:tcW w:w="664" w:type="pct"/>
            <w:tcBorders>
              <w:top w:val="nil"/>
              <w:left w:val="single" w:sz="7" w:space="0" w:color="000000"/>
              <w:bottom w:val="single" w:sz="7" w:space="0" w:color="000000"/>
              <w:right w:val="single" w:sz="7" w:space="0" w:color="000000"/>
            </w:tcBorders>
          </w:tcPr>
          <w:p w14:paraId="13EF8F77" w14:textId="77777777" w:rsidR="002833C1" w:rsidRPr="00916586" w:rsidRDefault="002833C1" w:rsidP="00FE79F4">
            <w:pPr>
              <w:spacing w:line="259" w:lineRule="auto"/>
              <w:ind w:right="45"/>
              <w:jc w:val="right"/>
              <w:rPr>
                <w:rFonts w:ascii="Arial Narrow" w:hAnsi="Arial Narrow" w:cs="Times New Roman"/>
                <w:iCs/>
                <w:sz w:val="20"/>
                <w:szCs w:val="20"/>
              </w:rPr>
            </w:pPr>
            <w:r w:rsidRPr="00916586">
              <w:rPr>
                <w:rFonts w:ascii="Arial Narrow" w:eastAsia="Arial" w:hAnsi="Arial Narrow" w:cs="Times New Roman"/>
                <w:iCs/>
                <w:sz w:val="20"/>
                <w:szCs w:val="20"/>
              </w:rPr>
              <w:t xml:space="preserve">2.7% </w:t>
            </w:r>
          </w:p>
        </w:tc>
        <w:tc>
          <w:tcPr>
            <w:tcW w:w="651" w:type="pct"/>
            <w:tcBorders>
              <w:top w:val="nil"/>
              <w:left w:val="single" w:sz="7" w:space="0" w:color="000000"/>
              <w:bottom w:val="single" w:sz="7" w:space="0" w:color="000000"/>
              <w:right w:val="single" w:sz="7" w:space="0" w:color="000000"/>
            </w:tcBorders>
          </w:tcPr>
          <w:p w14:paraId="685F92C8" w14:textId="77777777" w:rsidR="002833C1" w:rsidRPr="00916586" w:rsidRDefault="002833C1" w:rsidP="00FE79F4">
            <w:pPr>
              <w:spacing w:line="259" w:lineRule="auto"/>
              <w:ind w:right="45"/>
              <w:jc w:val="right"/>
              <w:rPr>
                <w:rFonts w:ascii="Arial Narrow" w:hAnsi="Arial Narrow" w:cs="Times New Roman"/>
                <w:iCs/>
                <w:sz w:val="20"/>
                <w:szCs w:val="20"/>
              </w:rPr>
            </w:pPr>
            <w:r w:rsidRPr="00916586">
              <w:rPr>
                <w:rFonts w:ascii="Arial Narrow" w:eastAsia="Arial" w:hAnsi="Arial Narrow" w:cs="Times New Roman"/>
                <w:iCs/>
                <w:sz w:val="20"/>
                <w:szCs w:val="20"/>
              </w:rPr>
              <w:t xml:space="preserve">3.9% </w:t>
            </w:r>
          </w:p>
        </w:tc>
      </w:tr>
      <w:tr w:rsidR="002833C1" w:rsidRPr="00916586" w14:paraId="602A367B" w14:textId="77777777" w:rsidTr="007A18D9">
        <w:trPr>
          <w:trHeight w:val="284"/>
        </w:trPr>
        <w:tc>
          <w:tcPr>
            <w:tcW w:w="867" w:type="pct"/>
            <w:tcBorders>
              <w:top w:val="single" w:sz="7" w:space="0" w:color="000000"/>
              <w:left w:val="single" w:sz="8" w:space="0" w:color="000000"/>
              <w:bottom w:val="single" w:sz="8" w:space="0" w:color="000000"/>
              <w:right w:val="single" w:sz="7" w:space="0" w:color="000000"/>
            </w:tcBorders>
          </w:tcPr>
          <w:p w14:paraId="48E3B550" w14:textId="77777777" w:rsidR="002833C1" w:rsidRPr="00916586" w:rsidRDefault="002833C1" w:rsidP="00FE79F4">
            <w:pPr>
              <w:spacing w:line="259" w:lineRule="auto"/>
              <w:ind w:left="2"/>
              <w:rPr>
                <w:rFonts w:ascii="Arial Narrow" w:hAnsi="Arial Narrow" w:cs="Times New Roman"/>
                <w:iCs/>
                <w:sz w:val="20"/>
                <w:szCs w:val="20"/>
              </w:rPr>
            </w:pPr>
            <w:r w:rsidRPr="00916586">
              <w:rPr>
                <w:rFonts w:ascii="Arial Narrow" w:eastAsia="Arial" w:hAnsi="Arial Narrow" w:cs="Times New Roman"/>
                <w:iCs/>
                <w:sz w:val="20"/>
                <w:szCs w:val="20"/>
              </w:rPr>
              <w:t xml:space="preserve">300 mg / daily </w:t>
            </w:r>
          </w:p>
        </w:tc>
        <w:tc>
          <w:tcPr>
            <w:tcW w:w="619" w:type="pct"/>
            <w:tcBorders>
              <w:top w:val="single" w:sz="7" w:space="0" w:color="000000"/>
              <w:left w:val="single" w:sz="7" w:space="0" w:color="000000"/>
              <w:bottom w:val="single" w:sz="8" w:space="0" w:color="000000"/>
              <w:right w:val="single" w:sz="8" w:space="0" w:color="000000"/>
            </w:tcBorders>
          </w:tcPr>
          <w:p w14:paraId="62AF8C96" w14:textId="77777777" w:rsidR="002833C1" w:rsidRPr="00916586" w:rsidRDefault="002833C1" w:rsidP="00FE79F4">
            <w:pPr>
              <w:spacing w:line="259" w:lineRule="auto"/>
              <w:ind w:right="42"/>
              <w:jc w:val="center"/>
              <w:rPr>
                <w:rFonts w:ascii="Arial Narrow" w:hAnsi="Arial Narrow" w:cs="Times New Roman"/>
                <w:iCs/>
                <w:sz w:val="20"/>
                <w:szCs w:val="20"/>
              </w:rPr>
            </w:pPr>
            <w:r w:rsidRPr="00916586">
              <w:rPr>
                <w:rFonts w:ascii="Arial Narrow" w:eastAsia="Arial" w:hAnsi="Arial Narrow" w:cs="Times New Roman"/>
                <w:iCs/>
                <w:sz w:val="20"/>
                <w:szCs w:val="20"/>
              </w:rPr>
              <w:t xml:space="preserve">$0.45 </w:t>
            </w:r>
          </w:p>
        </w:tc>
        <w:tc>
          <w:tcPr>
            <w:tcW w:w="876" w:type="pct"/>
            <w:tcBorders>
              <w:top w:val="single" w:sz="7" w:space="0" w:color="000000"/>
              <w:left w:val="single" w:sz="8" w:space="0" w:color="000000"/>
              <w:bottom w:val="single" w:sz="8" w:space="0" w:color="000000"/>
              <w:right w:val="single" w:sz="7" w:space="0" w:color="000000"/>
            </w:tcBorders>
          </w:tcPr>
          <w:p w14:paraId="03B13E1F" w14:textId="77777777" w:rsidR="002833C1" w:rsidRPr="00916586" w:rsidRDefault="002833C1" w:rsidP="00FE79F4">
            <w:pPr>
              <w:spacing w:line="259" w:lineRule="auto"/>
              <w:rPr>
                <w:rFonts w:ascii="Arial Narrow" w:hAnsi="Arial Narrow" w:cs="Times New Roman"/>
                <w:iCs/>
                <w:sz w:val="20"/>
                <w:szCs w:val="20"/>
              </w:rPr>
            </w:pPr>
            <w:r w:rsidRPr="00916586">
              <w:rPr>
                <w:rFonts w:ascii="Arial Narrow" w:eastAsia="Arial" w:hAnsi="Arial Narrow" w:cs="Times New Roman"/>
                <w:iCs/>
                <w:sz w:val="20"/>
                <w:szCs w:val="20"/>
              </w:rPr>
              <w:t xml:space="preserve">330 mg / daily </w:t>
            </w:r>
          </w:p>
        </w:tc>
        <w:tc>
          <w:tcPr>
            <w:tcW w:w="619" w:type="pct"/>
            <w:tcBorders>
              <w:top w:val="single" w:sz="7" w:space="0" w:color="000000"/>
              <w:left w:val="single" w:sz="7" w:space="0" w:color="000000"/>
              <w:bottom w:val="single" w:sz="8" w:space="0" w:color="000000"/>
              <w:right w:val="single" w:sz="8" w:space="0" w:color="000000"/>
            </w:tcBorders>
          </w:tcPr>
          <w:p w14:paraId="41A8E6C1" w14:textId="77777777" w:rsidR="002833C1" w:rsidRPr="00916586" w:rsidRDefault="002833C1" w:rsidP="00FE79F4">
            <w:pPr>
              <w:spacing w:line="259" w:lineRule="auto"/>
              <w:ind w:right="46"/>
              <w:jc w:val="center"/>
              <w:rPr>
                <w:rFonts w:ascii="Arial Narrow" w:hAnsi="Arial Narrow" w:cs="Times New Roman"/>
                <w:iCs/>
                <w:sz w:val="20"/>
                <w:szCs w:val="20"/>
              </w:rPr>
            </w:pPr>
            <w:r w:rsidRPr="00916586">
              <w:rPr>
                <w:rFonts w:ascii="Arial Narrow" w:eastAsia="Arial" w:hAnsi="Arial Narrow" w:cs="Times New Roman"/>
                <w:iCs/>
                <w:sz w:val="20"/>
                <w:szCs w:val="20"/>
              </w:rPr>
              <w:t xml:space="preserve">$0.34 </w:t>
            </w:r>
          </w:p>
        </w:tc>
        <w:tc>
          <w:tcPr>
            <w:tcW w:w="703" w:type="pct"/>
            <w:tcBorders>
              <w:top w:val="single" w:sz="7" w:space="0" w:color="000000"/>
              <w:left w:val="single" w:sz="8" w:space="0" w:color="000000"/>
              <w:bottom w:val="single" w:sz="8" w:space="0" w:color="000000"/>
              <w:right w:val="single" w:sz="7" w:space="0" w:color="000000"/>
            </w:tcBorders>
          </w:tcPr>
          <w:p w14:paraId="07A95C7F" w14:textId="77777777" w:rsidR="002833C1" w:rsidRPr="00916586" w:rsidRDefault="002833C1" w:rsidP="00FE79F4">
            <w:pPr>
              <w:spacing w:line="259" w:lineRule="auto"/>
              <w:ind w:right="46"/>
              <w:jc w:val="center"/>
              <w:rPr>
                <w:rFonts w:ascii="Arial Narrow" w:hAnsi="Arial Narrow" w:cs="Times New Roman"/>
                <w:iCs/>
                <w:sz w:val="20"/>
                <w:szCs w:val="20"/>
              </w:rPr>
            </w:pPr>
            <w:r w:rsidRPr="00916586">
              <w:rPr>
                <w:rFonts w:ascii="Arial Narrow" w:eastAsia="Arial" w:hAnsi="Arial Narrow" w:cs="Times New Roman"/>
                <w:iCs/>
                <w:sz w:val="20"/>
                <w:szCs w:val="20"/>
              </w:rPr>
              <w:t xml:space="preserve">-$0.12 </w:t>
            </w:r>
          </w:p>
        </w:tc>
        <w:tc>
          <w:tcPr>
            <w:tcW w:w="664" w:type="pct"/>
            <w:tcBorders>
              <w:top w:val="single" w:sz="7" w:space="0" w:color="000000"/>
              <w:left w:val="single" w:sz="7" w:space="0" w:color="000000"/>
              <w:bottom w:val="single" w:sz="8" w:space="0" w:color="000000"/>
              <w:right w:val="single" w:sz="7" w:space="0" w:color="000000"/>
            </w:tcBorders>
          </w:tcPr>
          <w:p w14:paraId="074E3A93" w14:textId="77777777" w:rsidR="002833C1" w:rsidRPr="00916586" w:rsidRDefault="002833C1" w:rsidP="00FE79F4">
            <w:pPr>
              <w:spacing w:line="259" w:lineRule="auto"/>
              <w:ind w:right="45"/>
              <w:jc w:val="right"/>
              <w:rPr>
                <w:rFonts w:ascii="Arial Narrow" w:hAnsi="Arial Narrow" w:cs="Times New Roman"/>
                <w:iCs/>
                <w:sz w:val="20"/>
                <w:szCs w:val="20"/>
              </w:rPr>
            </w:pPr>
            <w:r w:rsidRPr="00916586">
              <w:rPr>
                <w:rFonts w:ascii="Arial Narrow" w:eastAsia="Arial" w:hAnsi="Arial Narrow" w:cs="Times New Roman"/>
                <w:iCs/>
                <w:sz w:val="20"/>
                <w:szCs w:val="20"/>
              </w:rPr>
              <w:t xml:space="preserve">9.8% </w:t>
            </w:r>
          </w:p>
        </w:tc>
        <w:tc>
          <w:tcPr>
            <w:tcW w:w="651" w:type="pct"/>
            <w:tcBorders>
              <w:top w:val="single" w:sz="7" w:space="0" w:color="000000"/>
              <w:left w:val="single" w:sz="7" w:space="0" w:color="000000"/>
              <w:bottom w:val="single" w:sz="8" w:space="0" w:color="000000"/>
              <w:right w:val="single" w:sz="7" w:space="0" w:color="000000"/>
            </w:tcBorders>
          </w:tcPr>
          <w:p w14:paraId="5F29C2FC" w14:textId="77777777" w:rsidR="002833C1" w:rsidRPr="00916586" w:rsidRDefault="002833C1" w:rsidP="00FE79F4">
            <w:pPr>
              <w:spacing w:line="259" w:lineRule="auto"/>
              <w:ind w:right="45"/>
              <w:jc w:val="right"/>
              <w:rPr>
                <w:rFonts w:ascii="Arial Narrow" w:hAnsi="Arial Narrow" w:cs="Times New Roman"/>
                <w:iCs/>
                <w:sz w:val="20"/>
                <w:szCs w:val="20"/>
              </w:rPr>
            </w:pPr>
            <w:r w:rsidRPr="00916586">
              <w:rPr>
                <w:rFonts w:ascii="Arial Narrow" w:eastAsia="Arial" w:hAnsi="Arial Narrow" w:cs="Times New Roman"/>
                <w:iCs/>
                <w:sz w:val="20"/>
                <w:szCs w:val="20"/>
              </w:rPr>
              <w:t xml:space="preserve">13.9% </w:t>
            </w:r>
          </w:p>
        </w:tc>
      </w:tr>
      <w:tr w:rsidR="002833C1" w:rsidRPr="00916586" w14:paraId="094287CA" w14:textId="77777777" w:rsidTr="007A18D9">
        <w:trPr>
          <w:trHeight w:val="284"/>
        </w:trPr>
        <w:tc>
          <w:tcPr>
            <w:tcW w:w="867" w:type="pct"/>
            <w:tcBorders>
              <w:top w:val="single" w:sz="8" w:space="0" w:color="000000"/>
              <w:left w:val="single" w:sz="8" w:space="0" w:color="000000"/>
              <w:bottom w:val="single" w:sz="7" w:space="0" w:color="000000"/>
              <w:right w:val="single" w:sz="7" w:space="0" w:color="000000"/>
            </w:tcBorders>
          </w:tcPr>
          <w:p w14:paraId="4E78ECF7" w14:textId="77777777" w:rsidR="002833C1" w:rsidRPr="00916586" w:rsidRDefault="002833C1" w:rsidP="00FE79F4">
            <w:pPr>
              <w:spacing w:line="259" w:lineRule="auto"/>
              <w:ind w:left="2"/>
              <w:rPr>
                <w:rFonts w:ascii="Arial Narrow" w:hAnsi="Arial Narrow" w:cs="Times New Roman"/>
                <w:iCs/>
                <w:sz w:val="20"/>
                <w:szCs w:val="20"/>
              </w:rPr>
            </w:pPr>
            <w:r w:rsidRPr="00916586">
              <w:rPr>
                <w:rFonts w:ascii="Arial Narrow" w:eastAsia="Arial" w:hAnsi="Arial Narrow" w:cs="Times New Roman"/>
                <w:iCs/>
                <w:sz w:val="20"/>
                <w:szCs w:val="20"/>
              </w:rPr>
              <w:t xml:space="preserve">450 mg / daily </w:t>
            </w:r>
          </w:p>
        </w:tc>
        <w:tc>
          <w:tcPr>
            <w:tcW w:w="619" w:type="pct"/>
            <w:tcBorders>
              <w:top w:val="single" w:sz="8" w:space="0" w:color="000000"/>
              <w:left w:val="single" w:sz="7" w:space="0" w:color="000000"/>
              <w:bottom w:val="single" w:sz="7" w:space="0" w:color="000000"/>
              <w:right w:val="single" w:sz="8" w:space="0" w:color="000000"/>
            </w:tcBorders>
          </w:tcPr>
          <w:p w14:paraId="1027A93C" w14:textId="77777777" w:rsidR="002833C1" w:rsidRPr="00916586" w:rsidRDefault="002833C1" w:rsidP="00FE79F4">
            <w:pPr>
              <w:spacing w:line="259" w:lineRule="auto"/>
              <w:ind w:right="42"/>
              <w:jc w:val="center"/>
              <w:rPr>
                <w:rFonts w:ascii="Arial Narrow" w:hAnsi="Arial Narrow" w:cs="Times New Roman"/>
                <w:iCs/>
                <w:sz w:val="20"/>
                <w:szCs w:val="20"/>
              </w:rPr>
            </w:pPr>
            <w:r w:rsidRPr="00916586">
              <w:rPr>
                <w:rFonts w:ascii="Arial Narrow" w:eastAsia="Arial" w:hAnsi="Arial Narrow" w:cs="Times New Roman"/>
                <w:iCs/>
                <w:sz w:val="20"/>
                <w:szCs w:val="20"/>
              </w:rPr>
              <w:t xml:space="preserve">$0.56 </w:t>
            </w:r>
          </w:p>
        </w:tc>
        <w:tc>
          <w:tcPr>
            <w:tcW w:w="876" w:type="pct"/>
            <w:tcBorders>
              <w:top w:val="single" w:sz="8" w:space="0" w:color="000000"/>
              <w:left w:val="single" w:sz="8" w:space="0" w:color="000000"/>
              <w:bottom w:val="single" w:sz="7" w:space="0" w:color="000000"/>
              <w:right w:val="single" w:sz="7" w:space="0" w:color="000000"/>
            </w:tcBorders>
          </w:tcPr>
          <w:p w14:paraId="5C940CAE" w14:textId="77777777" w:rsidR="002833C1" w:rsidRPr="00916586" w:rsidRDefault="002833C1" w:rsidP="00FE79F4">
            <w:pPr>
              <w:spacing w:line="259" w:lineRule="auto"/>
              <w:rPr>
                <w:rFonts w:ascii="Arial Narrow" w:hAnsi="Arial Narrow" w:cs="Times New Roman"/>
                <w:iCs/>
                <w:sz w:val="20"/>
                <w:szCs w:val="20"/>
              </w:rPr>
            </w:pPr>
            <w:r w:rsidRPr="00916586">
              <w:rPr>
                <w:rFonts w:ascii="Arial Narrow" w:eastAsia="Arial" w:hAnsi="Arial Narrow" w:cs="Times New Roman"/>
                <w:iCs/>
                <w:sz w:val="20"/>
                <w:szCs w:val="20"/>
              </w:rPr>
              <w:t xml:space="preserve">495 mg / daily </w:t>
            </w:r>
            <w:r w:rsidRPr="00916586">
              <w:rPr>
                <w:rFonts w:ascii="Arial Narrow" w:eastAsia="Arial" w:hAnsi="Arial Narrow" w:cs="Times New Roman"/>
                <w:iCs/>
                <w:sz w:val="20"/>
                <w:szCs w:val="20"/>
                <w:vertAlign w:val="superscript"/>
              </w:rPr>
              <w:t>d</w:t>
            </w:r>
            <w:r w:rsidRPr="00916586">
              <w:rPr>
                <w:rFonts w:ascii="Arial Narrow" w:eastAsia="Arial" w:hAnsi="Arial Narrow" w:cs="Times New Roman"/>
                <w:iCs/>
                <w:sz w:val="20"/>
                <w:szCs w:val="20"/>
              </w:rPr>
              <w:t xml:space="preserve"> </w:t>
            </w:r>
          </w:p>
        </w:tc>
        <w:tc>
          <w:tcPr>
            <w:tcW w:w="619" w:type="pct"/>
            <w:tcBorders>
              <w:top w:val="single" w:sz="8" w:space="0" w:color="000000"/>
              <w:left w:val="single" w:sz="7" w:space="0" w:color="000000"/>
              <w:bottom w:val="single" w:sz="7" w:space="0" w:color="000000"/>
              <w:right w:val="single" w:sz="8" w:space="0" w:color="000000"/>
            </w:tcBorders>
          </w:tcPr>
          <w:p w14:paraId="36B75DA8" w14:textId="77777777" w:rsidR="002833C1" w:rsidRPr="00916586" w:rsidRDefault="002833C1" w:rsidP="00FE79F4">
            <w:pPr>
              <w:spacing w:line="259" w:lineRule="auto"/>
              <w:ind w:right="46"/>
              <w:jc w:val="center"/>
              <w:rPr>
                <w:rFonts w:ascii="Arial Narrow" w:hAnsi="Arial Narrow" w:cs="Times New Roman"/>
                <w:iCs/>
                <w:sz w:val="20"/>
                <w:szCs w:val="20"/>
              </w:rPr>
            </w:pPr>
            <w:r w:rsidRPr="00916586">
              <w:rPr>
                <w:rFonts w:ascii="Arial Narrow" w:eastAsia="Arial" w:hAnsi="Arial Narrow" w:cs="Times New Roman"/>
                <w:iCs/>
                <w:sz w:val="20"/>
                <w:szCs w:val="20"/>
              </w:rPr>
              <w:t xml:space="preserve">$0.60 </w:t>
            </w:r>
          </w:p>
        </w:tc>
        <w:tc>
          <w:tcPr>
            <w:tcW w:w="703" w:type="pct"/>
            <w:tcBorders>
              <w:top w:val="single" w:sz="8" w:space="0" w:color="000000"/>
              <w:left w:val="single" w:sz="8" w:space="0" w:color="000000"/>
              <w:bottom w:val="single" w:sz="7" w:space="0" w:color="000000"/>
              <w:right w:val="single" w:sz="7" w:space="0" w:color="000000"/>
            </w:tcBorders>
          </w:tcPr>
          <w:p w14:paraId="3390C5D5" w14:textId="77777777" w:rsidR="002833C1" w:rsidRPr="00916586" w:rsidRDefault="002833C1" w:rsidP="00FE79F4">
            <w:pPr>
              <w:spacing w:line="259" w:lineRule="auto"/>
              <w:ind w:right="44"/>
              <w:jc w:val="center"/>
              <w:rPr>
                <w:rFonts w:ascii="Arial Narrow" w:hAnsi="Arial Narrow" w:cs="Times New Roman"/>
                <w:iCs/>
                <w:sz w:val="20"/>
                <w:szCs w:val="20"/>
              </w:rPr>
            </w:pPr>
            <w:r w:rsidRPr="00916586">
              <w:rPr>
                <w:rFonts w:ascii="Arial Narrow" w:eastAsia="Arial" w:hAnsi="Arial Narrow" w:cs="Times New Roman"/>
                <w:iCs/>
                <w:sz w:val="20"/>
                <w:szCs w:val="20"/>
              </w:rPr>
              <w:t xml:space="preserve">$0.04 </w:t>
            </w:r>
          </w:p>
        </w:tc>
        <w:tc>
          <w:tcPr>
            <w:tcW w:w="664" w:type="pct"/>
            <w:tcBorders>
              <w:top w:val="single" w:sz="8" w:space="0" w:color="000000"/>
              <w:left w:val="single" w:sz="7" w:space="0" w:color="000000"/>
              <w:bottom w:val="single" w:sz="7" w:space="0" w:color="000000"/>
              <w:right w:val="single" w:sz="7" w:space="0" w:color="000000"/>
            </w:tcBorders>
          </w:tcPr>
          <w:p w14:paraId="54024103" w14:textId="77777777" w:rsidR="002833C1" w:rsidRPr="00916586" w:rsidRDefault="002833C1" w:rsidP="00FE79F4">
            <w:pPr>
              <w:spacing w:line="259" w:lineRule="auto"/>
              <w:ind w:right="45"/>
              <w:jc w:val="right"/>
              <w:rPr>
                <w:rFonts w:ascii="Arial Narrow" w:hAnsi="Arial Narrow" w:cs="Times New Roman"/>
                <w:iCs/>
                <w:sz w:val="20"/>
                <w:szCs w:val="20"/>
              </w:rPr>
            </w:pPr>
            <w:r w:rsidRPr="00916586">
              <w:rPr>
                <w:rFonts w:ascii="Arial Narrow" w:eastAsia="Arial" w:hAnsi="Arial Narrow" w:cs="Times New Roman"/>
                <w:iCs/>
                <w:sz w:val="20"/>
                <w:szCs w:val="20"/>
              </w:rPr>
              <w:t xml:space="preserve">0.9% </w:t>
            </w:r>
          </w:p>
        </w:tc>
        <w:tc>
          <w:tcPr>
            <w:tcW w:w="651" w:type="pct"/>
            <w:tcBorders>
              <w:top w:val="single" w:sz="8" w:space="0" w:color="000000"/>
              <w:left w:val="single" w:sz="7" w:space="0" w:color="000000"/>
              <w:bottom w:val="single" w:sz="7" w:space="0" w:color="000000"/>
              <w:right w:val="single" w:sz="7" w:space="0" w:color="000000"/>
            </w:tcBorders>
          </w:tcPr>
          <w:p w14:paraId="7584F89D" w14:textId="77777777" w:rsidR="002833C1" w:rsidRPr="00916586" w:rsidRDefault="002833C1" w:rsidP="00FE79F4">
            <w:pPr>
              <w:spacing w:line="259" w:lineRule="auto"/>
              <w:ind w:right="45"/>
              <w:jc w:val="right"/>
              <w:rPr>
                <w:rFonts w:ascii="Arial Narrow" w:hAnsi="Arial Narrow" w:cs="Times New Roman"/>
                <w:iCs/>
                <w:sz w:val="20"/>
                <w:szCs w:val="20"/>
              </w:rPr>
            </w:pPr>
            <w:r w:rsidRPr="00916586">
              <w:rPr>
                <w:rFonts w:ascii="Arial Narrow" w:eastAsia="Arial" w:hAnsi="Arial Narrow" w:cs="Times New Roman"/>
                <w:iCs/>
                <w:sz w:val="20"/>
                <w:szCs w:val="20"/>
              </w:rPr>
              <w:t xml:space="preserve">1.3% </w:t>
            </w:r>
          </w:p>
        </w:tc>
      </w:tr>
      <w:tr w:rsidR="002833C1" w:rsidRPr="00916586" w14:paraId="3E7C074A" w14:textId="77777777" w:rsidTr="00AF067B">
        <w:trPr>
          <w:trHeight w:val="313"/>
        </w:trPr>
        <w:tc>
          <w:tcPr>
            <w:tcW w:w="867" w:type="pct"/>
            <w:tcBorders>
              <w:top w:val="single" w:sz="7" w:space="0" w:color="000000"/>
              <w:left w:val="single" w:sz="8" w:space="0" w:color="000000"/>
              <w:bottom w:val="single" w:sz="8" w:space="0" w:color="000000"/>
              <w:right w:val="single" w:sz="7" w:space="0" w:color="000000"/>
            </w:tcBorders>
          </w:tcPr>
          <w:p w14:paraId="58600176" w14:textId="77777777" w:rsidR="002833C1" w:rsidRPr="00916586" w:rsidRDefault="002833C1" w:rsidP="00FE79F4">
            <w:pPr>
              <w:spacing w:line="259" w:lineRule="auto"/>
              <w:ind w:left="2"/>
              <w:rPr>
                <w:rFonts w:ascii="Arial Narrow" w:hAnsi="Arial Narrow" w:cs="Times New Roman"/>
                <w:iCs/>
                <w:sz w:val="20"/>
                <w:szCs w:val="20"/>
              </w:rPr>
            </w:pPr>
            <w:r w:rsidRPr="00916586">
              <w:rPr>
                <w:rFonts w:ascii="Arial Narrow" w:eastAsia="Arial" w:hAnsi="Arial Narrow" w:cs="Times New Roman"/>
                <w:iCs/>
                <w:sz w:val="20"/>
                <w:szCs w:val="20"/>
              </w:rPr>
              <w:t xml:space="preserve">600 mg / daily </w:t>
            </w:r>
          </w:p>
        </w:tc>
        <w:tc>
          <w:tcPr>
            <w:tcW w:w="619" w:type="pct"/>
            <w:tcBorders>
              <w:top w:val="single" w:sz="7" w:space="0" w:color="000000"/>
              <w:left w:val="single" w:sz="7" w:space="0" w:color="000000"/>
              <w:bottom w:val="single" w:sz="8" w:space="0" w:color="000000"/>
              <w:right w:val="single" w:sz="8" w:space="0" w:color="000000"/>
            </w:tcBorders>
          </w:tcPr>
          <w:p w14:paraId="7624E4BB" w14:textId="77777777" w:rsidR="002833C1" w:rsidRPr="00916586" w:rsidRDefault="002833C1" w:rsidP="00FE79F4">
            <w:pPr>
              <w:spacing w:line="259" w:lineRule="auto"/>
              <w:ind w:right="42"/>
              <w:jc w:val="center"/>
              <w:rPr>
                <w:rFonts w:ascii="Arial Narrow" w:hAnsi="Arial Narrow" w:cs="Times New Roman"/>
                <w:iCs/>
                <w:sz w:val="20"/>
                <w:szCs w:val="20"/>
              </w:rPr>
            </w:pPr>
            <w:r w:rsidRPr="00916586">
              <w:rPr>
                <w:rFonts w:ascii="Arial Narrow" w:eastAsia="Arial" w:hAnsi="Arial Narrow" w:cs="Times New Roman"/>
                <w:iCs/>
                <w:sz w:val="20"/>
                <w:szCs w:val="20"/>
              </w:rPr>
              <w:t xml:space="preserve">$0.67 </w:t>
            </w:r>
          </w:p>
        </w:tc>
        <w:tc>
          <w:tcPr>
            <w:tcW w:w="876" w:type="pct"/>
            <w:tcBorders>
              <w:top w:val="single" w:sz="7" w:space="0" w:color="000000"/>
              <w:left w:val="single" w:sz="8" w:space="0" w:color="000000"/>
              <w:bottom w:val="single" w:sz="8" w:space="0" w:color="000000"/>
              <w:right w:val="single" w:sz="7" w:space="0" w:color="000000"/>
            </w:tcBorders>
          </w:tcPr>
          <w:p w14:paraId="0067C41C" w14:textId="77777777" w:rsidR="002833C1" w:rsidRPr="00916586" w:rsidRDefault="002833C1" w:rsidP="00FE79F4">
            <w:pPr>
              <w:spacing w:line="259" w:lineRule="auto"/>
              <w:rPr>
                <w:rFonts w:ascii="Arial Narrow" w:hAnsi="Arial Narrow" w:cs="Times New Roman"/>
                <w:iCs/>
                <w:sz w:val="20"/>
                <w:szCs w:val="20"/>
              </w:rPr>
            </w:pPr>
            <w:r w:rsidRPr="00916586">
              <w:rPr>
                <w:rFonts w:ascii="Arial Narrow" w:eastAsia="Arial" w:hAnsi="Arial Narrow" w:cs="Times New Roman"/>
                <w:iCs/>
                <w:sz w:val="20"/>
                <w:szCs w:val="20"/>
              </w:rPr>
              <w:t xml:space="preserve">660 mg / daily </w:t>
            </w:r>
          </w:p>
        </w:tc>
        <w:tc>
          <w:tcPr>
            <w:tcW w:w="619" w:type="pct"/>
            <w:tcBorders>
              <w:top w:val="single" w:sz="7" w:space="0" w:color="000000"/>
              <w:left w:val="single" w:sz="7" w:space="0" w:color="000000"/>
              <w:bottom w:val="single" w:sz="8" w:space="0" w:color="000000"/>
              <w:right w:val="single" w:sz="8" w:space="0" w:color="000000"/>
            </w:tcBorders>
          </w:tcPr>
          <w:p w14:paraId="27DB287C" w14:textId="77777777" w:rsidR="002833C1" w:rsidRPr="00916586" w:rsidRDefault="002833C1" w:rsidP="00FE79F4">
            <w:pPr>
              <w:spacing w:line="259" w:lineRule="auto"/>
              <w:ind w:right="46"/>
              <w:jc w:val="center"/>
              <w:rPr>
                <w:rFonts w:ascii="Arial Narrow" w:hAnsi="Arial Narrow" w:cs="Times New Roman"/>
                <w:iCs/>
                <w:sz w:val="20"/>
                <w:szCs w:val="20"/>
              </w:rPr>
            </w:pPr>
            <w:r w:rsidRPr="00916586">
              <w:rPr>
                <w:rFonts w:ascii="Arial Narrow" w:eastAsia="Arial" w:hAnsi="Arial Narrow" w:cs="Times New Roman"/>
                <w:iCs/>
                <w:sz w:val="20"/>
                <w:szCs w:val="20"/>
              </w:rPr>
              <w:t xml:space="preserve">$0.67 </w:t>
            </w:r>
          </w:p>
        </w:tc>
        <w:tc>
          <w:tcPr>
            <w:tcW w:w="703" w:type="pct"/>
            <w:tcBorders>
              <w:top w:val="single" w:sz="7" w:space="0" w:color="000000"/>
              <w:left w:val="single" w:sz="8" w:space="0" w:color="000000"/>
              <w:bottom w:val="single" w:sz="8" w:space="0" w:color="000000"/>
              <w:right w:val="single" w:sz="7" w:space="0" w:color="000000"/>
            </w:tcBorders>
          </w:tcPr>
          <w:p w14:paraId="1DACED60" w14:textId="77777777" w:rsidR="002833C1" w:rsidRPr="00916586" w:rsidRDefault="002833C1" w:rsidP="00FE79F4">
            <w:pPr>
              <w:spacing w:line="259" w:lineRule="auto"/>
              <w:ind w:right="46"/>
              <w:jc w:val="center"/>
              <w:rPr>
                <w:rFonts w:ascii="Arial Narrow" w:hAnsi="Arial Narrow" w:cs="Times New Roman"/>
                <w:iCs/>
                <w:sz w:val="20"/>
                <w:szCs w:val="20"/>
              </w:rPr>
            </w:pPr>
            <w:r w:rsidRPr="00916586">
              <w:rPr>
                <w:rFonts w:ascii="Arial Narrow" w:eastAsia="Arial" w:hAnsi="Arial Narrow" w:cs="Times New Roman"/>
                <w:iCs/>
                <w:sz w:val="20"/>
                <w:szCs w:val="20"/>
              </w:rPr>
              <w:t xml:space="preserve">-$0.00 </w:t>
            </w:r>
          </w:p>
        </w:tc>
        <w:tc>
          <w:tcPr>
            <w:tcW w:w="664" w:type="pct"/>
            <w:tcBorders>
              <w:top w:val="single" w:sz="7" w:space="0" w:color="000000"/>
              <w:left w:val="single" w:sz="7" w:space="0" w:color="000000"/>
              <w:bottom w:val="single" w:sz="8" w:space="0" w:color="000000"/>
              <w:right w:val="single" w:sz="7" w:space="0" w:color="000000"/>
            </w:tcBorders>
          </w:tcPr>
          <w:p w14:paraId="0E1B32F3" w14:textId="77777777" w:rsidR="002833C1" w:rsidRPr="00916586" w:rsidRDefault="002833C1" w:rsidP="00FE79F4">
            <w:pPr>
              <w:spacing w:line="259" w:lineRule="auto"/>
              <w:ind w:right="49"/>
              <w:jc w:val="center"/>
              <w:rPr>
                <w:rFonts w:ascii="Arial Narrow" w:hAnsi="Arial Narrow" w:cs="Times New Roman"/>
                <w:iCs/>
                <w:sz w:val="20"/>
                <w:szCs w:val="20"/>
                <w:vertAlign w:val="superscript"/>
              </w:rPr>
            </w:pPr>
            <w:r w:rsidRPr="00916586">
              <w:rPr>
                <w:rFonts w:ascii="Arial Narrow" w:eastAsia="Arial" w:hAnsi="Arial Narrow" w:cs="Times New Roman"/>
                <w:iCs/>
                <w:sz w:val="20"/>
                <w:szCs w:val="20"/>
                <w:vertAlign w:val="superscript"/>
              </w:rPr>
              <w:t xml:space="preserve">e </w:t>
            </w:r>
          </w:p>
        </w:tc>
        <w:tc>
          <w:tcPr>
            <w:tcW w:w="651" w:type="pct"/>
            <w:tcBorders>
              <w:top w:val="single" w:sz="7" w:space="0" w:color="000000"/>
              <w:left w:val="single" w:sz="7" w:space="0" w:color="000000"/>
              <w:bottom w:val="single" w:sz="8" w:space="0" w:color="000000"/>
              <w:right w:val="single" w:sz="7" w:space="0" w:color="000000"/>
            </w:tcBorders>
          </w:tcPr>
          <w:p w14:paraId="447E5B29" w14:textId="77777777" w:rsidR="002833C1" w:rsidRPr="00916586" w:rsidRDefault="002833C1" w:rsidP="00FE79F4">
            <w:pPr>
              <w:spacing w:line="259" w:lineRule="auto"/>
              <w:ind w:left="1"/>
              <w:rPr>
                <w:rFonts w:ascii="Arial Narrow" w:hAnsi="Arial Narrow" w:cs="Times New Roman"/>
                <w:iCs/>
                <w:sz w:val="20"/>
                <w:szCs w:val="20"/>
              </w:rPr>
            </w:pPr>
            <w:r w:rsidRPr="00916586">
              <w:rPr>
                <w:rFonts w:ascii="Arial Narrow" w:eastAsia="Arial" w:hAnsi="Arial Narrow" w:cs="Times New Roman"/>
                <w:iCs/>
                <w:sz w:val="20"/>
                <w:szCs w:val="20"/>
              </w:rPr>
              <w:t xml:space="preserve">  </w:t>
            </w:r>
          </w:p>
        </w:tc>
      </w:tr>
      <w:tr w:rsidR="002833C1" w:rsidRPr="00916586" w14:paraId="44192540" w14:textId="77777777" w:rsidTr="00AF067B">
        <w:trPr>
          <w:trHeight w:val="55"/>
        </w:trPr>
        <w:tc>
          <w:tcPr>
            <w:tcW w:w="867" w:type="pct"/>
            <w:tcBorders>
              <w:top w:val="single" w:sz="8" w:space="0" w:color="000000"/>
              <w:left w:val="nil"/>
              <w:bottom w:val="nil"/>
              <w:right w:val="nil"/>
            </w:tcBorders>
          </w:tcPr>
          <w:p w14:paraId="37308217" w14:textId="371ECE34" w:rsidR="002833C1" w:rsidRPr="00916586" w:rsidRDefault="002833C1" w:rsidP="00AF067B">
            <w:pPr>
              <w:spacing w:line="259" w:lineRule="auto"/>
              <w:rPr>
                <w:rFonts w:ascii="Arial Narrow" w:hAnsi="Arial Narrow" w:cs="Times New Roman"/>
                <w:iCs/>
                <w:sz w:val="20"/>
                <w:szCs w:val="20"/>
              </w:rPr>
            </w:pPr>
          </w:p>
        </w:tc>
        <w:tc>
          <w:tcPr>
            <w:tcW w:w="619" w:type="pct"/>
            <w:tcBorders>
              <w:top w:val="single" w:sz="8" w:space="0" w:color="000000"/>
              <w:left w:val="nil"/>
              <w:bottom w:val="nil"/>
              <w:right w:val="nil"/>
            </w:tcBorders>
          </w:tcPr>
          <w:p w14:paraId="5AFB8EE3" w14:textId="77777777" w:rsidR="002833C1" w:rsidRPr="00916586" w:rsidRDefault="002833C1" w:rsidP="00FE79F4">
            <w:pPr>
              <w:spacing w:line="259" w:lineRule="auto"/>
              <w:ind w:left="4"/>
              <w:rPr>
                <w:rFonts w:ascii="Arial Narrow" w:hAnsi="Arial Narrow" w:cs="Times New Roman"/>
                <w:iCs/>
                <w:sz w:val="20"/>
                <w:szCs w:val="20"/>
              </w:rPr>
            </w:pPr>
            <w:r w:rsidRPr="00916586">
              <w:rPr>
                <w:rFonts w:ascii="Arial Narrow" w:eastAsia="Times New Roman" w:hAnsi="Arial Narrow" w:cs="Times New Roman"/>
                <w:iCs/>
                <w:sz w:val="20"/>
                <w:szCs w:val="20"/>
              </w:rPr>
              <w:t xml:space="preserve"> </w:t>
            </w:r>
          </w:p>
        </w:tc>
        <w:tc>
          <w:tcPr>
            <w:tcW w:w="876" w:type="pct"/>
            <w:tcBorders>
              <w:top w:val="single" w:sz="8" w:space="0" w:color="000000"/>
              <w:left w:val="nil"/>
              <w:bottom w:val="nil"/>
              <w:right w:val="nil"/>
            </w:tcBorders>
          </w:tcPr>
          <w:p w14:paraId="7FA56ED5" w14:textId="77777777" w:rsidR="002833C1" w:rsidRPr="00916586" w:rsidRDefault="002833C1" w:rsidP="00FE79F4">
            <w:pPr>
              <w:spacing w:line="259" w:lineRule="auto"/>
              <w:rPr>
                <w:rFonts w:ascii="Arial Narrow" w:hAnsi="Arial Narrow" w:cs="Times New Roman"/>
                <w:iCs/>
                <w:sz w:val="20"/>
                <w:szCs w:val="20"/>
              </w:rPr>
            </w:pPr>
            <w:r w:rsidRPr="00916586">
              <w:rPr>
                <w:rFonts w:ascii="Arial Narrow" w:eastAsia="Times New Roman" w:hAnsi="Arial Narrow" w:cs="Times New Roman"/>
                <w:iCs/>
                <w:sz w:val="20"/>
                <w:szCs w:val="20"/>
              </w:rPr>
              <w:t xml:space="preserve"> </w:t>
            </w:r>
            <w:r w:rsidRPr="00916586">
              <w:rPr>
                <w:rFonts w:ascii="Arial Narrow" w:eastAsia="Times New Roman" w:hAnsi="Arial Narrow" w:cs="Times New Roman"/>
                <w:iCs/>
                <w:sz w:val="20"/>
                <w:szCs w:val="20"/>
              </w:rPr>
              <w:tab/>
              <w:t xml:space="preserve"> </w:t>
            </w:r>
          </w:p>
        </w:tc>
        <w:tc>
          <w:tcPr>
            <w:tcW w:w="619" w:type="pct"/>
            <w:tcBorders>
              <w:top w:val="single" w:sz="8" w:space="0" w:color="000000"/>
              <w:left w:val="nil"/>
              <w:bottom w:val="nil"/>
              <w:right w:val="nil"/>
            </w:tcBorders>
          </w:tcPr>
          <w:p w14:paraId="0899CF74" w14:textId="77777777" w:rsidR="002833C1" w:rsidRPr="00916586" w:rsidRDefault="002833C1" w:rsidP="00FE79F4">
            <w:pPr>
              <w:spacing w:after="160" w:line="259" w:lineRule="auto"/>
              <w:rPr>
                <w:rFonts w:ascii="Arial Narrow" w:hAnsi="Arial Narrow" w:cs="Times New Roman"/>
                <w:iCs/>
                <w:sz w:val="20"/>
                <w:szCs w:val="20"/>
              </w:rPr>
            </w:pPr>
          </w:p>
        </w:tc>
        <w:tc>
          <w:tcPr>
            <w:tcW w:w="703" w:type="pct"/>
            <w:tcBorders>
              <w:top w:val="single" w:sz="8" w:space="0" w:color="000000"/>
              <w:left w:val="nil"/>
              <w:bottom w:val="nil"/>
              <w:right w:val="single" w:sz="7" w:space="0" w:color="000000"/>
            </w:tcBorders>
          </w:tcPr>
          <w:p w14:paraId="0FB8422D" w14:textId="77777777" w:rsidR="002833C1" w:rsidRPr="00916586" w:rsidRDefault="002833C1" w:rsidP="00FE79F4">
            <w:pPr>
              <w:spacing w:line="259" w:lineRule="auto"/>
              <w:rPr>
                <w:rFonts w:ascii="Arial Narrow" w:hAnsi="Arial Narrow" w:cs="Times New Roman"/>
                <w:iCs/>
                <w:sz w:val="20"/>
                <w:szCs w:val="20"/>
              </w:rPr>
            </w:pPr>
            <w:r w:rsidRPr="00916586">
              <w:rPr>
                <w:rFonts w:ascii="Arial Narrow" w:eastAsia="Times New Roman" w:hAnsi="Arial Narrow" w:cs="Times New Roman"/>
                <w:iCs/>
                <w:sz w:val="20"/>
                <w:szCs w:val="20"/>
              </w:rPr>
              <w:t xml:space="preserve"> </w:t>
            </w:r>
          </w:p>
        </w:tc>
        <w:tc>
          <w:tcPr>
            <w:tcW w:w="664" w:type="pct"/>
            <w:tcBorders>
              <w:top w:val="single" w:sz="8" w:space="0" w:color="000000"/>
              <w:left w:val="single" w:sz="7" w:space="0" w:color="000000"/>
              <w:bottom w:val="single" w:sz="8" w:space="0" w:color="000000"/>
              <w:right w:val="single" w:sz="7" w:space="0" w:color="000000"/>
            </w:tcBorders>
          </w:tcPr>
          <w:p w14:paraId="2ACF7232" w14:textId="170ADA6C" w:rsidR="002833C1" w:rsidRPr="00916586" w:rsidRDefault="002833C1" w:rsidP="00FE79F4">
            <w:pPr>
              <w:spacing w:line="259" w:lineRule="auto"/>
              <w:ind w:right="45"/>
              <w:jc w:val="right"/>
              <w:rPr>
                <w:rFonts w:ascii="Arial Narrow" w:hAnsi="Arial Narrow" w:cs="Times New Roman"/>
                <w:iCs/>
                <w:sz w:val="20"/>
                <w:szCs w:val="20"/>
              </w:rPr>
            </w:pPr>
            <w:r w:rsidRPr="00916586">
              <w:rPr>
                <w:rFonts w:ascii="Arial Narrow" w:eastAsia="Arial" w:hAnsi="Arial Narrow" w:cs="Times New Roman"/>
                <w:b/>
                <w:iCs/>
                <w:sz w:val="20"/>
                <w:szCs w:val="20"/>
              </w:rPr>
              <w:t>70.8%</w:t>
            </w:r>
          </w:p>
        </w:tc>
        <w:tc>
          <w:tcPr>
            <w:tcW w:w="651" w:type="pct"/>
            <w:tcBorders>
              <w:top w:val="single" w:sz="8" w:space="0" w:color="000000"/>
              <w:left w:val="single" w:sz="7" w:space="0" w:color="000000"/>
              <w:bottom w:val="single" w:sz="8" w:space="0" w:color="000000"/>
              <w:right w:val="single" w:sz="7" w:space="0" w:color="000000"/>
            </w:tcBorders>
          </w:tcPr>
          <w:p w14:paraId="735CA454" w14:textId="166A208D" w:rsidR="002833C1" w:rsidRPr="00916586" w:rsidRDefault="002833C1" w:rsidP="00FE79F4">
            <w:pPr>
              <w:spacing w:line="259" w:lineRule="auto"/>
              <w:ind w:right="45"/>
              <w:jc w:val="right"/>
              <w:rPr>
                <w:rFonts w:ascii="Arial Narrow" w:hAnsi="Arial Narrow" w:cs="Times New Roman"/>
                <w:iCs/>
                <w:sz w:val="20"/>
                <w:szCs w:val="20"/>
              </w:rPr>
            </w:pPr>
            <w:r w:rsidRPr="00916586">
              <w:rPr>
                <w:rFonts w:ascii="Arial Narrow" w:eastAsia="Arial" w:hAnsi="Arial Narrow" w:cs="Times New Roman"/>
                <w:iCs/>
                <w:sz w:val="20"/>
                <w:szCs w:val="20"/>
              </w:rPr>
              <w:t>100.0%</w:t>
            </w:r>
          </w:p>
        </w:tc>
      </w:tr>
    </w:tbl>
    <w:p w14:paraId="13B6D01C" w14:textId="77777777" w:rsidR="002833C1" w:rsidRPr="00916586" w:rsidRDefault="002833C1" w:rsidP="002833C1">
      <w:pPr>
        <w:spacing w:after="1"/>
        <w:rPr>
          <w:rFonts w:ascii="Arial Narrow" w:eastAsia="Arial" w:hAnsi="Arial Narrow" w:cs="Times New Roman"/>
          <w:iCs/>
          <w:sz w:val="18"/>
          <w:szCs w:val="20"/>
        </w:rPr>
      </w:pPr>
      <w:r w:rsidRPr="00916586">
        <w:rPr>
          <w:rFonts w:ascii="Arial Narrow" w:eastAsia="Arial" w:hAnsi="Arial Narrow" w:cs="Times New Roman"/>
          <w:iCs/>
          <w:sz w:val="18"/>
          <w:szCs w:val="20"/>
          <w:vertAlign w:val="superscript"/>
        </w:rPr>
        <w:t xml:space="preserve">a </w:t>
      </w:r>
      <w:r w:rsidRPr="00916586">
        <w:rPr>
          <w:rFonts w:ascii="Arial Narrow" w:eastAsia="Arial" w:hAnsi="Arial Narrow" w:cs="Times New Roman"/>
          <w:iCs/>
          <w:sz w:val="18"/>
          <w:szCs w:val="20"/>
        </w:rPr>
        <w:t xml:space="preserve">Total daily dose cost for IR were calculated using the confirmed October 2021 AEMP published on https://www.pbs.gov.au/info/industry/pricing/price-disclosure-spd; pharmacy and wholesaler mark-ups were not considered as they do not relate to the cost of the medicine. </w:t>
      </w:r>
    </w:p>
    <w:p w14:paraId="675A7D10" w14:textId="77777777" w:rsidR="002833C1" w:rsidRPr="00916586" w:rsidRDefault="002833C1" w:rsidP="002833C1">
      <w:pPr>
        <w:spacing w:after="1"/>
        <w:rPr>
          <w:rFonts w:ascii="Arial Narrow" w:eastAsia="Arial" w:hAnsi="Arial Narrow" w:cs="Times New Roman"/>
          <w:iCs/>
          <w:sz w:val="18"/>
          <w:szCs w:val="20"/>
        </w:rPr>
      </w:pPr>
      <w:r w:rsidRPr="00916586">
        <w:rPr>
          <w:rFonts w:ascii="Arial Narrow" w:eastAsia="Arial" w:hAnsi="Arial Narrow" w:cs="Times New Roman"/>
          <w:iCs/>
          <w:sz w:val="18"/>
          <w:szCs w:val="20"/>
          <w:vertAlign w:val="superscript"/>
        </w:rPr>
        <w:t xml:space="preserve">b  </w:t>
      </w:r>
      <w:r w:rsidRPr="00916586">
        <w:rPr>
          <w:rFonts w:ascii="Arial Narrow" w:eastAsia="Arial" w:hAnsi="Arial Narrow" w:cs="Times New Roman"/>
          <w:iCs/>
          <w:sz w:val="18"/>
          <w:szCs w:val="20"/>
        </w:rPr>
        <w:t xml:space="preserve">Total daily dose cost for equivalent CR dose were calculated using the proposed pricing shown on table 3.2 above. </w:t>
      </w:r>
    </w:p>
    <w:p w14:paraId="157CC62D" w14:textId="4BA00E9F" w:rsidR="002833C1" w:rsidRPr="00916586" w:rsidRDefault="002833C1" w:rsidP="002833C1">
      <w:pPr>
        <w:spacing w:after="1"/>
        <w:rPr>
          <w:rFonts w:ascii="Arial Narrow" w:hAnsi="Arial Narrow" w:cs="Times New Roman"/>
          <w:iCs/>
          <w:sz w:val="18"/>
          <w:szCs w:val="20"/>
        </w:rPr>
      </w:pPr>
      <w:r w:rsidRPr="00916586">
        <w:rPr>
          <w:rFonts w:ascii="Arial Narrow" w:eastAsia="Arial" w:hAnsi="Arial Narrow" w:cs="Times New Roman"/>
          <w:iCs/>
          <w:sz w:val="18"/>
          <w:szCs w:val="20"/>
          <w:vertAlign w:val="superscript"/>
        </w:rPr>
        <w:t xml:space="preserve">c  </w:t>
      </w:r>
      <w:r w:rsidRPr="00916586">
        <w:rPr>
          <w:rFonts w:ascii="Arial Narrow" w:eastAsia="Arial" w:hAnsi="Arial Narrow" w:cs="Times New Roman"/>
          <w:iCs/>
          <w:sz w:val="18"/>
          <w:szCs w:val="20"/>
        </w:rPr>
        <w:t xml:space="preserve">Source: Medicare 10% data as at end Dec 2020. </w:t>
      </w:r>
    </w:p>
    <w:p w14:paraId="6ECB6D62" w14:textId="77777777" w:rsidR="002833C1" w:rsidRPr="00916586" w:rsidRDefault="002833C1" w:rsidP="002833C1">
      <w:pPr>
        <w:spacing w:after="5" w:line="262" w:lineRule="auto"/>
        <w:rPr>
          <w:rFonts w:ascii="Arial Narrow" w:hAnsi="Arial Narrow" w:cs="Times New Roman"/>
          <w:iCs/>
          <w:sz w:val="18"/>
          <w:szCs w:val="20"/>
        </w:rPr>
      </w:pPr>
      <w:r w:rsidRPr="00916586">
        <w:rPr>
          <w:rFonts w:ascii="Arial Narrow" w:eastAsia="Arial" w:hAnsi="Arial Narrow" w:cs="Times New Roman"/>
          <w:iCs/>
          <w:sz w:val="18"/>
          <w:szCs w:val="20"/>
          <w:vertAlign w:val="superscript"/>
        </w:rPr>
        <w:t xml:space="preserve">d  </w:t>
      </w:r>
      <w:r w:rsidRPr="00916586">
        <w:rPr>
          <w:rFonts w:ascii="Arial Narrow" w:eastAsia="Arial" w:hAnsi="Arial Narrow" w:cs="Times New Roman"/>
          <w:iCs/>
          <w:sz w:val="18"/>
          <w:szCs w:val="20"/>
        </w:rPr>
        <w:t xml:space="preserve">Alternative combination that achieves the same TDD were not considered as those combinations are unlikely to be prescribed given little or no clinical or economic benefit to the patient (i.e., using 1 dose of 165mg plus one dose of 82.5mg achieves the same TDD of 247.5mg with less pills and less cost than using 3 doses of 82.5mg) This is reasonable based on lower cost compared to the cost of using 3 x 82.5 mg and 3 x 165 mg tablets taken once a day, which is prescribed for conversion from pregabalin IR to pregabalin CR in the approved PI. </w:t>
      </w:r>
    </w:p>
    <w:p w14:paraId="0D303BEB" w14:textId="77777777" w:rsidR="002833C1" w:rsidRPr="00916586" w:rsidRDefault="002833C1" w:rsidP="002833C1">
      <w:pPr>
        <w:spacing w:after="133" w:line="262" w:lineRule="auto"/>
        <w:rPr>
          <w:rFonts w:ascii="Arial Narrow" w:hAnsi="Arial Narrow" w:cs="Times New Roman"/>
          <w:iCs/>
          <w:sz w:val="18"/>
          <w:szCs w:val="20"/>
        </w:rPr>
      </w:pPr>
      <w:r w:rsidRPr="00916586">
        <w:rPr>
          <w:rFonts w:ascii="Arial Narrow" w:eastAsia="Arial" w:hAnsi="Arial Narrow" w:cs="Times New Roman"/>
          <w:iCs/>
          <w:sz w:val="18"/>
          <w:szCs w:val="20"/>
          <w:vertAlign w:val="superscript"/>
        </w:rPr>
        <w:t xml:space="preserve">e  </w:t>
      </w:r>
      <w:r w:rsidRPr="00916586">
        <w:rPr>
          <w:rFonts w:ascii="Arial Narrow" w:eastAsia="Arial" w:hAnsi="Arial Narrow" w:cs="Times New Roman"/>
          <w:iCs/>
          <w:sz w:val="18"/>
          <w:szCs w:val="20"/>
        </w:rPr>
        <w:t xml:space="preserve">Source of data only specifies that 450mg+ dose usage is 0.9% of the total without indicating the usage percent for 600mg. Both the 450mg and the 600mg usage proportion are below 0.9% both individually and in the combined. </w:t>
      </w:r>
    </w:p>
    <w:p w14:paraId="0E776ED5" w14:textId="77777777" w:rsidR="0080705F" w:rsidRPr="00916586" w:rsidRDefault="0080705F" w:rsidP="00202E8C">
      <w:pPr>
        <w:pStyle w:val="3-BodyText"/>
        <w:rPr>
          <w:iCs/>
        </w:rPr>
      </w:pPr>
      <w:bookmarkStart w:id="25" w:name="_Toc22897646"/>
      <w:r w:rsidRPr="00916586">
        <w:rPr>
          <w:iCs/>
        </w:rPr>
        <w:t>The ESC considered</w:t>
      </w:r>
      <w:r w:rsidR="00410A36" w:rsidRPr="00916586">
        <w:rPr>
          <w:iCs/>
        </w:rPr>
        <w:t xml:space="preserve">, on balance, the </w:t>
      </w:r>
      <w:r w:rsidRPr="00916586">
        <w:rPr>
          <w:iCs/>
        </w:rPr>
        <w:t>revised cost-minimisation</w:t>
      </w:r>
      <w:r w:rsidR="00410A36" w:rsidRPr="00916586">
        <w:rPr>
          <w:iCs/>
        </w:rPr>
        <w:t xml:space="preserve"> based on the</w:t>
      </w:r>
      <w:r w:rsidRPr="00916586">
        <w:rPr>
          <w:iCs/>
        </w:rPr>
        <w:t xml:space="preserve"> TDD approach</w:t>
      </w:r>
      <w:r w:rsidR="00410A36" w:rsidRPr="00916586">
        <w:rPr>
          <w:iCs/>
        </w:rPr>
        <w:t xml:space="preserve"> presented in the PSCR app</w:t>
      </w:r>
      <w:r w:rsidR="00067C30" w:rsidRPr="00916586">
        <w:rPr>
          <w:iCs/>
        </w:rPr>
        <w:t>eared</w:t>
      </w:r>
      <w:r w:rsidRPr="00916586">
        <w:rPr>
          <w:iCs/>
        </w:rPr>
        <w:t xml:space="preserve"> to be reasonable.</w:t>
      </w:r>
    </w:p>
    <w:p w14:paraId="16E3874C" w14:textId="77777777" w:rsidR="00202E8C" w:rsidRPr="00916586" w:rsidRDefault="00202E8C" w:rsidP="00202E8C">
      <w:pPr>
        <w:pStyle w:val="3-BodyText"/>
      </w:pPr>
      <w:r w:rsidRPr="00916586">
        <w:t xml:space="preserve"> </w:t>
      </w:r>
      <w:r w:rsidR="00410A36" w:rsidRPr="00916586">
        <w:t>P</w:t>
      </w:r>
      <w:r w:rsidRPr="00916586">
        <w:t>regabalin IR is in Formulary 2 and will be subject</w:t>
      </w:r>
      <w:r w:rsidR="00567CE5" w:rsidRPr="00916586">
        <w:t>ed</w:t>
      </w:r>
      <w:r w:rsidRPr="00916586">
        <w:t xml:space="preserve"> to price disclosure during </w:t>
      </w:r>
      <w:r w:rsidR="008750C2" w:rsidRPr="00916586">
        <w:t xml:space="preserve">the cycles in </w:t>
      </w:r>
      <w:r w:rsidRPr="00916586">
        <w:t>October</w:t>
      </w:r>
      <w:r w:rsidR="00F86134" w:rsidRPr="00916586">
        <w:t xml:space="preserve"> 2021 </w:t>
      </w:r>
      <w:r w:rsidRPr="00916586">
        <w:t xml:space="preserve">and April 2022. It is unlikely that cost-minimisation based on current prices will remain </w:t>
      </w:r>
      <w:r w:rsidR="00334131" w:rsidRPr="00916586">
        <w:t>the same</w:t>
      </w:r>
      <w:r w:rsidR="00D33C08" w:rsidRPr="00916586">
        <w:t>, however the magnitude of price reductions cannot be determined prospectively.</w:t>
      </w:r>
    </w:p>
    <w:p w14:paraId="31CA1EA4" w14:textId="77777777" w:rsidR="00C25D9C" w:rsidRPr="00916586" w:rsidRDefault="00C25D9C" w:rsidP="00BB732D">
      <w:pPr>
        <w:pStyle w:val="4-SubsectionHeading"/>
      </w:pPr>
      <w:bookmarkStart w:id="26" w:name="_Toc81837352"/>
      <w:r w:rsidRPr="00916586">
        <w:t>Drug cost/patient/</w:t>
      </w:r>
      <w:r w:rsidR="009E3C90" w:rsidRPr="00916586">
        <w:t>year</w:t>
      </w:r>
      <w:bookmarkEnd w:id="25"/>
      <w:bookmarkEnd w:id="26"/>
    </w:p>
    <w:p w14:paraId="32063D9D" w14:textId="77777777" w:rsidR="00D41990" w:rsidRPr="00916586" w:rsidRDefault="00D41990" w:rsidP="00D41990">
      <w:pPr>
        <w:pStyle w:val="3-BodyText"/>
        <w:rPr>
          <w:snapToGrid/>
        </w:rPr>
      </w:pPr>
      <w:r w:rsidRPr="00916586">
        <w:rPr>
          <w:snapToGrid/>
        </w:rPr>
        <w:t>The cost/patient/year given below is based on the requested DPMQ</w:t>
      </w:r>
      <w:r w:rsidR="00C80B6D" w:rsidRPr="00916586">
        <w:rPr>
          <w:snapToGrid/>
        </w:rPr>
        <w:t>s</w:t>
      </w:r>
      <w:r w:rsidRPr="00916586">
        <w:rPr>
          <w:snapToGrid/>
        </w:rPr>
        <w:t xml:space="preserve"> </w:t>
      </w:r>
      <w:r w:rsidR="00C80B6D" w:rsidRPr="00916586">
        <w:rPr>
          <w:snapToGrid/>
        </w:rPr>
        <w:t xml:space="preserve">(which are revised during evaluation </w:t>
      </w:r>
      <w:r w:rsidR="00C80B6D" w:rsidRPr="00916586">
        <w:t>based on applicable mark-ups and fees as at 1 July 2021)</w:t>
      </w:r>
      <w:r w:rsidR="00567CE5" w:rsidRPr="00916586">
        <w:t>. The DPMQs of</w:t>
      </w:r>
      <w:r w:rsidR="00C80B6D" w:rsidRPr="00916586">
        <w:t xml:space="preserve"> </w:t>
      </w:r>
      <w:r w:rsidR="00567CE5" w:rsidRPr="00916586">
        <w:rPr>
          <w:snapToGrid/>
        </w:rPr>
        <w:t xml:space="preserve">pregabalin CR 82.5 mg, 165 mg and 330 mg are </w:t>
      </w:r>
      <w:r w:rsidRPr="00916586">
        <w:rPr>
          <w:snapToGrid/>
        </w:rPr>
        <w:t>$22.94, $28.75 and</w:t>
      </w:r>
      <w:r w:rsidR="00567CE5" w:rsidRPr="00916586">
        <w:rPr>
          <w:snapToGrid/>
        </w:rPr>
        <w:t xml:space="preserve"> </w:t>
      </w:r>
      <w:r w:rsidRPr="00916586">
        <w:rPr>
          <w:snapToGrid/>
        </w:rPr>
        <w:t>$36.95 respectively</w:t>
      </w:r>
      <w:r w:rsidR="00567CE5" w:rsidRPr="00916586">
        <w:rPr>
          <w:snapToGrid/>
        </w:rPr>
        <w:t>. There are</w:t>
      </w:r>
      <w:r w:rsidR="00C80B6D" w:rsidRPr="00916586">
        <w:t xml:space="preserve"> </w:t>
      </w:r>
      <w:r w:rsidRPr="00916586">
        <w:rPr>
          <w:snapToGrid/>
        </w:rPr>
        <w:t xml:space="preserve">30 tablets per pack which is sufficient for a 30 day supply (12.18 scripts per year, as calculated by the submission. </w:t>
      </w:r>
      <w:r w:rsidR="00D33C08" w:rsidRPr="00916586">
        <w:rPr>
          <w:snapToGrid/>
        </w:rPr>
        <w:t>However, to achieve some of the approved dose regimens, patients will require multiple packs to achieve doses equivalent to IR pregabalin, e.g. a 165 mg pack and an 82.5 mg pack are required for a daily dose of 247.5mg</w:t>
      </w:r>
      <w:r w:rsidR="00E024B5" w:rsidRPr="00916586">
        <w:rPr>
          <w:snapToGrid/>
        </w:rPr>
        <w:t>.</w:t>
      </w:r>
    </w:p>
    <w:p w14:paraId="3476872E" w14:textId="77777777" w:rsidR="00D41990" w:rsidRPr="00916586" w:rsidRDefault="00D41990" w:rsidP="00D41990">
      <w:pPr>
        <w:pStyle w:val="3-BodyText"/>
        <w:rPr>
          <w:i/>
          <w:snapToGrid/>
        </w:rPr>
      </w:pPr>
      <w:r w:rsidRPr="00916586">
        <w:rPr>
          <w:snapToGrid/>
        </w:rPr>
        <w:lastRenderedPageBreak/>
        <w:t>Due to the approach used in the economic evaluation and financial estimates, it was difficult to reliably determine the drug cost/patient/year</w:t>
      </w:r>
      <w:r w:rsidR="00576E43" w:rsidRPr="00916586">
        <w:rPr>
          <w:snapToGrid/>
        </w:rPr>
        <w:t xml:space="preserve"> listed in table below.</w:t>
      </w:r>
      <w:r w:rsidRPr="00916586">
        <w:rPr>
          <w:snapToGrid/>
        </w:rPr>
        <w:t xml:space="preserve"> This is highly uncertain given the concerns in the requested price for pregabalin CR, which is no</w:t>
      </w:r>
      <w:r w:rsidR="005C5AA5" w:rsidRPr="00916586">
        <w:rPr>
          <w:snapToGrid/>
        </w:rPr>
        <w:t>t cost-minimi</w:t>
      </w:r>
      <w:r w:rsidR="00334131" w:rsidRPr="00916586">
        <w:rPr>
          <w:snapToGrid/>
        </w:rPr>
        <w:t>sed</w:t>
      </w:r>
      <w:r w:rsidR="005C5AA5" w:rsidRPr="00916586">
        <w:rPr>
          <w:snapToGrid/>
        </w:rPr>
        <w:t xml:space="preserve"> (paragraph 6.19</w:t>
      </w:r>
      <w:r w:rsidRPr="00916586">
        <w:rPr>
          <w:snapToGrid/>
        </w:rPr>
        <w:t xml:space="preserve">) based on total daily doses. </w:t>
      </w:r>
      <w:r w:rsidR="00D703DD" w:rsidRPr="00916586">
        <w:rPr>
          <w:iCs/>
          <w:snapToGrid/>
        </w:rPr>
        <w:t>The PSCR</w:t>
      </w:r>
      <w:r w:rsidR="00A10B77" w:rsidRPr="00916586">
        <w:rPr>
          <w:iCs/>
          <w:snapToGrid/>
        </w:rPr>
        <w:t xml:space="preserve"> </w:t>
      </w:r>
      <w:r w:rsidR="00D703DD" w:rsidRPr="00916586">
        <w:rPr>
          <w:iCs/>
          <w:snapToGrid/>
        </w:rPr>
        <w:t xml:space="preserve">provided an amended drug cost/patient/year table based </w:t>
      </w:r>
      <w:r w:rsidR="003B2AC7" w:rsidRPr="00916586">
        <w:rPr>
          <w:iCs/>
          <w:snapToGrid/>
        </w:rPr>
        <w:t>on the</w:t>
      </w:r>
      <w:r w:rsidR="00AF390B" w:rsidRPr="00916586">
        <w:rPr>
          <w:iCs/>
          <w:snapToGrid/>
        </w:rPr>
        <w:t xml:space="preserve"> </w:t>
      </w:r>
      <w:r w:rsidR="0080705F" w:rsidRPr="00916586">
        <w:rPr>
          <w:iCs/>
          <w:snapToGrid/>
        </w:rPr>
        <w:t>revised pricing proposal and CMA based on a TDD approach.</w:t>
      </w:r>
      <w:r w:rsidR="00FE79F4" w:rsidRPr="00916586">
        <w:rPr>
          <w:iCs/>
          <w:snapToGrid/>
        </w:rPr>
        <w:t xml:space="preserve"> The sponsor noted that 225 mg TDD, 450 </w:t>
      </w:r>
      <w:r w:rsidR="00AF390B" w:rsidRPr="00916586">
        <w:rPr>
          <w:iCs/>
          <w:snapToGrid/>
        </w:rPr>
        <w:t xml:space="preserve">mg </w:t>
      </w:r>
      <w:r w:rsidR="00FE79F4" w:rsidRPr="00916586">
        <w:rPr>
          <w:iCs/>
          <w:snapToGrid/>
        </w:rPr>
        <w:t>TDD and 600 mg TDD (5.1%</w:t>
      </w:r>
      <w:r w:rsidR="00DC510E" w:rsidRPr="00916586">
        <w:rPr>
          <w:iCs/>
          <w:snapToGrid/>
        </w:rPr>
        <w:t xml:space="preserve"> of the total eligible pool</w:t>
      </w:r>
      <w:r w:rsidR="00FE79F4" w:rsidRPr="00916586">
        <w:rPr>
          <w:iCs/>
          <w:snapToGrid/>
        </w:rPr>
        <w:t>) are not cost-m</w:t>
      </w:r>
      <w:r w:rsidR="00DC510E" w:rsidRPr="00916586">
        <w:rPr>
          <w:iCs/>
          <w:snapToGrid/>
        </w:rPr>
        <w:t>inimised if converted to CR</w:t>
      </w:r>
      <w:r w:rsidR="00AF390B" w:rsidRPr="00916586">
        <w:rPr>
          <w:iCs/>
          <w:snapToGrid/>
        </w:rPr>
        <w:t>.</w:t>
      </w:r>
      <w:r w:rsidR="0080705F" w:rsidRPr="00916586">
        <w:rPr>
          <w:iCs/>
          <w:snapToGrid/>
        </w:rPr>
        <w:t xml:space="preserve"> </w:t>
      </w:r>
      <w:r w:rsidR="00AF390B" w:rsidRPr="00916586">
        <w:rPr>
          <w:iCs/>
          <w:snapToGrid/>
        </w:rPr>
        <w:t>H</w:t>
      </w:r>
      <w:r w:rsidR="0080705F" w:rsidRPr="00916586">
        <w:rPr>
          <w:iCs/>
          <w:snapToGrid/>
        </w:rPr>
        <w:t>owever</w:t>
      </w:r>
      <w:r w:rsidR="00AF390B" w:rsidRPr="00916586">
        <w:rPr>
          <w:iCs/>
          <w:snapToGrid/>
        </w:rPr>
        <w:t>, the sponsor</w:t>
      </w:r>
      <w:r w:rsidR="0080705F" w:rsidRPr="00916586">
        <w:rPr>
          <w:iCs/>
          <w:snapToGrid/>
        </w:rPr>
        <w:t xml:space="preserve"> argued these doses are unlikely to be converted to CR pregabalin in practice and noted the overall revised price proposals result in an overall lower price across the distribution of dose regimens based on the PBS 10% sample data.</w:t>
      </w:r>
    </w:p>
    <w:p w14:paraId="422CACB4" w14:textId="77777777" w:rsidR="0080705F" w:rsidRPr="00916586" w:rsidRDefault="0080705F" w:rsidP="0080705F">
      <w:pPr>
        <w:spacing w:after="1"/>
        <w:ind w:left="-3"/>
        <w:rPr>
          <w:rFonts w:ascii="Arial Narrow" w:hAnsi="Arial Narrow"/>
          <w:b/>
          <w:iCs/>
          <w:sz w:val="20"/>
        </w:rPr>
      </w:pPr>
      <w:r w:rsidRPr="00916586">
        <w:rPr>
          <w:rFonts w:ascii="Arial Narrow" w:hAnsi="Arial Narrow"/>
          <w:b/>
          <w:iCs/>
          <w:sz w:val="20"/>
        </w:rPr>
        <w:t xml:space="preserve">Table </w:t>
      </w:r>
      <w:r w:rsidR="007A7FAD" w:rsidRPr="00916586">
        <w:rPr>
          <w:rFonts w:ascii="Arial Narrow" w:hAnsi="Arial Narrow"/>
          <w:b/>
          <w:iCs/>
          <w:noProof/>
          <w:sz w:val="20"/>
        </w:rPr>
        <w:t>7</w:t>
      </w:r>
      <w:r w:rsidRPr="00916586">
        <w:rPr>
          <w:rFonts w:ascii="Arial Narrow" w:hAnsi="Arial Narrow"/>
          <w:b/>
          <w:iCs/>
          <w:sz w:val="20"/>
        </w:rPr>
        <w:t>: Script and drug cost / patient / year equivalence between pregabalin IR and proposed Lyrica CR</w:t>
      </w:r>
    </w:p>
    <w:tbl>
      <w:tblPr>
        <w:tblStyle w:val="TableGrid0"/>
        <w:tblW w:w="5000" w:type="pct"/>
        <w:tblInd w:w="0" w:type="dxa"/>
        <w:tblCellMar>
          <w:top w:w="9" w:type="dxa"/>
          <w:left w:w="98" w:type="dxa"/>
          <w:bottom w:w="24" w:type="dxa"/>
          <w:right w:w="34" w:type="dxa"/>
        </w:tblCellMar>
        <w:tblLook w:val="04A0" w:firstRow="1" w:lastRow="0" w:firstColumn="1" w:lastColumn="0" w:noHBand="0" w:noVBand="1"/>
        <w:tblCaption w:val="Table 7: Script and drug cost / patient / year equivalence between pregabalin IR and proposed Lyrica CR"/>
      </w:tblPr>
      <w:tblGrid>
        <w:gridCol w:w="1305"/>
        <w:gridCol w:w="859"/>
        <w:gridCol w:w="863"/>
        <w:gridCol w:w="1374"/>
        <w:gridCol w:w="776"/>
        <w:gridCol w:w="861"/>
        <w:gridCol w:w="1027"/>
        <w:gridCol w:w="971"/>
        <w:gridCol w:w="971"/>
      </w:tblGrid>
      <w:tr w:rsidR="00010571" w:rsidRPr="00916586" w14:paraId="0AE805CB" w14:textId="77777777" w:rsidTr="002668BB">
        <w:trPr>
          <w:trHeight w:val="751"/>
          <w:tblHeader/>
        </w:trPr>
        <w:tc>
          <w:tcPr>
            <w:tcW w:w="1202" w:type="pct"/>
            <w:gridSpan w:val="2"/>
            <w:tcBorders>
              <w:top w:val="single" w:sz="7" w:space="0" w:color="000000"/>
              <w:left w:val="single" w:sz="8" w:space="0" w:color="000000"/>
              <w:bottom w:val="single" w:sz="7" w:space="0" w:color="000000"/>
              <w:right w:val="nil"/>
            </w:tcBorders>
            <w:vAlign w:val="center"/>
          </w:tcPr>
          <w:p w14:paraId="46EA49AF" w14:textId="77777777" w:rsidR="00010571" w:rsidRPr="00916586" w:rsidRDefault="00010571" w:rsidP="00B74D03">
            <w:pPr>
              <w:spacing w:line="259" w:lineRule="auto"/>
              <w:ind w:right="160"/>
              <w:jc w:val="right"/>
              <w:rPr>
                <w:rFonts w:ascii="Arial Narrow" w:hAnsi="Arial Narrow"/>
                <w:iCs/>
                <w:sz w:val="20"/>
                <w:szCs w:val="20"/>
              </w:rPr>
            </w:pPr>
            <w:r w:rsidRPr="00916586">
              <w:rPr>
                <w:rFonts w:ascii="Arial Narrow" w:eastAsia="Arial" w:hAnsi="Arial Narrow"/>
                <w:b/>
                <w:iCs/>
                <w:sz w:val="20"/>
                <w:szCs w:val="20"/>
              </w:rPr>
              <w:t xml:space="preserve">Pregabalin IR </w:t>
            </w:r>
          </w:p>
        </w:tc>
        <w:tc>
          <w:tcPr>
            <w:tcW w:w="479" w:type="pct"/>
            <w:tcBorders>
              <w:top w:val="single" w:sz="7" w:space="0" w:color="000000"/>
              <w:left w:val="nil"/>
              <w:bottom w:val="single" w:sz="7" w:space="0" w:color="000000"/>
              <w:right w:val="single" w:sz="8" w:space="0" w:color="000000"/>
            </w:tcBorders>
          </w:tcPr>
          <w:p w14:paraId="2519A5AD" w14:textId="77777777" w:rsidR="00010571" w:rsidRPr="00916586" w:rsidRDefault="00010571" w:rsidP="00B74D03">
            <w:pPr>
              <w:spacing w:after="160" w:line="259" w:lineRule="auto"/>
              <w:rPr>
                <w:rFonts w:ascii="Arial Narrow" w:hAnsi="Arial Narrow"/>
                <w:iCs/>
                <w:sz w:val="20"/>
                <w:szCs w:val="20"/>
              </w:rPr>
            </w:pPr>
          </w:p>
        </w:tc>
        <w:tc>
          <w:tcPr>
            <w:tcW w:w="1194" w:type="pct"/>
            <w:gridSpan w:val="2"/>
            <w:tcBorders>
              <w:top w:val="single" w:sz="7" w:space="0" w:color="000000"/>
              <w:left w:val="single" w:sz="8" w:space="0" w:color="000000"/>
              <w:bottom w:val="single" w:sz="7" w:space="0" w:color="000000"/>
              <w:right w:val="nil"/>
            </w:tcBorders>
            <w:vAlign w:val="center"/>
          </w:tcPr>
          <w:p w14:paraId="63F5B549" w14:textId="77777777" w:rsidR="00010571" w:rsidRPr="00916586" w:rsidRDefault="00010571" w:rsidP="00B74D03">
            <w:pPr>
              <w:spacing w:line="259" w:lineRule="auto"/>
              <w:ind w:right="118"/>
              <w:jc w:val="right"/>
              <w:rPr>
                <w:rFonts w:ascii="Arial Narrow" w:hAnsi="Arial Narrow"/>
                <w:iCs/>
                <w:sz w:val="20"/>
                <w:szCs w:val="20"/>
              </w:rPr>
            </w:pPr>
            <w:r w:rsidRPr="00916586">
              <w:rPr>
                <w:rFonts w:ascii="Arial Narrow" w:eastAsia="Arial" w:hAnsi="Arial Narrow"/>
                <w:b/>
                <w:iCs/>
                <w:sz w:val="20"/>
                <w:szCs w:val="20"/>
              </w:rPr>
              <w:t xml:space="preserve">Pregabalin CR </w:t>
            </w:r>
          </w:p>
        </w:tc>
        <w:tc>
          <w:tcPr>
            <w:tcW w:w="478" w:type="pct"/>
            <w:tcBorders>
              <w:top w:val="single" w:sz="7" w:space="0" w:color="000000"/>
              <w:left w:val="nil"/>
              <w:bottom w:val="single" w:sz="7" w:space="0" w:color="000000"/>
              <w:right w:val="single" w:sz="8" w:space="0" w:color="000000"/>
            </w:tcBorders>
          </w:tcPr>
          <w:p w14:paraId="6438B0BF" w14:textId="77777777" w:rsidR="00010571" w:rsidRPr="00916586" w:rsidRDefault="00010571" w:rsidP="00B74D03">
            <w:pPr>
              <w:spacing w:after="160" w:line="259" w:lineRule="auto"/>
              <w:rPr>
                <w:rFonts w:ascii="Arial Narrow" w:hAnsi="Arial Narrow"/>
                <w:iCs/>
                <w:sz w:val="20"/>
                <w:szCs w:val="20"/>
              </w:rPr>
            </w:pPr>
          </w:p>
        </w:tc>
        <w:tc>
          <w:tcPr>
            <w:tcW w:w="570" w:type="pct"/>
            <w:vMerge w:val="restart"/>
            <w:tcBorders>
              <w:top w:val="single" w:sz="7" w:space="0" w:color="000000"/>
              <w:left w:val="single" w:sz="8" w:space="0" w:color="000000"/>
              <w:bottom w:val="single" w:sz="7" w:space="0" w:color="000000"/>
              <w:right w:val="single" w:sz="8" w:space="0" w:color="000000"/>
            </w:tcBorders>
            <w:vAlign w:val="center"/>
          </w:tcPr>
          <w:p w14:paraId="6DE1798F" w14:textId="77777777" w:rsidR="00010571" w:rsidRPr="00916586" w:rsidRDefault="00010571" w:rsidP="00B74D03">
            <w:pPr>
              <w:spacing w:after="4" w:line="239" w:lineRule="auto"/>
              <w:ind w:left="36" w:firstLine="31"/>
              <w:rPr>
                <w:rFonts w:ascii="Arial Narrow" w:hAnsi="Arial Narrow"/>
                <w:iCs/>
                <w:sz w:val="20"/>
                <w:szCs w:val="20"/>
              </w:rPr>
            </w:pPr>
            <w:r w:rsidRPr="00916586">
              <w:rPr>
                <w:rFonts w:ascii="Arial Narrow" w:eastAsia="Arial" w:hAnsi="Arial Narrow"/>
                <w:b/>
                <w:iCs/>
                <w:sz w:val="20"/>
                <w:szCs w:val="20"/>
              </w:rPr>
              <w:t xml:space="preserve">Additional yearly total drug cost </w:t>
            </w:r>
          </w:p>
          <w:p w14:paraId="7E014B8C" w14:textId="77777777" w:rsidR="00010571" w:rsidRPr="00916586" w:rsidRDefault="00010571" w:rsidP="00B74D03">
            <w:pPr>
              <w:spacing w:line="259" w:lineRule="auto"/>
              <w:ind w:left="46"/>
              <w:rPr>
                <w:rFonts w:ascii="Arial Narrow" w:hAnsi="Arial Narrow"/>
                <w:iCs/>
                <w:sz w:val="20"/>
                <w:szCs w:val="20"/>
              </w:rPr>
            </w:pPr>
            <w:r w:rsidRPr="00916586">
              <w:rPr>
                <w:rFonts w:ascii="Arial Narrow" w:eastAsia="Arial" w:hAnsi="Arial Narrow"/>
                <w:b/>
                <w:iCs/>
                <w:sz w:val="20"/>
                <w:szCs w:val="20"/>
              </w:rPr>
              <w:t xml:space="preserve">associated </w:t>
            </w:r>
          </w:p>
          <w:p w14:paraId="12BC2995" w14:textId="77777777" w:rsidR="00010571" w:rsidRPr="00916586" w:rsidRDefault="00010571" w:rsidP="00B74D03">
            <w:pPr>
              <w:spacing w:after="269" w:line="259" w:lineRule="auto"/>
              <w:ind w:right="59"/>
              <w:jc w:val="center"/>
              <w:rPr>
                <w:rFonts w:ascii="Arial Narrow" w:hAnsi="Arial Narrow"/>
                <w:iCs/>
                <w:sz w:val="20"/>
                <w:szCs w:val="20"/>
              </w:rPr>
            </w:pPr>
            <w:r w:rsidRPr="00916586">
              <w:rPr>
                <w:rFonts w:ascii="Arial Narrow" w:eastAsia="Arial" w:hAnsi="Arial Narrow"/>
                <w:b/>
                <w:iCs/>
                <w:sz w:val="20"/>
                <w:szCs w:val="20"/>
              </w:rPr>
              <w:t xml:space="preserve">with CR </w:t>
            </w:r>
          </w:p>
          <w:p w14:paraId="5793E603" w14:textId="77777777" w:rsidR="00010571" w:rsidRPr="00916586" w:rsidRDefault="00010571" w:rsidP="00B74D03">
            <w:pPr>
              <w:spacing w:line="259" w:lineRule="auto"/>
              <w:ind w:right="66"/>
              <w:jc w:val="center"/>
              <w:rPr>
                <w:rFonts w:ascii="Arial Narrow" w:hAnsi="Arial Narrow"/>
                <w:iCs/>
                <w:sz w:val="20"/>
                <w:szCs w:val="20"/>
              </w:rPr>
            </w:pPr>
            <w:r w:rsidRPr="00916586">
              <w:rPr>
                <w:rFonts w:ascii="Arial Narrow" w:eastAsia="Arial" w:hAnsi="Arial Narrow"/>
                <w:b/>
                <w:iCs/>
                <w:sz w:val="20"/>
                <w:szCs w:val="20"/>
              </w:rPr>
              <w:t xml:space="preserve">(B – A) </w:t>
            </w:r>
          </w:p>
        </w:tc>
        <w:tc>
          <w:tcPr>
            <w:tcW w:w="539" w:type="pct"/>
            <w:vMerge w:val="restart"/>
            <w:tcBorders>
              <w:top w:val="single" w:sz="7" w:space="0" w:color="000000"/>
              <w:left w:val="single" w:sz="8" w:space="0" w:color="000000"/>
              <w:bottom w:val="single" w:sz="7" w:space="0" w:color="000000"/>
              <w:right w:val="single" w:sz="8" w:space="0" w:color="000000"/>
            </w:tcBorders>
            <w:vAlign w:val="center"/>
          </w:tcPr>
          <w:p w14:paraId="5FEBD35C" w14:textId="77777777" w:rsidR="00010571" w:rsidRPr="00916586" w:rsidRDefault="00010571" w:rsidP="00B74D03">
            <w:pPr>
              <w:spacing w:line="259" w:lineRule="auto"/>
              <w:jc w:val="center"/>
              <w:rPr>
                <w:rFonts w:ascii="Arial Narrow" w:hAnsi="Arial Narrow"/>
                <w:iCs/>
                <w:sz w:val="20"/>
                <w:szCs w:val="20"/>
              </w:rPr>
            </w:pPr>
            <w:r w:rsidRPr="00916586">
              <w:rPr>
                <w:rFonts w:ascii="Arial Narrow" w:eastAsia="Arial" w:hAnsi="Arial Narrow"/>
                <w:b/>
                <w:iCs/>
                <w:sz w:val="20"/>
                <w:szCs w:val="20"/>
              </w:rPr>
              <w:t xml:space="preserve">% of total population on this dose </w:t>
            </w:r>
            <w:r w:rsidRPr="00916586">
              <w:rPr>
                <w:rFonts w:ascii="Arial Narrow" w:eastAsia="Arial" w:hAnsi="Arial Narrow"/>
                <w:b/>
                <w:iCs/>
                <w:sz w:val="20"/>
                <w:szCs w:val="20"/>
                <w:vertAlign w:val="superscript"/>
              </w:rPr>
              <w:t>c</w:t>
            </w:r>
            <w:r w:rsidRPr="00916586">
              <w:rPr>
                <w:rFonts w:ascii="Arial Narrow" w:eastAsia="Arial" w:hAnsi="Arial Narrow"/>
                <w:b/>
                <w:iCs/>
                <w:sz w:val="20"/>
                <w:szCs w:val="20"/>
              </w:rPr>
              <w:t xml:space="preserve"> </w:t>
            </w:r>
          </w:p>
        </w:tc>
        <w:tc>
          <w:tcPr>
            <w:tcW w:w="539" w:type="pct"/>
            <w:vMerge w:val="restart"/>
            <w:tcBorders>
              <w:top w:val="single" w:sz="7" w:space="0" w:color="000000"/>
              <w:left w:val="single" w:sz="8" w:space="0" w:color="000000"/>
              <w:bottom w:val="single" w:sz="7" w:space="0" w:color="000000"/>
              <w:right w:val="single" w:sz="8" w:space="0" w:color="000000"/>
            </w:tcBorders>
            <w:vAlign w:val="center"/>
          </w:tcPr>
          <w:p w14:paraId="75185B31" w14:textId="77777777" w:rsidR="00010571" w:rsidRPr="00916586" w:rsidRDefault="00010571" w:rsidP="00B74D03">
            <w:pPr>
              <w:spacing w:line="243" w:lineRule="auto"/>
              <w:jc w:val="center"/>
              <w:rPr>
                <w:rFonts w:ascii="Arial Narrow" w:hAnsi="Arial Narrow"/>
                <w:iCs/>
                <w:sz w:val="20"/>
                <w:szCs w:val="20"/>
              </w:rPr>
            </w:pPr>
            <w:r w:rsidRPr="00916586">
              <w:rPr>
                <w:rFonts w:ascii="Arial Narrow" w:eastAsia="Arial" w:hAnsi="Arial Narrow"/>
                <w:b/>
                <w:iCs/>
                <w:sz w:val="20"/>
                <w:szCs w:val="20"/>
              </w:rPr>
              <w:t xml:space="preserve">as a % of total </w:t>
            </w:r>
          </w:p>
          <w:p w14:paraId="426F60C9" w14:textId="77777777" w:rsidR="00010571" w:rsidRPr="00916586" w:rsidRDefault="00010571" w:rsidP="00B74D03">
            <w:pPr>
              <w:spacing w:line="259" w:lineRule="auto"/>
              <w:ind w:right="65"/>
              <w:jc w:val="center"/>
              <w:rPr>
                <w:rFonts w:ascii="Arial Narrow" w:hAnsi="Arial Narrow"/>
                <w:iCs/>
                <w:sz w:val="20"/>
                <w:szCs w:val="20"/>
              </w:rPr>
            </w:pPr>
            <w:r w:rsidRPr="00916586">
              <w:rPr>
                <w:rFonts w:ascii="Arial Narrow" w:eastAsia="Arial" w:hAnsi="Arial Narrow"/>
                <w:b/>
                <w:iCs/>
                <w:sz w:val="20"/>
                <w:szCs w:val="20"/>
              </w:rPr>
              <w:t xml:space="preserve">eligible </w:t>
            </w:r>
          </w:p>
          <w:p w14:paraId="45E0CDC5" w14:textId="77777777" w:rsidR="00010571" w:rsidRPr="00916586" w:rsidRDefault="00010571" w:rsidP="00B74D03">
            <w:pPr>
              <w:spacing w:line="259" w:lineRule="auto"/>
              <w:rPr>
                <w:rFonts w:ascii="Arial Narrow" w:hAnsi="Arial Narrow"/>
                <w:iCs/>
                <w:sz w:val="20"/>
                <w:szCs w:val="20"/>
              </w:rPr>
            </w:pPr>
            <w:r w:rsidRPr="00916586">
              <w:rPr>
                <w:rFonts w:ascii="Arial Narrow" w:eastAsia="Arial" w:hAnsi="Arial Narrow"/>
                <w:b/>
                <w:iCs/>
                <w:sz w:val="20"/>
                <w:szCs w:val="20"/>
              </w:rPr>
              <w:t xml:space="preserve">population </w:t>
            </w:r>
          </w:p>
          <w:p w14:paraId="5C42D4BC" w14:textId="77777777" w:rsidR="00010571" w:rsidRPr="00916586" w:rsidRDefault="00010571" w:rsidP="00B74D03">
            <w:pPr>
              <w:spacing w:line="259" w:lineRule="auto"/>
              <w:ind w:right="66"/>
              <w:jc w:val="center"/>
              <w:rPr>
                <w:rFonts w:ascii="Arial Narrow" w:hAnsi="Arial Narrow"/>
                <w:iCs/>
                <w:sz w:val="20"/>
                <w:szCs w:val="20"/>
              </w:rPr>
            </w:pPr>
            <w:r w:rsidRPr="00916586">
              <w:rPr>
                <w:rFonts w:ascii="Arial Narrow" w:eastAsia="Arial" w:hAnsi="Arial Narrow"/>
                <w:b/>
                <w:iCs/>
                <w:sz w:val="20"/>
                <w:szCs w:val="20"/>
              </w:rPr>
              <w:t xml:space="preserve">(70.8%) </w:t>
            </w:r>
          </w:p>
        </w:tc>
      </w:tr>
      <w:tr w:rsidR="00010571" w:rsidRPr="00916586" w14:paraId="77C97B47" w14:textId="77777777" w:rsidTr="002668BB">
        <w:trPr>
          <w:trHeight w:val="1121"/>
          <w:tblHeader/>
        </w:trPr>
        <w:tc>
          <w:tcPr>
            <w:tcW w:w="725" w:type="pct"/>
            <w:tcBorders>
              <w:top w:val="single" w:sz="7" w:space="0" w:color="000000"/>
              <w:left w:val="single" w:sz="8" w:space="0" w:color="000000"/>
              <w:bottom w:val="single" w:sz="7" w:space="0" w:color="000000"/>
              <w:right w:val="single" w:sz="7" w:space="0" w:color="000000"/>
            </w:tcBorders>
          </w:tcPr>
          <w:p w14:paraId="0232F9E4" w14:textId="77777777" w:rsidR="00010571" w:rsidRPr="00916586" w:rsidRDefault="00010571" w:rsidP="00B74D03">
            <w:pPr>
              <w:spacing w:after="130" w:line="241" w:lineRule="auto"/>
              <w:ind w:left="14" w:right="34"/>
              <w:jc w:val="center"/>
              <w:rPr>
                <w:rFonts w:ascii="Arial Narrow" w:hAnsi="Arial Narrow"/>
                <w:iCs/>
                <w:sz w:val="20"/>
                <w:szCs w:val="20"/>
              </w:rPr>
            </w:pPr>
            <w:r w:rsidRPr="00916586">
              <w:rPr>
                <w:rFonts w:ascii="Arial Narrow" w:eastAsia="Arial" w:hAnsi="Arial Narrow"/>
                <w:b/>
                <w:iCs/>
                <w:sz w:val="20"/>
                <w:szCs w:val="20"/>
              </w:rPr>
              <w:t xml:space="preserve">Total Daily Dose  </w:t>
            </w:r>
          </w:p>
          <w:p w14:paraId="78A95BB1" w14:textId="77777777" w:rsidR="00010571" w:rsidRPr="00916586" w:rsidRDefault="00010571" w:rsidP="00B74D03">
            <w:pPr>
              <w:spacing w:line="259" w:lineRule="auto"/>
              <w:jc w:val="center"/>
              <w:rPr>
                <w:rFonts w:ascii="Arial Narrow" w:hAnsi="Arial Narrow"/>
                <w:iCs/>
                <w:sz w:val="20"/>
                <w:szCs w:val="20"/>
              </w:rPr>
            </w:pPr>
            <w:r w:rsidRPr="00916586">
              <w:rPr>
                <w:rFonts w:ascii="Arial Narrow" w:eastAsia="Arial" w:hAnsi="Arial Narrow"/>
                <w:b/>
                <w:iCs/>
                <w:sz w:val="20"/>
                <w:szCs w:val="20"/>
              </w:rPr>
              <w:t xml:space="preserve">(dosed twice daily) </w:t>
            </w:r>
          </w:p>
        </w:tc>
        <w:tc>
          <w:tcPr>
            <w:tcW w:w="477" w:type="pct"/>
            <w:tcBorders>
              <w:top w:val="single" w:sz="7" w:space="0" w:color="000000"/>
              <w:left w:val="single" w:sz="7" w:space="0" w:color="000000"/>
              <w:bottom w:val="single" w:sz="7" w:space="0" w:color="000000"/>
              <w:right w:val="single" w:sz="8" w:space="0" w:color="000000"/>
            </w:tcBorders>
            <w:vAlign w:val="center"/>
          </w:tcPr>
          <w:p w14:paraId="142F9A87" w14:textId="77777777" w:rsidR="00010571" w:rsidRPr="00916586" w:rsidRDefault="00010571" w:rsidP="00B74D03">
            <w:pPr>
              <w:spacing w:line="259" w:lineRule="auto"/>
              <w:jc w:val="center"/>
              <w:rPr>
                <w:rFonts w:ascii="Arial Narrow" w:hAnsi="Arial Narrow"/>
                <w:iCs/>
                <w:sz w:val="20"/>
                <w:szCs w:val="20"/>
              </w:rPr>
            </w:pPr>
            <w:r w:rsidRPr="00916586">
              <w:rPr>
                <w:rFonts w:ascii="Arial Narrow" w:eastAsia="Arial" w:hAnsi="Arial Narrow"/>
                <w:b/>
                <w:iCs/>
                <w:sz w:val="20"/>
                <w:szCs w:val="20"/>
              </w:rPr>
              <w:t xml:space="preserve">scripts / patient / year </w:t>
            </w:r>
          </w:p>
        </w:tc>
        <w:tc>
          <w:tcPr>
            <w:tcW w:w="479" w:type="pct"/>
            <w:tcBorders>
              <w:top w:val="single" w:sz="7" w:space="0" w:color="000000"/>
              <w:left w:val="single" w:sz="8" w:space="0" w:color="000000"/>
              <w:bottom w:val="single" w:sz="7" w:space="0" w:color="000000"/>
              <w:right w:val="single" w:sz="8" w:space="0" w:color="000000"/>
            </w:tcBorders>
          </w:tcPr>
          <w:p w14:paraId="0147F5F4" w14:textId="77777777" w:rsidR="00010571" w:rsidRPr="00916586" w:rsidRDefault="00010571" w:rsidP="00B74D03">
            <w:pPr>
              <w:spacing w:line="259" w:lineRule="auto"/>
              <w:ind w:right="62"/>
              <w:jc w:val="center"/>
              <w:rPr>
                <w:rFonts w:ascii="Arial Narrow" w:hAnsi="Arial Narrow"/>
                <w:iCs/>
                <w:sz w:val="20"/>
                <w:szCs w:val="20"/>
              </w:rPr>
            </w:pPr>
            <w:r w:rsidRPr="00916586">
              <w:rPr>
                <w:rFonts w:ascii="Arial Narrow" w:eastAsia="Arial" w:hAnsi="Arial Narrow"/>
                <w:b/>
                <w:iCs/>
                <w:sz w:val="20"/>
                <w:szCs w:val="20"/>
              </w:rPr>
              <w:t xml:space="preserve">Drug </w:t>
            </w:r>
          </w:p>
          <w:p w14:paraId="40B33B00" w14:textId="77777777" w:rsidR="00010571" w:rsidRPr="00916586" w:rsidRDefault="00010571" w:rsidP="00B74D03">
            <w:pPr>
              <w:spacing w:line="259" w:lineRule="auto"/>
              <w:ind w:right="60"/>
              <w:jc w:val="center"/>
              <w:rPr>
                <w:rFonts w:ascii="Arial Narrow" w:hAnsi="Arial Narrow"/>
                <w:iCs/>
                <w:sz w:val="20"/>
                <w:szCs w:val="20"/>
              </w:rPr>
            </w:pPr>
            <w:r w:rsidRPr="00916586">
              <w:rPr>
                <w:rFonts w:ascii="Arial Narrow" w:eastAsia="Arial" w:hAnsi="Arial Narrow"/>
                <w:b/>
                <w:iCs/>
                <w:sz w:val="20"/>
                <w:szCs w:val="20"/>
              </w:rPr>
              <w:t xml:space="preserve">cost / </w:t>
            </w:r>
          </w:p>
          <w:p w14:paraId="36EB5308" w14:textId="77777777" w:rsidR="00010571" w:rsidRPr="00916586" w:rsidRDefault="00010571" w:rsidP="00B74D03">
            <w:pPr>
              <w:spacing w:line="259" w:lineRule="auto"/>
              <w:ind w:right="60"/>
              <w:jc w:val="center"/>
              <w:rPr>
                <w:rFonts w:ascii="Arial Narrow" w:hAnsi="Arial Narrow"/>
                <w:iCs/>
                <w:sz w:val="20"/>
                <w:szCs w:val="20"/>
              </w:rPr>
            </w:pPr>
            <w:r w:rsidRPr="00916586">
              <w:rPr>
                <w:rFonts w:ascii="Arial Narrow" w:eastAsia="Arial" w:hAnsi="Arial Narrow"/>
                <w:b/>
                <w:iCs/>
                <w:sz w:val="20"/>
                <w:szCs w:val="20"/>
              </w:rPr>
              <w:t xml:space="preserve">patient / </w:t>
            </w:r>
          </w:p>
          <w:p w14:paraId="7CDD2BA6" w14:textId="77777777" w:rsidR="00010571" w:rsidRPr="00916586" w:rsidRDefault="00010571" w:rsidP="00B74D03">
            <w:pPr>
              <w:spacing w:after="5" w:line="259" w:lineRule="auto"/>
              <w:ind w:right="62"/>
              <w:jc w:val="center"/>
              <w:rPr>
                <w:rFonts w:ascii="Arial Narrow" w:hAnsi="Arial Narrow"/>
                <w:iCs/>
                <w:sz w:val="20"/>
                <w:szCs w:val="20"/>
              </w:rPr>
            </w:pPr>
            <w:r w:rsidRPr="00916586">
              <w:rPr>
                <w:rFonts w:ascii="Arial Narrow" w:eastAsia="Arial" w:hAnsi="Arial Narrow"/>
                <w:b/>
                <w:iCs/>
                <w:sz w:val="20"/>
                <w:szCs w:val="20"/>
              </w:rPr>
              <w:t xml:space="preserve">year </w:t>
            </w:r>
            <w:r w:rsidRPr="00916586">
              <w:rPr>
                <w:rFonts w:ascii="Arial Narrow" w:eastAsia="Arial" w:hAnsi="Arial Narrow"/>
                <w:b/>
                <w:iCs/>
                <w:sz w:val="20"/>
                <w:szCs w:val="20"/>
                <w:vertAlign w:val="superscript"/>
              </w:rPr>
              <w:t>a</w:t>
            </w:r>
            <w:r w:rsidRPr="00916586">
              <w:rPr>
                <w:rFonts w:ascii="Arial Narrow" w:eastAsia="Arial" w:hAnsi="Arial Narrow"/>
                <w:b/>
                <w:iCs/>
                <w:sz w:val="20"/>
                <w:szCs w:val="20"/>
              </w:rPr>
              <w:t xml:space="preserve"> </w:t>
            </w:r>
          </w:p>
          <w:p w14:paraId="4BE08606" w14:textId="77777777" w:rsidR="00010571" w:rsidRPr="00916586" w:rsidRDefault="00010571" w:rsidP="00B74D03">
            <w:pPr>
              <w:spacing w:line="259" w:lineRule="auto"/>
              <w:ind w:right="61"/>
              <w:jc w:val="center"/>
              <w:rPr>
                <w:rFonts w:ascii="Arial Narrow" w:hAnsi="Arial Narrow"/>
                <w:iCs/>
                <w:sz w:val="20"/>
                <w:szCs w:val="20"/>
              </w:rPr>
            </w:pPr>
            <w:r w:rsidRPr="00916586">
              <w:rPr>
                <w:rFonts w:ascii="Arial Narrow" w:eastAsia="Arial" w:hAnsi="Arial Narrow"/>
                <w:b/>
                <w:iCs/>
                <w:sz w:val="20"/>
                <w:szCs w:val="20"/>
              </w:rPr>
              <w:t xml:space="preserve">(A) </w:t>
            </w:r>
          </w:p>
        </w:tc>
        <w:tc>
          <w:tcPr>
            <w:tcW w:w="763" w:type="pct"/>
            <w:tcBorders>
              <w:top w:val="single" w:sz="7" w:space="0" w:color="000000"/>
              <w:left w:val="single" w:sz="8" w:space="0" w:color="000000"/>
              <w:bottom w:val="single" w:sz="7" w:space="0" w:color="000000"/>
              <w:right w:val="single" w:sz="8" w:space="0" w:color="000000"/>
            </w:tcBorders>
            <w:vAlign w:val="bottom"/>
          </w:tcPr>
          <w:p w14:paraId="7F8284CB" w14:textId="77777777" w:rsidR="00010571" w:rsidRPr="00916586" w:rsidRDefault="00010571" w:rsidP="00B74D03">
            <w:pPr>
              <w:spacing w:after="221" w:line="259" w:lineRule="auto"/>
              <w:ind w:right="62"/>
              <w:jc w:val="center"/>
              <w:rPr>
                <w:rFonts w:ascii="Arial Narrow" w:hAnsi="Arial Narrow"/>
                <w:iCs/>
                <w:sz w:val="20"/>
                <w:szCs w:val="20"/>
              </w:rPr>
            </w:pPr>
            <w:r w:rsidRPr="00916586">
              <w:rPr>
                <w:rFonts w:ascii="Arial Narrow" w:eastAsia="Arial" w:hAnsi="Arial Narrow"/>
                <w:b/>
                <w:iCs/>
                <w:sz w:val="20"/>
                <w:szCs w:val="20"/>
              </w:rPr>
              <w:t xml:space="preserve">TDD </w:t>
            </w:r>
          </w:p>
          <w:p w14:paraId="4D2D602C" w14:textId="77777777" w:rsidR="00010571" w:rsidRPr="00916586" w:rsidRDefault="00010571" w:rsidP="00B74D03">
            <w:pPr>
              <w:spacing w:line="259" w:lineRule="auto"/>
              <w:jc w:val="center"/>
              <w:rPr>
                <w:rFonts w:ascii="Arial Narrow" w:hAnsi="Arial Narrow"/>
                <w:iCs/>
                <w:sz w:val="20"/>
                <w:szCs w:val="20"/>
              </w:rPr>
            </w:pPr>
            <w:r w:rsidRPr="00916586">
              <w:rPr>
                <w:rFonts w:ascii="Arial Narrow" w:eastAsia="Arial" w:hAnsi="Arial Narrow"/>
                <w:b/>
                <w:iCs/>
                <w:sz w:val="20"/>
                <w:szCs w:val="20"/>
              </w:rPr>
              <w:t xml:space="preserve">(dosed once daily) </w:t>
            </w:r>
          </w:p>
        </w:tc>
        <w:tc>
          <w:tcPr>
            <w:tcW w:w="431" w:type="pct"/>
            <w:tcBorders>
              <w:top w:val="single" w:sz="7" w:space="0" w:color="000000"/>
              <w:left w:val="single" w:sz="8" w:space="0" w:color="000000"/>
              <w:bottom w:val="single" w:sz="7" w:space="0" w:color="000000"/>
              <w:right w:val="single" w:sz="7" w:space="0" w:color="000000"/>
            </w:tcBorders>
            <w:vAlign w:val="center"/>
          </w:tcPr>
          <w:p w14:paraId="60CF5EB6" w14:textId="77777777" w:rsidR="00010571" w:rsidRPr="00916586" w:rsidRDefault="00010571" w:rsidP="00B74D03">
            <w:pPr>
              <w:spacing w:line="259" w:lineRule="auto"/>
              <w:jc w:val="center"/>
              <w:rPr>
                <w:rFonts w:ascii="Arial Narrow" w:hAnsi="Arial Narrow"/>
                <w:iCs/>
                <w:sz w:val="20"/>
                <w:szCs w:val="20"/>
              </w:rPr>
            </w:pPr>
            <w:r w:rsidRPr="00916586">
              <w:rPr>
                <w:rFonts w:ascii="Arial Narrow" w:eastAsia="Arial" w:hAnsi="Arial Narrow"/>
                <w:b/>
                <w:iCs/>
                <w:sz w:val="20"/>
                <w:szCs w:val="20"/>
              </w:rPr>
              <w:t xml:space="preserve">scripts / patient / year </w:t>
            </w:r>
          </w:p>
        </w:tc>
        <w:tc>
          <w:tcPr>
            <w:tcW w:w="478" w:type="pct"/>
            <w:tcBorders>
              <w:top w:val="single" w:sz="7" w:space="0" w:color="000000"/>
              <w:left w:val="single" w:sz="7" w:space="0" w:color="000000"/>
              <w:bottom w:val="single" w:sz="7" w:space="0" w:color="000000"/>
              <w:right w:val="single" w:sz="8" w:space="0" w:color="000000"/>
            </w:tcBorders>
            <w:vAlign w:val="center"/>
          </w:tcPr>
          <w:p w14:paraId="0E714715" w14:textId="77777777" w:rsidR="00010571" w:rsidRPr="00916586" w:rsidRDefault="00010571" w:rsidP="00B74D03">
            <w:pPr>
              <w:spacing w:line="259" w:lineRule="auto"/>
              <w:ind w:right="62"/>
              <w:jc w:val="center"/>
              <w:rPr>
                <w:rFonts w:ascii="Arial Narrow" w:hAnsi="Arial Narrow"/>
                <w:iCs/>
                <w:sz w:val="20"/>
                <w:szCs w:val="20"/>
              </w:rPr>
            </w:pPr>
            <w:r w:rsidRPr="00916586">
              <w:rPr>
                <w:rFonts w:ascii="Arial Narrow" w:eastAsia="Arial" w:hAnsi="Arial Narrow"/>
                <w:b/>
                <w:iCs/>
                <w:sz w:val="20"/>
                <w:szCs w:val="20"/>
              </w:rPr>
              <w:t xml:space="preserve">Drug </w:t>
            </w:r>
          </w:p>
          <w:p w14:paraId="2AC0B7BD" w14:textId="77777777" w:rsidR="00010571" w:rsidRPr="00916586" w:rsidRDefault="00010571" w:rsidP="00B74D03">
            <w:pPr>
              <w:spacing w:line="241" w:lineRule="auto"/>
              <w:jc w:val="center"/>
              <w:rPr>
                <w:rFonts w:ascii="Arial Narrow" w:hAnsi="Arial Narrow"/>
                <w:iCs/>
                <w:sz w:val="20"/>
                <w:szCs w:val="20"/>
              </w:rPr>
            </w:pPr>
            <w:r w:rsidRPr="00916586">
              <w:rPr>
                <w:rFonts w:ascii="Arial Narrow" w:eastAsia="Arial" w:hAnsi="Arial Narrow"/>
                <w:b/>
                <w:iCs/>
                <w:sz w:val="20"/>
                <w:szCs w:val="20"/>
              </w:rPr>
              <w:t xml:space="preserve">cost / patient / </w:t>
            </w:r>
          </w:p>
          <w:p w14:paraId="3E558F99" w14:textId="77777777" w:rsidR="00010571" w:rsidRPr="00916586" w:rsidRDefault="00010571" w:rsidP="00B74D03">
            <w:pPr>
              <w:spacing w:after="8" w:line="259" w:lineRule="auto"/>
              <w:ind w:right="60"/>
              <w:jc w:val="center"/>
              <w:rPr>
                <w:rFonts w:ascii="Arial Narrow" w:hAnsi="Arial Narrow"/>
                <w:iCs/>
                <w:sz w:val="20"/>
                <w:szCs w:val="20"/>
              </w:rPr>
            </w:pPr>
            <w:r w:rsidRPr="00916586">
              <w:rPr>
                <w:rFonts w:ascii="Arial Narrow" w:eastAsia="Arial" w:hAnsi="Arial Narrow"/>
                <w:b/>
                <w:iCs/>
                <w:sz w:val="20"/>
                <w:szCs w:val="20"/>
              </w:rPr>
              <w:t xml:space="preserve">year </w:t>
            </w:r>
            <w:r w:rsidRPr="00916586">
              <w:rPr>
                <w:rFonts w:ascii="Arial Narrow" w:eastAsia="Arial" w:hAnsi="Arial Narrow"/>
                <w:b/>
                <w:iCs/>
                <w:sz w:val="20"/>
                <w:szCs w:val="20"/>
                <w:vertAlign w:val="superscript"/>
              </w:rPr>
              <w:t>b</w:t>
            </w:r>
            <w:r w:rsidRPr="00916586">
              <w:rPr>
                <w:rFonts w:ascii="Arial Narrow" w:eastAsia="Arial" w:hAnsi="Arial Narrow"/>
                <w:b/>
                <w:iCs/>
                <w:sz w:val="20"/>
                <w:szCs w:val="20"/>
              </w:rPr>
              <w:t xml:space="preserve"> </w:t>
            </w:r>
          </w:p>
          <w:p w14:paraId="7372B46D" w14:textId="77777777" w:rsidR="00010571" w:rsidRPr="00916586" w:rsidRDefault="00010571" w:rsidP="00B74D03">
            <w:pPr>
              <w:spacing w:line="259" w:lineRule="auto"/>
              <w:ind w:right="60"/>
              <w:jc w:val="center"/>
              <w:rPr>
                <w:rFonts w:ascii="Arial Narrow" w:hAnsi="Arial Narrow"/>
                <w:iCs/>
                <w:sz w:val="20"/>
                <w:szCs w:val="20"/>
              </w:rPr>
            </w:pPr>
            <w:r w:rsidRPr="00916586">
              <w:rPr>
                <w:rFonts w:ascii="Arial Narrow" w:eastAsia="Arial" w:hAnsi="Arial Narrow"/>
                <w:b/>
                <w:iCs/>
                <w:sz w:val="20"/>
                <w:szCs w:val="20"/>
              </w:rPr>
              <w:t xml:space="preserve">(B) </w:t>
            </w:r>
          </w:p>
        </w:tc>
        <w:tc>
          <w:tcPr>
            <w:tcW w:w="570" w:type="pct"/>
            <w:vMerge/>
            <w:tcBorders>
              <w:top w:val="nil"/>
              <w:left w:val="single" w:sz="8" w:space="0" w:color="000000"/>
              <w:bottom w:val="single" w:sz="7" w:space="0" w:color="000000"/>
              <w:right w:val="single" w:sz="8" w:space="0" w:color="000000"/>
            </w:tcBorders>
          </w:tcPr>
          <w:p w14:paraId="12809D41" w14:textId="77777777" w:rsidR="00010571" w:rsidRPr="00916586" w:rsidRDefault="00010571" w:rsidP="00B74D03">
            <w:pPr>
              <w:spacing w:after="160" w:line="259" w:lineRule="auto"/>
              <w:rPr>
                <w:rFonts w:ascii="Arial Narrow" w:hAnsi="Arial Narrow"/>
                <w:iCs/>
                <w:sz w:val="20"/>
                <w:szCs w:val="20"/>
              </w:rPr>
            </w:pPr>
          </w:p>
        </w:tc>
        <w:tc>
          <w:tcPr>
            <w:tcW w:w="539" w:type="pct"/>
            <w:vMerge/>
            <w:tcBorders>
              <w:top w:val="nil"/>
              <w:left w:val="single" w:sz="8" w:space="0" w:color="000000"/>
              <w:bottom w:val="single" w:sz="7" w:space="0" w:color="000000"/>
              <w:right w:val="single" w:sz="8" w:space="0" w:color="000000"/>
            </w:tcBorders>
          </w:tcPr>
          <w:p w14:paraId="6B1D9091" w14:textId="77777777" w:rsidR="00010571" w:rsidRPr="00916586" w:rsidRDefault="00010571" w:rsidP="00B74D03">
            <w:pPr>
              <w:spacing w:after="160" w:line="259" w:lineRule="auto"/>
              <w:rPr>
                <w:rFonts w:ascii="Arial Narrow" w:hAnsi="Arial Narrow"/>
                <w:iCs/>
                <w:sz w:val="20"/>
                <w:szCs w:val="20"/>
              </w:rPr>
            </w:pPr>
          </w:p>
        </w:tc>
        <w:tc>
          <w:tcPr>
            <w:tcW w:w="539" w:type="pct"/>
            <w:vMerge/>
            <w:tcBorders>
              <w:top w:val="nil"/>
              <w:left w:val="single" w:sz="8" w:space="0" w:color="000000"/>
              <w:bottom w:val="single" w:sz="7" w:space="0" w:color="000000"/>
              <w:right w:val="single" w:sz="8" w:space="0" w:color="000000"/>
            </w:tcBorders>
          </w:tcPr>
          <w:p w14:paraId="683FEF3A" w14:textId="77777777" w:rsidR="00010571" w:rsidRPr="00916586" w:rsidRDefault="00010571" w:rsidP="00B74D03">
            <w:pPr>
              <w:spacing w:after="160" w:line="259" w:lineRule="auto"/>
              <w:rPr>
                <w:rFonts w:ascii="Arial Narrow" w:hAnsi="Arial Narrow"/>
                <w:iCs/>
                <w:sz w:val="20"/>
                <w:szCs w:val="20"/>
              </w:rPr>
            </w:pPr>
          </w:p>
        </w:tc>
      </w:tr>
      <w:tr w:rsidR="00010571" w:rsidRPr="00916586" w14:paraId="079DE431" w14:textId="77777777" w:rsidTr="002668BB">
        <w:trPr>
          <w:trHeight w:val="346"/>
        </w:trPr>
        <w:tc>
          <w:tcPr>
            <w:tcW w:w="725" w:type="pct"/>
            <w:tcBorders>
              <w:top w:val="single" w:sz="7" w:space="0" w:color="000000"/>
              <w:left w:val="single" w:sz="8" w:space="0" w:color="000000"/>
              <w:bottom w:val="single" w:sz="7" w:space="0" w:color="000000"/>
              <w:right w:val="single" w:sz="7" w:space="0" w:color="000000"/>
            </w:tcBorders>
          </w:tcPr>
          <w:p w14:paraId="078B52A0" w14:textId="77777777" w:rsidR="00010571" w:rsidRPr="00916586" w:rsidRDefault="00010571" w:rsidP="00B74D03">
            <w:pPr>
              <w:spacing w:line="259" w:lineRule="auto"/>
              <w:ind w:left="5"/>
              <w:rPr>
                <w:rFonts w:ascii="Arial Narrow" w:hAnsi="Arial Narrow"/>
                <w:iCs/>
                <w:sz w:val="20"/>
                <w:szCs w:val="20"/>
              </w:rPr>
            </w:pPr>
            <w:r w:rsidRPr="00916586">
              <w:rPr>
                <w:rFonts w:ascii="Arial Narrow" w:eastAsia="Arial" w:hAnsi="Arial Narrow"/>
                <w:iCs/>
                <w:sz w:val="20"/>
                <w:szCs w:val="20"/>
              </w:rPr>
              <w:t xml:space="preserve">75 mg / daily </w:t>
            </w:r>
          </w:p>
        </w:tc>
        <w:tc>
          <w:tcPr>
            <w:tcW w:w="477" w:type="pct"/>
            <w:tcBorders>
              <w:top w:val="single" w:sz="7" w:space="0" w:color="000000"/>
              <w:left w:val="single" w:sz="7" w:space="0" w:color="000000"/>
              <w:bottom w:val="single" w:sz="7" w:space="0" w:color="000000"/>
              <w:right w:val="single" w:sz="8" w:space="0" w:color="000000"/>
            </w:tcBorders>
          </w:tcPr>
          <w:p w14:paraId="06ED731C" w14:textId="77777777" w:rsidR="00010571" w:rsidRPr="00916586" w:rsidRDefault="00010571" w:rsidP="00B74D03">
            <w:pPr>
              <w:spacing w:line="259" w:lineRule="auto"/>
              <w:ind w:right="62"/>
              <w:jc w:val="center"/>
              <w:rPr>
                <w:rFonts w:ascii="Arial Narrow" w:hAnsi="Arial Narrow"/>
                <w:iCs/>
                <w:sz w:val="20"/>
                <w:szCs w:val="20"/>
              </w:rPr>
            </w:pPr>
            <w:r w:rsidRPr="00916586">
              <w:rPr>
                <w:rFonts w:ascii="Arial Narrow" w:eastAsia="Arial" w:hAnsi="Arial Narrow"/>
                <w:iCs/>
                <w:sz w:val="20"/>
                <w:szCs w:val="20"/>
              </w:rPr>
              <w:t xml:space="preserve">19.57 </w:t>
            </w:r>
          </w:p>
        </w:tc>
        <w:tc>
          <w:tcPr>
            <w:tcW w:w="479" w:type="pct"/>
            <w:tcBorders>
              <w:top w:val="single" w:sz="7" w:space="0" w:color="000000"/>
              <w:left w:val="single" w:sz="8" w:space="0" w:color="000000"/>
              <w:bottom w:val="single" w:sz="7" w:space="0" w:color="000000"/>
              <w:right w:val="single" w:sz="8" w:space="0" w:color="000000"/>
            </w:tcBorders>
          </w:tcPr>
          <w:p w14:paraId="5E65A860" w14:textId="77777777" w:rsidR="00010571" w:rsidRPr="00916586" w:rsidRDefault="00010571" w:rsidP="00B74D03">
            <w:pPr>
              <w:spacing w:line="259" w:lineRule="auto"/>
              <w:ind w:right="61"/>
              <w:jc w:val="center"/>
              <w:rPr>
                <w:rFonts w:ascii="Arial Narrow" w:hAnsi="Arial Narrow"/>
                <w:iCs/>
                <w:sz w:val="20"/>
                <w:szCs w:val="20"/>
              </w:rPr>
            </w:pPr>
            <w:r w:rsidRPr="00916586">
              <w:rPr>
                <w:rFonts w:ascii="Arial Narrow" w:eastAsia="Arial" w:hAnsi="Arial Narrow"/>
                <w:iCs/>
                <w:sz w:val="20"/>
                <w:szCs w:val="20"/>
              </w:rPr>
              <w:t xml:space="preserve">$317.38 </w:t>
            </w:r>
          </w:p>
        </w:tc>
        <w:tc>
          <w:tcPr>
            <w:tcW w:w="763" w:type="pct"/>
            <w:tcBorders>
              <w:top w:val="single" w:sz="7" w:space="0" w:color="000000"/>
              <w:left w:val="single" w:sz="8" w:space="0" w:color="000000"/>
              <w:bottom w:val="single" w:sz="7" w:space="0" w:color="000000"/>
              <w:right w:val="single" w:sz="8" w:space="0" w:color="000000"/>
            </w:tcBorders>
          </w:tcPr>
          <w:p w14:paraId="7CF95558" w14:textId="77777777" w:rsidR="00010571" w:rsidRPr="00916586" w:rsidRDefault="00010571" w:rsidP="00B74D03">
            <w:pPr>
              <w:spacing w:line="259" w:lineRule="auto"/>
              <w:ind w:left="5"/>
              <w:rPr>
                <w:rFonts w:ascii="Arial Narrow" w:hAnsi="Arial Narrow"/>
                <w:iCs/>
                <w:sz w:val="20"/>
                <w:szCs w:val="20"/>
              </w:rPr>
            </w:pPr>
            <w:r w:rsidRPr="00916586">
              <w:rPr>
                <w:rFonts w:ascii="Arial Narrow" w:eastAsia="Arial" w:hAnsi="Arial Narrow"/>
                <w:iCs/>
                <w:sz w:val="20"/>
                <w:szCs w:val="20"/>
              </w:rPr>
              <w:t xml:space="preserve">82.5 mg / daily </w:t>
            </w:r>
          </w:p>
        </w:tc>
        <w:tc>
          <w:tcPr>
            <w:tcW w:w="431" w:type="pct"/>
            <w:tcBorders>
              <w:top w:val="single" w:sz="7" w:space="0" w:color="000000"/>
              <w:left w:val="single" w:sz="8" w:space="0" w:color="000000"/>
              <w:bottom w:val="single" w:sz="7" w:space="0" w:color="000000"/>
              <w:right w:val="single" w:sz="7" w:space="0" w:color="000000"/>
            </w:tcBorders>
          </w:tcPr>
          <w:p w14:paraId="044C1572" w14:textId="77777777" w:rsidR="00010571" w:rsidRPr="00916586" w:rsidRDefault="00010571" w:rsidP="00B74D03">
            <w:pPr>
              <w:spacing w:line="259" w:lineRule="auto"/>
              <w:ind w:right="67"/>
              <w:jc w:val="center"/>
              <w:rPr>
                <w:rFonts w:ascii="Arial Narrow" w:hAnsi="Arial Narrow"/>
                <w:iCs/>
                <w:sz w:val="20"/>
                <w:szCs w:val="20"/>
              </w:rPr>
            </w:pPr>
            <w:r w:rsidRPr="00916586">
              <w:rPr>
                <w:rFonts w:ascii="Arial Narrow" w:eastAsia="Arial" w:hAnsi="Arial Narrow"/>
                <w:iCs/>
                <w:sz w:val="20"/>
                <w:szCs w:val="20"/>
              </w:rPr>
              <w:t xml:space="preserve">12.18 </w:t>
            </w:r>
          </w:p>
        </w:tc>
        <w:tc>
          <w:tcPr>
            <w:tcW w:w="478" w:type="pct"/>
            <w:tcBorders>
              <w:top w:val="single" w:sz="7" w:space="0" w:color="000000"/>
              <w:left w:val="single" w:sz="7" w:space="0" w:color="000000"/>
              <w:bottom w:val="single" w:sz="7" w:space="0" w:color="000000"/>
              <w:right w:val="single" w:sz="8" w:space="0" w:color="000000"/>
            </w:tcBorders>
          </w:tcPr>
          <w:p w14:paraId="75DF6F48" w14:textId="77777777" w:rsidR="00010571" w:rsidRPr="00916586" w:rsidRDefault="00010571" w:rsidP="00B74D03">
            <w:pPr>
              <w:spacing w:line="259" w:lineRule="auto"/>
              <w:ind w:right="62"/>
              <w:jc w:val="center"/>
              <w:rPr>
                <w:rFonts w:ascii="Arial Narrow" w:hAnsi="Arial Narrow"/>
                <w:iCs/>
                <w:sz w:val="20"/>
                <w:szCs w:val="20"/>
              </w:rPr>
            </w:pPr>
            <w:r w:rsidRPr="00916586">
              <w:rPr>
                <w:rFonts w:ascii="Arial Narrow" w:eastAsia="Arial" w:hAnsi="Arial Narrow"/>
                <w:iCs/>
                <w:sz w:val="20"/>
                <w:szCs w:val="20"/>
              </w:rPr>
              <w:t xml:space="preserve">220.38 </w:t>
            </w:r>
          </w:p>
        </w:tc>
        <w:tc>
          <w:tcPr>
            <w:tcW w:w="570" w:type="pct"/>
            <w:tcBorders>
              <w:top w:val="single" w:sz="7" w:space="0" w:color="000000"/>
              <w:left w:val="single" w:sz="8" w:space="0" w:color="000000"/>
              <w:bottom w:val="single" w:sz="7" w:space="0" w:color="000000"/>
              <w:right w:val="single" w:sz="8" w:space="0" w:color="000000"/>
            </w:tcBorders>
          </w:tcPr>
          <w:p w14:paraId="17BD1831" w14:textId="77777777" w:rsidR="00010571" w:rsidRPr="00916586" w:rsidRDefault="00010571" w:rsidP="00B74D03">
            <w:pPr>
              <w:spacing w:line="259" w:lineRule="auto"/>
              <w:ind w:right="63"/>
              <w:jc w:val="center"/>
              <w:rPr>
                <w:rFonts w:ascii="Arial Narrow" w:hAnsi="Arial Narrow"/>
                <w:iCs/>
                <w:sz w:val="20"/>
                <w:szCs w:val="20"/>
              </w:rPr>
            </w:pPr>
            <w:r w:rsidRPr="00916586">
              <w:rPr>
                <w:rFonts w:ascii="Arial Narrow" w:eastAsia="Arial" w:hAnsi="Arial Narrow"/>
                <w:iCs/>
                <w:sz w:val="20"/>
                <w:szCs w:val="20"/>
              </w:rPr>
              <w:t xml:space="preserve">-$97.00 </w:t>
            </w:r>
          </w:p>
        </w:tc>
        <w:tc>
          <w:tcPr>
            <w:tcW w:w="539" w:type="pct"/>
            <w:tcBorders>
              <w:top w:val="single" w:sz="7" w:space="0" w:color="000000"/>
              <w:left w:val="single" w:sz="8" w:space="0" w:color="000000"/>
              <w:bottom w:val="single" w:sz="7" w:space="0" w:color="000000"/>
              <w:right w:val="single" w:sz="8" w:space="0" w:color="000000"/>
            </w:tcBorders>
          </w:tcPr>
          <w:p w14:paraId="4C55CD2B" w14:textId="77777777" w:rsidR="00010571" w:rsidRPr="00916586" w:rsidRDefault="00010571" w:rsidP="00B74D03">
            <w:pPr>
              <w:spacing w:line="259" w:lineRule="auto"/>
              <w:ind w:right="43"/>
              <w:jc w:val="right"/>
              <w:rPr>
                <w:rFonts w:ascii="Arial Narrow" w:hAnsi="Arial Narrow"/>
                <w:iCs/>
                <w:sz w:val="20"/>
                <w:szCs w:val="20"/>
              </w:rPr>
            </w:pPr>
            <w:r w:rsidRPr="00916586">
              <w:rPr>
                <w:rFonts w:ascii="Arial Narrow" w:eastAsia="Arial" w:hAnsi="Arial Narrow"/>
                <w:iCs/>
                <w:sz w:val="20"/>
                <w:szCs w:val="20"/>
              </w:rPr>
              <w:t xml:space="preserve">35.3% </w:t>
            </w:r>
          </w:p>
        </w:tc>
        <w:tc>
          <w:tcPr>
            <w:tcW w:w="539" w:type="pct"/>
            <w:tcBorders>
              <w:top w:val="single" w:sz="7" w:space="0" w:color="000000"/>
              <w:left w:val="single" w:sz="8" w:space="0" w:color="000000"/>
              <w:bottom w:val="single" w:sz="7" w:space="0" w:color="000000"/>
              <w:right w:val="single" w:sz="8" w:space="0" w:color="000000"/>
            </w:tcBorders>
          </w:tcPr>
          <w:p w14:paraId="12ACBB66" w14:textId="77777777" w:rsidR="00010571" w:rsidRPr="00916586" w:rsidRDefault="00010571" w:rsidP="00B74D03">
            <w:pPr>
              <w:spacing w:line="259" w:lineRule="auto"/>
              <w:ind w:right="67"/>
              <w:jc w:val="right"/>
              <w:rPr>
                <w:rFonts w:ascii="Arial Narrow" w:hAnsi="Arial Narrow"/>
                <w:iCs/>
                <w:sz w:val="20"/>
                <w:szCs w:val="20"/>
              </w:rPr>
            </w:pPr>
            <w:r w:rsidRPr="00916586">
              <w:rPr>
                <w:rFonts w:ascii="Arial Narrow" w:eastAsia="Arial" w:hAnsi="Arial Narrow"/>
                <w:iCs/>
                <w:sz w:val="20"/>
                <w:szCs w:val="20"/>
              </w:rPr>
              <w:t xml:space="preserve">49.9% </w:t>
            </w:r>
          </w:p>
        </w:tc>
      </w:tr>
      <w:tr w:rsidR="00010571" w:rsidRPr="00916586" w14:paraId="7212EB03" w14:textId="77777777" w:rsidTr="002668BB">
        <w:trPr>
          <w:trHeight w:val="346"/>
        </w:trPr>
        <w:tc>
          <w:tcPr>
            <w:tcW w:w="725" w:type="pct"/>
            <w:tcBorders>
              <w:top w:val="single" w:sz="7" w:space="0" w:color="000000"/>
              <w:left w:val="single" w:sz="8" w:space="0" w:color="000000"/>
              <w:bottom w:val="single" w:sz="7" w:space="0" w:color="000000"/>
              <w:right w:val="single" w:sz="7" w:space="0" w:color="000000"/>
            </w:tcBorders>
          </w:tcPr>
          <w:p w14:paraId="4F47DEC0" w14:textId="77777777" w:rsidR="00010571" w:rsidRPr="00916586" w:rsidRDefault="00010571" w:rsidP="00B74D03">
            <w:pPr>
              <w:spacing w:line="259" w:lineRule="auto"/>
              <w:ind w:left="5"/>
              <w:rPr>
                <w:rFonts w:ascii="Arial Narrow" w:hAnsi="Arial Narrow"/>
                <w:iCs/>
                <w:sz w:val="20"/>
                <w:szCs w:val="20"/>
              </w:rPr>
            </w:pPr>
            <w:r w:rsidRPr="00916586">
              <w:rPr>
                <w:rFonts w:ascii="Arial Narrow" w:eastAsia="Arial" w:hAnsi="Arial Narrow"/>
                <w:iCs/>
                <w:sz w:val="20"/>
                <w:szCs w:val="20"/>
              </w:rPr>
              <w:t xml:space="preserve">150 mg / daily </w:t>
            </w:r>
          </w:p>
        </w:tc>
        <w:tc>
          <w:tcPr>
            <w:tcW w:w="477" w:type="pct"/>
            <w:tcBorders>
              <w:top w:val="single" w:sz="7" w:space="0" w:color="000000"/>
              <w:left w:val="single" w:sz="7" w:space="0" w:color="000000"/>
              <w:bottom w:val="single" w:sz="7" w:space="0" w:color="000000"/>
              <w:right w:val="single" w:sz="8" w:space="0" w:color="000000"/>
            </w:tcBorders>
          </w:tcPr>
          <w:p w14:paraId="13395960" w14:textId="77777777" w:rsidR="00010571" w:rsidRPr="00916586" w:rsidRDefault="00010571" w:rsidP="00B74D03">
            <w:pPr>
              <w:spacing w:line="259" w:lineRule="auto"/>
              <w:ind w:right="62"/>
              <w:jc w:val="center"/>
              <w:rPr>
                <w:rFonts w:ascii="Arial Narrow" w:hAnsi="Arial Narrow"/>
                <w:iCs/>
                <w:sz w:val="20"/>
                <w:szCs w:val="20"/>
              </w:rPr>
            </w:pPr>
            <w:r w:rsidRPr="00916586">
              <w:rPr>
                <w:rFonts w:ascii="Arial Narrow" w:eastAsia="Arial" w:hAnsi="Arial Narrow"/>
                <w:iCs/>
                <w:sz w:val="20"/>
                <w:szCs w:val="20"/>
              </w:rPr>
              <w:t xml:space="preserve">13.04 </w:t>
            </w:r>
          </w:p>
        </w:tc>
        <w:tc>
          <w:tcPr>
            <w:tcW w:w="479" w:type="pct"/>
            <w:tcBorders>
              <w:top w:val="single" w:sz="7" w:space="0" w:color="000000"/>
              <w:left w:val="single" w:sz="8" w:space="0" w:color="000000"/>
              <w:bottom w:val="single" w:sz="7" w:space="0" w:color="000000"/>
              <w:right w:val="single" w:sz="8" w:space="0" w:color="000000"/>
            </w:tcBorders>
          </w:tcPr>
          <w:p w14:paraId="1A266163" w14:textId="77777777" w:rsidR="00010571" w:rsidRPr="00916586" w:rsidRDefault="00010571" w:rsidP="00B74D03">
            <w:pPr>
              <w:spacing w:line="259" w:lineRule="auto"/>
              <w:ind w:right="61"/>
              <w:jc w:val="center"/>
              <w:rPr>
                <w:rFonts w:ascii="Arial Narrow" w:hAnsi="Arial Narrow"/>
                <w:iCs/>
                <w:sz w:val="20"/>
                <w:szCs w:val="20"/>
              </w:rPr>
            </w:pPr>
            <w:r w:rsidRPr="00916586">
              <w:rPr>
                <w:rFonts w:ascii="Arial Narrow" w:eastAsia="Arial" w:hAnsi="Arial Narrow"/>
                <w:iCs/>
                <w:sz w:val="20"/>
                <w:szCs w:val="20"/>
              </w:rPr>
              <w:t xml:space="preserve">$273.29 </w:t>
            </w:r>
          </w:p>
        </w:tc>
        <w:tc>
          <w:tcPr>
            <w:tcW w:w="763" w:type="pct"/>
            <w:tcBorders>
              <w:top w:val="single" w:sz="7" w:space="0" w:color="000000"/>
              <w:left w:val="single" w:sz="8" w:space="0" w:color="000000"/>
              <w:bottom w:val="single" w:sz="7" w:space="0" w:color="000000"/>
              <w:right w:val="single" w:sz="8" w:space="0" w:color="000000"/>
            </w:tcBorders>
          </w:tcPr>
          <w:p w14:paraId="4D72DE91" w14:textId="77777777" w:rsidR="00010571" w:rsidRPr="00916586" w:rsidRDefault="00010571" w:rsidP="00B74D03">
            <w:pPr>
              <w:spacing w:line="259" w:lineRule="auto"/>
              <w:ind w:left="5"/>
              <w:rPr>
                <w:rFonts w:ascii="Arial Narrow" w:hAnsi="Arial Narrow"/>
                <w:iCs/>
                <w:sz w:val="20"/>
                <w:szCs w:val="20"/>
              </w:rPr>
            </w:pPr>
            <w:r w:rsidRPr="00916586">
              <w:rPr>
                <w:rFonts w:ascii="Arial Narrow" w:eastAsia="Arial" w:hAnsi="Arial Narrow"/>
                <w:iCs/>
                <w:sz w:val="20"/>
                <w:szCs w:val="20"/>
              </w:rPr>
              <w:t xml:space="preserve">165 mg / daily </w:t>
            </w:r>
          </w:p>
        </w:tc>
        <w:tc>
          <w:tcPr>
            <w:tcW w:w="431" w:type="pct"/>
            <w:tcBorders>
              <w:top w:val="single" w:sz="7" w:space="0" w:color="000000"/>
              <w:left w:val="single" w:sz="8" w:space="0" w:color="000000"/>
              <w:bottom w:val="single" w:sz="7" w:space="0" w:color="000000"/>
              <w:right w:val="single" w:sz="7" w:space="0" w:color="000000"/>
            </w:tcBorders>
          </w:tcPr>
          <w:p w14:paraId="4AD14514" w14:textId="77777777" w:rsidR="00010571" w:rsidRPr="00916586" w:rsidRDefault="00010571" w:rsidP="00B74D03">
            <w:pPr>
              <w:spacing w:line="259" w:lineRule="auto"/>
              <w:ind w:right="67"/>
              <w:jc w:val="center"/>
              <w:rPr>
                <w:rFonts w:ascii="Arial Narrow" w:hAnsi="Arial Narrow"/>
                <w:iCs/>
                <w:sz w:val="20"/>
                <w:szCs w:val="20"/>
              </w:rPr>
            </w:pPr>
            <w:r w:rsidRPr="00916586">
              <w:rPr>
                <w:rFonts w:ascii="Arial Narrow" w:eastAsia="Arial" w:hAnsi="Arial Narrow"/>
                <w:iCs/>
                <w:sz w:val="20"/>
                <w:szCs w:val="20"/>
              </w:rPr>
              <w:t xml:space="preserve">12.18 </w:t>
            </w:r>
          </w:p>
        </w:tc>
        <w:tc>
          <w:tcPr>
            <w:tcW w:w="478" w:type="pct"/>
            <w:tcBorders>
              <w:top w:val="single" w:sz="7" w:space="0" w:color="000000"/>
              <w:left w:val="single" w:sz="7" w:space="0" w:color="000000"/>
              <w:bottom w:val="single" w:sz="7" w:space="0" w:color="000000"/>
              <w:right w:val="single" w:sz="8" w:space="0" w:color="000000"/>
            </w:tcBorders>
          </w:tcPr>
          <w:p w14:paraId="5953F964" w14:textId="77777777" w:rsidR="00010571" w:rsidRPr="00916586" w:rsidRDefault="00010571" w:rsidP="00B74D03">
            <w:pPr>
              <w:spacing w:line="259" w:lineRule="auto"/>
              <w:ind w:right="62"/>
              <w:jc w:val="center"/>
              <w:rPr>
                <w:rFonts w:ascii="Arial Narrow" w:hAnsi="Arial Narrow"/>
                <w:iCs/>
                <w:sz w:val="20"/>
                <w:szCs w:val="20"/>
              </w:rPr>
            </w:pPr>
            <w:r w:rsidRPr="00916586">
              <w:rPr>
                <w:rFonts w:ascii="Arial Narrow" w:eastAsia="Arial" w:hAnsi="Arial Narrow"/>
                <w:iCs/>
                <w:sz w:val="20"/>
                <w:szCs w:val="20"/>
              </w:rPr>
              <w:t xml:space="preserve">251.80 </w:t>
            </w:r>
          </w:p>
        </w:tc>
        <w:tc>
          <w:tcPr>
            <w:tcW w:w="570" w:type="pct"/>
            <w:tcBorders>
              <w:top w:val="single" w:sz="7" w:space="0" w:color="000000"/>
              <w:left w:val="single" w:sz="8" w:space="0" w:color="000000"/>
              <w:bottom w:val="single" w:sz="7" w:space="0" w:color="000000"/>
              <w:right w:val="single" w:sz="8" w:space="0" w:color="000000"/>
            </w:tcBorders>
          </w:tcPr>
          <w:p w14:paraId="0593451A" w14:textId="77777777" w:rsidR="00010571" w:rsidRPr="00916586" w:rsidRDefault="00010571" w:rsidP="00B74D03">
            <w:pPr>
              <w:spacing w:line="259" w:lineRule="auto"/>
              <w:ind w:right="63"/>
              <w:jc w:val="center"/>
              <w:rPr>
                <w:rFonts w:ascii="Arial Narrow" w:hAnsi="Arial Narrow"/>
                <w:iCs/>
                <w:sz w:val="20"/>
                <w:szCs w:val="20"/>
              </w:rPr>
            </w:pPr>
            <w:r w:rsidRPr="00916586">
              <w:rPr>
                <w:rFonts w:ascii="Arial Narrow" w:eastAsia="Arial" w:hAnsi="Arial Narrow"/>
                <w:iCs/>
                <w:sz w:val="20"/>
                <w:szCs w:val="20"/>
              </w:rPr>
              <w:t xml:space="preserve">-$21.49 </w:t>
            </w:r>
          </w:p>
        </w:tc>
        <w:tc>
          <w:tcPr>
            <w:tcW w:w="539" w:type="pct"/>
            <w:tcBorders>
              <w:top w:val="single" w:sz="7" w:space="0" w:color="000000"/>
              <w:left w:val="single" w:sz="8" w:space="0" w:color="000000"/>
              <w:bottom w:val="single" w:sz="7" w:space="0" w:color="000000"/>
              <w:right w:val="single" w:sz="8" w:space="0" w:color="000000"/>
            </w:tcBorders>
          </w:tcPr>
          <w:p w14:paraId="7DCEACC4" w14:textId="77777777" w:rsidR="00010571" w:rsidRPr="00916586" w:rsidRDefault="00010571" w:rsidP="00B74D03">
            <w:pPr>
              <w:spacing w:line="259" w:lineRule="auto"/>
              <w:ind w:right="43"/>
              <w:jc w:val="right"/>
              <w:rPr>
                <w:rFonts w:ascii="Arial Narrow" w:hAnsi="Arial Narrow"/>
                <w:iCs/>
                <w:sz w:val="20"/>
                <w:szCs w:val="20"/>
              </w:rPr>
            </w:pPr>
            <w:r w:rsidRPr="00916586">
              <w:rPr>
                <w:rFonts w:ascii="Arial Narrow" w:eastAsia="Arial" w:hAnsi="Arial Narrow"/>
                <w:iCs/>
                <w:sz w:val="20"/>
                <w:szCs w:val="20"/>
              </w:rPr>
              <w:t xml:space="preserve">22.0% </w:t>
            </w:r>
          </w:p>
        </w:tc>
        <w:tc>
          <w:tcPr>
            <w:tcW w:w="539" w:type="pct"/>
            <w:tcBorders>
              <w:top w:val="single" w:sz="7" w:space="0" w:color="000000"/>
              <w:left w:val="single" w:sz="8" w:space="0" w:color="000000"/>
              <w:bottom w:val="single" w:sz="7" w:space="0" w:color="000000"/>
              <w:right w:val="single" w:sz="8" w:space="0" w:color="000000"/>
            </w:tcBorders>
          </w:tcPr>
          <w:p w14:paraId="7CC6CF7D" w14:textId="77777777" w:rsidR="00010571" w:rsidRPr="00916586" w:rsidRDefault="00010571" w:rsidP="00B74D03">
            <w:pPr>
              <w:spacing w:line="259" w:lineRule="auto"/>
              <w:ind w:right="67"/>
              <w:jc w:val="right"/>
              <w:rPr>
                <w:rFonts w:ascii="Arial Narrow" w:hAnsi="Arial Narrow"/>
                <w:iCs/>
                <w:sz w:val="20"/>
                <w:szCs w:val="20"/>
              </w:rPr>
            </w:pPr>
            <w:r w:rsidRPr="00916586">
              <w:rPr>
                <w:rFonts w:ascii="Arial Narrow" w:eastAsia="Arial" w:hAnsi="Arial Narrow"/>
                <w:iCs/>
                <w:sz w:val="20"/>
                <w:szCs w:val="20"/>
              </w:rPr>
              <w:t xml:space="preserve">31.1% </w:t>
            </w:r>
          </w:p>
        </w:tc>
      </w:tr>
      <w:tr w:rsidR="00010571" w:rsidRPr="00916586" w14:paraId="6BDE1960" w14:textId="77777777" w:rsidTr="002668BB">
        <w:trPr>
          <w:trHeight w:val="347"/>
        </w:trPr>
        <w:tc>
          <w:tcPr>
            <w:tcW w:w="725" w:type="pct"/>
            <w:tcBorders>
              <w:top w:val="single" w:sz="7" w:space="0" w:color="000000"/>
              <w:left w:val="single" w:sz="8" w:space="0" w:color="000000"/>
              <w:bottom w:val="single" w:sz="8" w:space="0" w:color="000000"/>
              <w:right w:val="single" w:sz="7" w:space="0" w:color="000000"/>
            </w:tcBorders>
          </w:tcPr>
          <w:p w14:paraId="5ACED4FD" w14:textId="77777777" w:rsidR="00010571" w:rsidRPr="00916586" w:rsidRDefault="00010571" w:rsidP="00B74D03">
            <w:pPr>
              <w:spacing w:line="259" w:lineRule="auto"/>
              <w:ind w:left="5"/>
              <w:rPr>
                <w:rFonts w:ascii="Arial Narrow" w:hAnsi="Arial Narrow"/>
                <w:iCs/>
                <w:sz w:val="20"/>
                <w:szCs w:val="20"/>
              </w:rPr>
            </w:pPr>
            <w:r w:rsidRPr="00916586">
              <w:rPr>
                <w:rFonts w:ascii="Arial Narrow" w:eastAsia="Arial" w:hAnsi="Arial Narrow"/>
                <w:iCs/>
                <w:sz w:val="20"/>
                <w:szCs w:val="20"/>
              </w:rPr>
              <w:t xml:space="preserve">225 mg / daily </w:t>
            </w:r>
          </w:p>
        </w:tc>
        <w:tc>
          <w:tcPr>
            <w:tcW w:w="477" w:type="pct"/>
            <w:tcBorders>
              <w:top w:val="single" w:sz="7" w:space="0" w:color="000000"/>
              <w:left w:val="single" w:sz="7" w:space="0" w:color="000000"/>
              <w:bottom w:val="single" w:sz="8" w:space="0" w:color="000000"/>
              <w:right w:val="single" w:sz="8" w:space="0" w:color="000000"/>
            </w:tcBorders>
          </w:tcPr>
          <w:p w14:paraId="4BCDD456" w14:textId="77777777" w:rsidR="00010571" w:rsidRPr="00916586" w:rsidRDefault="00010571" w:rsidP="00B74D03">
            <w:pPr>
              <w:spacing w:line="259" w:lineRule="auto"/>
              <w:ind w:right="62"/>
              <w:jc w:val="center"/>
              <w:rPr>
                <w:rFonts w:ascii="Arial Narrow" w:hAnsi="Arial Narrow"/>
                <w:iCs/>
                <w:sz w:val="20"/>
                <w:szCs w:val="20"/>
              </w:rPr>
            </w:pPr>
            <w:r w:rsidRPr="00916586">
              <w:rPr>
                <w:rFonts w:ascii="Arial Narrow" w:eastAsia="Arial" w:hAnsi="Arial Narrow"/>
                <w:iCs/>
                <w:sz w:val="20"/>
                <w:szCs w:val="20"/>
              </w:rPr>
              <w:t xml:space="preserve">13.04 </w:t>
            </w:r>
          </w:p>
        </w:tc>
        <w:tc>
          <w:tcPr>
            <w:tcW w:w="479" w:type="pct"/>
            <w:tcBorders>
              <w:top w:val="single" w:sz="7" w:space="0" w:color="000000"/>
              <w:left w:val="single" w:sz="8" w:space="0" w:color="000000"/>
              <w:bottom w:val="single" w:sz="8" w:space="0" w:color="000000"/>
              <w:right w:val="single" w:sz="8" w:space="0" w:color="000000"/>
            </w:tcBorders>
          </w:tcPr>
          <w:p w14:paraId="3257CCB2" w14:textId="77777777" w:rsidR="00010571" w:rsidRPr="00916586" w:rsidRDefault="00010571" w:rsidP="00B74D03">
            <w:pPr>
              <w:spacing w:line="259" w:lineRule="auto"/>
              <w:ind w:right="61"/>
              <w:jc w:val="center"/>
              <w:rPr>
                <w:rFonts w:ascii="Arial Narrow" w:hAnsi="Arial Narrow"/>
                <w:iCs/>
                <w:sz w:val="20"/>
                <w:szCs w:val="20"/>
              </w:rPr>
            </w:pPr>
            <w:r w:rsidRPr="00916586">
              <w:rPr>
                <w:rFonts w:ascii="Arial Narrow" w:eastAsia="Arial" w:hAnsi="Arial Narrow"/>
                <w:iCs/>
                <w:sz w:val="20"/>
                <w:szCs w:val="20"/>
              </w:rPr>
              <w:t xml:space="preserve">$304.22 </w:t>
            </w:r>
          </w:p>
        </w:tc>
        <w:tc>
          <w:tcPr>
            <w:tcW w:w="763" w:type="pct"/>
            <w:tcBorders>
              <w:top w:val="single" w:sz="7" w:space="0" w:color="000000"/>
              <w:left w:val="single" w:sz="8" w:space="0" w:color="000000"/>
              <w:bottom w:val="single" w:sz="8" w:space="0" w:color="000000"/>
              <w:right w:val="single" w:sz="8" w:space="0" w:color="000000"/>
            </w:tcBorders>
          </w:tcPr>
          <w:p w14:paraId="6D54A041" w14:textId="77777777" w:rsidR="00010571" w:rsidRPr="00916586" w:rsidRDefault="00010571" w:rsidP="00B74D03">
            <w:pPr>
              <w:spacing w:line="259" w:lineRule="auto"/>
              <w:ind w:left="5"/>
              <w:rPr>
                <w:rFonts w:ascii="Arial Narrow" w:hAnsi="Arial Narrow"/>
                <w:iCs/>
                <w:sz w:val="20"/>
                <w:szCs w:val="20"/>
              </w:rPr>
            </w:pPr>
            <w:r w:rsidRPr="00916586">
              <w:rPr>
                <w:rFonts w:ascii="Arial Narrow" w:eastAsia="Arial" w:hAnsi="Arial Narrow"/>
                <w:iCs/>
                <w:sz w:val="20"/>
                <w:szCs w:val="20"/>
              </w:rPr>
              <w:t xml:space="preserve">247.5 mg / daily </w:t>
            </w:r>
            <w:r w:rsidRPr="00916586">
              <w:rPr>
                <w:rFonts w:ascii="Arial Narrow" w:eastAsia="Arial" w:hAnsi="Arial Narrow"/>
                <w:iCs/>
                <w:sz w:val="20"/>
                <w:szCs w:val="20"/>
                <w:vertAlign w:val="superscript"/>
              </w:rPr>
              <w:t>d</w:t>
            </w:r>
            <w:r w:rsidRPr="00916586">
              <w:rPr>
                <w:rFonts w:ascii="Arial Narrow" w:eastAsia="Arial" w:hAnsi="Arial Narrow"/>
                <w:iCs/>
                <w:sz w:val="20"/>
                <w:szCs w:val="20"/>
              </w:rPr>
              <w:t xml:space="preserve"> </w:t>
            </w:r>
          </w:p>
        </w:tc>
        <w:tc>
          <w:tcPr>
            <w:tcW w:w="431" w:type="pct"/>
            <w:tcBorders>
              <w:top w:val="single" w:sz="7" w:space="0" w:color="000000"/>
              <w:left w:val="single" w:sz="8" w:space="0" w:color="000000"/>
              <w:bottom w:val="single" w:sz="8" w:space="0" w:color="000000"/>
              <w:right w:val="single" w:sz="7" w:space="0" w:color="000000"/>
            </w:tcBorders>
          </w:tcPr>
          <w:p w14:paraId="6294C46A" w14:textId="77777777" w:rsidR="00010571" w:rsidRPr="00916586" w:rsidRDefault="00010571" w:rsidP="00B74D03">
            <w:pPr>
              <w:spacing w:line="259" w:lineRule="auto"/>
              <w:ind w:right="67"/>
              <w:jc w:val="center"/>
              <w:rPr>
                <w:rFonts w:ascii="Arial Narrow" w:hAnsi="Arial Narrow"/>
                <w:iCs/>
                <w:sz w:val="20"/>
                <w:szCs w:val="20"/>
              </w:rPr>
            </w:pPr>
            <w:r w:rsidRPr="00916586">
              <w:rPr>
                <w:rFonts w:ascii="Arial Narrow" w:eastAsia="Arial" w:hAnsi="Arial Narrow"/>
                <w:iCs/>
                <w:sz w:val="20"/>
                <w:szCs w:val="20"/>
              </w:rPr>
              <w:t xml:space="preserve">24.35 </w:t>
            </w:r>
          </w:p>
        </w:tc>
        <w:tc>
          <w:tcPr>
            <w:tcW w:w="478" w:type="pct"/>
            <w:tcBorders>
              <w:top w:val="single" w:sz="7" w:space="0" w:color="000000"/>
              <w:left w:val="single" w:sz="7" w:space="0" w:color="000000"/>
              <w:bottom w:val="single" w:sz="8" w:space="0" w:color="000000"/>
              <w:right w:val="single" w:sz="8" w:space="0" w:color="000000"/>
            </w:tcBorders>
          </w:tcPr>
          <w:p w14:paraId="003FF871" w14:textId="77777777" w:rsidR="00010571" w:rsidRPr="00916586" w:rsidRDefault="00010571" w:rsidP="00B74D03">
            <w:pPr>
              <w:spacing w:line="259" w:lineRule="auto"/>
              <w:ind w:right="62"/>
              <w:jc w:val="center"/>
              <w:rPr>
                <w:rFonts w:ascii="Arial Narrow" w:hAnsi="Arial Narrow"/>
                <w:iCs/>
                <w:sz w:val="20"/>
                <w:szCs w:val="20"/>
              </w:rPr>
            </w:pPr>
            <w:r w:rsidRPr="00916586">
              <w:rPr>
                <w:rFonts w:ascii="Arial Narrow" w:eastAsia="Arial" w:hAnsi="Arial Narrow"/>
                <w:iCs/>
                <w:sz w:val="20"/>
                <w:szCs w:val="20"/>
              </w:rPr>
              <w:t xml:space="preserve">472.18 </w:t>
            </w:r>
          </w:p>
        </w:tc>
        <w:tc>
          <w:tcPr>
            <w:tcW w:w="570" w:type="pct"/>
            <w:tcBorders>
              <w:top w:val="single" w:sz="7" w:space="0" w:color="000000"/>
              <w:left w:val="single" w:sz="8" w:space="0" w:color="000000"/>
              <w:bottom w:val="single" w:sz="8" w:space="0" w:color="000000"/>
              <w:right w:val="single" w:sz="8" w:space="0" w:color="000000"/>
            </w:tcBorders>
          </w:tcPr>
          <w:p w14:paraId="312ACA0A" w14:textId="77777777" w:rsidR="00010571" w:rsidRPr="00916586" w:rsidRDefault="00010571" w:rsidP="00B74D03">
            <w:pPr>
              <w:spacing w:line="259" w:lineRule="auto"/>
              <w:ind w:right="63"/>
              <w:jc w:val="center"/>
              <w:rPr>
                <w:rFonts w:ascii="Arial Narrow" w:hAnsi="Arial Narrow"/>
                <w:iCs/>
                <w:sz w:val="20"/>
                <w:szCs w:val="20"/>
              </w:rPr>
            </w:pPr>
            <w:r w:rsidRPr="00916586">
              <w:rPr>
                <w:rFonts w:ascii="Arial Narrow" w:eastAsia="Arial" w:hAnsi="Arial Narrow"/>
                <w:iCs/>
                <w:sz w:val="20"/>
                <w:szCs w:val="20"/>
              </w:rPr>
              <w:t xml:space="preserve">$167.96 </w:t>
            </w:r>
          </w:p>
        </w:tc>
        <w:tc>
          <w:tcPr>
            <w:tcW w:w="539" w:type="pct"/>
            <w:tcBorders>
              <w:top w:val="single" w:sz="7" w:space="0" w:color="000000"/>
              <w:left w:val="single" w:sz="8" w:space="0" w:color="000000"/>
              <w:bottom w:val="single" w:sz="8" w:space="0" w:color="000000"/>
              <w:right w:val="single" w:sz="8" w:space="0" w:color="000000"/>
            </w:tcBorders>
          </w:tcPr>
          <w:p w14:paraId="5195A3F2" w14:textId="77777777" w:rsidR="00010571" w:rsidRPr="00916586" w:rsidRDefault="00010571" w:rsidP="00B74D03">
            <w:pPr>
              <w:spacing w:line="259" w:lineRule="auto"/>
              <w:ind w:right="43"/>
              <w:jc w:val="right"/>
              <w:rPr>
                <w:rFonts w:ascii="Arial Narrow" w:hAnsi="Arial Narrow"/>
                <w:iCs/>
                <w:sz w:val="20"/>
                <w:szCs w:val="20"/>
              </w:rPr>
            </w:pPr>
            <w:r w:rsidRPr="00916586">
              <w:rPr>
                <w:rFonts w:ascii="Arial Narrow" w:eastAsia="Arial" w:hAnsi="Arial Narrow"/>
                <w:iCs/>
                <w:sz w:val="20"/>
                <w:szCs w:val="20"/>
              </w:rPr>
              <w:t xml:space="preserve">2.7% </w:t>
            </w:r>
          </w:p>
        </w:tc>
        <w:tc>
          <w:tcPr>
            <w:tcW w:w="539" w:type="pct"/>
            <w:tcBorders>
              <w:top w:val="single" w:sz="7" w:space="0" w:color="000000"/>
              <w:left w:val="single" w:sz="8" w:space="0" w:color="000000"/>
              <w:bottom w:val="single" w:sz="8" w:space="0" w:color="000000"/>
              <w:right w:val="single" w:sz="8" w:space="0" w:color="000000"/>
            </w:tcBorders>
          </w:tcPr>
          <w:p w14:paraId="74BF599F" w14:textId="77777777" w:rsidR="00010571" w:rsidRPr="00916586" w:rsidRDefault="00010571" w:rsidP="00B74D03">
            <w:pPr>
              <w:spacing w:line="259" w:lineRule="auto"/>
              <w:ind w:right="67"/>
              <w:jc w:val="right"/>
              <w:rPr>
                <w:rFonts w:ascii="Arial Narrow" w:hAnsi="Arial Narrow"/>
                <w:iCs/>
                <w:sz w:val="20"/>
                <w:szCs w:val="20"/>
              </w:rPr>
            </w:pPr>
            <w:r w:rsidRPr="00916586">
              <w:rPr>
                <w:rFonts w:ascii="Arial Narrow" w:eastAsia="Arial" w:hAnsi="Arial Narrow"/>
                <w:iCs/>
                <w:sz w:val="20"/>
                <w:szCs w:val="20"/>
              </w:rPr>
              <w:t xml:space="preserve">3.9% </w:t>
            </w:r>
          </w:p>
        </w:tc>
      </w:tr>
      <w:tr w:rsidR="00010571" w:rsidRPr="00916586" w14:paraId="41CCEE24" w14:textId="77777777" w:rsidTr="002668BB">
        <w:trPr>
          <w:trHeight w:val="346"/>
        </w:trPr>
        <w:tc>
          <w:tcPr>
            <w:tcW w:w="725" w:type="pct"/>
            <w:tcBorders>
              <w:top w:val="single" w:sz="8" w:space="0" w:color="000000"/>
              <w:left w:val="single" w:sz="8" w:space="0" w:color="000000"/>
              <w:bottom w:val="single" w:sz="8" w:space="0" w:color="000000"/>
              <w:right w:val="single" w:sz="7" w:space="0" w:color="000000"/>
            </w:tcBorders>
          </w:tcPr>
          <w:p w14:paraId="42807861" w14:textId="77777777" w:rsidR="00010571" w:rsidRPr="00916586" w:rsidRDefault="00010571" w:rsidP="00B74D03">
            <w:pPr>
              <w:spacing w:line="259" w:lineRule="auto"/>
              <w:ind w:left="5"/>
              <w:rPr>
                <w:rFonts w:ascii="Arial Narrow" w:hAnsi="Arial Narrow"/>
                <w:iCs/>
                <w:sz w:val="20"/>
                <w:szCs w:val="20"/>
              </w:rPr>
            </w:pPr>
            <w:r w:rsidRPr="00916586">
              <w:rPr>
                <w:rFonts w:ascii="Arial Narrow" w:eastAsia="Arial" w:hAnsi="Arial Narrow"/>
                <w:iCs/>
                <w:sz w:val="20"/>
                <w:szCs w:val="20"/>
              </w:rPr>
              <w:t xml:space="preserve">300 mg / daily </w:t>
            </w:r>
          </w:p>
        </w:tc>
        <w:tc>
          <w:tcPr>
            <w:tcW w:w="477" w:type="pct"/>
            <w:tcBorders>
              <w:top w:val="single" w:sz="8" w:space="0" w:color="000000"/>
              <w:left w:val="single" w:sz="7" w:space="0" w:color="000000"/>
              <w:bottom w:val="single" w:sz="8" w:space="0" w:color="000000"/>
              <w:right w:val="single" w:sz="8" w:space="0" w:color="000000"/>
            </w:tcBorders>
          </w:tcPr>
          <w:p w14:paraId="5596E87E" w14:textId="77777777" w:rsidR="00010571" w:rsidRPr="00916586" w:rsidRDefault="00010571" w:rsidP="00B74D03">
            <w:pPr>
              <w:spacing w:line="259" w:lineRule="auto"/>
              <w:ind w:right="62"/>
              <w:jc w:val="center"/>
              <w:rPr>
                <w:rFonts w:ascii="Arial Narrow" w:hAnsi="Arial Narrow"/>
                <w:iCs/>
                <w:sz w:val="20"/>
                <w:szCs w:val="20"/>
              </w:rPr>
            </w:pPr>
            <w:r w:rsidRPr="00916586">
              <w:rPr>
                <w:rFonts w:ascii="Arial Narrow" w:eastAsia="Arial" w:hAnsi="Arial Narrow"/>
                <w:iCs/>
                <w:sz w:val="20"/>
                <w:szCs w:val="20"/>
              </w:rPr>
              <w:t xml:space="preserve">13.04 </w:t>
            </w:r>
          </w:p>
        </w:tc>
        <w:tc>
          <w:tcPr>
            <w:tcW w:w="479" w:type="pct"/>
            <w:tcBorders>
              <w:top w:val="single" w:sz="8" w:space="0" w:color="000000"/>
              <w:left w:val="single" w:sz="8" w:space="0" w:color="000000"/>
              <w:bottom w:val="single" w:sz="8" w:space="0" w:color="000000"/>
              <w:right w:val="single" w:sz="8" w:space="0" w:color="000000"/>
            </w:tcBorders>
          </w:tcPr>
          <w:p w14:paraId="19622003" w14:textId="77777777" w:rsidR="00010571" w:rsidRPr="00916586" w:rsidRDefault="00010571" w:rsidP="00B74D03">
            <w:pPr>
              <w:spacing w:line="259" w:lineRule="auto"/>
              <w:ind w:right="61"/>
              <w:jc w:val="center"/>
              <w:rPr>
                <w:rFonts w:ascii="Arial Narrow" w:hAnsi="Arial Narrow"/>
                <w:iCs/>
                <w:sz w:val="20"/>
                <w:szCs w:val="20"/>
              </w:rPr>
            </w:pPr>
            <w:r w:rsidRPr="00916586">
              <w:rPr>
                <w:rFonts w:ascii="Arial Narrow" w:eastAsia="Arial" w:hAnsi="Arial Narrow"/>
                <w:iCs/>
                <w:sz w:val="20"/>
                <w:szCs w:val="20"/>
              </w:rPr>
              <w:t xml:space="preserve">$335.14 </w:t>
            </w:r>
          </w:p>
        </w:tc>
        <w:tc>
          <w:tcPr>
            <w:tcW w:w="763" w:type="pct"/>
            <w:tcBorders>
              <w:top w:val="single" w:sz="8" w:space="0" w:color="000000"/>
              <w:left w:val="single" w:sz="8" w:space="0" w:color="000000"/>
              <w:bottom w:val="single" w:sz="8" w:space="0" w:color="000000"/>
              <w:right w:val="single" w:sz="8" w:space="0" w:color="000000"/>
            </w:tcBorders>
          </w:tcPr>
          <w:p w14:paraId="6472DEB1" w14:textId="77777777" w:rsidR="00010571" w:rsidRPr="00916586" w:rsidRDefault="00010571" w:rsidP="00B74D03">
            <w:pPr>
              <w:spacing w:line="259" w:lineRule="auto"/>
              <w:ind w:left="5"/>
              <w:rPr>
                <w:rFonts w:ascii="Arial Narrow" w:hAnsi="Arial Narrow"/>
                <w:iCs/>
                <w:sz w:val="20"/>
                <w:szCs w:val="20"/>
              </w:rPr>
            </w:pPr>
            <w:r w:rsidRPr="00916586">
              <w:rPr>
                <w:rFonts w:ascii="Arial Narrow" w:eastAsia="Arial" w:hAnsi="Arial Narrow"/>
                <w:iCs/>
                <w:sz w:val="20"/>
                <w:szCs w:val="20"/>
              </w:rPr>
              <w:t xml:space="preserve">330 mg / daily </w:t>
            </w:r>
          </w:p>
        </w:tc>
        <w:tc>
          <w:tcPr>
            <w:tcW w:w="431" w:type="pct"/>
            <w:tcBorders>
              <w:top w:val="single" w:sz="8" w:space="0" w:color="000000"/>
              <w:left w:val="single" w:sz="8" w:space="0" w:color="000000"/>
              <w:bottom w:val="single" w:sz="8" w:space="0" w:color="000000"/>
              <w:right w:val="single" w:sz="7" w:space="0" w:color="000000"/>
            </w:tcBorders>
          </w:tcPr>
          <w:p w14:paraId="25D610B5" w14:textId="77777777" w:rsidR="00010571" w:rsidRPr="00916586" w:rsidRDefault="00010571" w:rsidP="00B74D03">
            <w:pPr>
              <w:spacing w:line="259" w:lineRule="auto"/>
              <w:ind w:right="67"/>
              <w:jc w:val="center"/>
              <w:rPr>
                <w:rFonts w:ascii="Arial Narrow" w:hAnsi="Arial Narrow"/>
                <w:iCs/>
                <w:sz w:val="20"/>
                <w:szCs w:val="20"/>
              </w:rPr>
            </w:pPr>
            <w:r w:rsidRPr="00916586">
              <w:rPr>
                <w:rFonts w:ascii="Arial Narrow" w:eastAsia="Arial" w:hAnsi="Arial Narrow"/>
                <w:iCs/>
                <w:sz w:val="20"/>
                <w:szCs w:val="20"/>
              </w:rPr>
              <w:t xml:space="preserve">12.18 </w:t>
            </w:r>
          </w:p>
        </w:tc>
        <w:tc>
          <w:tcPr>
            <w:tcW w:w="478" w:type="pct"/>
            <w:tcBorders>
              <w:top w:val="single" w:sz="8" w:space="0" w:color="000000"/>
              <w:left w:val="single" w:sz="7" w:space="0" w:color="000000"/>
              <w:bottom w:val="single" w:sz="8" w:space="0" w:color="000000"/>
              <w:right w:val="single" w:sz="8" w:space="0" w:color="000000"/>
            </w:tcBorders>
          </w:tcPr>
          <w:p w14:paraId="204BB284" w14:textId="77777777" w:rsidR="00010571" w:rsidRPr="00916586" w:rsidRDefault="00010571" w:rsidP="00B74D03">
            <w:pPr>
              <w:spacing w:line="259" w:lineRule="auto"/>
              <w:ind w:right="62"/>
              <w:jc w:val="center"/>
              <w:rPr>
                <w:rFonts w:ascii="Arial Narrow" w:hAnsi="Arial Narrow"/>
                <w:iCs/>
                <w:sz w:val="20"/>
                <w:szCs w:val="20"/>
              </w:rPr>
            </w:pPr>
            <w:r w:rsidRPr="00916586">
              <w:rPr>
                <w:rFonts w:ascii="Arial Narrow" w:eastAsia="Arial" w:hAnsi="Arial Narrow"/>
                <w:iCs/>
                <w:sz w:val="20"/>
                <w:szCs w:val="20"/>
              </w:rPr>
              <w:t xml:space="preserve">279.42 </w:t>
            </w:r>
          </w:p>
        </w:tc>
        <w:tc>
          <w:tcPr>
            <w:tcW w:w="570" w:type="pct"/>
            <w:tcBorders>
              <w:top w:val="single" w:sz="8" w:space="0" w:color="000000"/>
              <w:left w:val="single" w:sz="8" w:space="0" w:color="000000"/>
              <w:bottom w:val="single" w:sz="8" w:space="0" w:color="000000"/>
              <w:right w:val="single" w:sz="8" w:space="0" w:color="000000"/>
            </w:tcBorders>
          </w:tcPr>
          <w:p w14:paraId="130C45BA" w14:textId="77777777" w:rsidR="00010571" w:rsidRPr="00916586" w:rsidRDefault="00010571" w:rsidP="00B74D03">
            <w:pPr>
              <w:spacing w:line="259" w:lineRule="auto"/>
              <w:ind w:right="63"/>
              <w:jc w:val="center"/>
              <w:rPr>
                <w:rFonts w:ascii="Arial Narrow" w:hAnsi="Arial Narrow"/>
                <w:iCs/>
                <w:sz w:val="20"/>
                <w:szCs w:val="20"/>
              </w:rPr>
            </w:pPr>
            <w:r w:rsidRPr="00916586">
              <w:rPr>
                <w:rFonts w:ascii="Arial Narrow" w:eastAsia="Arial" w:hAnsi="Arial Narrow"/>
                <w:iCs/>
                <w:sz w:val="20"/>
                <w:szCs w:val="20"/>
              </w:rPr>
              <w:t xml:space="preserve">-$55.72 </w:t>
            </w:r>
          </w:p>
        </w:tc>
        <w:tc>
          <w:tcPr>
            <w:tcW w:w="539" w:type="pct"/>
            <w:tcBorders>
              <w:top w:val="single" w:sz="8" w:space="0" w:color="000000"/>
              <w:left w:val="single" w:sz="8" w:space="0" w:color="000000"/>
              <w:bottom w:val="single" w:sz="8" w:space="0" w:color="000000"/>
              <w:right w:val="single" w:sz="8" w:space="0" w:color="000000"/>
            </w:tcBorders>
          </w:tcPr>
          <w:p w14:paraId="58DBA6E4" w14:textId="77777777" w:rsidR="00010571" w:rsidRPr="00916586" w:rsidRDefault="00010571" w:rsidP="00B74D03">
            <w:pPr>
              <w:spacing w:line="259" w:lineRule="auto"/>
              <w:ind w:right="43"/>
              <w:jc w:val="right"/>
              <w:rPr>
                <w:rFonts w:ascii="Arial Narrow" w:hAnsi="Arial Narrow"/>
                <w:iCs/>
                <w:sz w:val="20"/>
                <w:szCs w:val="20"/>
              </w:rPr>
            </w:pPr>
            <w:r w:rsidRPr="00916586">
              <w:rPr>
                <w:rFonts w:ascii="Arial Narrow" w:eastAsia="Arial" w:hAnsi="Arial Narrow"/>
                <w:iCs/>
                <w:sz w:val="20"/>
                <w:szCs w:val="20"/>
              </w:rPr>
              <w:t xml:space="preserve">9.8% </w:t>
            </w:r>
          </w:p>
        </w:tc>
        <w:tc>
          <w:tcPr>
            <w:tcW w:w="539" w:type="pct"/>
            <w:tcBorders>
              <w:top w:val="single" w:sz="8" w:space="0" w:color="000000"/>
              <w:left w:val="single" w:sz="8" w:space="0" w:color="000000"/>
              <w:bottom w:val="single" w:sz="8" w:space="0" w:color="000000"/>
              <w:right w:val="single" w:sz="8" w:space="0" w:color="000000"/>
            </w:tcBorders>
          </w:tcPr>
          <w:p w14:paraId="7D9E6D1D" w14:textId="77777777" w:rsidR="00010571" w:rsidRPr="00916586" w:rsidRDefault="00010571" w:rsidP="00B74D03">
            <w:pPr>
              <w:spacing w:line="259" w:lineRule="auto"/>
              <w:ind w:right="67"/>
              <w:jc w:val="right"/>
              <w:rPr>
                <w:rFonts w:ascii="Arial Narrow" w:hAnsi="Arial Narrow"/>
                <w:iCs/>
                <w:sz w:val="20"/>
                <w:szCs w:val="20"/>
              </w:rPr>
            </w:pPr>
            <w:r w:rsidRPr="00916586">
              <w:rPr>
                <w:rFonts w:ascii="Arial Narrow" w:eastAsia="Arial" w:hAnsi="Arial Narrow"/>
                <w:iCs/>
                <w:sz w:val="20"/>
                <w:szCs w:val="20"/>
              </w:rPr>
              <w:t xml:space="preserve">13.9% </w:t>
            </w:r>
          </w:p>
        </w:tc>
      </w:tr>
      <w:tr w:rsidR="00010571" w:rsidRPr="00916586" w14:paraId="66BB4E75" w14:textId="77777777" w:rsidTr="002668BB">
        <w:trPr>
          <w:trHeight w:val="344"/>
        </w:trPr>
        <w:tc>
          <w:tcPr>
            <w:tcW w:w="725" w:type="pct"/>
            <w:tcBorders>
              <w:top w:val="single" w:sz="8" w:space="0" w:color="000000"/>
              <w:left w:val="single" w:sz="8" w:space="0" w:color="000000"/>
              <w:bottom w:val="single" w:sz="7" w:space="0" w:color="000000"/>
              <w:right w:val="single" w:sz="7" w:space="0" w:color="000000"/>
            </w:tcBorders>
          </w:tcPr>
          <w:p w14:paraId="6DD8B79D" w14:textId="77777777" w:rsidR="00010571" w:rsidRPr="00916586" w:rsidRDefault="00010571" w:rsidP="00B74D03">
            <w:pPr>
              <w:spacing w:line="259" w:lineRule="auto"/>
              <w:ind w:left="5"/>
              <w:rPr>
                <w:rFonts w:ascii="Arial Narrow" w:hAnsi="Arial Narrow"/>
                <w:iCs/>
                <w:sz w:val="20"/>
                <w:szCs w:val="20"/>
              </w:rPr>
            </w:pPr>
            <w:r w:rsidRPr="00916586">
              <w:rPr>
                <w:rFonts w:ascii="Arial Narrow" w:eastAsia="Arial" w:hAnsi="Arial Narrow"/>
                <w:iCs/>
                <w:sz w:val="20"/>
                <w:szCs w:val="20"/>
              </w:rPr>
              <w:t xml:space="preserve">450 mg / daily </w:t>
            </w:r>
          </w:p>
        </w:tc>
        <w:tc>
          <w:tcPr>
            <w:tcW w:w="477" w:type="pct"/>
            <w:tcBorders>
              <w:top w:val="single" w:sz="8" w:space="0" w:color="000000"/>
              <w:left w:val="single" w:sz="7" w:space="0" w:color="000000"/>
              <w:bottom w:val="single" w:sz="7" w:space="0" w:color="000000"/>
              <w:right w:val="single" w:sz="8" w:space="0" w:color="000000"/>
            </w:tcBorders>
          </w:tcPr>
          <w:p w14:paraId="2E08E863" w14:textId="77777777" w:rsidR="00010571" w:rsidRPr="00916586" w:rsidRDefault="00010571" w:rsidP="00B74D03">
            <w:pPr>
              <w:spacing w:line="259" w:lineRule="auto"/>
              <w:ind w:right="62"/>
              <w:jc w:val="center"/>
              <w:rPr>
                <w:rFonts w:ascii="Arial Narrow" w:hAnsi="Arial Narrow"/>
                <w:iCs/>
                <w:sz w:val="20"/>
                <w:szCs w:val="20"/>
              </w:rPr>
            </w:pPr>
            <w:r w:rsidRPr="00916586">
              <w:rPr>
                <w:rFonts w:ascii="Arial Narrow" w:eastAsia="Arial" w:hAnsi="Arial Narrow"/>
                <w:iCs/>
                <w:sz w:val="20"/>
                <w:szCs w:val="20"/>
              </w:rPr>
              <w:t xml:space="preserve">13.04 </w:t>
            </w:r>
          </w:p>
        </w:tc>
        <w:tc>
          <w:tcPr>
            <w:tcW w:w="479" w:type="pct"/>
            <w:tcBorders>
              <w:top w:val="single" w:sz="8" w:space="0" w:color="000000"/>
              <w:left w:val="single" w:sz="8" w:space="0" w:color="000000"/>
              <w:bottom w:val="single" w:sz="7" w:space="0" w:color="000000"/>
              <w:right w:val="single" w:sz="8" w:space="0" w:color="000000"/>
            </w:tcBorders>
          </w:tcPr>
          <w:p w14:paraId="26C7FC9A" w14:textId="77777777" w:rsidR="00010571" w:rsidRPr="00916586" w:rsidRDefault="00010571" w:rsidP="00B74D03">
            <w:pPr>
              <w:spacing w:line="259" w:lineRule="auto"/>
              <w:ind w:right="61"/>
              <w:jc w:val="center"/>
              <w:rPr>
                <w:rFonts w:ascii="Arial Narrow" w:hAnsi="Arial Narrow"/>
                <w:iCs/>
                <w:sz w:val="20"/>
                <w:szCs w:val="20"/>
              </w:rPr>
            </w:pPr>
            <w:r w:rsidRPr="00916586">
              <w:rPr>
                <w:rFonts w:ascii="Arial Narrow" w:eastAsia="Arial" w:hAnsi="Arial Narrow"/>
                <w:iCs/>
                <w:sz w:val="20"/>
                <w:szCs w:val="20"/>
              </w:rPr>
              <w:t xml:space="preserve">$378.76 </w:t>
            </w:r>
          </w:p>
        </w:tc>
        <w:tc>
          <w:tcPr>
            <w:tcW w:w="763" w:type="pct"/>
            <w:tcBorders>
              <w:top w:val="single" w:sz="8" w:space="0" w:color="000000"/>
              <w:left w:val="single" w:sz="8" w:space="0" w:color="000000"/>
              <w:bottom w:val="single" w:sz="7" w:space="0" w:color="000000"/>
              <w:right w:val="single" w:sz="8" w:space="0" w:color="000000"/>
            </w:tcBorders>
          </w:tcPr>
          <w:p w14:paraId="6132633B" w14:textId="77777777" w:rsidR="00010571" w:rsidRPr="00916586" w:rsidRDefault="00010571" w:rsidP="00B74D03">
            <w:pPr>
              <w:spacing w:line="259" w:lineRule="auto"/>
              <w:ind w:left="5"/>
              <w:rPr>
                <w:rFonts w:ascii="Arial Narrow" w:hAnsi="Arial Narrow"/>
                <w:iCs/>
                <w:sz w:val="20"/>
                <w:szCs w:val="20"/>
              </w:rPr>
            </w:pPr>
            <w:r w:rsidRPr="00916586">
              <w:rPr>
                <w:rFonts w:ascii="Arial Narrow" w:eastAsia="Arial" w:hAnsi="Arial Narrow"/>
                <w:iCs/>
                <w:sz w:val="20"/>
                <w:szCs w:val="20"/>
              </w:rPr>
              <w:t xml:space="preserve">495 mg / daily </w:t>
            </w:r>
            <w:r w:rsidRPr="00916586">
              <w:rPr>
                <w:rFonts w:ascii="Arial Narrow" w:eastAsia="Arial" w:hAnsi="Arial Narrow"/>
                <w:iCs/>
                <w:sz w:val="20"/>
                <w:szCs w:val="20"/>
                <w:vertAlign w:val="superscript"/>
              </w:rPr>
              <w:t>d</w:t>
            </w:r>
            <w:r w:rsidRPr="00916586">
              <w:rPr>
                <w:rFonts w:ascii="Arial Narrow" w:eastAsia="Arial" w:hAnsi="Arial Narrow"/>
                <w:iCs/>
                <w:sz w:val="20"/>
                <w:szCs w:val="20"/>
              </w:rPr>
              <w:t xml:space="preserve"> </w:t>
            </w:r>
          </w:p>
        </w:tc>
        <w:tc>
          <w:tcPr>
            <w:tcW w:w="431" w:type="pct"/>
            <w:tcBorders>
              <w:top w:val="single" w:sz="8" w:space="0" w:color="000000"/>
              <w:left w:val="single" w:sz="8" w:space="0" w:color="000000"/>
              <w:bottom w:val="single" w:sz="7" w:space="0" w:color="000000"/>
              <w:right w:val="single" w:sz="7" w:space="0" w:color="000000"/>
            </w:tcBorders>
          </w:tcPr>
          <w:p w14:paraId="6515AC9E" w14:textId="77777777" w:rsidR="00010571" w:rsidRPr="00916586" w:rsidRDefault="00010571" w:rsidP="00B74D03">
            <w:pPr>
              <w:spacing w:line="259" w:lineRule="auto"/>
              <w:ind w:right="67"/>
              <w:jc w:val="center"/>
              <w:rPr>
                <w:rFonts w:ascii="Arial Narrow" w:hAnsi="Arial Narrow"/>
                <w:iCs/>
                <w:sz w:val="20"/>
                <w:szCs w:val="20"/>
              </w:rPr>
            </w:pPr>
            <w:r w:rsidRPr="00916586">
              <w:rPr>
                <w:rFonts w:ascii="Arial Narrow" w:eastAsia="Arial" w:hAnsi="Arial Narrow"/>
                <w:iCs/>
                <w:sz w:val="20"/>
                <w:szCs w:val="20"/>
              </w:rPr>
              <w:t xml:space="preserve">24.35 </w:t>
            </w:r>
          </w:p>
        </w:tc>
        <w:tc>
          <w:tcPr>
            <w:tcW w:w="478" w:type="pct"/>
            <w:tcBorders>
              <w:top w:val="single" w:sz="8" w:space="0" w:color="000000"/>
              <w:left w:val="single" w:sz="7" w:space="0" w:color="000000"/>
              <w:bottom w:val="single" w:sz="7" w:space="0" w:color="000000"/>
              <w:right w:val="single" w:sz="8" w:space="0" w:color="000000"/>
            </w:tcBorders>
          </w:tcPr>
          <w:p w14:paraId="0B8C0F9B" w14:textId="77777777" w:rsidR="00010571" w:rsidRPr="00916586" w:rsidRDefault="00010571" w:rsidP="00B74D03">
            <w:pPr>
              <w:spacing w:line="259" w:lineRule="auto"/>
              <w:ind w:right="62"/>
              <w:jc w:val="center"/>
              <w:rPr>
                <w:rFonts w:ascii="Arial Narrow" w:hAnsi="Arial Narrow"/>
                <w:iCs/>
                <w:sz w:val="20"/>
                <w:szCs w:val="20"/>
              </w:rPr>
            </w:pPr>
            <w:r w:rsidRPr="00916586">
              <w:rPr>
                <w:rFonts w:ascii="Arial Narrow" w:eastAsia="Arial" w:hAnsi="Arial Narrow"/>
                <w:iCs/>
                <w:sz w:val="20"/>
                <w:szCs w:val="20"/>
              </w:rPr>
              <w:t xml:space="preserve">531.22 </w:t>
            </w:r>
          </w:p>
        </w:tc>
        <w:tc>
          <w:tcPr>
            <w:tcW w:w="570" w:type="pct"/>
            <w:tcBorders>
              <w:top w:val="single" w:sz="8" w:space="0" w:color="000000"/>
              <w:left w:val="single" w:sz="8" w:space="0" w:color="000000"/>
              <w:bottom w:val="single" w:sz="7" w:space="0" w:color="000000"/>
              <w:right w:val="single" w:sz="8" w:space="0" w:color="000000"/>
            </w:tcBorders>
          </w:tcPr>
          <w:p w14:paraId="173F577F" w14:textId="77777777" w:rsidR="00010571" w:rsidRPr="00916586" w:rsidRDefault="00010571" w:rsidP="00B74D03">
            <w:pPr>
              <w:spacing w:line="259" w:lineRule="auto"/>
              <w:ind w:right="63"/>
              <w:jc w:val="center"/>
              <w:rPr>
                <w:rFonts w:ascii="Arial Narrow" w:hAnsi="Arial Narrow"/>
                <w:iCs/>
                <w:sz w:val="20"/>
                <w:szCs w:val="20"/>
              </w:rPr>
            </w:pPr>
            <w:r w:rsidRPr="00916586">
              <w:rPr>
                <w:rFonts w:ascii="Arial Narrow" w:eastAsia="Arial" w:hAnsi="Arial Narrow"/>
                <w:iCs/>
                <w:sz w:val="20"/>
                <w:szCs w:val="20"/>
              </w:rPr>
              <w:t xml:space="preserve">$152.46 </w:t>
            </w:r>
          </w:p>
        </w:tc>
        <w:tc>
          <w:tcPr>
            <w:tcW w:w="539" w:type="pct"/>
            <w:tcBorders>
              <w:top w:val="single" w:sz="8" w:space="0" w:color="000000"/>
              <w:left w:val="single" w:sz="8" w:space="0" w:color="000000"/>
              <w:bottom w:val="single" w:sz="7" w:space="0" w:color="000000"/>
              <w:right w:val="single" w:sz="8" w:space="0" w:color="000000"/>
            </w:tcBorders>
          </w:tcPr>
          <w:p w14:paraId="740C60BA" w14:textId="77777777" w:rsidR="00010571" w:rsidRPr="00916586" w:rsidRDefault="00010571" w:rsidP="00B74D03">
            <w:pPr>
              <w:spacing w:line="259" w:lineRule="auto"/>
              <w:ind w:right="43"/>
              <w:jc w:val="right"/>
              <w:rPr>
                <w:rFonts w:ascii="Arial Narrow" w:hAnsi="Arial Narrow"/>
                <w:iCs/>
                <w:sz w:val="20"/>
                <w:szCs w:val="20"/>
              </w:rPr>
            </w:pPr>
            <w:r w:rsidRPr="00916586">
              <w:rPr>
                <w:rFonts w:ascii="Arial Narrow" w:eastAsia="Arial" w:hAnsi="Arial Narrow"/>
                <w:iCs/>
                <w:sz w:val="20"/>
                <w:szCs w:val="20"/>
              </w:rPr>
              <w:t xml:space="preserve">0.9% </w:t>
            </w:r>
          </w:p>
        </w:tc>
        <w:tc>
          <w:tcPr>
            <w:tcW w:w="539" w:type="pct"/>
            <w:tcBorders>
              <w:top w:val="single" w:sz="8" w:space="0" w:color="000000"/>
              <w:left w:val="single" w:sz="8" w:space="0" w:color="000000"/>
              <w:bottom w:val="single" w:sz="7" w:space="0" w:color="000000"/>
              <w:right w:val="single" w:sz="8" w:space="0" w:color="000000"/>
            </w:tcBorders>
          </w:tcPr>
          <w:p w14:paraId="19E7A540" w14:textId="77777777" w:rsidR="00010571" w:rsidRPr="00916586" w:rsidRDefault="00010571" w:rsidP="00B74D03">
            <w:pPr>
              <w:spacing w:line="259" w:lineRule="auto"/>
              <w:ind w:right="67"/>
              <w:jc w:val="right"/>
              <w:rPr>
                <w:rFonts w:ascii="Arial Narrow" w:hAnsi="Arial Narrow"/>
                <w:iCs/>
                <w:sz w:val="20"/>
                <w:szCs w:val="20"/>
              </w:rPr>
            </w:pPr>
            <w:r w:rsidRPr="00916586">
              <w:rPr>
                <w:rFonts w:ascii="Arial Narrow" w:eastAsia="Arial" w:hAnsi="Arial Narrow"/>
                <w:iCs/>
                <w:sz w:val="20"/>
                <w:szCs w:val="20"/>
              </w:rPr>
              <w:t xml:space="preserve">1.3% </w:t>
            </w:r>
          </w:p>
        </w:tc>
      </w:tr>
      <w:tr w:rsidR="00010571" w:rsidRPr="00916586" w14:paraId="7101AADD" w14:textId="77777777" w:rsidTr="002668BB">
        <w:trPr>
          <w:trHeight w:val="348"/>
        </w:trPr>
        <w:tc>
          <w:tcPr>
            <w:tcW w:w="725" w:type="pct"/>
            <w:tcBorders>
              <w:top w:val="single" w:sz="7" w:space="0" w:color="000000"/>
              <w:left w:val="single" w:sz="8" w:space="0" w:color="000000"/>
              <w:bottom w:val="single" w:sz="7" w:space="0" w:color="000000"/>
              <w:right w:val="single" w:sz="7" w:space="0" w:color="000000"/>
            </w:tcBorders>
          </w:tcPr>
          <w:p w14:paraId="3ABDBFE9" w14:textId="77777777" w:rsidR="00010571" w:rsidRPr="00916586" w:rsidRDefault="00010571" w:rsidP="00B74D03">
            <w:pPr>
              <w:spacing w:line="259" w:lineRule="auto"/>
              <w:ind w:left="5"/>
              <w:rPr>
                <w:rFonts w:ascii="Arial Narrow" w:hAnsi="Arial Narrow"/>
                <w:iCs/>
                <w:sz w:val="20"/>
                <w:szCs w:val="20"/>
              </w:rPr>
            </w:pPr>
            <w:r w:rsidRPr="00916586">
              <w:rPr>
                <w:rFonts w:ascii="Arial Narrow" w:eastAsia="Arial" w:hAnsi="Arial Narrow"/>
                <w:iCs/>
                <w:sz w:val="20"/>
                <w:szCs w:val="20"/>
              </w:rPr>
              <w:t xml:space="preserve">600 mg / daily </w:t>
            </w:r>
          </w:p>
        </w:tc>
        <w:tc>
          <w:tcPr>
            <w:tcW w:w="477" w:type="pct"/>
            <w:tcBorders>
              <w:top w:val="single" w:sz="7" w:space="0" w:color="000000"/>
              <w:left w:val="single" w:sz="7" w:space="0" w:color="000000"/>
              <w:bottom w:val="single" w:sz="7" w:space="0" w:color="000000"/>
              <w:right w:val="single" w:sz="8" w:space="0" w:color="000000"/>
            </w:tcBorders>
          </w:tcPr>
          <w:p w14:paraId="1C782C95" w14:textId="77777777" w:rsidR="00010571" w:rsidRPr="00916586" w:rsidRDefault="00010571" w:rsidP="00B74D03">
            <w:pPr>
              <w:spacing w:line="259" w:lineRule="auto"/>
              <w:ind w:right="62"/>
              <w:jc w:val="center"/>
              <w:rPr>
                <w:rFonts w:ascii="Arial Narrow" w:hAnsi="Arial Narrow"/>
                <w:iCs/>
                <w:sz w:val="20"/>
                <w:szCs w:val="20"/>
              </w:rPr>
            </w:pPr>
            <w:r w:rsidRPr="00916586">
              <w:rPr>
                <w:rFonts w:ascii="Arial Narrow" w:eastAsia="Arial" w:hAnsi="Arial Narrow"/>
                <w:iCs/>
                <w:sz w:val="20"/>
                <w:szCs w:val="20"/>
              </w:rPr>
              <w:t xml:space="preserve">13.04 </w:t>
            </w:r>
          </w:p>
        </w:tc>
        <w:tc>
          <w:tcPr>
            <w:tcW w:w="479" w:type="pct"/>
            <w:tcBorders>
              <w:top w:val="single" w:sz="7" w:space="0" w:color="000000"/>
              <w:left w:val="single" w:sz="8" w:space="0" w:color="000000"/>
              <w:bottom w:val="single" w:sz="7" w:space="0" w:color="000000"/>
              <w:right w:val="single" w:sz="8" w:space="0" w:color="000000"/>
            </w:tcBorders>
          </w:tcPr>
          <w:p w14:paraId="495308ED" w14:textId="77777777" w:rsidR="00010571" w:rsidRPr="00916586" w:rsidRDefault="00010571" w:rsidP="00B74D03">
            <w:pPr>
              <w:spacing w:line="259" w:lineRule="auto"/>
              <w:ind w:right="61"/>
              <w:jc w:val="center"/>
              <w:rPr>
                <w:rFonts w:ascii="Arial Narrow" w:hAnsi="Arial Narrow"/>
                <w:iCs/>
                <w:sz w:val="20"/>
                <w:szCs w:val="20"/>
              </w:rPr>
            </w:pPr>
            <w:r w:rsidRPr="00916586">
              <w:rPr>
                <w:rFonts w:ascii="Arial Narrow" w:eastAsia="Arial" w:hAnsi="Arial Narrow"/>
                <w:iCs/>
                <w:sz w:val="20"/>
                <w:szCs w:val="20"/>
              </w:rPr>
              <w:t xml:space="preserve">$422.38 </w:t>
            </w:r>
          </w:p>
        </w:tc>
        <w:tc>
          <w:tcPr>
            <w:tcW w:w="763" w:type="pct"/>
            <w:tcBorders>
              <w:top w:val="single" w:sz="7" w:space="0" w:color="000000"/>
              <w:left w:val="single" w:sz="8" w:space="0" w:color="000000"/>
              <w:bottom w:val="single" w:sz="7" w:space="0" w:color="000000"/>
              <w:right w:val="single" w:sz="8" w:space="0" w:color="000000"/>
            </w:tcBorders>
          </w:tcPr>
          <w:p w14:paraId="118A39CD" w14:textId="77777777" w:rsidR="00010571" w:rsidRPr="00916586" w:rsidRDefault="00010571" w:rsidP="00B74D03">
            <w:pPr>
              <w:spacing w:line="259" w:lineRule="auto"/>
              <w:ind w:left="5"/>
              <w:rPr>
                <w:rFonts w:ascii="Arial Narrow" w:hAnsi="Arial Narrow"/>
                <w:iCs/>
                <w:sz w:val="20"/>
                <w:szCs w:val="20"/>
              </w:rPr>
            </w:pPr>
            <w:r w:rsidRPr="00916586">
              <w:rPr>
                <w:rFonts w:ascii="Arial Narrow" w:eastAsia="Arial" w:hAnsi="Arial Narrow"/>
                <w:iCs/>
                <w:sz w:val="20"/>
                <w:szCs w:val="20"/>
              </w:rPr>
              <w:t xml:space="preserve">660 mg / daily </w:t>
            </w:r>
          </w:p>
        </w:tc>
        <w:tc>
          <w:tcPr>
            <w:tcW w:w="431" w:type="pct"/>
            <w:tcBorders>
              <w:top w:val="single" w:sz="7" w:space="0" w:color="000000"/>
              <w:left w:val="single" w:sz="8" w:space="0" w:color="000000"/>
              <w:bottom w:val="single" w:sz="7" w:space="0" w:color="000000"/>
              <w:right w:val="single" w:sz="7" w:space="0" w:color="000000"/>
            </w:tcBorders>
          </w:tcPr>
          <w:p w14:paraId="7ED82ECE" w14:textId="77777777" w:rsidR="00010571" w:rsidRPr="00916586" w:rsidRDefault="00010571" w:rsidP="00B74D03">
            <w:pPr>
              <w:spacing w:line="259" w:lineRule="auto"/>
              <w:ind w:right="67"/>
              <w:jc w:val="center"/>
              <w:rPr>
                <w:rFonts w:ascii="Arial Narrow" w:hAnsi="Arial Narrow"/>
                <w:iCs/>
                <w:sz w:val="20"/>
                <w:szCs w:val="20"/>
              </w:rPr>
            </w:pPr>
            <w:r w:rsidRPr="00916586">
              <w:rPr>
                <w:rFonts w:ascii="Arial Narrow" w:eastAsia="Arial" w:hAnsi="Arial Narrow"/>
                <w:iCs/>
                <w:sz w:val="20"/>
                <w:szCs w:val="20"/>
              </w:rPr>
              <w:t xml:space="preserve">24.35 </w:t>
            </w:r>
          </w:p>
        </w:tc>
        <w:tc>
          <w:tcPr>
            <w:tcW w:w="478" w:type="pct"/>
            <w:tcBorders>
              <w:top w:val="single" w:sz="7" w:space="0" w:color="000000"/>
              <w:left w:val="single" w:sz="7" w:space="0" w:color="000000"/>
              <w:bottom w:val="single" w:sz="7" w:space="0" w:color="000000"/>
              <w:right w:val="single" w:sz="8" w:space="0" w:color="000000"/>
            </w:tcBorders>
          </w:tcPr>
          <w:p w14:paraId="4688A406" w14:textId="77777777" w:rsidR="00010571" w:rsidRPr="00916586" w:rsidRDefault="00010571" w:rsidP="00B74D03">
            <w:pPr>
              <w:spacing w:line="259" w:lineRule="auto"/>
              <w:ind w:right="62"/>
              <w:jc w:val="center"/>
              <w:rPr>
                <w:rFonts w:ascii="Arial Narrow" w:hAnsi="Arial Narrow"/>
                <w:iCs/>
                <w:sz w:val="20"/>
                <w:szCs w:val="20"/>
              </w:rPr>
            </w:pPr>
            <w:r w:rsidRPr="00916586">
              <w:rPr>
                <w:rFonts w:ascii="Arial Narrow" w:eastAsia="Arial" w:hAnsi="Arial Narrow"/>
                <w:iCs/>
                <w:sz w:val="20"/>
                <w:szCs w:val="20"/>
              </w:rPr>
              <w:t xml:space="preserve">558.84 </w:t>
            </w:r>
          </w:p>
        </w:tc>
        <w:tc>
          <w:tcPr>
            <w:tcW w:w="570" w:type="pct"/>
            <w:tcBorders>
              <w:top w:val="single" w:sz="7" w:space="0" w:color="000000"/>
              <w:left w:val="single" w:sz="8" w:space="0" w:color="000000"/>
              <w:bottom w:val="single" w:sz="7" w:space="0" w:color="000000"/>
              <w:right w:val="single" w:sz="8" w:space="0" w:color="000000"/>
            </w:tcBorders>
          </w:tcPr>
          <w:p w14:paraId="03095885" w14:textId="77777777" w:rsidR="00010571" w:rsidRPr="00916586" w:rsidRDefault="00010571" w:rsidP="00B74D03">
            <w:pPr>
              <w:spacing w:line="259" w:lineRule="auto"/>
              <w:ind w:right="63"/>
              <w:jc w:val="center"/>
              <w:rPr>
                <w:rFonts w:ascii="Arial Narrow" w:hAnsi="Arial Narrow"/>
                <w:iCs/>
                <w:sz w:val="20"/>
                <w:szCs w:val="20"/>
              </w:rPr>
            </w:pPr>
            <w:r w:rsidRPr="00916586">
              <w:rPr>
                <w:rFonts w:ascii="Arial Narrow" w:eastAsia="Arial" w:hAnsi="Arial Narrow"/>
                <w:iCs/>
                <w:sz w:val="20"/>
                <w:szCs w:val="20"/>
              </w:rPr>
              <w:t xml:space="preserve">$136.46 </w:t>
            </w:r>
          </w:p>
        </w:tc>
        <w:tc>
          <w:tcPr>
            <w:tcW w:w="539" w:type="pct"/>
            <w:tcBorders>
              <w:top w:val="single" w:sz="7" w:space="0" w:color="000000"/>
              <w:left w:val="single" w:sz="8" w:space="0" w:color="000000"/>
              <w:bottom w:val="single" w:sz="7" w:space="0" w:color="000000"/>
              <w:right w:val="single" w:sz="8" w:space="0" w:color="000000"/>
            </w:tcBorders>
          </w:tcPr>
          <w:p w14:paraId="18958DBB" w14:textId="16EF0DBC" w:rsidR="00010571" w:rsidRPr="00916586" w:rsidRDefault="002668BB" w:rsidP="00B74D03">
            <w:pPr>
              <w:spacing w:line="259" w:lineRule="auto"/>
              <w:ind w:right="112"/>
              <w:jc w:val="center"/>
              <w:rPr>
                <w:rFonts w:ascii="Arial Narrow" w:hAnsi="Arial Narrow"/>
                <w:iCs/>
                <w:sz w:val="20"/>
                <w:szCs w:val="20"/>
                <w:vertAlign w:val="superscript"/>
              </w:rPr>
            </w:pPr>
            <w:r w:rsidRPr="00916586">
              <w:rPr>
                <w:rFonts w:ascii="Arial Narrow" w:eastAsia="Arial" w:hAnsi="Arial Narrow"/>
                <w:iCs/>
                <w:sz w:val="20"/>
                <w:szCs w:val="20"/>
              </w:rPr>
              <w:t xml:space="preserve">70.8% </w:t>
            </w:r>
            <w:r w:rsidR="00010571" w:rsidRPr="00916586">
              <w:rPr>
                <w:rFonts w:ascii="Arial Narrow" w:eastAsia="Arial" w:hAnsi="Arial Narrow"/>
                <w:iCs/>
                <w:sz w:val="20"/>
                <w:szCs w:val="20"/>
                <w:vertAlign w:val="superscript"/>
              </w:rPr>
              <w:t xml:space="preserve">e </w:t>
            </w:r>
          </w:p>
        </w:tc>
        <w:tc>
          <w:tcPr>
            <w:tcW w:w="539" w:type="pct"/>
            <w:tcBorders>
              <w:top w:val="single" w:sz="7" w:space="0" w:color="000000"/>
              <w:left w:val="single" w:sz="8" w:space="0" w:color="000000"/>
              <w:bottom w:val="single" w:sz="7" w:space="0" w:color="000000"/>
              <w:right w:val="single" w:sz="8" w:space="0" w:color="000000"/>
            </w:tcBorders>
          </w:tcPr>
          <w:p w14:paraId="3C6B073E" w14:textId="2D20BFE2" w:rsidR="00010571" w:rsidRPr="00916586" w:rsidRDefault="00010571" w:rsidP="00B74D03">
            <w:pPr>
              <w:spacing w:line="259" w:lineRule="auto"/>
              <w:ind w:left="5"/>
              <w:rPr>
                <w:rFonts w:ascii="Arial Narrow" w:hAnsi="Arial Narrow"/>
                <w:iCs/>
                <w:sz w:val="20"/>
                <w:szCs w:val="20"/>
              </w:rPr>
            </w:pPr>
            <w:r w:rsidRPr="00916586">
              <w:rPr>
                <w:rFonts w:ascii="Arial Narrow" w:eastAsia="Arial" w:hAnsi="Arial Narrow"/>
                <w:iCs/>
                <w:sz w:val="20"/>
                <w:szCs w:val="20"/>
              </w:rPr>
              <w:t xml:space="preserve">  </w:t>
            </w:r>
            <w:r w:rsidR="002668BB" w:rsidRPr="002668BB">
              <w:rPr>
                <w:rFonts w:ascii="Arial Narrow" w:eastAsia="Arial" w:hAnsi="Arial Narrow"/>
                <w:iCs/>
                <w:sz w:val="20"/>
                <w:szCs w:val="20"/>
              </w:rPr>
              <w:t>100.0%</w:t>
            </w:r>
          </w:p>
        </w:tc>
      </w:tr>
    </w:tbl>
    <w:p w14:paraId="6A157AA1" w14:textId="77777777" w:rsidR="00010571" w:rsidRPr="00916586" w:rsidRDefault="00010571" w:rsidP="00010571">
      <w:pPr>
        <w:numPr>
          <w:ilvl w:val="0"/>
          <w:numId w:val="20"/>
        </w:numPr>
        <w:spacing w:after="5" w:line="262" w:lineRule="auto"/>
        <w:ind w:left="102" w:right="522" w:hanging="102"/>
        <w:contextualSpacing/>
        <w:jc w:val="left"/>
        <w:rPr>
          <w:rFonts w:ascii="Arial Narrow" w:hAnsi="Arial Narrow" w:cstheme="minorHAnsi"/>
          <w:iCs/>
          <w:sz w:val="20"/>
          <w:szCs w:val="20"/>
        </w:rPr>
      </w:pPr>
      <w:r w:rsidRPr="00916586">
        <w:rPr>
          <w:rFonts w:ascii="Arial Narrow" w:eastAsia="Arial" w:hAnsi="Arial Narrow" w:cstheme="minorHAnsi"/>
          <w:iCs/>
          <w:sz w:val="20"/>
          <w:szCs w:val="20"/>
        </w:rPr>
        <w:t>Calculated using DPMQ for pregabalin IR from October 2021 (inclusive of price disclosure price drop) based on DPMQs for 25mg=$16.22, for 75mg=$20.95, for 150mg=$25.69, and for 300mg=$32.38), as calculated by the PSCR.</w:t>
      </w:r>
    </w:p>
    <w:p w14:paraId="550E51A5" w14:textId="77777777" w:rsidR="00010571" w:rsidRPr="00916586" w:rsidRDefault="00010571" w:rsidP="00010571">
      <w:pPr>
        <w:numPr>
          <w:ilvl w:val="0"/>
          <w:numId w:val="20"/>
        </w:numPr>
        <w:spacing w:after="5" w:line="262" w:lineRule="auto"/>
        <w:ind w:left="102" w:right="522" w:hanging="102"/>
        <w:contextualSpacing/>
        <w:jc w:val="left"/>
        <w:rPr>
          <w:rFonts w:ascii="Arial Narrow" w:hAnsi="Arial Narrow" w:cstheme="minorHAnsi"/>
          <w:iCs/>
          <w:sz w:val="20"/>
          <w:szCs w:val="20"/>
        </w:rPr>
      </w:pPr>
      <w:r w:rsidRPr="00916586">
        <w:rPr>
          <w:rFonts w:ascii="Arial Narrow" w:eastAsia="Arial" w:hAnsi="Arial Narrow" w:cstheme="minorHAnsi"/>
          <w:iCs/>
          <w:sz w:val="20"/>
          <w:szCs w:val="20"/>
        </w:rPr>
        <w:t xml:space="preserve">Calculated using DPMQ derived from proposed Lyrica CR AEMP (DPMQ for 85.2mg=18.10, for 165mg=20.68, and for 330mg=22.95)  </w:t>
      </w:r>
    </w:p>
    <w:p w14:paraId="215F1B02" w14:textId="565DC5B3" w:rsidR="00010571" w:rsidRPr="00916586" w:rsidRDefault="00010571" w:rsidP="00010571">
      <w:pPr>
        <w:numPr>
          <w:ilvl w:val="0"/>
          <w:numId w:val="20"/>
        </w:numPr>
        <w:spacing w:after="5" w:line="262" w:lineRule="auto"/>
        <w:ind w:left="102" w:right="522" w:hanging="102"/>
        <w:contextualSpacing/>
        <w:jc w:val="left"/>
        <w:rPr>
          <w:rFonts w:ascii="Arial Narrow" w:hAnsi="Arial Narrow" w:cstheme="minorHAnsi"/>
          <w:iCs/>
          <w:sz w:val="20"/>
          <w:szCs w:val="20"/>
        </w:rPr>
      </w:pPr>
      <w:r w:rsidRPr="00916586">
        <w:rPr>
          <w:rFonts w:ascii="Arial Narrow" w:eastAsia="Arial" w:hAnsi="Arial Narrow" w:cstheme="minorHAnsi"/>
          <w:iCs/>
          <w:sz w:val="20"/>
          <w:szCs w:val="20"/>
        </w:rPr>
        <w:t>Source: Medicare 10% data as at end Dec 2020.</w:t>
      </w:r>
    </w:p>
    <w:p w14:paraId="589BDD10" w14:textId="77777777" w:rsidR="00010571" w:rsidRPr="00916586" w:rsidRDefault="00010571" w:rsidP="00010571">
      <w:pPr>
        <w:numPr>
          <w:ilvl w:val="0"/>
          <w:numId w:val="20"/>
        </w:numPr>
        <w:spacing w:after="5" w:line="262" w:lineRule="auto"/>
        <w:ind w:left="102" w:right="522" w:hanging="102"/>
        <w:contextualSpacing/>
        <w:jc w:val="left"/>
        <w:rPr>
          <w:rFonts w:ascii="Arial Narrow" w:hAnsi="Arial Narrow" w:cstheme="minorHAnsi"/>
          <w:iCs/>
          <w:sz w:val="20"/>
          <w:szCs w:val="20"/>
        </w:rPr>
      </w:pPr>
      <w:r w:rsidRPr="00916586">
        <w:rPr>
          <w:rFonts w:ascii="Arial Narrow" w:eastAsia="Arial" w:hAnsi="Arial Narrow" w:cstheme="minorHAnsi"/>
          <w:iCs/>
          <w:sz w:val="20"/>
          <w:szCs w:val="20"/>
        </w:rPr>
        <w:t xml:space="preserve">Alternative combination that achieves the same TDD were not considered as those combinations are unlikely to be prescribed given little or no clinical or economic benefit to the patient (i.e. using 1 dose of 165mg plus one dose of 82.5mg achieves the same TDD of 247.5mg with less pills and less cost than using 3 doses of 82.5mg) This is reasonable based on lower cost compared to the cost of using 3 x 82.5 mg and 3 x 165 mg tablets taken once a day, which is prescribed for conversion from pregabalin IR to pregabalin CR in the approved PI. </w:t>
      </w:r>
    </w:p>
    <w:p w14:paraId="6E7C97A2" w14:textId="77777777" w:rsidR="00010571" w:rsidRPr="00916586" w:rsidRDefault="00010571" w:rsidP="00010571">
      <w:pPr>
        <w:numPr>
          <w:ilvl w:val="0"/>
          <w:numId w:val="20"/>
        </w:numPr>
        <w:spacing w:after="5" w:line="262" w:lineRule="auto"/>
        <w:ind w:left="102" w:right="522" w:hanging="102"/>
        <w:contextualSpacing/>
        <w:jc w:val="left"/>
        <w:rPr>
          <w:rFonts w:ascii="Arial Narrow" w:hAnsi="Arial Narrow"/>
          <w:iCs/>
          <w:sz w:val="20"/>
          <w:szCs w:val="20"/>
        </w:rPr>
      </w:pPr>
      <w:r w:rsidRPr="00916586">
        <w:rPr>
          <w:rFonts w:ascii="Arial Narrow" w:eastAsia="Arial" w:hAnsi="Arial Narrow" w:cstheme="minorHAnsi"/>
          <w:iCs/>
          <w:sz w:val="20"/>
          <w:szCs w:val="20"/>
        </w:rPr>
        <w:t xml:space="preserve">Source of data only specifies that 450mg+ dose usage is 0.9% of the total without indicating the usage percent for 600mg. Both the 450mg and the 600mg usage proportion are below 0.9% both individually and in the combined. </w:t>
      </w:r>
    </w:p>
    <w:p w14:paraId="3CD2267A" w14:textId="77777777" w:rsidR="00010571" w:rsidRPr="00916586" w:rsidRDefault="00010571" w:rsidP="008A7850"/>
    <w:p w14:paraId="651ADD47" w14:textId="77777777" w:rsidR="00B60939" w:rsidRPr="00916586" w:rsidRDefault="00B60939" w:rsidP="002B05A1">
      <w:pPr>
        <w:pStyle w:val="4-SubsectionHeading"/>
      </w:pPr>
      <w:bookmarkStart w:id="27" w:name="_Toc22897647"/>
      <w:bookmarkStart w:id="28" w:name="_Toc81837353"/>
      <w:r w:rsidRPr="00916586">
        <w:t>Estimated PBS usage &amp; financial implications</w:t>
      </w:r>
      <w:bookmarkEnd w:id="27"/>
      <w:bookmarkEnd w:id="28"/>
    </w:p>
    <w:p w14:paraId="52A7C728" w14:textId="77777777" w:rsidR="002B05A1" w:rsidRPr="00916586" w:rsidRDefault="00C25D9C" w:rsidP="002B05A1">
      <w:pPr>
        <w:pStyle w:val="3-BodyText"/>
      </w:pPr>
      <w:r w:rsidRPr="00916586">
        <w:t xml:space="preserve">This submission </w:t>
      </w:r>
      <w:r w:rsidR="00B201A4" w:rsidRPr="00916586">
        <w:t>w</w:t>
      </w:r>
      <w:r w:rsidR="00993A9C" w:rsidRPr="00916586">
        <w:t>as</w:t>
      </w:r>
      <w:r w:rsidR="00A50B92" w:rsidRPr="00916586">
        <w:t xml:space="preserve"> </w:t>
      </w:r>
      <w:r w:rsidRPr="00916586">
        <w:t>not</w:t>
      </w:r>
      <w:r w:rsidR="00D23D11" w:rsidRPr="00916586">
        <w:t xml:space="preserve"> </w:t>
      </w:r>
      <w:r w:rsidRPr="00916586">
        <w:t xml:space="preserve">considered by </w:t>
      </w:r>
      <w:r w:rsidR="00955888" w:rsidRPr="00916586">
        <w:t>the Drug Utilisation Sub</w:t>
      </w:r>
      <w:r w:rsidR="003B684C" w:rsidRPr="00916586">
        <w:t>-C</w:t>
      </w:r>
      <w:r w:rsidR="00955888" w:rsidRPr="00916586">
        <w:t>ommittee (</w:t>
      </w:r>
      <w:r w:rsidRPr="00916586">
        <w:t>DUSC</w:t>
      </w:r>
      <w:r w:rsidR="00955888" w:rsidRPr="00916586">
        <w:t>)</w:t>
      </w:r>
      <w:r w:rsidRPr="00916586">
        <w:t>.</w:t>
      </w:r>
      <w:r w:rsidR="00A50B92" w:rsidRPr="00916586">
        <w:rPr>
          <w:rFonts w:ascii="Calibri" w:hAnsi="Calibri"/>
          <w:snapToGrid/>
        </w:rPr>
        <w:t xml:space="preserve"> </w:t>
      </w:r>
      <w:r w:rsidR="00A50B92" w:rsidRPr="00916586">
        <w:t xml:space="preserve">The submission used a market-share approach to predict the likely use and financial </w:t>
      </w:r>
      <w:r w:rsidR="00A50B92" w:rsidRPr="00916586">
        <w:lastRenderedPageBreak/>
        <w:t>impact of listing of pregabalin CR on the PBS.</w:t>
      </w:r>
      <w:r w:rsidR="00276C2A" w:rsidRPr="00916586">
        <w:t xml:space="preserve"> </w:t>
      </w:r>
      <w:r w:rsidR="00276C2A" w:rsidRPr="00916586">
        <w:rPr>
          <w:iCs/>
        </w:rPr>
        <w:t xml:space="preserve">This approach </w:t>
      </w:r>
      <w:r w:rsidR="003F364E" w:rsidRPr="00916586">
        <w:rPr>
          <w:iCs/>
        </w:rPr>
        <w:t>was</w:t>
      </w:r>
      <w:r w:rsidR="00276C2A" w:rsidRPr="00916586">
        <w:rPr>
          <w:iCs/>
        </w:rPr>
        <w:t xml:space="preserve"> reasonable given the maturity and stability of the </w:t>
      </w:r>
      <w:r w:rsidR="00603D74" w:rsidRPr="00916586">
        <w:rPr>
          <w:iCs/>
        </w:rPr>
        <w:t xml:space="preserve">pregabalin IR, which was PBS listed on </w:t>
      </w:r>
      <w:r w:rsidR="00A57813" w:rsidRPr="00916586">
        <w:rPr>
          <w:iCs/>
        </w:rPr>
        <w:t xml:space="preserve">1 </w:t>
      </w:r>
      <w:r w:rsidR="00603D74" w:rsidRPr="00916586">
        <w:rPr>
          <w:iCs/>
        </w:rPr>
        <w:t>March 2013.</w:t>
      </w:r>
    </w:p>
    <w:p w14:paraId="0990259F" w14:textId="77777777" w:rsidR="0092154B" w:rsidRPr="00916586" w:rsidRDefault="0092154B" w:rsidP="0092154B">
      <w:pPr>
        <w:pStyle w:val="3-BodyText"/>
        <w:rPr>
          <w:i/>
        </w:rPr>
      </w:pPr>
      <w:r w:rsidRPr="00916586">
        <w:t xml:space="preserve">The submission used a market-share approach to estimate the utilisation of pregabalin CR tablets. The submission noted that the proposed pregabalin CR 82.5 mg, 165 mg and 330 mg will replace a portion of services for pregabalin IR 75 mg, 150 mg and 330 mg respectively. </w:t>
      </w:r>
    </w:p>
    <w:p w14:paraId="7A00014D" w14:textId="77777777" w:rsidR="00C27406" w:rsidRPr="00916586" w:rsidRDefault="00C27406" w:rsidP="002B05A1">
      <w:pPr>
        <w:pStyle w:val="3-BodyText"/>
      </w:pPr>
      <w:r w:rsidRPr="00916586">
        <w:t>The key inputs for the financial estimates are summarised below.</w:t>
      </w:r>
    </w:p>
    <w:p w14:paraId="6D3EDE2E" w14:textId="77777777" w:rsidR="00565AC5" w:rsidRPr="00916586" w:rsidRDefault="00565AC5" w:rsidP="00565AC5">
      <w:pPr>
        <w:pStyle w:val="TableFigureHeading"/>
        <w:rPr>
          <w:rStyle w:val="CommentReference"/>
          <w:b/>
          <w:szCs w:val="24"/>
        </w:rPr>
      </w:pPr>
      <w:r w:rsidRPr="00916586">
        <w:lastRenderedPageBreak/>
        <w:t xml:space="preserve">Table </w:t>
      </w:r>
      <w:r w:rsidR="007A7FAD" w:rsidRPr="00916586">
        <w:rPr>
          <w:noProof/>
        </w:rPr>
        <w:t>8</w:t>
      </w:r>
      <w:r w:rsidRPr="00916586">
        <w:rPr>
          <w:rStyle w:val="CommentReference"/>
          <w:b/>
          <w:szCs w:val="24"/>
        </w:rPr>
        <w:t>: Data sources and parameter values applied in the utilisation and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Data sources and parameter values applied in the utilisation and financial estimates"/>
      </w:tblPr>
      <w:tblGrid>
        <w:gridCol w:w="1526"/>
        <w:gridCol w:w="2229"/>
        <w:gridCol w:w="5262"/>
      </w:tblGrid>
      <w:tr w:rsidR="00565AC5" w:rsidRPr="00916586" w14:paraId="29FFEB40" w14:textId="77777777" w:rsidTr="007A18D9">
        <w:trPr>
          <w:tblHeader/>
        </w:trPr>
        <w:tc>
          <w:tcPr>
            <w:tcW w:w="846" w:type="pct"/>
            <w:vAlign w:val="center"/>
          </w:tcPr>
          <w:p w14:paraId="1FDE8A9E" w14:textId="77777777" w:rsidR="00565AC5" w:rsidRPr="00916586" w:rsidRDefault="00565AC5" w:rsidP="008F6AC2">
            <w:pPr>
              <w:pStyle w:val="In-tableHeading"/>
              <w:jc w:val="center"/>
              <w:rPr>
                <w:lang w:val="en-AU"/>
              </w:rPr>
            </w:pPr>
            <w:r w:rsidRPr="00916586">
              <w:rPr>
                <w:lang w:val="en-AU"/>
              </w:rPr>
              <w:t>Data</w:t>
            </w:r>
          </w:p>
        </w:tc>
        <w:tc>
          <w:tcPr>
            <w:tcW w:w="1236" w:type="pct"/>
            <w:vAlign w:val="center"/>
          </w:tcPr>
          <w:p w14:paraId="37788546" w14:textId="77777777" w:rsidR="00565AC5" w:rsidRPr="00916586" w:rsidRDefault="00565AC5" w:rsidP="008F6AC2">
            <w:pPr>
              <w:pStyle w:val="In-tableHeading"/>
              <w:jc w:val="center"/>
              <w:rPr>
                <w:lang w:val="en-AU"/>
              </w:rPr>
            </w:pPr>
            <w:r w:rsidRPr="00916586">
              <w:rPr>
                <w:lang w:val="en-AU"/>
              </w:rPr>
              <w:t>Value</w:t>
            </w:r>
          </w:p>
        </w:tc>
        <w:tc>
          <w:tcPr>
            <w:tcW w:w="2918" w:type="pct"/>
            <w:vAlign w:val="center"/>
          </w:tcPr>
          <w:p w14:paraId="259D98E9" w14:textId="77777777" w:rsidR="00565AC5" w:rsidRPr="00916586" w:rsidRDefault="00565AC5" w:rsidP="008F6AC2">
            <w:pPr>
              <w:pStyle w:val="In-tableHeading"/>
              <w:jc w:val="center"/>
              <w:rPr>
                <w:lang w:val="en-AU"/>
              </w:rPr>
            </w:pPr>
            <w:r w:rsidRPr="00916586">
              <w:rPr>
                <w:lang w:val="en-AU"/>
              </w:rPr>
              <w:t>Source/Comment</w:t>
            </w:r>
          </w:p>
        </w:tc>
      </w:tr>
      <w:tr w:rsidR="00565AC5" w:rsidRPr="00916586" w14:paraId="492BA752" w14:textId="77777777" w:rsidTr="007A18D9">
        <w:tc>
          <w:tcPr>
            <w:tcW w:w="846" w:type="pct"/>
            <w:vAlign w:val="center"/>
          </w:tcPr>
          <w:p w14:paraId="59F0D076" w14:textId="77777777" w:rsidR="00565AC5" w:rsidRPr="00916586" w:rsidRDefault="00565AC5" w:rsidP="008F6AC2">
            <w:pPr>
              <w:pStyle w:val="TableText0"/>
            </w:pPr>
            <w:r w:rsidRPr="00916586">
              <w:t>Market Size</w:t>
            </w:r>
          </w:p>
        </w:tc>
        <w:tc>
          <w:tcPr>
            <w:tcW w:w="1236" w:type="pct"/>
            <w:vAlign w:val="center"/>
          </w:tcPr>
          <w:p w14:paraId="067A3362" w14:textId="77777777" w:rsidR="00565AC5" w:rsidRPr="00916586" w:rsidRDefault="00565AC5" w:rsidP="008F6AC2">
            <w:pPr>
              <w:pStyle w:val="TableText0"/>
            </w:pPr>
            <w:r w:rsidRPr="00916586">
              <w:t>PBS Statistics (2013 –2020) for PBS items 2348N, 2335X, 2355Y and 2363J (pregabalin IR 25 mg, 75 mg, 150 mg and 330 mg capsules, respectively).</w:t>
            </w:r>
          </w:p>
        </w:tc>
        <w:tc>
          <w:tcPr>
            <w:tcW w:w="2918" w:type="pct"/>
            <w:vAlign w:val="center"/>
          </w:tcPr>
          <w:p w14:paraId="1911FB63" w14:textId="77777777" w:rsidR="00565AC5" w:rsidRPr="00916586" w:rsidRDefault="00565AC5" w:rsidP="008F6AC2">
            <w:pPr>
              <w:pStyle w:val="TableText0"/>
            </w:pPr>
            <w:r w:rsidRPr="00916586">
              <w:t>This data source was appropriate.</w:t>
            </w:r>
          </w:p>
          <w:p w14:paraId="61E5D510" w14:textId="77777777" w:rsidR="00565AC5" w:rsidRPr="00916586" w:rsidRDefault="00565AC5" w:rsidP="00996CAA">
            <w:pPr>
              <w:pStyle w:val="TableText0"/>
            </w:pPr>
            <w:r w:rsidRPr="00916586">
              <w:t xml:space="preserve">The submission stated that the market is mature and stable (pregabalin was PBS listed on </w:t>
            </w:r>
            <w:r w:rsidR="00F86134" w:rsidRPr="00916586">
              <w:t xml:space="preserve">1 </w:t>
            </w:r>
            <w:r w:rsidRPr="00916586">
              <w:t xml:space="preserve">March 2013). The historic PBS data shows a negative growth for 2019-2020. </w:t>
            </w:r>
          </w:p>
        </w:tc>
      </w:tr>
      <w:tr w:rsidR="00565AC5" w:rsidRPr="00916586" w14:paraId="06DDA032" w14:textId="77777777" w:rsidTr="007A18D9">
        <w:tc>
          <w:tcPr>
            <w:tcW w:w="846" w:type="pct"/>
            <w:vAlign w:val="center"/>
          </w:tcPr>
          <w:p w14:paraId="2ABECCD5" w14:textId="77777777" w:rsidR="00565AC5" w:rsidRPr="00916586" w:rsidRDefault="00565AC5" w:rsidP="008F6AC2">
            <w:pPr>
              <w:pStyle w:val="TableText0"/>
            </w:pPr>
            <w:r w:rsidRPr="00916586">
              <w:t>Market growth for current listing</w:t>
            </w:r>
          </w:p>
        </w:tc>
        <w:tc>
          <w:tcPr>
            <w:tcW w:w="1236" w:type="pct"/>
            <w:vAlign w:val="center"/>
          </w:tcPr>
          <w:p w14:paraId="74C4CB43" w14:textId="77777777" w:rsidR="00565AC5" w:rsidRPr="00916586" w:rsidRDefault="00565AC5" w:rsidP="008F6AC2">
            <w:pPr>
              <w:pStyle w:val="TableText0"/>
            </w:pPr>
            <w:r w:rsidRPr="00916586">
              <w:t>Annual growth of 2% through Year 1 to Year 6</w:t>
            </w:r>
          </w:p>
        </w:tc>
        <w:tc>
          <w:tcPr>
            <w:tcW w:w="2918" w:type="pct"/>
            <w:vAlign w:val="center"/>
          </w:tcPr>
          <w:p w14:paraId="3CB6B8E9" w14:textId="77777777" w:rsidR="00565AC5" w:rsidRPr="00916586" w:rsidRDefault="00565AC5" w:rsidP="008F6AC2">
            <w:pPr>
              <w:pStyle w:val="TableText0"/>
            </w:pPr>
            <w:r w:rsidRPr="00916586">
              <w:t>Assumption. The sponsor did not provide any rationale for this assumption. This assumption is uncertain and not justified given the recent declining trend in market growth. The submission stated that the proposed listing of pregabalin CR was not expected to increase the overall market utilisation.</w:t>
            </w:r>
          </w:p>
          <w:p w14:paraId="48E087F4" w14:textId="77777777" w:rsidR="00AC6DDB" w:rsidRPr="00916586" w:rsidRDefault="00AC6DDB" w:rsidP="00DF308A">
            <w:pPr>
              <w:pStyle w:val="TableText0"/>
            </w:pPr>
            <w:r w:rsidRPr="00916586">
              <w:t>During the evaluation the cells in the spreadsheet were changed according to assumptions stated in the main text of the submission (input changed from 0% to 2% in: 2</w:t>
            </w:r>
            <w:r w:rsidR="00DF308A" w:rsidRPr="00916586">
              <w:t>d</w:t>
            </w:r>
            <w:r w:rsidRPr="00916586">
              <w:t xml:space="preserve">. Scripts – market, cells D105, D117, D129, and D141). </w:t>
            </w:r>
          </w:p>
          <w:p w14:paraId="68CC7627" w14:textId="2F6E6D56" w:rsidR="00EC33F3" w:rsidRPr="00916586" w:rsidRDefault="00EC33F3" w:rsidP="00E0305C">
            <w:pPr>
              <w:pStyle w:val="TableText0"/>
            </w:pPr>
            <w:r w:rsidRPr="00916586">
              <w:t xml:space="preserve">The </w:t>
            </w:r>
            <w:r w:rsidR="00A10B77" w:rsidRPr="00916586">
              <w:t xml:space="preserve">PSCR noted that the </w:t>
            </w:r>
            <w:r w:rsidRPr="00916586">
              <w:t xml:space="preserve">assumed market growth of 2% </w:t>
            </w:r>
            <w:r w:rsidR="001C6D07" w:rsidRPr="00916586">
              <w:t>was based on a number of factors, including the total overall pregabalin IR market, changing trends to a higher proportion of private market prescribing and demographic growth and argued this assumption was conservative overall.</w:t>
            </w:r>
            <w:r w:rsidRPr="00916586">
              <w:t xml:space="preserve"> </w:t>
            </w:r>
          </w:p>
        </w:tc>
      </w:tr>
      <w:tr w:rsidR="00565AC5" w:rsidRPr="00916586" w14:paraId="56269C89" w14:textId="77777777" w:rsidTr="007A18D9">
        <w:tc>
          <w:tcPr>
            <w:tcW w:w="846" w:type="pct"/>
            <w:vAlign w:val="center"/>
          </w:tcPr>
          <w:p w14:paraId="7F575276" w14:textId="77777777" w:rsidR="00565AC5" w:rsidRPr="00916586" w:rsidRDefault="00565AC5" w:rsidP="008F6AC2">
            <w:pPr>
              <w:pStyle w:val="TableText0"/>
            </w:pPr>
            <w:r w:rsidRPr="00916586">
              <w:t xml:space="preserve">Script equivalence </w:t>
            </w:r>
          </w:p>
        </w:tc>
        <w:tc>
          <w:tcPr>
            <w:tcW w:w="1236" w:type="pct"/>
            <w:vAlign w:val="center"/>
          </w:tcPr>
          <w:p w14:paraId="540370D4" w14:textId="77777777" w:rsidR="00565AC5" w:rsidRPr="00916586" w:rsidRDefault="00565AC5" w:rsidP="008F6AC2">
            <w:pPr>
              <w:pStyle w:val="TableText0"/>
            </w:pPr>
            <w:r w:rsidRPr="00916586">
              <w:t>1 script pregabalin IR =</w:t>
            </w:r>
          </w:p>
          <w:p w14:paraId="230C4784" w14:textId="77777777" w:rsidR="00565AC5" w:rsidRPr="00916586" w:rsidRDefault="00565AC5" w:rsidP="008F6AC2">
            <w:pPr>
              <w:pStyle w:val="TableText0"/>
            </w:pPr>
            <w:r w:rsidRPr="00916586">
              <w:t>0.93 script pregabalin CR</w:t>
            </w:r>
          </w:p>
        </w:tc>
        <w:tc>
          <w:tcPr>
            <w:tcW w:w="2918" w:type="pct"/>
            <w:vAlign w:val="center"/>
          </w:tcPr>
          <w:p w14:paraId="292045E8" w14:textId="77777777" w:rsidR="00565AC5" w:rsidRPr="00916586" w:rsidRDefault="00565AC5" w:rsidP="00781FC9">
            <w:pPr>
              <w:pStyle w:val="TableText0"/>
            </w:pPr>
            <w:r w:rsidRPr="00916586">
              <w:t>Calculation. 1 script of pregabalin IR (56 capsules, 2 capsules per day) can be replaced by 0.93 script of pregabalin CR (30 tablets, 1 tablet per day). This is highly uncertain because it is only applicable to the one for one</w:t>
            </w:r>
            <w:r w:rsidRPr="00916586">
              <w:rPr>
                <w:rFonts w:ascii="Calibri" w:eastAsia="Times New Roman" w:hAnsi="Calibri" w:cs="Arial"/>
                <w:bCs w:val="0"/>
                <w:sz w:val="24"/>
              </w:rPr>
              <w:t xml:space="preserve"> </w:t>
            </w:r>
            <w:r w:rsidRPr="00916586">
              <w:t xml:space="preserve">low-dose/high-dose (excluding 25 mg capsules) substitution proposed by the submission. However, there are various substitution scenarios to achieve </w:t>
            </w:r>
            <w:r w:rsidR="00781FC9" w:rsidRPr="00916586">
              <w:t xml:space="preserve">required </w:t>
            </w:r>
            <w:r w:rsidRPr="00916586">
              <w:t xml:space="preserve">total daily doses prescribed in the pregabalin IR PI, which result in a range of script equivalences of 0.62-1.87. </w:t>
            </w:r>
          </w:p>
        </w:tc>
      </w:tr>
      <w:tr w:rsidR="00565AC5" w:rsidRPr="00916586" w14:paraId="78685A53" w14:textId="77777777" w:rsidTr="007A18D9">
        <w:tc>
          <w:tcPr>
            <w:tcW w:w="5000" w:type="pct"/>
            <w:gridSpan w:val="3"/>
            <w:vAlign w:val="center"/>
          </w:tcPr>
          <w:p w14:paraId="22502A02" w14:textId="77777777" w:rsidR="00565AC5" w:rsidRPr="00916586" w:rsidRDefault="00565AC5" w:rsidP="008F6AC2">
            <w:pPr>
              <w:pStyle w:val="TableText0"/>
              <w:rPr>
                <w:b/>
              </w:rPr>
            </w:pPr>
            <w:r w:rsidRPr="00916586">
              <w:rPr>
                <w:b/>
              </w:rPr>
              <w:t>Treatment utilisation</w:t>
            </w:r>
          </w:p>
        </w:tc>
      </w:tr>
      <w:tr w:rsidR="00565AC5" w:rsidRPr="00916586" w14:paraId="76E42C1D" w14:textId="77777777" w:rsidTr="007A18D9">
        <w:tc>
          <w:tcPr>
            <w:tcW w:w="846" w:type="pct"/>
            <w:vAlign w:val="center"/>
          </w:tcPr>
          <w:p w14:paraId="565E2CEB" w14:textId="77777777" w:rsidR="00565AC5" w:rsidRPr="00916586" w:rsidRDefault="00565AC5" w:rsidP="008F6AC2">
            <w:pPr>
              <w:pStyle w:val="TableText0"/>
            </w:pPr>
            <w:r w:rsidRPr="00916586">
              <w:t>Number treated</w:t>
            </w:r>
          </w:p>
        </w:tc>
        <w:tc>
          <w:tcPr>
            <w:tcW w:w="1236" w:type="pct"/>
            <w:vAlign w:val="center"/>
          </w:tcPr>
          <w:p w14:paraId="75EE1C7E" w14:textId="77777777" w:rsidR="00565AC5" w:rsidRPr="00916586" w:rsidRDefault="00565AC5" w:rsidP="008F6AC2">
            <w:pPr>
              <w:pStyle w:val="TableText0"/>
            </w:pPr>
            <w:r w:rsidRPr="00916586">
              <w:t xml:space="preserve">Ranging from </w:t>
            </w:r>
            <w:r w:rsidR="007E61B6" w:rsidRPr="007E61B6">
              <w:t>100,000 to &lt; 200,000</w:t>
            </w:r>
            <w:r w:rsidRPr="00916586">
              <w:t xml:space="preserve"> in Year 1 to </w:t>
            </w:r>
            <w:r w:rsidR="007E61B6" w:rsidRPr="007E61B6">
              <w:t>800,000 to &lt; 900,000</w:t>
            </w:r>
            <w:r w:rsidRPr="00916586">
              <w:t xml:space="preserve"> in Year 6.</w:t>
            </w:r>
          </w:p>
        </w:tc>
        <w:tc>
          <w:tcPr>
            <w:tcW w:w="2918" w:type="pct"/>
            <w:vAlign w:val="center"/>
          </w:tcPr>
          <w:p w14:paraId="4AC807E8" w14:textId="77777777" w:rsidR="00565AC5" w:rsidRPr="00916586" w:rsidRDefault="001C6D07" w:rsidP="005C2240">
            <w:pPr>
              <w:pStyle w:val="TableText0"/>
            </w:pPr>
            <w:r w:rsidRPr="00916586">
              <w:t>Calculated based on the 2% market growth assumption.</w:t>
            </w:r>
          </w:p>
        </w:tc>
      </w:tr>
      <w:tr w:rsidR="00E44CBA" w:rsidRPr="00916586" w14:paraId="1ADAC1B1" w14:textId="77777777" w:rsidTr="007A18D9">
        <w:tc>
          <w:tcPr>
            <w:tcW w:w="846" w:type="pct"/>
            <w:vAlign w:val="center"/>
          </w:tcPr>
          <w:p w14:paraId="2A7D56C3" w14:textId="77777777" w:rsidR="00E44CBA" w:rsidRPr="00916586" w:rsidRDefault="00E44CBA" w:rsidP="00E44CBA">
            <w:pPr>
              <w:pStyle w:val="TableText0"/>
            </w:pPr>
            <w:r w:rsidRPr="00916586">
              <w:t>Proportion of Pregabalin IR scripts replaced by Pregabalin CR</w:t>
            </w:r>
          </w:p>
        </w:tc>
        <w:tc>
          <w:tcPr>
            <w:tcW w:w="1236" w:type="pct"/>
            <w:vAlign w:val="center"/>
          </w:tcPr>
          <w:p w14:paraId="257644FE" w14:textId="77777777" w:rsidR="00E44CBA" w:rsidRPr="00916586" w:rsidRDefault="00E44CBA" w:rsidP="00E44CBA">
            <w:pPr>
              <w:pStyle w:val="TableText0"/>
            </w:pPr>
            <w:r w:rsidRPr="00916586">
              <w:t>Year 1: 5.78%</w:t>
            </w:r>
          </w:p>
          <w:p w14:paraId="4541890F" w14:textId="77777777" w:rsidR="00E44CBA" w:rsidRPr="00916586" w:rsidRDefault="00E44CBA" w:rsidP="00E44CBA">
            <w:pPr>
              <w:pStyle w:val="TableText0"/>
            </w:pPr>
            <w:r w:rsidRPr="00916586">
              <w:t>Year 2: 17.22%</w:t>
            </w:r>
          </w:p>
          <w:p w14:paraId="7E33D48B" w14:textId="77777777" w:rsidR="00E44CBA" w:rsidRPr="00916586" w:rsidRDefault="00E44CBA" w:rsidP="00E44CBA">
            <w:pPr>
              <w:pStyle w:val="TableText0"/>
            </w:pPr>
            <w:r w:rsidRPr="00916586">
              <w:t>Year 3: 24.09%</w:t>
            </w:r>
          </w:p>
          <w:p w14:paraId="256DDF5E" w14:textId="77777777" w:rsidR="00E44CBA" w:rsidRPr="00916586" w:rsidRDefault="00E44CBA" w:rsidP="00E44CBA">
            <w:pPr>
              <w:pStyle w:val="TableText0"/>
            </w:pPr>
            <w:r w:rsidRPr="00916586">
              <w:t>Year 4: 28.38%</w:t>
            </w:r>
          </w:p>
          <w:p w14:paraId="031EF131" w14:textId="77777777" w:rsidR="00E44CBA" w:rsidRPr="00916586" w:rsidRDefault="00E44CBA" w:rsidP="00E44CBA">
            <w:pPr>
              <w:pStyle w:val="TableText0"/>
            </w:pPr>
            <w:r w:rsidRPr="00916586">
              <w:t>Year 5: 32.45%</w:t>
            </w:r>
          </w:p>
          <w:p w14:paraId="5517A8AF" w14:textId="77777777" w:rsidR="00E44CBA" w:rsidRPr="00916586" w:rsidRDefault="00E44CBA" w:rsidP="00E44CBA">
            <w:pPr>
              <w:pStyle w:val="TableText0"/>
            </w:pPr>
            <w:r w:rsidRPr="00916586">
              <w:t>Year 6: 32.45%</w:t>
            </w:r>
          </w:p>
          <w:p w14:paraId="07AF3126" w14:textId="77777777" w:rsidR="00E44CBA" w:rsidRPr="00916586" w:rsidRDefault="00E44CBA" w:rsidP="00E44CBA">
            <w:pPr>
              <w:pStyle w:val="TableText0"/>
            </w:pPr>
          </w:p>
        </w:tc>
        <w:tc>
          <w:tcPr>
            <w:tcW w:w="2918" w:type="pct"/>
            <w:vAlign w:val="center"/>
          </w:tcPr>
          <w:p w14:paraId="66FD34AD" w14:textId="77777777" w:rsidR="00E44CBA" w:rsidRPr="00916586" w:rsidRDefault="00E44CBA" w:rsidP="00274584">
            <w:pPr>
              <w:pStyle w:val="TableText0"/>
            </w:pPr>
            <w:r w:rsidRPr="00916586">
              <w:t xml:space="preserve">Calculation/assumption. </w:t>
            </w:r>
            <w:r w:rsidR="00732B2A" w:rsidRPr="00916586">
              <w:t>The</w:t>
            </w:r>
            <w:r w:rsidRPr="00916586">
              <w:t xml:space="preserve"> 10% PBS sample </w:t>
            </w:r>
            <w:r w:rsidR="00732B2A" w:rsidRPr="00916586">
              <w:t>was used to determine</w:t>
            </w:r>
            <w:r w:rsidRPr="00916586">
              <w:t xml:space="preserve"> initial versus continuing</w:t>
            </w:r>
            <w:r w:rsidR="00732B2A" w:rsidRPr="00916586">
              <w:t xml:space="preserve"> script proportions</w:t>
            </w:r>
            <w:r w:rsidRPr="00916586">
              <w:t>,</w:t>
            </w:r>
            <w:r w:rsidR="00732B2A" w:rsidRPr="00916586">
              <w:t xml:space="preserve"> to then apply differential uptake rates. Assuming</w:t>
            </w:r>
            <w:r w:rsidR="008420A2" w:rsidRPr="00916586">
              <w:t xml:space="preserve"> the same uptake r</w:t>
            </w:r>
            <w:r w:rsidRPr="00916586">
              <w:t>a</w:t>
            </w:r>
            <w:r w:rsidR="008420A2" w:rsidRPr="00916586">
              <w:t>t</w:t>
            </w:r>
            <w:r w:rsidRPr="00916586">
              <w:t>e across</w:t>
            </w:r>
            <w:r w:rsidR="00B97182" w:rsidRPr="00916586">
              <w:t xml:space="preserve"> all</w:t>
            </w:r>
            <w:r w:rsidRPr="00916586">
              <w:t xml:space="preserve"> </w:t>
            </w:r>
            <w:r w:rsidR="008420A2" w:rsidRPr="00916586">
              <w:t xml:space="preserve">capsule </w:t>
            </w:r>
            <w:r w:rsidRPr="00916586">
              <w:t>strength</w:t>
            </w:r>
            <w:r w:rsidR="008420A2" w:rsidRPr="00916586">
              <w:t>s</w:t>
            </w:r>
            <w:r w:rsidRPr="00916586">
              <w:t>, with no information on dose distribution of pregabalin IR</w:t>
            </w:r>
            <w:r w:rsidR="00732B2A" w:rsidRPr="00916586">
              <w:t>, may not be appropriate</w:t>
            </w:r>
            <w:r w:rsidRPr="00916586">
              <w:t>.</w:t>
            </w:r>
            <w:r w:rsidR="00732B2A" w:rsidRPr="00916586">
              <w:t xml:space="preserve"> Additionally, the forecasted pregabalin IR market used in this calculation is much higher than the estimated script numbers in Section 4.2.</w:t>
            </w:r>
          </w:p>
        </w:tc>
      </w:tr>
      <w:tr w:rsidR="00565AC5" w:rsidRPr="00916586" w14:paraId="2868BEAB" w14:textId="77777777" w:rsidTr="007A18D9">
        <w:tc>
          <w:tcPr>
            <w:tcW w:w="846" w:type="pct"/>
            <w:vAlign w:val="center"/>
          </w:tcPr>
          <w:p w14:paraId="55456BE8" w14:textId="77777777" w:rsidR="00565AC5" w:rsidRPr="00916586" w:rsidRDefault="00565AC5" w:rsidP="008F6AC2">
            <w:pPr>
              <w:pStyle w:val="TableText0"/>
            </w:pPr>
            <w:r w:rsidRPr="00916586">
              <w:t>Scripts dispensed for Pregabalin CR</w:t>
            </w:r>
          </w:p>
        </w:tc>
        <w:tc>
          <w:tcPr>
            <w:tcW w:w="1236" w:type="pct"/>
            <w:vAlign w:val="center"/>
          </w:tcPr>
          <w:p w14:paraId="63497D7E" w14:textId="77777777" w:rsidR="00565AC5" w:rsidRPr="00916586" w:rsidRDefault="00274584" w:rsidP="00274584">
            <w:pPr>
              <w:pStyle w:val="TableText0"/>
            </w:pPr>
            <w:r w:rsidRPr="00916586">
              <w:t xml:space="preserve">From: </w:t>
            </w:r>
            <w:r w:rsidR="007E61B6" w:rsidRPr="007E61B6">
              <w:t>100,000 to &lt; 200,000</w:t>
            </w:r>
            <w:r w:rsidRPr="00916586">
              <w:t xml:space="preserve"> in </w:t>
            </w:r>
            <w:r w:rsidR="00565AC5" w:rsidRPr="00916586">
              <w:t>Year 1</w:t>
            </w:r>
            <w:r w:rsidRPr="00916586">
              <w:t xml:space="preserve"> to </w:t>
            </w:r>
            <w:r w:rsidR="007E61B6" w:rsidRPr="007E61B6">
              <w:t>800,000 to &lt; 900,000</w:t>
            </w:r>
            <w:r w:rsidRPr="00916586">
              <w:t xml:space="preserve"> in </w:t>
            </w:r>
            <w:r w:rsidR="00565AC5" w:rsidRPr="00916586">
              <w:t>Year 6</w:t>
            </w:r>
            <w:r w:rsidRPr="00916586">
              <w:t>.</w:t>
            </w:r>
            <w:r w:rsidR="00565AC5" w:rsidRPr="00916586">
              <w:t xml:space="preserve"> </w:t>
            </w:r>
          </w:p>
        </w:tc>
        <w:tc>
          <w:tcPr>
            <w:tcW w:w="2918" w:type="pct"/>
            <w:vAlign w:val="center"/>
          </w:tcPr>
          <w:p w14:paraId="15603F4A" w14:textId="77777777" w:rsidR="00565AC5" w:rsidRPr="00916586" w:rsidRDefault="00565AC5" w:rsidP="00274584">
            <w:pPr>
              <w:pStyle w:val="TableText0"/>
            </w:pPr>
            <w:r w:rsidRPr="00916586">
              <w:t>Assumption.</w:t>
            </w:r>
            <w:r w:rsidR="00274584" w:rsidRPr="00916586">
              <w:t xml:space="preserve"> </w:t>
            </w:r>
            <w:r w:rsidRPr="00916586">
              <w:t>This is highly uncertain. There is limited information to inform how replacement or substitution of pregabalin IR will occur and the distribution of doses likely to be used for neuropathic pain</w:t>
            </w:r>
          </w:p>
        </w:tc>
      </w:tr>
    </w:tbl>
    <w:p w14:paraId="55677638" w14:textId="77777777" w:rsidR="00565AC5" w:rsidRPr="00916586" w:rsidRDefault="00565AC5" w:rsidP="00565AC5">
      <w:pPr>
        <w:pStyle w:val="TableFigureFooter"/>
      </w:pPr>
      <w:r w:rsidRPr="00916586">
        <w:t>Source: Table compiled during evaluation from Section 4 of the submission and Excel workbook “LYRICA CR - v.2.Jul.2021 - (UCM-v.106)”</w:t>
      </w:r>
    </w:p>
    <w:p w14:paraId="7D2F22D9" w14:textId="77777777" w:rsidR="00565AC5" w:rsidRPr="00916586" w:rsidRDefault="00565AC5" w:rsidP="00565AC5">
      <w:pPr>
        <w:pStyle w:val="TableFigureFooter"/>
      </w:pPr>
      <w:r w:rsidRPr="00916586">
        <w:t>CR = modified release, DPMQ = dispensed price for maximum quantity, IR = immediate release, PBS = Pharmaceutical Benefits Schedule, RPBS = Repatriation Schedule of Pharmaceutical Benefits</w:t>
      </w:r>
    </w:p>
    <w:p w14:paraId="1458DD3D" w14:textId="77777777" w:rsidR="00B505C8" w:rsidRPr="00916586" w:rsidRDefault="00E61909" w:rsidP="00B505C8">
      <w:pPr>
        <w:pStyle w:val="3-BodyText"/>
        <w:rPr>
          <w:color w:val="0066FF"/>
        </w:rPr>
      </w:pPr>
      <w:r w:rsidRPr="00916586">
        <w:t>The estimated use and financial implications of listing pregabalin CR on the PBS are summarised below.</w:t>
      </w:r>
    </w:p>
    <w:p w14:paraId="302C311F" w14:textId="77777777" w:rsidR="00C25D9C" w:rsidRPr="00916586" w:rsidRDefault="00E61909" w:rsidP="00606FBA">
      <w:pPr>
        <w:pStyle w:val="TableFigureHeading"/>
      </w:pPr>
      <w:r w:rsidRPr="00916586">
        <w:lastRenderedPageBreak/>
        <w:t xml:space="preserve">Table </w:t>
      </w:r>
      <w:r w:rsidR="007A7FAD" w:rsidRPr="00916586">
        <w:rPr>
          <w:noProof/>
        </w:rPr>
        <w:t>9</w:t>
      </w:r>
      <w:r w:rsidRPr="00916586">
        <w:rPr>
          <w:noProof/>
        </w:rPr>
        <w:t xml:space="preserve">: </w:t>
      </w:r>
      <w:r w:rsidR="002A2F50" w:rsidRPr="00916586">
        <w:rPr>
          <w:rStyle w:val="CommentReference"/>
          <w:b/>
          <w:szCs w:val="24"/>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Estimated use and financial implications"/>
      </w:tblPr>
      <w:tblGrid>
        <w:gridCol w:w="2012"/>
        <w:gridCol w:w="1167"/>
        <w:gridCol w:w="1167"/>
        <w:gridCol w:w="1167"/>
        <w:gridCol w:w="1167"/>
        <w:gridCol w:w="1167"/>
        <w:gridCol w:w="1170"/>
      </w:tblGrid>
      <w:tr w:rsidR="00385A9D" w:rsidRPr="00916586" w14:paraId="7AD54E74" w14:textId="77777777" w:rsidTr="007A18D9">
        <w:trPr>
          <w:tblHeader/>
        </w:trPr>
        <w:tc>
          <w:tcPr>
            <w:tcW w:w="1116" w:type="pct"/>
            <w:shd w:val="clear" w:color="auto" w:fill="auto"/>
            <w:vAlign w:val="center"/>
          </w:tcPr>
          <w:p w14:paraId="2A654270" w14:textId="77777777" w:rsidR="00385A9D" w:rsidRPr="00916586" w:rsidRDefault="00385A9D" w:rsidP="00606FBA">
            <w:pPr>
              <w:pStyle w:val="In-tableHeading"/>
              <w:jc w:val="center"/>
              <w:rPr>
                <w:lang w:val="en-AU"/>
              </w:rPr>
            </w:pPr>
          </w:p>
        </w:tc>
        <w:tc>
          <w:tcPr>
            <w:tcW w:w="647" w:type="pct"/>
            <w:shd w:val="clear" w:color="auto" w:fill="auto"/>
            <w:vAlign w:val="center"/>
          </w:tcPr>
          <w:p w14:paraId="09B283CE" w14:textId="77777777" w:rsidR="00385A9D" w:rsidRPr="00916586" w:rsidRDefault="00385A9D" w:rsidP="00606FBA">
            <w:pPr>
              <w:pStyle w:val="In-tableHeading"/>
              <w:jc w:val="center"/>
              <w:rPr>
                <w:lang w:val="en-AU"/>
              </w:rPr>
            </w:pPr>
            <w:r w:rsidRPr="00916586">
              <w:rPr>
                <w:lang w:val="en-AU"/>
              </w:rPr>
              <w:t>Year 1</w:t>
            </w:r>
          </w:p>
        </w:tc>
        <w:tc>
          <w:tcPr>
            <w:tcW w:w="647" w:type="pct"/>
            <w:shd w:val="clear" w:color="auto" w:fill="auto"/>
            <w:vAlign w:val="center"/>
          </w:tcPr>
          <w:p w14:paraId="20772365" w14:textId="77777777" w:rsidR="00385A9D" w:rsidRPr="00916586" w:rsidRDefault="00385A9D" w:rsidP="00606FBA">
            <w:pPr>
              <w:pStyle w:val="In-tableHeading"/>
              <w:jc w:val="center"/>
              <w:rPr>
                <w:lang w:val="en-AU"/>
              </w:rPr>
            </w:pPr>
            <w:r w:rsidRPr="00916586">
              <w:rPr>
                <w:lang w:val="en-AU"/>
              </w:rPr>
              <w:t>Year 2</w:t>
            </w:r>
          </w:p>
        </w:tc>
        <w:tc>
          <w:tcPr>
            <w:tcW w:w="647" w:type="pct"/>
            <w:shd w:val="clear" w:color="auto" w:fill="auto"/>
            <w:vAlign w:val="center"/>
          </w:tcPr>
          <w:p w14:paraId="15959DF4" w14:textId="77777777" w:rsidR="00385A9D" w:rsidRPr="00916586" w:rsidRDefault="00385A9D" w:rsidP="00606FBA">
            <w:pPr>
              <w:pStyle w:val="In-tableHeading"/>
              <w:jc w:val="center"/>
              <w:rPr>
                <w:lang w:val="en-AU"/>
              </w:rPr>
            </w:pPr>
            <w:r w:rsidRPr="00916586">
              <w:rPr>
                <w:lang w:val="en-AU"/>
              </w:rPr>
              <w:t>Year 3</w:t>
            </w:r>
          </w:p>
        </w:tc>
        <w:tc>
          <w:tcPr>
            <w:tcW w:w="647" w:type="pct"/>
            <w:shd w:val="clear" w:color="auto" w:fill="auto"/>
            <w:vAlign w:val="center"/>
          </w:tcPr>
          <w:p w14:paraId="27D95F53" w14:textId="77777777" w:rsidR="00385A9D" w:rsidRPr="00916586" w:rsidRDefault="00385A9D" w:rsidP="00606FBA">
            <w:pPr>
              <w:pStyle w:val="In-tableHeading"/>
              <w:jc w:val="center"/>
              <w:rPr>
                <w:lang w:val="en-AU"/>
              </w:rPr>
            </w:pPr>
            <w:r w:rsidRPr="00916586">
              <w:rPr>
                <w:lang w:val="en-AU"/>
              </w:rPr>
              <w:t>Year 4</w:t>
            </w:r>
          </w:p>
        </w:tc>
        <w:tc>
          <w:tcPr>
            <w:tcW w:w="647" w:type="pct"/>
            <w:shd w:val="clear" w:color="auto" w:fill="auto"/>
            <w:vAlign w:val="center"/>
          </w:tcPr>
          <w:p w14:paraId="592ACA25" w14:textId="77777777" w:rsidR="00385A9D" w:rsidRPr="00916586" w:rsidRDefault="00385A9D" w:rsidP="00606FBA">
            <w:pPr>
              <w:pStyle w:val="In-tableHeading"/>
              <w:jc w:val="center"/>
              <w:rPr>
                <w:lang w:val="en-AU"/>
              </w:rPr>
            </w:pPr>
            <w:r w:rsidRPr="00916586">
              <w:rPr>
                <w:lang w:val="en-AU"/>
              </w:rPr>
              <w:t>Year 5</w:t>
            </w:r>
          </w:p>
        </w:tc>
        <w:tc>
          <w:tcPr>
            <w:tcW w:w="649" w:type="pct"/>
          </w:tcPr>
          <w:p w14:paraId="5999C2DC" w14:textId="77777777" w:rsidR="00385A9D" w:rsidRPr="00916586" w:rsidRDefault="00385A9D" w:rsidP="00606FBA">
            <w:pPr>
              <w:pStyle w:val="In-tableHeading"/>
              <w:jc w:val="center"/>
              <w:rPr>
                <w:lang w:val="en-AU"/>
              </w:rPr>
            </w:pPr>
            <w:r w:rsidRPr="00916586">
              <w:rPr>
                <w:lang w:val="en-AU"/>
              </w:rPr>
              <w:t>Year 6</w:t>
            </w:r>
          </w:p>
        </w:tc>
      </w:tr>
      <w:tr w:rsidR="00385A9D" w:rsidRPr="00916586" w14:paraId="179FE432" w14:textId="77777777" w:rsidTr="007A18D9">
        <w:tc>
          <w:tcPr>
            <w:tcW w:w="5000" w:type="pct"/>
            <w:gridSpan w:val="7"/>
            <w:shd w:val="clear" w:color="auto" w:fill="auto"/>
            <w:vAlign w:val="center"/>
          </w:tcPr>
          <w:p w14:paraId="642FC4DB" w14:textId="77777777" w:rsidR="00385A9D" w:rsidRPr="00916586" w:rsidRDefault="00385A9D" w:rsidP="00606FBA">
            <w:pPr>
              <w:pStyle w:val="In-tableHeading"/>
              <w:rPr>
                <w:bCs/>
                <w:color w:val="000000"/>
                <w:lang w:val="en-AU"/>
              </w:rPr>
            </w:pPr>
            <w:r w:rsidRPr="00916586">
              <w:rPr>
                <w:bCs/>
                <w:color w:val="000000"/>
                <w:lang w:val="en-AU"/>
              </w:rPr>
              <w:t>Estimated extent of use</w:t>
            </w:r>
          </w:p>
        </w:tc>
      </w:tr>
      <w:tr w:rsidR="00E8255A" w:rsidRPr="00916586" w14:paraId="122A098B" w14:textId="77777777" w:rsidTr="007A18D9">
        <w:tc>
          <w:tcPr>
            <w:tcW w:w="1116" w:type="pct"/>
            <w:shd w:val="clear" w:color="auto" w:fill="auto"/>
            <w:vAlign w:val="center"/>
          </w:tcPr>
          <w:p w14:paraId="6C021573" w14:textId="77777777" w:rsidR="00E8255A" w:rsidRPr="00916586" w:rsidRDefault="00E8255A" w:rsidP="00E8255A">
            <w:pPr>
              <w:pStyle w:val="TableText0"/>
              <w:rPr>
                <w:rFonts w:ascii="Times" w:hAnsi="Times"/>
              </w:rPr>
            </w:pPr>
            <w:r w:rsidRPr="00916586">
              <w:t>Total script numbers – Pregabalin CR</w:t>
            </w:r>
            <w:r w:rsidRPr="00916586">
              <w:rPr>
                <w:vertAlign w:val="superscript"/>
              </w:rPr>
              <w:t>a</w:t>
            </w:r>
          </w:p>
        </w:tc>
        <w:tc>
          <w:tcPr>
            <w:tcW w:w="647" w:type="pct"/>
            <w:tcBorders>
              <w:top w:val="single" w:sz="4" w:space="0" w:color="auto"/>
              <w:left w:val="single" w:sz="4" w:space="0" w:color="auto"/>
              <w:bottom w:val="single" w:sz="4" w:space="0" w:color="auto"/>
              <w:right w:val="single" w:sz="4" w:space="0" w:color="auto"/>
            </w:tcBorders>
            <w:shd w:val="clear" w:color="000000" w:fill="F2F2F2"/>
            <w:vAlign w:val="center"/>
          </w:tcPr>
          <w:p w14:paraId="26FDBAF7" w14:textId="77777777" w:rsidR="00E8255A" w:rsidRPr="009773E5" w:rsidRDefault="009773E5" w:rsidP="00E8255A">
            <w:pPr>
              <w:pStyle w:val="TableText0"/>
              <w:jc w:val="center"/>
              <w:rPr>
                <w:color w:val="000000"/>
              </w:rPr>
            </w:pPr>
            <w:r>
              <w:rPr>
                <w:rFonts w:cs="Arial"/>
                <w:noProof/>
                <w:color w:val="000000"/>
                <w:szCs w:val="20"/>
                <w:highlight w:val="black"/>
              </w:rPr>
              <w:t xml:space="preserve">''''''''''''''''' </w:t>
            </w:r>
            <w:r w:rsidR="00D5635B">
              <w:rPr>
                <w:sz w:val="19"/>
                <w:szCs w:val="19"/>
                <w:vertAlign w:val="superscript"/>
              </w:rPr>
              <w:t>1</w:t>
            </w:r>
          </w:p>
        </w:tc>
        <w:tc>
          <w:tcPr>
            <w:tcW w:w="647" w:type="pct"/>
            <w:tcBorders>
              <w:top w:val="single" w:sz="4" w:space="0" w:color="auto"/>
              <w:left w:val="nil"/>
              <w:bottom w:val="single" w:sz="4" w:space="0" w:color="auto"/>
              <w:right w:val="single" w:sz="4" w:space="0" w:color="auto"/>
            </w:tcBorders>
            <w:shd w:val="clear" w:color="000000" w:fill="F2F2F2"/>
            <w:vAlign w:val="center"/>
          </w:tcPr>
          <w:p w14:paraId="6EFA55A4" w14:textId="77777777" w:rsidR="00E8255A" w:rsidRPr="009773E5" w:rsidRDefault="009773E5" w:rsidP="00E8255A">
            <w:pPr>
              <w:pStyle w:val="TableText0"/>
              <w:jc w:val="center"/>
              <w:rPr>
                <w:color w:val="000000"/>
              </w:rPr>
            </w:pPr>
            <w:r>
              <w:rPr>
                <w:rFonts w:cs="Arial"/>
                <w:noProof/>
                <w:color w:val="000000"/>
                <w:szCs w:val="20"/>
                <w:highlight w:val="black"/>
              </w:rPr>
              <w:t xml:space="preserve">'''''''''''''''''''' </w:t>
            </w:r>
            <w:r w:rsidR="00D5635B">
              <w:rPr>
                <w:sz w:val="19"/>
                <w:szCs w:val="19"/>
                <w:vertAlign w:val="superscript"/>
              </w:rPr>
              <w:t>2</w:t>
            </w:r>
          </w:p>
        </w:tc>
        <w:tc>
          <w:tcPr>
            <w:tcW w:w="647" w:type="pct"/>
            <w:tcBorders>
              <w:top w:val="single" w:sz="4" w:space="0" w:color="auto"/>
              <w:left w:val="nil"/>
              <w:bottom w:val="single" w:sz="4" w:space="0" w:color="auto"/>
              <w:right w:val="single" w:sz="4" w:space="0" w:color="auto"/>
            </w:tcBorders>
            <w:shd w:val="clear" w:color="000000" w:fill="F2F2F2"/>
            <w:vAlign w:val="center"/>
          </w:tcPr>
          <w:p w14:paraId="14B47276" w14:textId="77777777" w:rsidR="00E8255A" w:rsidRPr="009773E5" w:rsidRDefault="009773E5" w:rsidP="00E8255A">
            <w:pPr>
              <w:pStyle w:val="TableText0"/>
              <w:jc w:val="center"/>
              <w:rPr>
                <w:color w:val="000000"/>
              </w:rPr>
            </w:pPr>
            <w:r>
              <w:rPr>
                <w:rFonts w:cs="Arial"/>
                <w:noProof/>
                <w:color w:val="000000"/>
                <w:szCs w:val="20"/>
                <w:highlight w:val="black"/>
              </w:rPr>
              <w:t xml:space="preserve">''''''''''''''''''''' </w:t>
            </w:r>
            <w:r w:rsidR="00D5635B">
              <w:rPr>
                <w:sz w:val="19"/>
                <w:szCs w:val="19"/>
                <w:vertAlign w:val="superscript"/>
              </w:rPr>
              <w:t>2</w:t>
            </w:r>
          </w:p>
        </w:tc>
        <w:tc>
          <w:tcPr>
            <w:tcW w:w="647" w:type="pct"/>
            <w:tcBorders>
              <w:top w:val="single" w:sz="4" w:space="0" w:color="auto"/>
              <w:left w:val="nil"/>
              <w:bottom w:val="single" w:sz="4" w:space="0" w:color="auto"/>
              <w:right w:val="single" w:sz="4" w:space="0" w:color="auto"/>
            </w:tcBorders>
            <w:shd w:val="clear" w:color="000000" w:fill="F2F2F2"/>
            <w:vAlign w:val="center"/>
          </w:tcPr>
          <w:p w14:paraId="6997D256" w14:textId="77777777" w:rsidR="00E8255A" w:rsidRPr="009773E5" w:rsidRDefault="009773E5" w:rsidP="00E8255A">
            <w:pPr>
              <w:pStyle w:val="TableText0"/>
              <w:jc w:val="center"/>
              <w:rPr>
                <w:color w:val="000000"/>
              </w:rPr>
            </w:pPr>
            <w:r>
              <w:rPr>
                <w:rFonts w:cs="Arial"/>
                <w:noProof/>
                <w:color w:val="000000"/>
                <w:szCs w:val="20"/>
                <w:highlight w:val="black"/>
              </w:rPr>
              <w:t>'''''''''''''''''''''</w:t>
            </w:r>
            <w:r w:rsidR="00D5635B">
              <w:rPr>
                <w:sz w:val="19"/>
                <w:szCs w:val="19"/>
                <w:vertAlign w:val="superscript"/>
              </w:rPr>
              <w:t>3</w:t>
            </w:r>
            <w:r>
              <w:rPr>
                <w:rFonts w:cs="Arial"/>
                <w:noProof/>
                <w:color w:val="000000"/>
                <w:szCs w:val="20"/>
                <w:highlight w:val="black"/>
              </w:rPr>
              <w:t xml:space="preserve"> </w:t>
            </w:r>
          </w:p>
        </w:tc>
        <w:tc>
          <w:tcPr>
            <w:tcW w:w="647" w:type="pct"/>
            <w:tcBorders>
              <w:top w:val="single" w:sz="4" w:space="0" w:color="auto"/>
              <w:left w:val="nil"/>
              <w:bottom w:val="single" w:sz="4" w:space="0" w:color="auto"/>
              <w:right w:val="single" w:sz="4" w:space="0" w:color="auto"/>
            </w:tcBorders>
            <w:shd w:val="clear" w:color="000000" w:fill="F2F2F2"/>
            <w:vAlign w:val="center"/>
          </w:tcPr>
          <w:p w14:paraId="006D134C" w14:textId="77777777" w:rsidR="00E8255A" w:rsidRPr="009773E5" w:rsidRDefault="009773E5" w:rsidP="00E8255A">
            <w:pPr>
              <w:pStyle w:val="TableText0"/>
              <w:jc w:val="center"/>
              <w:rPr>
                <w:color w:val="000000"/>
              </w:rPr>
            </w:pPr>
            <w:r>
              <w:rPr>
                <w:rFonts w:cs="Arial"/>
                <w:noProof/>
                <w:color w:val="000000"/>
                <w:szCs w:val="20"/>
                <w:highlight w:val="black"/>
              </w:rPr>
              <w:t>''''''''''''''''''</w:t>
            </w:r>
            <w:r w:rsidR="00D5635B">
              <w:rPr>
                <w:sz w:val="19"/>
                <w:szCs w:val="19"/>
                <w:vertAlign w:val="superscript"/>
              </w:rPr>
              <w:t>3</w:t>
            </w:r>
            <w:r>
              <w:rPr>
                <w:rFonts w:cs="Arial"/>
                <w:noProof/>
                <w:color w:val="000000"/>
                <w:szCs w:val="20"/>
                <w:highlight w:val="black"/>
              </w:rPr>
              <w:t xml:space="preserve"> </w:t>
            </w:r>
          </w:p>
        </w:tc>
        <w:tc>
          <w:tcPr>
            <w:tcW w:w="649" w:type="pct"/>
            <w:tcBorders>
              <w:top w:val="single" w:sz="4" w:space="0" w:color="auto"/>
              <w:left w:val="nil"/>
              <w:bottom w:val="single" w:sz="4" w:space="0" w:color="auto"/>
              <w:right w:val="single" w:sz="4" w:space="0" w:color="auto"/>
            </w:tcBorders>
            <w:shd w:val="clear" w:color="000000" w:fill="F2F2F2"/>
            <w:vAlign w:val="center"/>
          </w:tcPr>
          <w:p w14:paraId="738A0D38" w14:textId="77777777" w:rsidR="00E8255A" w:rsidRPr="009773E5" w:rsidRDefault="009773E5" w:rsidP="00E8255A">
            <w:pPr>
              <w:pStyle w:val="TableText0"/>
              <w:jc w:val="center"/>
              <w:rPr>
                <w:color w:val="000000"/>
              </w:rPr>
            </w:pPr>
            <w:r>
              <w:rPr>
                <w:rFonts w:cs="Arial"/>
                <w:noProof/>
                <w:color w:val="000000"/>
                <w:szCs w:val="20"/>
                <w:highlight w:val="black"/>
              </w:rPr>
              <w:t xml:space="preserve">''''''''''''''''''' </w:t>
            </w:r>
            <w:r w:rsidR="00D5635B">
              <w:rPr>
                <w:sz w:val="19"/>
                <w:szCs w:val="19"/>
                <w:vertAlign w:val="superscript"/>
              </w:rPr>
              <w:t>3</w:t>
            </w:r>
          </w:p>
        </w:tc>
      </w:tr>
      <w:tr w:rsidR="00385A9D" w:rsidRPr="00916586" w14:paraId="76745712" w14:textId="77777777" w:rsidTr="007A18D9">
        <w:tc>
          <w:tcPr>
            <w:tcW w:w="5000" w:type="pct"/>
            <w:gridSpan w:val="7"/>
            <w:shd w:val="clear" w:color="auto" w:fill="auto"/>
            <w:vAlign w:val="center"/>
          </w:tcPr>
          <w:p w14:paraId="71BCE399" w14:textId="77777777" w:rsidR="00385A9D" w:rsidRPr="00916586" w:rsidRDefault="00385A9D" w:rsidP="00F846BC">
            <w:pPr>
              <w:pStyle w:val="In-tableHeading"/>
              <w:rPr>
                <w:lang w:val="en-AU"/>
              </w:rPr>
            </w:pPr>
            <w:r w:rsidRPr="00916586">
              <w:rPr>
                <w:lang w:val="en-AU"/>
              </w:rPr>
              <w:t xml:space="preserve">Estimated financial implications of </w:t>
            </w:r>
            <w:r w:rsidR="00F846BC" w:rsidRPr="00916586">
              <w:rPr>
                <w:lang w:val="en-AU"/>
              </w:rPr>
              <w:t>pregabalin CR</w:t>
            </w:r>
          </w:p>
        </w:tc>
      </w:tr>
      <w:tr w:rsidR="00E8255A" w:rsidRPr="00916586" w14:paraId="13D539FD" w14:textId="77777777" w:rsidTr="007A18D9">
        <w:tc>
          <w:tcPr>
            <w:tcW w:w="1116" w:type="pct"/>
            <w:shd w:val="clear" w:color="auto" w:fill="auto"/>
            <w:vAlign w:val="center"/>
          </w:tcPr>
          <w:p w14:paraId="683D3C5B" w14:textId="77777777" w:rsidR="00E8255A" w:rsidRPr="00D5635B" w:rsidRDefault="00E8255A" w:rsidP="00D5635B">
            <w:pPr>
              <w:pStyle w:val="TableText0"/>
              <w:rPr>
                <w:sz w:val="19"/>
                <w:szCs w:val="19"/>
                <w:vertAlign w:val="superscript"/>
              </w:rPr>
            </w:pPr>
            <w:r w:rsidRPr="00916586">
              <w:rPr>
                <w:sz w:val="19"/>
                <w:szCs w:val="19"/>
              </w:rPr>
              <w:t>Cost to PBS/RPBS less copayments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104161C7" w14:textId="77777777" w:rsidR="00E8255A" w:rsidRPr="009773E5" w:rsidRDefault="009773E5" w:rsidP="00E8255A">
            <w:pPr>
              <w:pStyle w:val="TableText0"/>
              <w:jc w:val="center"/>
            </w:pPr>
            <w:r>
              <w:rPr>
                <w:rFonts w:cs="Arial"/>
                <w:noProof/>
                <w:color w:val="000000"/>
                <w:szCs w:val="20"/>
                <w:highlight w:val="black"/>
              </w:rPr>
              <w:t>''''''''''''''''''''''''</w:t>
            </w:r>
            <w:r w:rsidR="00D5635B">
              <w:rPr>
                <w:sz w:val="19"/>
                <w:szCs w:val="19"/>
                <w:vertAlign w:val="superscript"/>
              </w:rPr>
              <w:t>4</w:t>
            </w:r>
          </w:p>
        </w:tc>
        <w:tc>
          <w:tcPr>
            <w:tcW w:w="647" w:type="pct"/>
            <w:tcBorders>
              <w:top w:val="single" w:sz="4" w:space="0" w:color="auto"/>
              <w:left w:val="nil"/>
              <w:bottom w:val="single" w:sz="4" w:space="0" w:color="auto"/>
              <w:right w:val="single" w:sz="4" w:space="0" w:color="auto"/>
            </w:tcBorders>
            <w:shd w:val="clear" w:color="auto" w:fill="auto"/>
            <w:vAlign w:val="center"/>
          </w:tcPr>
          <w:p w14:paraId="3750C64B" w14:textId="77777777" w:rsidR="00E8255A" w:rsidRPr="009773E5" w:rsidRDefault="009773E5" w:rsidP="00E8255A">
            <w:pPr>
              <w:pStyle w:val="TableText0"/>
              <w:jc w:val="center"/>
            </w:pPr>
            <w:r>
              <w:rPr>
                <w:rFonts w:cs="Arial"/>
                <w:noProof/>
                <w:color w:val="000000"/>
                <w:szCs w:val="20"/>
                <w:highlight w:val="black"/>
              </w:rPr>
              <w:t>'''''''''''''''''''''''''''</w:t>
            </w:r>
            <w:r w:rsidR="00D5635B">
              <w:rPr>
                <w:sz w:val="19"/>
                <w:szCs w:val="19"/>
                <w:vertAlign w:val="superscript"/>
              </w:rPr>
              <w:t>4</w:t>
            </w:r>
          </w:p>
        </w:tc>
        <w:tc>
          <w:tcPr>
            <w:tcW w:w="647" w:type="pct"/>
            <w:tcBorders>
              <w:top w:val="single" w:sz="4" w:space="0" w:color="auto"/>
              <w:left w:val="nil"/>
              <w:bottom w:val="single" w:sz="4" w:space="0" w:color="auto"/>
              <w:right w:val="single" w:sz="4" w:space="0" w:color="auto"/>
            </w:tcBorders>
            <w:shd w:val="clear" w:color="auto" w:fill="auto"/>
            <w:vAlign w:val="center"/>
          </w:tcPr>
          <w:p w14:paraId="30D3EB29" w14:textId="77777777" w:rsidR="00E8255A" w:rsidRPr="009773E5" w:rsidRDefault="009773E5" w:rsidP="00E8255A">
            <w:pPr>
              <w:pStyle w:val="TableText0"/>
              <w:jc w:val="center"/>
            </w:pPr>
            <w:r>
              <w:rPr>
                <w:rFonts w:cs="Arial"/>
                <w:noProof/>
                <w:color w:val="000000"/>
                <w:szCs w:val="20"/>
                <w:highlight w:val="black"/>
              </w:rPr>
              <w:t>'''''''''''''''''''''''''''''</w:t>
            </w:r>
            <w:r w:rsidR="00D5635B">
              <w:rPr>
                <w:sz w:val="19"/>
                <w:szCs w:val="19"/>
                <w:vertAlign w:val="superscript"/>
              </w:rPr>
              <w:t>4</w:t>
            </w:r>
          </w:p>
        </w:tc>
        <w:tc>
          <w:tcPr>
            <w:tcW w:w="647" w:type="pct"/>
            <w:tcBorders>
              <w:top w:val="single" w:sz="4" w:space="0" w:color="auto"/>
              <w:left w:val="nil"/>
              <w:bottom w:val="single" w:sz="4" w:space="0" w:color="auto"/>
              <w:right w:val="single" w:sz="4" w:space="0" w:color="auto"/>
            </w:tcBorders>
            <w:shd w:val="clear" w:color="auto" w:fill="auto"/>
            <w:vAlign w:val="center"/>
          </w:tcPr>
          <w:p w14:paraId="4CF15B69" w14:textId="77777777" w:rsidR="00E8255A" w:rsidRPr="009773E5" w:rsidRDefault="009773E5" w:rsidP="00E8255A">
            <w:pPr>
              <w:pStyle w:val="TableText0"/>
              <w:jc w:val="center"/>
            </w:pPr>
            <w:r>
              <w:rPr>
                <w:rFonts w:cs="Arial"/>
                <w:noProof/>
                <w:color w:val="000000"/>
                <w:szCs w:val="20"/>
                <w:highlight w:val="black"/>
              </w:rPr>
              <w:t>'''''''''''''''''''''''''</w:t>
            </w:r>
            <w:r w:rsidR="00D5635B">
              <w:rPr>
                <w:sz w:val="19"/>
                <w:szCs w:val="19"/>
                <w:vertAlign w:val="superscript"/>
              </w:rPr>
              <w:t>4</w:t>
            </w:r>
          </w:p>
        </w:tc>
        <w:tc>
          <w:tcPr>
            <w:tcW w:w="647" w:type="pct"/>
            <w:tcBorders>
              <w:top w:val="single" w:sz="4" w:space="0" w:color="auto"/>
              <w:left w:val="nil"/>
              <w:bottom w:val="single" w:sz="4" w:space="0" w:color="auto"/>
              <w:right w:val="single" w:sz="4" w:space="0" w:color="auto"/>
            </w:tcBorders>
            <w:shd w:val="clear" w:color="auto" w:fill="auto"/>
            <w:vAlign w:val="center"/>
          </w:tcPr>
          <w:p w14:paraId="624CAAFA" w14:textId="77777777" w:rsidR="00E8255A" w:rsidRPr="009773E5" w:rsidRDefault="009773E5" w:rsidP="00E8255A">
            <w:pPr>
              <w:pStyle w:val="TableText0"/>
              <w:jc w:val="center"/>
            </w:pPr>
            <w:r>
              <w:rPr>
                <w:rFonts w:cs="Arial"/>
                <w:noProof/>
                <w:color w:val="000000"/>
                <w:szCs w:val="20"/>
                <w:highlight w:val="black"/>
              </w:rPr>
              <w:t>'''''''''''''''''''''''''''''</w:t>
            </w:r>
            <w:r w:rsidR="00D5635B">
              <w:rPr>
                <w:sz w:val="19"/>
                <w:szCs w:val="19"/>
                <w:vertAlign w:val="superscript"/>
              </w:rPr>
              <w:t>4</w:t>
            </w:r>
          </w:p>
        </w:tc>
        <w:tc>
          <w:tcPr>
            <w:tcW w:w="649" w:type="pct"/>
            <w:tcBorders>
              <w:top w:val="single" w:sz="4" w:space="0" w:color="auto"/>
              <w:left w:val="nil"/>
              <w:bottom w:val="single" w:sz="4" w:space="0" w:color="auto"/>
              <w:right w:val="single" w:sz="4" w:space="0" w:color="auto"/>
            </w:tcBorders>
            <w:shd w:val="clear" w:color="auto" w:fill="auto"/>
            <w:vAlign w:val="center"/>
          </w:tcPr>
          <w:p w14:paraId="32481EE0" w14:textId="77777777" w:rsidR="00E8255A" w:rsidRPr="009773E5" w:rsidRDefault="009773E5" w:rsidP="00E8255A">
            <w:pPr>
              <w:pStyle w:val="TableText0"/>
              <w:jc w:val="center"/>
            </w:pPr>
            <w:r>
              <w:rPr>
                <w:rFonts w:cs="Arial"/>
                <w:noProof/>
                <w:color w:val="000000"/>
                <w:szCs w:val="20"/>
                <w:highlight w:val="black"/>
              </w:rPr>
              <w:t>''''''''''''''''''''''''''</w:t>
            </w:r>
            <w:r w:rsidR="00D5635B">
              <w:rPr>
                <w:sz w:val="19"/>
                <w:szCs w:val="19"/>
                <w:vertAlign w:val="superscript"/>
              </w:rPr>
              <w:t>4</w:t>
            </w:r>
          </w:p>
        </w:tc>
      </w:tr>
      <w:tr w:rsidR="00385A9D" w:rsidRPr="00916586" w14:paraId="070BB1F5" w14:textId="77777777" w:rsidTr="007A18D9">
        <w:tc>
          <w:tcPr>
            <w:tcW w:w="5000" w:type="pct"/>
            <w:gridSpan w:val="7"/>
            <w:shd w:val="clear" w:color="auto" w:fill="auto"/>
            <w:vAlign w:val="center"/>
          </w:tcPr>
          <w:p w14:paraId="761E64BE" w14:textId="77777777" w:rsidR="00385A9D" w:rsidRPr="00916586" w:rsidRDefault="00385A9D" w:rsidP="00F846BC">
            <w:pPr>
              <w:pStyle w:val="TableText0"/>
              <w:rPr>
                <w:b/>
              </w:rPr>
            </w:pPr>
            <w:r w:rsidRPr="00916586">
              <w:rPr>
                <w:b/>
              </w:rPr>
              <w:t>Estimated f</w:t>
            </w:r>
            <w:r w:rsidR="00F846BC" w:rsidRPr="00916586">
              <w:rPr>
                <w:b/>
              </w:rPr>
              <w:t>inancial implications for pregabalin IR</w:t>
            </w:r>
          </w:p>
        </w:tc>
      </w:tr>
      <w:tr w:rsidR="00E8255A" w:rsidRPr="00916586" w14:paraId="46091E4E" w14:textId="77777777" w:rsidTr="007A18D9">
        <w:tc>
          <w:tcPr>
            <w:tcW w:w="1116" w:type="pct"/>
            <w:shd w:val="clear" w:color="auto" w:fill="auto"/>
            <w:vAlign w:val="center"/>
          </w:tcPr>
          <w:p w14:paraId="66B6AAE4" w14:textId="77777777" w:rsidR="00E8255A" w:rsidRPr="00916586" w:rsidRDefault="00E8255A" w:rsidP="00E8255A">
            <w:pPr>
              <w:pStyle w:val="TableText0"/>
              <w:rPr>
                <w:sz w:val="19"/>
                <w:szCs w:val="19"/>
              </w:rPr>
            </w:pPr>
            <w:r w:rsidRPr="00916586">
              <w:rPr>
                <w:sz w:val="19"/>
                <w:szCs w:val="19"/>
              </w:rPr>
              <w:t>Cost to PBS/RPBS less copayments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08C6D116" w14:textId="77777777" w:rsidR="00E8255A" w:rsidRPr="00916586" w:rsidRDefault="00E8255A" w:rsidP="00E8255A">
            <w:pPr>
              <w:pStyle w:val="TableText0"/>
              <w:jc w:val="center"/>
              <w:rPr>
                <w:color w:val="000000" w:themeColor="text1"/>
              </w:rPr>
            </w:pPr>
            <w:r w:rsidRPr="00916586">
              <w:rPr>
                <w:rFonts w:cs="Arial"/>
                <w:color w:val="000000" w:themeColor="text1"/>
                <w:szCs w:val="20"/>
              </w:rPr>
              <w:t>-</w:t>
            </w:r>
            <w:r w:rsidR="009773E5">
              <w:rPr>
                <w:rFonts w:cs="Arial"/>
                <w:noProof/>
                <w:color w:val="000000"/>
                <w:szCs w:val="20"/>
                <w:highlight w:val="black"/>
              </w:rPr>
              <w:t>'''''''''''''''''''''''''</w:t>
            </w:r>
            <w:r w:rsidR="00D5635B">
              <w:rPr>
                <w:sz w:val="19"/>
                <w:szCs w:val="19"/>
                <w:vertAlign w:val="superscript"/>
              </w:rPr>
              <w:t>4</w:t>
            </w:r>
          </w:p>
        </w:tc>
        <w:tc>
          <w:tcPr>
            <w:tcW w:w="647" w:type="pct"/>
            <w:tcBorders>
              <w:top w:val="single" w:sz="4" w:space="0" w:color="auto"/>
              <w:left w:val="nil"/>
              <w:bottom w:val="single" w:sz="4" w:space="0" w:color="auto"/>
              <w:right w:val="single" w:sz="4" w:space="0" w:color="auto"/>
            </w:tcBorders>
            <w:shd w:val="clear" w:color="auto" w:fill="auto"/>
            <w:vAlign w:val="center"/>
          </w:tcPr>
          <w:p w14:paraId="4E4FEDD1" w14:textId="77777777" w:rsidR="00E8255A" w:rsidRPr="00916586" w:rsidRDefault="00E8255A" w:rsidP="00E8255A">
            <w:pPr>
              <w:pStyle w:val="TableText0"/>
              <w:jc w:val="center"/>
              <w:rPr>
                <w:color w:val="000000" w:themeColor="text1"/>
              </w:rPr>
            </w:pPr>
            <w:r w:rsidRPr="00916586">
              <w:rPr>
                <w:rFonts w:cs="Arial"/>
                <w:color w:val="000000" w:themeColor="text1"/>
                <w:szCs w:val="20"/>
              </w:rPr>
              <w:t>-</w:t>
            </w:r>
            <w:r w:rsidR="009773E5">
              <w:rPr>
                <w:rFonts w:cs="Arial"/>
                <w:noProof/>
                <w:color w:val="000000"/>
                <w:szCs w:val="20"/>
                <w:highlight w:val="black"/>
              </w:rPr>
              <w:t>''''''''''''''''''''''''''</w:t>
            </w:r>
            <w:r w:rsidR="00D5635B">
              <w:rPr>
                <w:sz w:val="19"/>
                <w:szCs w:val="19"/>
                <w:vertAlign w:val="superscript"/>
              </w:rPr>
              <w:t>4</w:t>
            </w:r>
          </w:p>
        </w:tc>
        <w:tc>
          <w:tcPr>
            <w:tcW w:w="647" w:type="pct"/>
            <w:tcBorders>
              <w:top w:val="single" w:sz="4" w:space="0" w:color="auto"/>
              <w:left w:val="nil"/>
              <w:bottom w:val="single" w:sz="4" w:space="0" w:color="auto"/>
              <w:right w:val="single" w:sz="4" w:space="0" w:color="auto"/>
            </w:tcBorders>
            <w:shd w:val="clear" w:color="auto" w:fill="auto"/>
            <w:vAlign w:val="center"/>
          </w:tcPr>
          <w:p w14:paraId="6B6346EF" w14:textId="77777777" w:rsidR="00E8255A" w:rsidRPr="00916586" w:rsidRDefault="00E8255A" w:rsidP="00E8255A">
            <w:pPr>
              <w:pStyle w:val="TableText0"/>
              <w:jc w:val="center"/>
              <w:rPr>
                <w:color w:val="000000" w:themeColor="text1"/>
              </w:rPr>
            </w:pPr>
            <w:r w:rsidRPr="00916586">
              <w:rPr>
                <w:rFonts w:cs="Arial"/>
                <w:color w:val="000000" w:themeColor="text1"/>
                <w:szCs w:val="20"/>
              </w:rPr>
              <w:t>-</w:t>
            </w:r>
            <w:r w:rsidR="009773E5">
              <w:rPr>
                <w:rFonts w:cs="Arial"/>
                <w:noProof/>
                <w:color w:val="000000"/>
                <w:szCs w:val="20"/>
                <w:highlight w:val="black"/>
              </w:rPr>
              <w:t>'''''''''''''''''''''''''''''</w:t>
            </w:r>
            <w:r w:rsidR="00D5635B">
              <w:rPr>
                <w:sz w:val="19"/>
                <w:szCs w:val="19"/>
                <w:vertAlign w:val="superscript"/>
              </w:rPr>
              <w:t>5</w:t>
            </w:r>
          </w:p>
        </w:tc>
        <w:tc>
          <w:tcPr>
            <w:tcW w:w="647" w:type="pct"/>
            <w:tcBorders>
              <w:top w:val="single" w:sz="4" w:space="0" w:color="auto"/>
              <w:left w:val="nil"/>
              <w:bottom w:val="single" w:sz="4" w:space="0" w:color="auto"/>
              <w:right w:val="single" w:sz="4" w:space="0" w:color="auto"/>
            </w:tcBorders>
            <w:shd w:val="clear" w:color="auto" w:fill="auto"/>
            <w:vAlign w:val="center"/>
          </w:tcPr>
          <w:p w14:paraId="5AA54120" w14:textId="77777777" w:rsidR="00E8255A" w:rsidRPr="00916586" w:rsidRDefault="00E8255A" w:rsidP="00E8255A">
            <w:pPr>
              <w:pStyle w:val="TableText0"/>
              <w:jc w:val="center"/>
              <w:rPr>
                <w:color w:val="000000" w:themeColor="text1"/>
              </w:rPr>
            </w:pPr>
            <w:r w:rsidRPr="00916586">
              <w:rPr>
                <w:rFonts w:cs="Arial"/>
                <w:color w:val="000000" w:themeColor="text1"/>
                <w:szCs w:val="20"/>
              </w:rPr>
              <w:t>-</w:t>
            </w:r>
            <w:r w:rsidR="009773E5">
              <w:rPr>
                <w:rFonts w:cs="Arial"/>
                <w:noProof/>
                <w:color w:val="000000"/>
                <w:szCs w:val="20"/>
                <w:highlight w:val="black"/>
              </w:rPr>
              <w:t>'''''''''''''''''''''''''''''''</w:t>
            </w:r>
            <w:r w:rsidR="00D5635B">
              <w:rPr>
                <w:sz w:val="19"/>
                <w:szCs w:val="19"/>
                <w:vertAlign w:val="superscript"/>
              </w:rPr>
              <w:t>5</w:t>
            </w:r>
          </w:p>
        </w:tc>
        <w:tc>
          <w:tcPr>
            <w:tcW w:w="647" w:type="pct"/>
            <w:tcBorders>
              <w:top w:val="single" w:sz="4" w:space="0" w:color="auto"/>
              <w:left w:val="nil"/>
              <w:bottom w:val="single" w:sz="4" w:space="0" w:color="auto"/>
              <w:right w:val="single" w:sz="4" w:space="0" w:color="auto"/>
            </w:tcBorders>
            <w:shd w:val="clear" w:color="auto" w:fill="auto"/>
            <w:vAlign w:val="center"/>
          </w:tcPr>
          <w:p w14:paraId="10C03DAC" w14:textId="77777777" w:rsidR="00E8255A" w:rsidRPr="00916586" w:rsidRDefault="00E8255A" w:rsidP="00E8255A">
            <w:pPr>
              <w:pStyle w:val="TableText0"/>
              <w:jc w:val="center"/>
              <w:rPr>
                <w:color w:val="000000" w:themeColor="text1"/>
              </w:rPr>
            </w:pPr>
            <w:r w:rsidRPr="00916586">
              <w:rPr>
                <w:rFonts w:cs="Arial"/>
                <w:color w:val="000000" w:themeColor="text1"/>
                <w:szCs w:val="20"/>
              </w:rPr>
              <w:t>-</w:t>
            </w:r>
            <w:r w:rsidR="009773E5">
              <w:rPr>
                <w:rFonts w:cs="Arial"/>
                <w:noProof/>
                <w:color w:val="000000"/>
                <w:szCs w:val="20"/>
                <w:highlight w:val="black"/>
              </w:rPr>
              <w:t>'''''''''''''''''''''''''''''</w:t>
            </w:r>
            <w:r w:rsidR="00D5635B">
              <w:rPr>
                <w:sz w:val="19"/>
                <w:szCs w:val="19"/>
                <w:vertAlign w:val="superscript"/>
              </w:rPr>
              <w:t>5</w:t>
            </w:r>
          </w:p>
        </w:tc>
        <w:tc>
          <w:tcPr>
            <w:tcW w:w="649" w:type="pct"/>
            <w:tcBorders>
              <w:top w:val="single" w:sz="4" w:space="0" w:color="auto"/>
              <w:left w:val="nil"/>
              <w:bottom w:val="single" w:sz="4" w:space="0" w:color="auto"/>
              <w:right w:val="single" w:sz="4" w:space="0" w:color="auto"/>
            </w:tcBorders>
            <w:shd w:val="clear" w:color="auto" w:fill="auto"/>
            <w:vAlign w:val="center"/>
          </w:tcPr>
          <w:p w14:paraId="3A0AA92E" w14:textId="77777777" w:rsidR="00E8255A" w:rsidRPr="00916586" w:rsidRDefault="00E8255A" w:rsidP="00E8255A">
            <w:pPr>
              <w:pStyle w:val="TableText0"/>
              <w:jc w:val="center"/>
              <w:rPr>
                <w:color w:val="000000" w:themeColor="text1"/>
              </w:rPr>
            </w:pPr>
            <w:r w:rsidRPr="00916586">
              <w:rPr>
                <w:rFonts w:cs="Arial"/>
                <w:color w:val="000000" w:themeColor="text1"/>
                <w:szCs w:val="20"/>
              </w:rPr>
              <w:t>-</w:t>
            </w:r>
            <w:r w:rsidR="009773E5">
              <w:rPr>
                <w:rFonts w:cs="Arial"/>
                <w:noProof/>
                <w:color w:val="000000"/>
                <w:szCs w:val="20"/>
                <w:highlight w:val="black"/>
              </w:rPr>
              <w:t>'''''''''''''''''''''''''''''</w:t>
            </w:r>
            <w:r w:rsidR="00D5635B">
              <w:rPr>
                <w:sz w:val="19"/>
                <w:szCs w:val="19"/>
                <w:vertAlign w:val="superscript"/>
              </w:rPr>
              <w:t>5</w:t>
            </w:r>
          </w:p>
        </w:tc>
      </w:tr>
      <w:tr w:rsidR="00385A9D" w:rsidRPr="00916586" w14:paraId="32329B3C" w14:textId="77777777" w:rsidTr="007A18D9">
        <w:tc>
          <w:tcPr>
            <w:tcW w:w="5000" w:type="pct"/>
            <w:gridSpan w:val="7"/>
            <w:shd w:val="clear" w:color="auto" w:fill="auto"/>
            <w:vAlign w:val="center"/>
          </w:tcPr>
          <w:p w14:paraId="66DC72F2" w14:textId="77777777" w:rsidR="00385A9D" w:rsidRPr="00916586" w:rsidRDefault="00385A9D" w:rsidP="00D27F20">
            <w:pPr>
              <w:pStyle w:val="In-tableHeading"/>
              <w:rPr>
                <w:lang w:val="en-AU"/>
              </w:rPr>
            </w:pPr>
            <w:r w:rsidRPr="00916586">
              <w:rPr>
                <w:lang w:val="en-AU"/>
              </w:rPr>
              <w:t>Net financial implications</w:t>
            </w:r>
            <w:r w:rsidRPr="00916586">
              <w:rPr>
                <w:color w:val="4BACC6" w:themeColor="accent5"/>
                <w:lang w:val="en-AU"/>
              </w:rPr>
              <w:t xml:space="preserve"> </w:t>
            </w:r>
          </w:p>
        </w:tc>
      </w:tr>
      <w:tr w:rsidR="00E8255A" w:rsidRPr="00047AEF" w14:paraId="71CF603C" w14:textId="77777777" w:rsidTr="007A18D9">
        <w:tc>
          <w:tcPr>
            <w:tcW w:w="1116" w:type="pct"/>
            <w:shd w:val="clear" w:color="auto" w:fill="auto"/>
            <w:vAlign w:val="center"/>
          </w:tcPr>
          <w:p w14:paraId="5A7A2729" w14:textId="77777777" w:rsidR="00E8255A" w:rsidRPr="00047AEF" w:rsidRDefault="00E8255A" w:rsidP="00E8255A">
            <w:pPr>
              <w:pStyle w:val="TableText0"/>
              <w:rPr>
                <w:sz w:val="19"/>
                <w:szCs w:val="19"/>
              </w:rPr>
            </w:pPr>
            <w:r w:rsidRPr="00047AEF">
              <w:rPr>
                <w:sz w:val="19"/>
                <w:szCs w:val="19"/>
              </w:rPr>
              <w:t>Net cost to PBS/RPBS</w:t>
            </w:r>
          </w:p>
        </w:tc>
        <w:tc>
          <w:tcPr>
            <w:tcW w:w="647" w:type="pct"/>
            <w:shd w:val="clear" w:color="auto" w:fill="auto"/>
          </w:tcPr>
          <w:p w14:paraId="1B3D2BFC" w14:textId="77777777" w:rsidR="00E8255A" w:rsidRPr="00047AEF" w:rsidRDefault="00E8255A" w:rsidP="00E8255A">
            <w:pPr>
              <w:pStyle w:val="TableText0"/>
              <w:jc w:val="center"/>
            </w:pPr>
            <w:r w:rsidRPr="00047AEF">
              <w:rPr>
                <w:rFonts w:eastAsia="Arial"/>
                <w:b/>
                <w:szCs w:val="20"/>
              </w:rPr>
              <w:t>-</w:t>
            </w:r>
            <w:r w:rsidR="009773E5">
              <w:rPr>
                <w:rFonts w:eastAsia="Arial"/>
                <w:b/>
                <w:noProof/>
                <w:color w:val="000000"/>
                <w:szCs w:val="20"/>
                <w:highlight w:val="black"/>
              </w:rPr>
              <w:t>'''''''''''''''''''''''</w:t>
            </w:r>
            <w:r w:rsidR="00D5635B">
              <w:rPr>
                <w:sz w:val="19"/>
                <w:szCs w:val="19"/>
                <w:vertAlign w:val="superscript"/>
              </w:rPr>
              <w:t>4</w:t>
            </w:r>
            <w:r w:rsidR="009773E5">
              <w:rPr>
                <w:rFonts w:eastAsia="Arial"/>
                <w:b/>
                <w:noProof/>
                <w:color w:val="000000"/>
                <w:szCs w:val="20"/>
                <w:highlight w:val="black"/>
              </w:rPr>
              <w:t xml:space="preserve"> </w:t>
            </w:r>
          </w:p>
        </w:tc>
        <w:tc>
          <w:tcPr>
            <w:tcW w:w="647" w:type="pct"/>
            <w:shd w:val="clear" w:color="auto" w:fill="auto"/>
          </w:tcPr>
          <w:p w14:paraId="14CD1F18" w14:textId="77777777" w:rsidR="00E8255A" w:rsidRPr="00047AEF" w:rsidRDefault="00E8255A" w:rsidP="00E8255A">
            <w:pPr>
              <w:pStyle w:val="TableText0"/>
              <w:jc w:val="center"/>
            </w:pPr>
            <w:r w:rsidRPr="00047AEF">
              <w:rPr>
                <w:rFonts w:eastAsia="Arial"/>
                <w:b/>
                <w:szCs w:val="20"/>
              </w:rPr>
              <w:t>-</w:t>
            </w:r>
            <w:r w:rsidR="009773E5">
              <w:rPr>
                <w:rFonts w:eastAsia="Arial"/>
                <w:b/>
                <w:noProof/>
                <w:color w:val="000000"/>
                <w:szCs w:val="20"/>
                <w:highlight w:val="black"/>
              </w:rPr>
              <w:t xml:space="preserve">''''''''''''''''''''''' </w:t>
            </w:r>
            <w:r w:rsidR="00D5635B">
              <w:rPr>
                <w:sz w:val="19"/>
                <w:szCs w:val="19"/>
                <w:vertAlign w:val="superscript"/>
              </w:rPr>
              <w:t>4</w:t>
            </w:r>
          </w:p>
        </w:tc>
        <w:tc>
          <w:tcPr>
            <w:tcW w:w="647" w:type="pct"/>
            <w:shd w:val="clear" w:color="auto" w:fill="auto"/>
          </w:tcPr>
          <w:p w14:paraId="1C2E8635" w14:textId="77777777" w:rsidR="00E8255A" w:rsidRPr="00047AEF" w:rsidRDefault="00E8255A" w:rsidP="00E8255A">
            <w:pPr>
              <w:pStyle w:val="TableText0"/>
              <w:jc w:val="center"/>
            </w:pPr>
            <w:r w:rsidRPr="00047AEF">
              <w:rPr>
                <w:rFonts w:eastAsia="Arial"/>
                <w:b/>
                <w:szCs w:val="20"/>
              </w:rPr>
              <w:t>-</w:t>
            </w:r>
            <w:r w:rsidR="009773E5">
              <w:rPr>
                <w:rFonts w:eastAsia="Arial"/>
                <w:b/>
                <w:noProof/>
                <w:color w:val="000000"/>
                <w:szCs w:val="20"/>
                <w:highlight w:val="black"/>
              </w:rPr>
              <w:t xml:space="preserve">'''''''''''''''''''''' </w:t>
            </w:r>
            <w:r w:rsidR="00D5635B">
              <w:rPr>
                <w:sz w:val="19"/>
                <w:szCs w:val="19"/>
                <w:vertAlign w:val="superscript"/>
              </w:rPr>
              <w:t>4</w:t>
            </w:r>
          </w:p>
        </w:tc>
        <w:tc>
          <w:tcPr>
            <w:tcW w:w="647" w:type="pct"/>
            <w:shd w:val="clear" w:color="auto" w:fill="auto"/>
          </w:tcPr>
          <w:p w14:paraId="3FDF525B" w14:textId="77777777" w:rsidR="00E8255A" w:rsidRPr="00047AEF" w:rsidRDefault="00E8255A" w:rsidP="00E8255A">
            <w:pPr>
              <w:pStyle w:val="TableText0"/>
              <w:jc w:val="center"/>
            </w:pPr>
            <w:r w:rsidRPr="00047AEF">
              <w:rPr>
                <w:rFonts w:eastAsia="Arial"/>
                <w:b/>
                <w:szCs w:val="20"/>
              </w:rPr>
              <w:t>-</w:t>
            </w:r>
            <w:r w:rsidR="009773E5">
              <w:rPr>
                <w:rFonts w:eastAsia="Arial"/>
                <w:b/>
                <w:noProof/>
                <w:color w:val="000000"/>
                <w:szCs w:val="20"/>
                <w:highlight w:val="black"/>
              </w:rPr>
              <w:t>''''''''''''''''''''''</w:t>
            </w:r>
            <w:r w:rsidR="00D5635B">
              <w:rPr>
                <w:sz w:val="19"/>
                <w:szCs w:val="19"/>
                <w:vertAlign w:val="superscript"/>
              </w:rPr>
              <w:t>4</w:t>
            </w:r>
            <w:r w:rsidR="009773E5">
              <w:rPr>
                <w:rFonts w:eastAsia="Arial"/>
                <w:b/>
                <w:noProof/>
                <w:color w:val="000000"/>
                <w:szCs w:val="20"/>
                <w:highlight w:val="black"/>
              </w:rPr>
              <w:t xml:space="preserve"> </w:t>
            </w:r>
          </w:p>
        </w:tc>
        <w:tc>
          <w:tcPr>
            <w:tcW w:w="647" w:type="pct"/>
            <w:shd w:val="clear" w:color="auto" w:fill="auto"/>
          </w:tcPr>
          <w:p w14:paraId="75674240" w14:textId="77777777" w:rsidR="00E8255A" w:rsidRPr="00047AEF" w:rsidRDefault="00E8255A" w:rsidP="00E8255A">
            <w:pPr>
              <w:pStyle w:val="TableText0"/>
              <w:jc w:val="center"/>
            </w:pPr>
            <w:r w:rsidRPr="00047AEF">
              <w:rPr>
                <w:rFonts w:eastAsia="Arial"/>
                <w:b/>
                <w:szCs w:val="20"/>
              </w:rPr>
              <w:t>-</w:t>
            </w:r>
            <w:r w:rsidR="009773E5">
              <w:rPr>
                <w:rFonts w:eastAsia="Arial"/>
                <w:b/>
                <w:noProof/>
                <w:color w:val="000000"/>
                <w:szCs w:val="20"/>
                <w:highlight w:val="black"/>
              </w:rPr>
              <w:t>'''''''''''''''''''''''''</w:t>
            </w:r>
            <w:r w:rsidR="00D5635B">
              <w:rPr>
                <w:sz w:val="19"/>
                <w:szCs w:val="19"/>
                <w:vertAlign w:val="superscript"/>
              </w:rPr>
              <w:t>5</w:t>
            </w:r>
            <w:r w:rsidR="009773E5">
              <w:rPr>
                <w:rFonts w:eastAsia="Arial"/>
                <w:b/>
                <w:noProof/>
                <w:color w:val="000000"/>
                <w:szCs w:val="20"/>
                <w:highlight w:val="black"/>
              </w:rPr>
              <w:t xml:space="preserve"> </w:t>
            </w:r>
          </w:p>
        </w:tc>
        <w:tc>
          <w:tcPr>
            <w:tcW w:w="649" w:type="pct"/>
          </w:tcPr>
          <w:p w14:paraId="15657F3F" w14:textId="77777777" w:rsidR="00E8255A" w:rsidRPr="00047AEF" w:rsidRDefault="00E8255A" w:rsidP="00E8255A">
            <w:pPr>
              <w:pStyle w:val="TableText0"/>
              <w:jc w:val="center"/>
            </w:pPr>
            <w:r w:rsidRPr="00047AEF">
              <w:rPr>
                <w:rFonts w:eastAsia="Arial"/>
                <w:b/>
                <w:szCs w:val="20"/>
              </w:rPr>
              <w:t>-</w:t>
            </w:r>
            <w:r w:rsidR="009773E5">
              <w:rPr>
                <w:rFonts w:eastAsia="Arial"/>
                <w:b/>
                <w:noProof/>
                <w:color w:val="000000"/>
                <w:szCs w:val="20"/>
                <w:highlight w:val="black"/>
              </w:rPr>
              <w:t>'''''''''''''''''''''''''</w:t>
            </w:r>
            <w:r w:rsidR="00D5635B">
              <w:rPr>
                <w:sz w:val="19"/>
                <w:szCs w:val="19"/>
                <w:vertAlign w:val="superscript"/>
              </w:rPr>
              <w:t>5</w:t>
            </w:r>
            <w:r w:rsidR="009773E5">
              <w:rPr>
                <w:rFonts w:eastAsia="Arial"/>
                <w:b/>
                <w:noProof/>
                <w:color w:val="000000"/>
                <w:szCs w:val="20"/>
                <w:highlight w:val="black"/>
              </w:rPr>
              <w:t xml:space="preserve"> </w:t>
            </w:r>
          </w:p>
        </w:tc>
      </w:tr>
    </w:tbl>
    <w:p w14:paraId="3BABE185" w14:textId="77777777" w:rsidR="00620C25" w:rsidRPr="00916586" w:rsidRDefault="00D27F20" w:rsidP="00620C25">
      <w:pPr>
        <w:pStyle w:val="TableFigureFooter"/>
        <w:rPr>
          <w:rStyle w:val="CommentReference"/>
        </w:rPr>
      </w:pPr>
      <w:r w:rsidRPr="00916586">
        <w:t xml:space="preserve">Source: Table compiled during </w:t>
      </w:r>
      <w:r w:rsidRPr="00B96474">
        <w:t xml:space="preserve">evaluation </w:t>
      </w:r>
      <w:r w:rsidR="00E8255A" w:rsidRPr="00B96474">
        <w:t>and revised during the ESC advice process based on the PSCR from</w:t>
      </w:r>
      <w:r w:rsidRPr="00916586">
        <w:t xml:space="preserve"> Excel workbook “LYRICA CR - v.2</w:t>
      </w:r>
      <w:r w:rsidR="00E8255A" w:rsidRPr="00916586">
        <w:t>1 Sep 2021</w:t>
      </w:r>
      <w:r w:rsidRPr="00916586">
        <w:t>.2021 - (UCM-v.106)”</w:t>
      </w:r>
    </w:p>
    <w:p w14:paraId="4BF791BE" w14:textId="77777777" w:rsidR="008C0EF3" w:rsidRDefault="00E71D6C" w:rsidP="00D5635B">
      <w:pPr>
        <w:pStyle w:val="TableFigureFooter"/>
        <w:spacing w:after="0"/>
      </w:pPr>
      <w:r w:rsidRPr="00916586">
        <w:rPr>
          <w:vertAlign w:val="superscript"/>
        </w:rPr>
        <w:t>a</w:t>
      </w:r>
      <w:r w:rsidR="008C0EF3" w:rsidRPr="00916586">
        <w:t xml:space="preserve"> Assuming 12.08 scripts per year dispensed as estimated by the submission.</w:t>
      </w:r>
    </w:p>
    <w:p w14:paraId="739F0B79" w14:textId="77777777" w:rsidR="00D5635B" w:rsidRPr="009A6D58" w:rsidRDefault="00D5635B" w:rsidP="00D5635B">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7881EEA" w14:textId="77777777" w:rsidR="00D5635B" w:rsidRPr="009A6D58" w:rsidRDefault="00D5635B" w:rsidP="00D5635B">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D5635B">
        <w:rPr>
          <w:rFonts w:ascii="Arial Narrow" w:hAnsi="Arial Narrow"/>
          <w:i/>
          <w:sz w:val="18"/>
          <w:szCs w:val="18"/>
        </w:rPr>
        <w:t>30,000 to &lt; 40,000</w:t>
      </w:r>
    </w:p>
    <w:p w14:paraId="7C16B785" w14:textId="77777777" w:rsidR="00D5635B" w:rsidRPr="009A6D58" w:rsidRDefault="00D5635B" w:rsidP="00D5635B">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D5635B">
        <w:rPr>
          <w:rFonts w:ascii="Arial Narrow" w:hAnsi="Arial Narrow"/>
          <w:i/>
          <w:sz w:val="18"/>
          <w:szCs w:val="18"/>
        </w:rPr>
        <w:t>100,000 to &lt; 200,000</w:t>
      </w:r>
    </w:p>
    <w:p w14:paraId="0E8B5238" w14:textId="77777777" w:rsidR="00D5635B" w:rsidRDefault="00D5635B" w:rsidP="00D5635B">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D5635B">
        <w:rPr>
          <w:rFonts w:ascii="Arial Narrow" w:hAnsi="Arial Narrow"/>
          <w:i/>
          <w:sz w:val="18"/>
          <w:szCs w:val="18"/>
        </w:rPr>
        <w:t>200,000 to &lt; 300,000</w:t>
      </w:r>
    </w:p>
    <w:p w14:paraId="11DDED36" w14:textId="77777777" w:rsidR="00D5635B" w:rsidRDefault="00D5635B" w:rsidP="00D5635B">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D5635B">
        <w:rPr>
          <w:rFonts w:ascii="Arial Narrow" w:hAnsi="Arial Narrow"/>
          <w:i/>
          <w:sz w:val="18"/>
          <w:szCs w:val="18"/>
        </w:rPr>
        <w:t>$0 to &lt; $10 million</w:t>
      </w:r>
    </w:p>
    <w:p w14:paraId="3C3FC423" w14:textId="33D96FB7" w:rsidR="00A36A8E" w:rsidRPr="00AF067B" w:rsidRDefault="00D5635B" w:rsidP="00AF067B">
      <w:pPr>
        <w:spacing w:after="120"/>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D5635B">
        <w:rPr>
          <w:rFonts w:ascii="Arial Narrow" w:hAnsi="Arial Narrow"/>
          <w:i/>
          <w:sz w:val="18"/>
          <w:szCs w:val="18"/>
        </w:rPr>
        <w:t>$10 million to &lt; $20 million</w:t>
      </w:r>
    </w:p>
    <w:p w14:paraId="75545385" w14:textId="77777777" w:rsidR="003D22C3" w:rsidRPr="00916586" w:rsidRDefault="000902D9" w:rsidP="006F188B">
      <w:pPr>
        <w:pStyle w:val="3-BodyText"/>
      </w:pPr>
      <w:r w:rsidRPr="00916586">
        <w:t>The</w:t>
      </w:r>
      <w:r w:rsidR="001C6D07" w:rsidRPr="00916586">
        <w:t xml:space="preserve"> revised financial estimates in the PSCR</w:t>
      </w:r>
      <w:r w:rsidR="007460E6" w:rsidRPr="00916586">
        <w:t xml:space="preserve"> estimated that there would be</w:t>
      </w:r>
      <w:r w:rsidRPr="00916586">
        <w:t xml:space="preserve"> total </w:t>
      </w:r>
      <w:r w:rsidR="00D27F20" w:rsidRPr="00916586">
        <w:t>savings</w:t>
      </w:r>
      <w:r w:rsidRPr="00916586">
        <w:t xml:space="preserve"> to the PBS/RPBS </w:t>
      </w:r>
      <w:r w:rsidR="007460E6" w:rsidRPr="00916586">
        <w:t xml:space="preserve">from the </w:t>
      </w:r>
      <w:r w:rsidRPr="00916586">
        <w:t>listing</w:t>
      </w:r>
      <w:r w:rsidR="00B1322F" w:rsidRPr="00916586">
        <w:t xml:space="preserve"> of</w:t>
      </w:r>
      <w:r w:rsidRPr="00916586">
        <w:t xml:space="preserve"> </w:t>
      </w:r>
      <w:r w:rsidR="00026A4C" w:rsidRPr="00916586">
        <w:t>pregabalin CR</w:t>
      </w:r>
      <w:r w:rsidR="007460E6" w:rsidRPr="00916586">
        <w:t>, which</w:t>
      </w:r>
      <w:r w:rsidRPr="00916586">
        <w:t xml:space="preserve"> was estimated </w:t>
      </w:r>
      <w:r w:rsidR="00A05C32" w:rsidRPr="00916586">
        <w:t>to be</w:t>
      </w:r>
      <w:r w:rsidRPr="00916586">
        <w:t xml:space="preserve"> </w:t>
      </w:r>
      <w:r w:rsidR="006F188B" w:rsidRPr="006F188B">
        <w:t>net cost saving</w:t>
      </w:r>
      <w:r w:rsidR="001C6D07" w:rsidRPr="00916586">
        <w:t xml:space="preserve"> </w:t>
      </w:r>
      <w:r w:rsidRPr="00916586">
        <w:t>in Year 6, and a total of</w:t>
      </w:r>
      <w:r w:rsidR="001C6D07" w:rsidRPr="00916586">
        <w:t xml:space="preserve"> approximately</w:t>
      </w:r>
      <w:r w:rsidRPr="00916586">
        <w:t xml:space="preserve"> </w:t>
      </w:r>
      <w:r w:rsidR="006F188B" w:rsidRPr="006F188B">
        <w:t>net cost saving</w:t>
      </w:r>
      <w:r w:rsidRPr="00916586">
        <w:t xml:space="preserve"> in the first 6 years of listing</w:t>
      </w:r>
      <w:r w:rsidR="0080705F" w:rsidRPr="00916586">
        <w:t>.</w:t>
      </w:r>
      <w:r w:rsidR="003D22C3" w:rsidRPr="00916586">
        <w:t xml:space="preserve"> </w:t>
      </w:r>
    </w:p>
    <w:p w14:paraId="3F15093B" w14:textId="77777777" w:rsidR="00BE416A" w:rsidRPr="00916586" w:rsidRDefault="0080705F" w:rsidP="00BE416A">
      <w:pPr>
        <w:pStyle w:val="3-BodyText"/>
      </w:pPr>
      <w:r w:rsidRPr="00916586">
        <w:t xml:space="preserve">The revised estimates in the PSCR based on the reduced prices calculated in the revised CMA and revised </w:t>
      </w:r>
      <w:r w:rsidR="005F2121" w:rsidRPr="00916586">
        <w:t>dose regimen distributions</w:t>
      </w:r>
      <w:r w:rsidRPr="00916586">
        <w:t xml:space="preserve"> estimated a net save to the PBS, </w:t>
      </w:r>
      <w:r w:rsidR="005F2121" w:rsidRPr="00916586">
        <w:t>substantially</w:t>
      </w:r>
      <w:r w:rsidRPr="00916586">
        <w:t xml:space="preserve"> higher than proposed in the initial submission. Whether the proposed savings will be realised in practice remains uncertain</w:t>
      </w:r>
      <w:r w:rsidR="0088650F" w:rsidRPr="00916586">
        <w:t>.</w:t>
      </w:r>
      <w:r w:rsidRPr="00916586">
        <w:t xml:space="preserve"> </w:t>
      </w:r>
      <w:r w:rsidR="0088650F" w:rsidRPr="00916586">
        <w:t>H</w:t>
      </w:r>
      <w:r w:rsidRPr="00916586">
        <w:t>owever</w:t>
      </w:r>
      <w:r w:rsidR="0088650F" w:rsidRPr="00916586">
        <w:t>,</w:t>
      </w:r>
      <w:r w:rsidRPr="00916586">
        <w:t xml:space="preserve"> given </w:t>
      </w:r>
      <w:r w:rsidR="0088650F" w:rsidRPr="00916586">
        <w:t xml:space="preserve">the </w:t>
      </w:r>
      <w:r w:rsidRPr="00916586">
        <w:t>further-reduced proposed price in the PSCR, the ESC considered it was unlikely the listing of pregabalin CR would result in a cost to government.</w:t>
      </w:r>
      <w:r w:rsidR="00BE416A" w:rsidRPr="00916586">
        <w:t xml:space="preserve"> </w:t>
      </w:r>
    </w:p>
    <w:p w14:paraId="250FF646" w14:textId="77777777" w:rsidR="00082D4E" w:rsidRPr="00916586" w:rsidRDefault="00082D4E" w:rsidP="00082D4E">
      <w:pPr>
        <w:pStyle w:val="3-BodyText"/>
        <w:rPr>
          <w:i/>
        </w:rPr>
      </w:pPr>
      <w:r w:rsidRPr="00916586">
        <w:t>The submission stated that the proposed listing of pregabalin CR 82.5 mg, 165 mg and 330 mg tablets were likely to replace a proportion of the currently listed pregabalin IR 75 mg, 150 mg and 300 mg capsules, respectively. The submission did not expect that the proposed listing will replace any use of pregabalin IR 25 mg capsule. This one for one substitution assumption is highly uncertain</w:t>
      </w:r>
      <w:r w:rsidR="00A01D7C" w:rsidRPr="00916586">
        <w:t>.</w:t>
      </w:r>
      <w:r w:rsidRPr="00916586">
        <w:t xml:space="preserve"> </w:t>
      </w:r>
      <w:r w:rsidR="00A01D7C" w:rsidRPr="00916586">
        <w:t>P</w:t>
      </w:r>
      <w:r w:rsidR="00B74BBA" w:rsidRPr="00916586">
        <w:t>regabalin CR 82.5 mg tablets can replace pregabalin IR 25 mg and 150 mg capsules, rather than pregabalin 75 mg capsules as suggested by the submission (it is unlikely that the once daily 75 mg IR capsules will be replaced by once daily dosing of 82.5 mg CR tablets). Pregabalin CR 165 mg tablets can replace pregabalin IR 75 mg and 300 mg capsules in addition to the pregabalin IR 150 mg capsules and pregabalin CR 330 mg tablets can replace pregabalin IR 150 mg capsules in addition to the pregabalin 300 mg capsules a</w:t>
      </w:r>
      <w:r w:rsidR="007460E6" w:rsidRPr="00916586">
        <w:t>s anticipated by the submission</w:t>
      </w:r>
      <w:r w:rsidR="00BE416A" w:rsidRPr="00916586">
        <w:t>.</w:t>
      </w:r>
      <w:r w:rsidR="008760DA" w:rsidRPr="00916586">
        <w:t xml:space="preserve"> </w:t>
      </w:r>
      <w:r w:rsidR="008C64A7" w:rsidRPr="00916586">
        <w:t>Given the lack of information about clinical dosing</w:t>
      </w:r>
      <w:r w:rsidR="008C64A7" w:rsidRPr="00916586">
        <w:rPr>
          <w:i/>
        </w:rPr>
        <w:t xml:space="preserve"> </w:t>
      </w:r>
      <w:r w:rsidR="008C64A7" w:rsidRPr="00916586">
        <w:t>patterns and substitutions, t</w:t>
      </w:r>
      <w:r w:rsidR="008760DA" w:rsidRPr="00916586">
        <w:t>he Commentary could not r</w:t>
      </w:r>
      <w:r w:rsidR="008C64A7" w:rsidRPr="00916586">
        <w:t>e-estimate the expected financial impact</w:t>
      </w:r>
      <w:r w:rsidR="0080705F" w:rsidRPr="00916586">
        <w:t xml:space="preserve">. Revised estimates based on the PBS 10% Sample were provided in </w:t>
      </w:r>
      <w:r w:rsidR="0080705F" w:rsidRPr="00916586">
        <w:lastRenderedPageBreak/>
        <w:t>the PSCR, however uncertainty as to how pregabalin IR may be replaced by the CR formulation in practice remains</w:t>
      </w:r>
      <w:r w:rsidR="008C64A7" w:rsidRPr="00916586">
        <w:t>.</w:t>
      </w:r>
    </w:p>
    <w:p w14:paraId="7067AD19" w14:textId="77777777" w:rsidR="00576972" w:rsidRPr="00916586" w:rsidRDefault="00576972" w:rsidP="00606FBA">
      <w:pPr>
        <w:pStyle w:val="4-SubsectionHeading"/>
      </w:pPr>
      <w:bookmarkStart w:id="29" w:name="_Toc22897648"/>
      <w:bookmarkStart w:id="30" w:name="_Toc81837354"/>
      <w:r w:rsidRPr="00916586">
        <w:t>Quality Use of Medicines</w:t>
      </w:r>
      <w:bookmarkEnd w:id="29"/>
      <w:bookmarkEnd w:id="30"/>
    </w:p>
    <w:p w14:paraId="546897D5" w14:textId="77777777" w:rsidR="00576972" w:rsidRPr="00916586" w:rsidRDefault="000E43C1" w:rsidP="00606FBA">
      <w:pPr>
        <w:pStyle w:val="3-BodyText"/>
      </w:pPr>
      <w:r w:rsidRPr="00916586">
        <w:t>Post marketing data for pregabalin CR in the United States (US) indicated there is the potential for prescribing errors reg</w:t>
      </w:r>
      <w:r w:rsidR="00864E6C" w:rsidRPr="00916586">
        <w:t>a</w:t>
      </w:r>
      <w:r w:rsidRPr="00916586">
        <w:t>rding pregabalin CR and pregabalin IR. These formu</w:t>
      </w:r>
      <w:r w:rsidR="00864E6C" w:rsidRPr="00916586">
        <w:t>lations are dosed differently (</w:t>
      </w:r>
      <w:r w:rsidRPr="00916586">
        <w:t>once daily and twice daily, respectively) and there may be implications for safety or for suboptimal control of neuropathic pain.</w:t>
      </w:r>
      <w:r w:rsidR="00274C16" w:rsidRPr="00916586">
        <w:t xml:space="preserve"> The Pre-PBAC Response noted prescribing error risk was not raised as a concern by the TGA during formulation of the Risk Management Plan (RMP) for pregabalin CR and stated an informal review of the safety database for pregabalin showed few spontaneous adverse drug reaction reports for pregabalin CR and did not suggest a pattern of prescribing errors.</w:t>
      </w:r>
    </w:p>
    <w:p w14:paraId="4B95BB0B" w14:textId="77777777" w:rsidR="00D663CD" w:rsidRPr="00916586" w:rsidRDefault="00D663CD" w:rsidP="00D663CD">
      <w:pPr>
        <w:pStyle w:val="3-BodyText"/>
      </w:pPr>
      <w:r w:rsidRPr="00916586">
        <w:t>Australian ambulance data in 2018 showed a tenfold increase in the rate of pregabalin-related ambulance attendances since 2012, with patients frequently misusing pregabalin with other sedating medicines</w:t>
      </w:r>
      <w:r w:rsidRPr="00916586">
        <w:rPr>
          <w:rStyle w:val="FootnoteReference"/>
        </w:rPr>
        <w:footnoteReference w:id="3"/>
      </w:r>
      <w:r w:rsidRPr="00916586">
        <w:t>.</w:t>
      </w:r>
    </w:p>
    <w:p w14:paraId="4A3567B7" w14:textId="77777777" w:rsidR="00D663CD" w:rsidRPr="00916586" w:rsidRDefault="00D663CD" w:rsidP="00D663CD">
      <w:pPr>
        <w:pStyle w:val="3-BodyText"/>
      </w:pPr>
      <w:r w:rsidRPr="00916586">
        <w:t xml:space="preserve">In 19 January 2021, the TGA's Database of Adverse Event Notifications included 184 and 18 reports of suspected abuse/misuse/dependence with pregabalin and gabapentin products, respectively. There were 111 fatal cases and for 110 of these, pregabalin was </w:t>
      </w:r>
      <w:r w:rsidR="0051276C" w:rsidRPr="00916586">
        <w:t>the</w:t>
      </w:r>
      <w:r w:rsidRPr="00916586">
        <w:t xml:space="preserve"> suspected medicine. The Advisory Committee on Medicines (ACM) noted the following (ACM Meeting Statement, Meeting 13, 1 February 2019, Gabapentinoids and risk of harmful and hazardous use):</w:t>
      </w:r>
    </w:p>
    <w:p w14:paraId="7DD8C5B2" w14:textId="77777777" w:rsidR="00D663CD" w:rsidRPr="00916586" w:rsidRDefault="00D663CD" w:rsidP="00D663CD">
      <w:pPr>
        <w:pStyle w:val="3-BodyText"/>
        <w:numPr>
          <w:ilvl w:val="0"/>
          <w:numId w:val="0"/>
        </w:numPr>
        <w:ind w:left="720"/>
      </w:pPr>
      <w:r w:rsidRPr="00916586">
        <w:t>Premarket studies for pregabalin suggested a low potential for abuse, however such studies commonly excluded people with a history of substance abuse. People with depression, people who concomitantly use opioids and/or benzodiazepines, and young men are at higher risk of harmful and hazardous use of pregabalin.</w:t>
      </w:r>
    </w:p>
    <w:p w14:paraId="0025454A" w14:textId="77777777" w:rsidR="00D663CD" w:rsidRPr="00916586" w:rsidRDefault="00D663CD" w:rsidP="00D663CD">
      <w:pPr>
        <w:pStyle w:val="3-BodyText"/>
      </w:pPr>
      <w:r w:rsidRPr="00916586">
        <w:t>Pregabalin appeared to have a higher addictive potential than gabapentin. The committee considered there to be sufficient and compelling evidence of a strong signal for the harmful and hazardous use of pregabalin. The committee noted that the evidence included multiple sources from Australia and internationally, including data regarding fatalities, drug utilisation, prescribing patterns, adverse event reporting, and trends in intentional poisonings. The committee accepted the conclusion of Cairns et al (2018)</w:t>
      </w:r>
      <w:r w:rsidRPr="00916586">
        <w:rPr>
          <w:rStyle w:val="FootnoteReference"/>
        </w:rPr>
        <w:footnoteReference w:id="4"/>
      </w:r>
      <w:r w:rsidRPr="00916586">
        <w:t xml:space="preserve"> that 'One in seven Australians dispensed pregabalin appears to be at high risk of misuse'.</w:t>
      </w:r>
    </w:p>
    <w:p w14:paraId="30DFD2AB" w14:textId="77777777" w:rsidR="008641AF" w:rsidRPr="00916586" w:rsidRDefault="00420B68" w:rsidP="0039191B">
      <w:pPr>
        <w:pStyle w:val="3-BodyText"/>
        <w:rPr>
          <w:i/>
        </w:rPr>
      </w:pPr>
      <w:r w:rsidRPr="00916586">
        <w:t xml:space="preserve">The QUM issues identified for pregabalin IR in the 24 month DUSC report (pp37-9, Public Release Document, October 2015 DUSC Meeting) </w:t>
      </w:r>
      <w:r w:rsidR="0039191B" w:rsidRPr="00916586">
        <w:t xml:space="preserve">are also likely to be relevant </w:t>
      </w:r>
      <w:r w:rsidRPr="00916586">
        <w:lastRenderedPageBreak/>
        <w:t>to pregabalin CR. These include</w:t>
      </w:r>
      <w:r w:rsidR="0039191B" w:rsidRPr="00916586">
        <w:t xml:space="preserve"> use for other conditions without being on a prior drug regimen (approximately 45%), lack of significant reduction of strong opioid use or other neuropathic pain medicines, pregabalin may not be reaching patients with the</w:t>
      </w:r>
      <w:r w:rsidR="0039191B" w:rsidRPr="00916586">
        <w:rPr>
          <w:i/>
        </w:rPr>
        <w:t xml:space="preserve"> </w:t>
      </w:r>
      <w:r w:rsidR="0039191B" w:rsidRPr="00916586">
        <w:t>most need for currently available alternative treatments pain and the u</w:t>
      </w:r>
      <w:r w:rsidR="008641AF" w:rsidRPr="00916586">
        <w:t>ncertainty of discontinuation due to adverse effects or adequate benefit from the dose prescribed</w:t>
      </w:r>
      <w:r w:rsidR="003F1E3D" w:rsidRPr="00916586">
        <w:t>.</w:t>
      </w:r>
    </w:p>
    <w:p w14:paraId="7846C72D" w14:textId="379F9C9E" w:rsidR="00460595" w:rsidRPr="00AF067B" w:rsidRDefault="00460595" w:rsidP="00AF067B">
      <w:pPr>
        <w:ind w:firstLine="709"/>
        <w:rPr>
          <w:rFonts w:asciiTheme="minorHAnsi" w:hAnsiTheme="minorHAnsi"/>
          <w:i/>
        </w:rPr>
      </w:pPr>
      <w:r w:rsidRPr="00916586">
        <w:rPr>
          <w:rFonts w:asciiTheme="minorHAnsi" w:hAnsiTheme="minorHAnsi"/>
          <w:i/>
        </w:rPr>
        <w:t>For more detail on PBAC’s view, see section 7 PBAC outcome.</w:t>
      </w:r>
    </w:p>
    <w:p w14:paraId="4E53F40C" w14:textId="77777777" w:rsidR="00460595" w:rsidRPr="00916586" w:rsidRDefault="00460595" w:rsidP="008756D3">
      <w:pPr>
        <w:pStyle w:val="2-SectionHeading"/>
        <w:numPr>
          <w:ilvl w:val="0"/>
          <w:numId w:val="1"/>
        </w:numPr>
      </w:pPr>
      <w:bookmarkStart w:id="31" w:name="_Hlk76381249"/>
      <w:bookmarkStart w:id="32" w:name="_Hlk76377955"/>
      <w:r w:rsidRPr="00916586">
        <w:t>PBAC Outcome</w:t>
      </w:r>
    </w:p>
    <w:p w14:paraId="05C63D04" w14:textId="77777777" w:rsidR="003F364E" w:rsidRPr="00916586" w:rsidRDefault="00805B6A" w:rsidP="00460595">
      <w:pPr>
        <w:widowControl w:val="0"/>
        <w:numPr>
          <w:ilvl w:val="1"/>
          <w:numId w:val="1"/>
        </w:numPr>
        <w:spacing w:after="120"/>
        <w:rPr>
          <w:rFonts w:asciiTheme="minorHAnsi" w:hAnsiTheme="minorHAnsi"/>
          <w:snapToGrid w:val="0"/>
        </w:rPr>
      </w:pPr>
      <w:r w:rsidRPr="00916586">
        <w:rPr>
          <w:rFonts w:asciiTheme="minorHAnsi" w:hAnsiTheme="minorHAnsi"/>
          <w:snapToGrid w:val="0"/>
        </w:rPr>
        <w:t>The PBAC deferred making a recommendation for the listing of a controlled</w:t>
      </w:r>
      <w:r w:rsidR="0092154B" w:rsidRPr="00916586">
        <w:rPr>
          <w:rFonts w:asciiTheme="minorHAnsi" w:hAnsiTheme="minorHAnsi"/>
          <w:snapToGrid w:val="0"/>
        </w:rPr>
        <w:t>-</w:t>
      </w:r>
      <w:r w:rsidRPr="00916586">
        <w:rPr>
          <w:rFonts w:asciiTheme="minorHAnsi" w:hAnsiTheme="minorHAnsi"/>
          <w:snapToGrid w:val="0"/>
        </w:rPr>
        <w:t>released formulation of pregabalin (pregabalin CR) for the treatment of neuropat</w:t>
      </w:r>
      <w:r w:rsidR="00E0262B" w:rsidRPr="00916586">
        <w:rPr>
          <w:rFonts w:asciiTheme="minorHAnsi" w:hAnsiTheme="minorHAnsi"/>
          <w:snapToGrid w:val="0"/>
        </w:rPr>
        <w:t>hic pain</w:t>
      </w:r>
      <w:r w:rsidR="003F364E" w:rsidRPr="00916586">
        <w:rPr>
          <w:rFonts w:asciiTheme="minorHAnsi" w:hAnsiTheme="minorHAnsi"/>
          <w:snapToGrid w:val="0"/>
        </w:rPr>
        <w:t xml:space="preserve"> to allow </w:t>
      </w:r>
      <w:r w:rsidR="00896862" w:rsidRPr="00916586">
        <w:rPr>
          <w:rFonts w:asciiTheme="minorHAnsi" w:hAnsiTheme="minorHAnsi"/>
          <w:snapToGrid w:val="0"/>
        </w:rPr>
        <w:t xml:space="preserve">for </w:t>
      </w:r>
      <w:r w:rsidR="003F364E" w:rsidRPr="00916586">
        <w:rPr>
          <w:rFonts w:asciiTheme="minorHAnsi" w:hAnsiTheme="minorHAnsi"/>
          <w:snapToGrid w:val="0"/>
        </w:rPr>
        <w:t>utilisation</w:t>
      </w:r>
      <w:r w:rsidR="00896862" w:rsidRPr="00916586">
        <w:rPr>
          <w:rFonts w:asciiTheme="minorHAnsi" w:hAnsiTheme="minorHAnsi"/>
          <w:snapToGrid w:val="0"/>
        </w:rPr>
        <w:t xml:space="preserve"> analysis</w:t>
      </w:r>
      <w:r w:rsidR="003F364E" w:rsidRPr="00916586">
        <w:rPr>
          <w:rFonts w:asciiTheme="minorHAnsi" w:hAnsiTheme="minorHAnsi"/>
          <w:snapToGrid w:val="0"/>
        </w:rPr>
        <w:t xml:space="preserve"> of</w:t>
      </w:r>
      <w:r w:rsidR="0012782D" w:rsidRPr="00916586">
        <w:rPr>
          <w:rFonts w:asciiTheme="minorHAnsi" w:hAnsiTheme="minorHAnsi"/>
          <w:snapToGrid w:val="0"/>
        </w:rPr>
        <w:t xml:space="preserve"> </w:t>
      </w:r>
      <w:r w:rsidR="00EF3415" w:rsidRPr="00916586">
        <w:rPr>
          <w:rFonts w:asciiTheme="minorHAnsi" w:hAnsiTheme="minorHAnsi"/>
          <w:snapToGrid w:val="0"/>
        </w:rPr>
        <w:t>immediate release</w:t>
      </w:r>
      <w:r w:rsidR="003F364E" w:rsidRPr="00916586">
        <w:rPr>
          <w:rFonts w:asciiTheme="minorHAnsi" w:hAnsiTheme="minorHAnsi"/>
          <w:snapToGrid w:val="0"/>
        </w:rPr>
        <w:t xml:space="preserve"> pregabalin</w:t>
      </w:r>
      <w:r w:rsidR="00EF3415" w:rsidRPr="00916586">
        <w:rPr>
          <w:rFonts w:asciiTheme="minorHAnsi" w:hAnsiTheme="minorHAnsi"/>
          <w:snapToGrid w:val="0"/>
        </w:rPr>
        <w:t xml:space="preserve"> (pregabalin IR)</w:t>
      </w:r>
      <w:r w:rsidR="00DD113F" w:rsidRPr="00916586">
        <w:rPr>
          <w:rFonts w:asciiTheme="minorHAnsi" w:hAnsiTheme="minorHAnsi"/>
          <w:snapToGrid w:val="0"/>
        </w:rPr>
        <w:t xml:space="preserve"> and to further consider</w:t>
      </w:r>
      <w:r w:rsidR="00F41D3A" w:rsidRPr="00916586">
        <w:rPr>
          <w:rFonts w:asciiTheme="minorHAnsi" w:hAnsiTheme="minorHAnsi"/>
          <w:snapToGrid w:val="0"/>
        </w:rPr>
        <w:t xml:space="preserve"> the</w:t>
      </w:r>
      <w:r w:rsidR="00DD113F" w:rsidRPr="00916586">
        <w:rPr>
          <w:rFonts w:asciiTheme="minorHAnsi" w:hAnsiTheme="minorHAnsi"/>
          <w:snapToGrid w:val="0"/>
        </w:rPr>
        <w:t xml:space="preserve"> potential quality use of medicines (QUM) issues with the CR formulation</w:t>
      </w:r>
      <w:r w:rsidR="003F364E" w:rsidRPr="00916586">
        <w:rPr>
          <w:rFonts w:asciiTheme="minorHAnsi" w:hAnsiTheme="minorHAnsi"/>
          <w:snapToGrid w:val="0"/>
        </w:rPr>
        <w:t xml:space="preserve">. </w:t>
      </w:r>
    </w:p>
    <w:p w14:paraId="211F6EF6" w14:textId="2F73DFF4" w:rsidR="003F364E" w:rsidRPr="00916586" w:rsidRDefault="003F364E" w:rsidP="00460595">
      <w:pPr>
        <w:widowControl w:val="0"/>
        <w:numPr>
          <w:ilvl w:val="1"/>
          <w:numId w:val="1"/>
        </w:numPr>
        <w:spacing w:after="120"/>
        <w:rPr>
          <w:rFonts w:asciiTheme="minorHAnsi" w:hAnsiTheme="minorHAnsi"/>
          <w:snapToGrid w:val="0"/>
        </w:rPr>
      </w:pPr>
      <w:r w:rsidRPr="00916586">
        <w:rPr>
          <w:rFonts w:asciiTheme="minorHAnsi" w:hAnsiTheme="minorHAnsi"/>
          <w:snapToGrid w:val="0"/>
        </w:rPr>
        <w:t xml:space="preserve">The PBAC </w:t>
      </w:r>
      <w:r w:rsidR="0025149B" w:rsidRPr="00916586">
        <w:rPr>
          <w:rFonts w:asciiTheme="minorHAnsi" w:hAnsiTheme="minorHAnsi"/>
          <w:snapToGrid w:val="0"/>
        </w:rPr>
        <w:t xml:space="preserve">was </w:t>
      </w:r>
      <w:r w:rsidRPr="00916586">
        <w:rPr>
          <w:rFonts w:asciiTheme="minorHAnsi" w:hAnsiTheme="minorHAnsi"/>
          <w:snapToGrid w:val="0"/>
        </w:rPr>
        <w:t>concerned about reports of potential misuse and diversion of pregabalin (and gabapentinoids more broadly) in Australia</w:t>
      </w:r>
      <w:r w:rsidR="003E1A86" w:rsidRPr="00916586">
        <w:rPr>
          <w:rFonts w:asciiTheme="minorHAnsi" w:hAnsiTheme="minorHAnsi"/>
          <w:snapToGrid w:val="0"/>
        </w:rPr>
        <w:t xml:space="preserve">. The </w:t>
      </w:r>
      <w:r w:rsidR="001D1C27" w:rsidRPr="00916586">
        <w:rPr>
          <w:rFonts w:asciiTheme="minorHAnsi" w:hAnsiTheme="minorHAnsi"/>
          <w:snapToGrid w:val="0"/>
        </w:rPr>
        <w:t>Committee therefore</w:t>
      </w:r>
      <w:r w:rsidR="003E1A86" w:rsidRPr="00916586">
        <w:rPr>
          <w:rFonts w:asciiTheme="minorHAnsi" w:hAnsiTheme="minorHAnsi"/>
          <w:snapToGrid w:val="0"/>
        </w:rPr>
        <w:t xml:space="preserve"> </w:t>
      </w:r>
      <w:r w:rsidRPr="00916586">
        <w:rPr>
          <w:rFonts w:asciiTheme="minorHAnsi" w:hAnsiTheme="minorHAnsi"/>
          <w:snapToGrid w:val="0"/>
        </w:rPr>
        <w:t xml:space="preserve">considered it was prudent to review the utilisation of pregabalin and </w:t>
      </w:r>
      <w:r w:rsidR="003E1A86" w:rsidRPr="00916586">
        <w:rPr>
          <w:rFonts w:asciiTheme="minorHAnsi" w:hAnsiTheme="minorHAnsi"/>
          <w:snapToGrid w:val="0"/>
        </w:rPr>
        <w:t xml:space="preserve">to </w:t>
      </w:r>
      <w:r w:rsidRPr="00916586">
        <w:rPr>
          <w:rFonts w:asciiTheme="minorHAnsi" w:hAnsiTheme="minorHAnsi"/>
          <w:snapToGrid w:val="0"/>
        </w:rPr>
        <w:t xml:space="preserve">consider current evidence of </w:t>
      </w:r>
      <w:r w:rsidR="0088289C" w:rsidRPr="00916586">
        <w:rPr>
          <w:rFonts w:asciiTheme="minorHAnsi" w:hAnsiTheme="minorHAnsi"/>
          <w:snapToGrid w:val="0"/>
        </w:rPr>
        <w:t xml:space="preserve">misuse and diversion </w:t>
      </w:r>
      <w:r w:rsidR="003E1A86" w:rsidRPr="00916586">
        <w:rPr>
          <w:rFonts w:asciiTheme="minorHAnsi" w:hAnsiTheme="minorHAnsi"/>
          <w:snapToGrid w:val="0"/>
        </w:rPr>
        <w:t xml:space="preserve">of pregabalin </w:t>
      </w:r>
      <w:r w:rsidR="0088289C" w:rsidRPr="00916586">
        <w:rPr>
          <w:rFonts w:asciiTheme="minorHAnsi" w:hAnsiTheme="minorHAnsi"/>
          <w:snapToGrid w:val="0"/>
        </w:rPr>
        <w:t xml:space="preserve">in Australia prior to </w:t>
      </w:r>
      <w:r w:rsidR="00EF3415" w:rsidRPr="00916586">
        <w:rPr>
          <w:rFonts w:asciiTheme="minorHAnsi" w:hAnsiTheme="minorHAnsi"/>
          <w:snapToGrid w:val="0"/>
        </w:rPr>
        <w:t>forming</w:t>
      </w:r>
      <w:r w:rsidR="0088289C" w:rsidRPr="00916586">
        <w:rPr>
          <w:rFonts w:asciiTheme="minorHAnsi" w:hAnsiTheme="minorHAnsi"/>
          <w:snapToGrid w:val="0"/>
        </w:rPr>
        <w:t xml:space="preserve"> a view as to whether other forms of pregabalin should be recommended for listing on the PBS. The PBAC refer</w:t>
      </w:r>
      <w:r w:rsidR="00420C05" w:rsidRPr="00916586">
        <w:rPr>
          <w:rFonts w:asciiTheme="minorHAnsi" w:hAnsiTheme="minorHAnsi"/>
          <w:snapToGrid w:val="0"/>
        </w:rPr>
        <w:t>red</w:t>
      </w:r>
      <w:r w:rsidR="0088289C" w:rsidRPr="00916586">
        <w:rPr>
          <w:rFonts w:asciiTheme="minorHAnsi" w:hAnsiTheme="minorHAnsi"/>
          <w:snapToGrid w:val="0"/>
        </w:rPr>
        <w:t xml:space="preserve"> the matter of pregabalin use to the </w:t>
      </w:r>
      <w:r w:rsidR="00994A40">
        <w:rPr>
          <w:rFonts w:asciiTheme="minorHAnsi" w:hAnsiTheme="minorHAnsi"/>
          <w:snapToGrid w:val="0"/>
        </w:rPr>
        <w:t xml:space="preserve">DUSC </w:t>
      </w:r>
      <w:r w:rsidR="0088289C" w:rsidRPr="00916586">
        <w:rPr>
          <w:rFonts w:asciiTheme="minorHAnsi" w:hAnsiTheme="minorHAnsi"/>
          <w:snapToGrid w:val="0"/>
        </w:rPr>
        <w:t xml:space="preserve">for consideration at a future meeting. </w:t>
      </w:r>
    </w:p>
    <w:p w14:paraId="4DF0A929" w14:textId="77777777" w:rsidR="00DD113F" w:rsidRPr="00916586" w:rsidRDefault="00DD113F" w:rsidP="00DD113F">
      <w:pPr>
        <w:widowControl w:val="0"/>
        <w:numPr>
          <w:ilvl w:val="1"/>
          <w:numId w:val="1"/>
        </w:numPr>
        <w:spacing w:after="120"/>
        <w:rPr>
          <w:rFonts w:asciiTheme="minorHAnsi" w:hAnsiTheme="minorHAnsi"/>
          <w:snapToGrid w:val="0"/>
        </w:rPr>
      </w:pPr>
      <w:r w:rsidRPr="00916586">
        <w:rPr>
          <w:rFonts w:asciiTheme="minorHAnsi" w:hAnsiTheme="minorHAnsi"/>
          <w:snapToGrid w:val="0"/>
        </w:rPr>
        <w:t xml:space="preserve">The PBAC considered the nominated comparator of </w:t>
      </w:r>
      <w:r w:rsidR="001D1C27" w:rsidRPr="00916586">
        <w:rPr>
          <w:rFonts w:asciiTheme="minorHAnsi" w:hAnsiTheme="minorHAnsi"/>
          <w:snapToGrid w:val="0"/>
        </w:rPr>
        <w:t>pregabalin IR</w:t>
      </w:r>
      <w:r w:rsidRPr="00916586">
        <w:rPr>
          <w:rFonts w:asciiTheme="minorHAnsi" w:hAnsiTheme="minorHAnsi"/>
          <w:snapToGrid w:val="0"/>
        </w:rPr>
        <w:t xml:space="preserve"> </w:t>
      </w:r>
      <w:r w:rsidR="00EF3415" w:rsidRPr="00916586">
        <w:rPr>
          <w:rFonts w:asciiTheme="minorHAnsi" w:hAnsiTheme="minorHAnsi"/>
          <w:snapToGrid w:val="0"/>
        </w:rPr>
        <w:t>was appropriate</w:t>
      </w:r>
      <w:r w:rsidRPr="00916586">
        <w:rPr>
          <w:rFonts w:asciiTheme="minorHAnsi" w:hAnsiTheme="minorHAnsi"/>
          <w:snapToGrid w:val="0"/>
        </w:rPr>
        <w:t xml:space="preserve">.  </w:t>
      </w:r>
    </w:p>
    <w:p w14:paraId="249662E9" w14:textId="77777777" w:rsidR="00124CB3" w:rsidRPr="00916586" w:rsidRDefault="00DD113F" w:rsidP="00D31529">
      <w:pPr>
        <w:widowControl w:val="0"/>
        <w:numPr>
          <w:ilvl w:val="1"/>
          <w:numId w:val="1"/>
        </w:numPr>
        <w:spacing w:after="120"/>
        <w:rPr>
          <w:rFonts w:asciiTheme="minorHAnsi" w:hAnsiTheme="minorHAnsi"/>
          <w:snapToGrid w:val="0"/>
        </w:rPr>
      </w:pPr>
      <w:r w:rsidRPr="00916586">
        <w:rPr>
          <w:rFonts w:asciiTheme="minorHAnsi" w:hAnsiTheme="minorHAnsi"/>
          <w:snapToGrid w:val="0"/>
        </w:rPr>
        <w:t>With regards to potential QUM issues with the CR formulation,</w:t>
      </w:r>
      <w:r w:rsidR="00BF0744" w:rsidRPr="00916586">
        <w:rPr>
          <w:rFonts w:asciiTheme="minorHAnsi" w:hAnsiTheme="minorHAnsi"/>
          <w:snapToGrid w:val="0"/>
        </w:rPr>
        <w:t xml:space="preserve"> t</w:t>
      </w:r>
      <w:r w:rsidR="006D1665" w:rsidRPr="00916586">
        <w:rPr>
          <w:rFonts w:asciiTheme="minorHAnsi" w:hAnsiTheme="minorHAnsi"/>
          <w:snapToGrid w:val="0"/>
        </w:rPr>
        <w:t>he PBAC noted</w:t>
      </w:r>
      <w:r w:rsidRPr="00916586">
        <w:rPr>
          <w:rFonts w:asciiTheme="minorHAnsi" w:hAnsiTheme="minorHAnsi"/>
          <w:snapToGrid w:val="0"/>
        </w:rPr>
        <w:t xml:space="preserve"> the post-marketing data in the US</w:t>
      </w:r>
      <w:r w:rsidR="00EF3415" w:rsidRPr="00916586">
        <w:rPr>
          <w:rFonts w:asciiTheme="minorHAnsi" w:hAnsiTheme="minorHAnsi"/>
          <w:snapToGrid w:val="0"/>
        </w:rPr>
        <w:t>A</w:t>
      </w:r>
      <w:r w:rsidRPr="00916586">
        <w:rPr>
          <w:rFonts w:asciiTheme="minorHAnsi" w:hAnsiTheme="minorHAnsi"/>
          <w:snapToGrid w:val="0"/>
        </w:rPr>
        <w:t xml:space="preserve"> indicated substantial levels of prescribing errors and also noted the sponsor argued this had not been raised as an issue during the TGA evaluation and that an ‘informal’ review of </w:t>
      </w:r>
      <w:r w:rsidR="00F41D3A" w:rsidRPr="00916586">
        <w:rPr>
          <w:rFonts w:asciiTheme="minorHAnsi" w:hAnsiTheme="minorHAnsi"/>
          <w:snapToGrid w:val="0"/>
        </w:rPr>
        <w:t xml:space="preserve">pregabalin </w:t>
      </w:r>
      <w:r w:rsidRPr="00916586">
        <w:rPr>
          <w:rFonts w:asciiTheme="minorHAnsi" w:hAnsiTheme="minorHAnsi"/>
          <w:snapToGrid w:val="0"/>
        </w:rPr>
        <w:t>adverse events did not suggest an issue. Overall, the PBAC considered</w:t>
      </w:r>
      <w:r w:rsidR="00F316AE" w:rsidRPr="00916586">
        <w:rPr>
          <w:rFonts w:asciiTheme="minorHAnsi" w:hAnsiTheme="minorHAnsi"/>
          <w:snapToGrid w:val="0"/>
        </w:rPr>
        <w:t>, given</w:t>
      </w:r>
      <w:r w:rsidRPr="00916586">
        <w:rPr>
          <w:rFonts w:asciiTheme="minorHAnsi" w:hAnsiTheme="minorHAnsi"/>
          <w:snapToGrid w:val="0"/>
        </w:rPr>
        <w:t xml:space="preserve"> the international </w:t>
      </w:r>
      <w:r w:rsidR="00EF3415" w:rsidRPr="00916586">
        <w:rPr>
          <w:rFonts w:asciiTheme="minorHAnsi" w:hAnsiTheme="minorHAnsi"/>
          <w:snapToGrid w:val="0"/>
        </w:rPr>
        <w:t>experience</w:t>
      </w:r>
      <w:r w:rsidR="00F316AE" w:rsidRPr="00916586">
        <w:rPr>
          <w:rFonts w:asciiTheme="minorHAnsi" w:hAnsiTheme="minorHAnsi"/>
          <w:snapToGrid w:val="0"/>
        </w:rPr>
        <w:t xml:space="preserve">, that </w:t>
      </w:r>
      <w:r w:rsidRPr="00916586">
        <w:rPr>
          <w:rFonts w:asciiTheme="minorHAnsi" w:hAnsiTheme="minorHAnsi"/>
          <w:snapToGrid w:val="0"/>
        </w:rPr>
        <w:t>such errors could also occur in Australia. Furthermore, t</w:t>
      </w:r>
      <w:r w:rsidR="00550AF3" w:rsidRPr="00916586">
        <w:rPr>
          <w:rFonts w:asciiTheme="minorHAnsi" w:hAnsiTheme="minorHAnsi"/>
          <w:snapToGrid w:val="0"/>
        </w:rPr>
        <w:t xml:space="preserve">he PBAC considered the difference in dosing </w:t>
      </w:r>
      <w:r w:rsidR="0010734D" w:rsidRPr="00916586">
        <w:rPr>
          <w:rFonts w:asciiTheme="minorHAnsi" w:hAnsiTheme="minorHAnsi"/>
          <w:snapToGrid w:val="0"/>
        </w:rPr>
        <w:t>regimen</w:t>
      </w:r>
      <w:r w:rsidR="00550AF3" w:rsidRPr="00916586">
        <w:rPr>
          <w:rFonts w:asciiTheme="minorHAnsi" w:hAnsiTheme="minorHAnsi"/>
          <w:snapToGrid w:val="0"/>
        </w:rPr>
        <w:t xml:space="preserve"> between pregabalin IR (dosed twice daily) and pregabalin CR (dosed once daily) </w:t>
      </w:r>
      <w:r w:rsidRPr="00916586">
        <w:rPr>
          <w:rFonts w:asciiTheme="minorHAnsi" w:hAnsiTheme="minorHAnsi"/>
          <w:snapToGrid w:val="0"/>
        </w:rPr>
        <w:t xml:space="preserve">may </w:t>
      </w:r>
      <w:r w:rsidR="001F6234" w:rsidRPr="00916586">
        <w:rPr>
          <w:rFonts w:asciiTheme="minorHAnsi" w:hAnsiTheme="minorHAnsi"/>
          <w:snapToGrid w:val="0"/>
        </w:rPr>
        <w:t xml:space="preserve">cause </w:t>
      </w:r>
      <w:r w:rsidR="00550AF3" w:rsidRPr="00916586">
        <w:rPr>
          <w:rFonts w:asciiTheme="minorHAnsi" w:hAnsiTheme="minorHAnsi"/>
          <w:snapToGrid w:val="0"/>
        </w:rPr>
        <w:t xml:space="preserve">confusion </w:t>
      </w:r>
      <w:r w:rsidR="00C3507E" w:rsidRPr="00916586">
        <w:rPr>
          <w:rFonts w:asciiTheme="minorHAnsi" w:hAnsiTheme="minorHAnsi"/>
          <w:snapToGrid w:val="0"/>
        </w:rPr>
        <w:t>among patients and clinicians</w:t>
      </w:r>
      <w:r w:rsidRPr="00916586">
        <w:rPr>
          <w:rFonts w:asciiTheme="minorHAnsi" w:hAnsiTheme="minorHAnsi"/>
          <w:snapToGrid w:val="0"/>
        </w:rPr>
        <w:t>, especially for those switching between forms</w:t>
      </w:r>
      <w:r w:rsidR="00A13663" w:rsidRPr="00916586">
        <w:rPr>
          <w:rFonts w:asciiTheme="minorHAnsi" w:hAnsiTheme="minorHAnsi"/>
          <w:snapToGrid w:val="0"/>
        </w:rPr>
        <w:t>.</w:t>
      </w:r>
      <w:r w:rsidRPr="00916586">
        <w:rPr>
          <w:rFonts w:asciiTheme="minorHAnsi" w:hAnsiTheme="minorHAnsi"/>
          <w:snapToGrid w:val="0"/>
        </w:rPr>
        <w:t xml:space="preserve"> On that basis, the PBAC considered it may be reasonable to </w:t>
      </w:r>
      <w:r w:rsidR="0074681B" w:rsidRPr="00916586">
        <w:rPr>
          <w:rFonts w:asciiTheme="minorHAnsi" w:hAnsiTheme="minorHAnsi"/>
          <w:snapToGrid w:val="0"/>
        </w:rPr>
        <w:t xml:space="preserve">consider additional restriction wording to discourage two-way switches between the IR and CR forms of pregabalin. The PBAC also noted patients with moderate renal impairment would likely require dose adjustment with pregabalin CR compared to the IR formulation </w:t>
      </w:r>
      <w:r w:rsidR="00F316AE" w:rsidRPr="00916586">
        <w:rPr>
          <w:rFonts w:asciiTheme="minorHAnsi" w:hAnsiTheme="minorHAnsi"/>
          <w:snapToGrid w:val="0"/>
        </w:rPr>
        <w:t>and</w:t>
      </w:r>
      <w:r w:rsidR="0074681B" w:rsidRPr="00916586">
        <w:rPr>
          <w:rFonts w:asciiTheme="minorHAnsi" w:hAnsiTheme="minorHAnsi"/>
          <w:snapToGrid w:val="0"/>
        </w:rPr>
        <w:t xml:space="preserve"> considered this had the potential to create further confusion for prescribers and patients.</w:t>
      </w:r>
    </w:p>
    <w:p w14:paraId="385D5664" w14:textId="77777777" w:rsidR="00EA120A" w:rsidRPr="00916586" w:rsidRDefault="001F6234" w:rsidP="00EA120A">
      <w:pPr>
        <w:widowControl w:val="0"/>
        <w:numPr>
          <w:ilvl w:val="1"/>
          <w:numId w:val="1"/>
        </w:numPr>
        <w:spacing w:after="120"/>
        <w:rPr>
          <w:rFonts w:asciiTheme="minorHAnsi" w:hAnsiTheme="minorHAnsi"/>
          <w:snapToGrid w:val="0"/>
        </w:rPr>
      </w:pPr>
      <w:r w:rsidRPr="00916586">
        <w:rPr>
          <w:rFonts w:asciiTheme="minorHAnsi" w:hAnsiTheme="minorHAnsi"/>
          <w:snapToGrid w:val="0"/>
        </w:rPr>
        <w:t>While</w:t>
      </w:r>
      <w:r w:rsidR="002369D9" w:rsidRPr="00916586">
        <w:rPr>
          <w:rFonts w:asciiTheme="minorHAnsi" w:hAnsiTheme="minorHAnsi"/>
          <w:snapToGrid w:val="0"/>
        </w:rPr>
        <w:t xml:space="preserve"> the submission</w:t>
      </w:r>
      <w:r w:rsidR="00EF3415" w:rsidRPr="00916586">
        <w:rPr>
          <w:rFonts w:asciiTheme="minorHAnsi" w:hAnsiTheme="minorHAnsi"/>
          <w:snapToGrid w:val="0"/>
        </w:rPr>
        <w:t xml:space="preserve"> did not make</w:t>
      </w:r>
      <w:r w:rsidR="00CC4D07" w:rsidRPr="00916586">
        <w:rPr>
          <w:rFonts w:asciiTheme="minorHAnsi" w:hAnsiTheme="minorHAnsi"/>
          <w:snapToGrid w:val="0"/>
        </w:rPr>
        <w:t xml:space="preserve"> an explicit</w:t>
      </w:r>
      <w:r w:rsidR="002369D9" w:rsidRPr="00916586">
        <w:rPr>
          <w:rFonts w:asciiTheme="minorHAnsi" w:hAnsiTheme="minorHAnsi"/>
          <w:snapToGrid w:val="0"/>
        </w:rPr>
        <w:t xml:space="preserve"> clinical claim</w:t>
      </w:r>
      <w:r w:rsidR="00CC4D07" w:rsidRPr="00916586">
        <w:rPr>
          <w:rFonts w:asciiTheme="minorHAnsi" w:hAnsiTheme="minorHAnsi"/>
          <w:snapToGrid w:val="0"/>
        </w:rPr>
        <w:t xml:space="preserve">, </w:t>
      </w:r>
      <w:r w:rsidRPr="00916586">
        <w:rPr>
          <w:rFonts w:asciiTheme="minorHAnsi" w:hAnsiTheme="minorHAnsi"/>
          <w:snapToGrid w:val="0"/>
        </w:rPr>
        <w:t>the PBAC</w:t>
      </w:r>
      <w:r w:rsidR="00CC4D07" w:rsidRPr="00916586">
        <w:rPr>
          <w:rFonts w:asciiTheme="minorHAnsi" w:hAnsiTheme="minorHAnsi"/>
          <w:snapToGrid w:val="0"/>
        </w:rPr>
        <w:t xml:space="preserve"> agreed </w:t>
      </w:r>
      <w:r w:rsidR="00F41D3A" w:rsidRPr="00916586">
        <w:rPr>
          <w:rFonts w:asciiTheme="minorHAnsi" w:hAnsiTheme="minorHAnsi"/>
          <w:snapToGrid w:val="0"/>
        </w:rPr>
        <w:t xml:space="preserve">that </w:t>
      </w:r>
      <w:r w:rsidR="00CC4D07" w:rsidRPr="00916586">
        <w:rPr>
          <w:rFonts w:asciiTheme="minorHAnsi" w:hAnsiTheme="minorHAnsi"/>
          <w:snapToGrid w:val="0"/>
        </w:rPr>
        <w:t>a claim of non-inferior comparative safety and efficacy to pregabalin IR was likely reasonable. However, in accepting such a claim, the PBAC reiterated its views there are likely QUM issues associated with the introduction of pregabalin CR</w:t>
      </w:r>
      <w:r w:rsidR="001D1C27" w:rsidRPr="00916586">
        <w:rPr>
          <w:rFonts w:asciiTheme="minorHAnsi" w:hAnsiTheme="minorHAnsi"/>
          <w:snapToGrid w:val="0"/>
        </w:rPr>
        <w:t>.</w:t>
      </w:r>
      <w:r w:rsidR="00CC4D07" w:rsidRPr="00916586">
        <w:rPr>
          <w:rFonts w:asciiTheme="minorHAnsi" w:hAnsiTheme="minorHAnsi"/>
          <w:snapToGrid w:val="0"/>
        </w:rPr>
        <w:t xml:space="preserve"> The PBAC also noted </w:t>
      </w:r>
      <w:r w:rsidRPr="00916586">
        <w:rPr>
          <w:rFonts w:asciiTheme="minorHAnsi" w:hAnsiTheme="minorHAnsi"/>
          <w:snapToGrid w:val="0"/>
        </w:rPr>
        <w:t xml:space="preserve">that although </w:t>
      </w:r>
      <w:r w:rsidR="00CC4D07" w:rsidRPr="00916586">
        <w:rPr>
          <w:rFonts w:asciiTheme="minorHAnsi" w:hAnsiTheme="minorHAnsi"/>
          <w:snapToGrid w:val="0"/>
        </w:rPr>
        <w:t>the only clinical evidence for pregabalin CR was in post-herpetic neuralgia (PHN), the TGA</w:t>
      </w:r>
      <w:r w:rsidR="0003785C" w:rsidRPr="00916586">
        <w:rPr>
          <w:rFonts w:asciiTheme="minorHAnsi" w:hAnsiTheme="minorHAnsi"/>
          <w:snapToGrid w:val="0"/>
        </w:rPr>
        <w:t xml:space="preserve"> had been satisfied to register pregabalin CR for a broader </w:t>
      </w:r>
      <w:r w:rsidR="0003785C" w:rsidRPr="00916586">
        <w:rPr>
          <w:rFonts w:asciiTheme="minorHAnsi" w:hAnsiTheme="minorHAnsi"/>
          <w:snapToGrid w:val="0"/>
        </w:rPr>
        <w:lastRenderedPageBreak/>
        <w:t>neuropathic pain indication.</w:t>
      </w:r>
    </w:p>
    <w:p w14:paraId="6FC81AAF" w14:textId="77777777" w:rsidR="00FB4497" w:rsidRPr="00916586" w:rsidRDefault="004B3E94" w:rsidP="00EF3415">
      <w:pPr>
        <w:widowControl w:val="0"/>
        <w:numPr>
          <w:ilvl w:val="1"/>
          <w:numId w:val="1"/>
        </w:numPr>
        <w:spacing w:after="120"/>
        <w:rPr>
          <w:rFonts w:asciiTheme="minorHAnsi" w:hAnsiTheme="minorHAnsi"/>
          <w:snapToGrid w:val="0"/>
        </w:rPr>
      </w:pPr>
      <w:r w:rsidRPr="00916586">
        <w:rPr>
          <w:rFonts w:asciiTheme="minorHAnsi" w:hAnsiTheme="minorHAnsi"/>
          <w:snapToGrid w:val="0"/>
        </w:rPr>
        <w:t>The PBAC noted the</w:t>
      </w:r>
      <w:r w:rsidR="006B43D0" w:rsidRPr="00916586">
        <w:rPr>
          <w:rFonts w:asciiTheme="minorHAnsi" w:hAnsiTheme="minorHAnsi"/>
          <w:snapToGrid w:val="0"/>
        </w:rPr>
        <w:t xml:space="preserve"> cost-minimisation analyses </w:t>
      </w:r>
      <w:r w:rsidRPr="00916586">
        <w:rPr>
          <w:rFonts w:asciiTheme="minorHAnsi" w:hAnsiTheme="minorHAnsi"/>
          <w:snapToGrid w:val="0"/>
        </w:rPr>
        <w:t>presented in the</w:t>
      </w:r>
      <w:r w:rsidR="00240A28" w:rsidRPr="00916586">
        <w:rPr>
          <w:rFonts w:asciiTheme="minorHAnsi" w:hAnsiTheme="minorHAnsi"/>
          <w:snapToGrid w:val="0"/>
        </w:rPr>
        <w:t xml:space="preserve"> </w:t>
      </w:r>
      <w:r w:rsidR="006B43D0" w:rsidRPr="00916586">
        <w:rPr>
          <w:rFonts w:asciiTheme="minorHAnsi" w:hAnsiTheme="minorHAnsi"/>
          <w:snapToGrid w:val="0"/>
        </w:rPr>
        <w:t>submission incorrectly matched the daily price of pregabalin CR formulation to the 1.1:1 equivalent pregabalin IR capsule</w:t>
      </w:r>
      <w:r w:rsidRPr="00916586">
        <w:rPr>
          <w:rFonts w:asciiTheme="minorHAnsi" w:hAnsiTheme="minorHAnsi"/>
          <w:snapToGrid w:val="0"/>
        </w:rPr>
        <w:t>, however agreed with the ESC and considered the</w:t>
      </w:r>
      <w:r w:rsidR="00F75769" w:rsidRPr="00916586">
        <w:rPr>
          <w:rFonts w:asciiTheme="minorHAnsi" w:hAnsiTheme="minorHAnsi"/>
          <w:snapToGrid w:val="0"/>
        </w:rPr>
        <w:t xml:space="preserve"> revised cost-minimisation based on the total daily dose (TDD) approach</w:t>
      </w:r>
      <w:r w:rsidRPr="00916586">
        <w:rPr>
          <w:rFonts w:asciiTheme="minorHAnsi" w:hAnsiTheme="minorHAnsi"/>
          <w:snapToGrid w:val="0"/>
        </w:rPr>
        <w:t xml:space="preserve"> presented in the PSCR</w:t>
      </w:r>
      <w:r w:rsidR="00FB4497" w:rsidRPr="00916586">
        <w:rPr>
          <w:rFonts w:asciiTheme="minorHAnsi" w:hAnsiTheme="minorHAnsi"/>
          <w:snapToGrid w:val="0"/>
        </w:rPr>
        <w:t>, which used PBS 10% sample data to inform the dose forms used in practice,</w:t>
      </w:r>
      <w:r w:rsidR="00F75769" w:rsidRPr="00916586">
        <w:rPr>
          <w:rFonts w:asciiTheme="minorHAnsi" w:hAnsiTheme="minorHAnsi"/>
          <w:snapToGrid w:val="0"/>
        </w:rPr>
        <w:t xml:space="preserve"> appeared to be reasonable. </w:t>
      </w:r>
    </w:p>
    <w:p w14:paraId="6AB49C0A" w14:textId="77777777" w:rsidR="00794DA4" w:rsidRPr="00916586" w:rsidRDefault="00CC4D07" w:rsidP="0007749F">
      <w:pPr>
        <w:widowControl w:val="0"/>
        <w:numPr>
          <w:ilvl w:val="1"/>
          <w:numId w:val="1"/>
        </w:numPr>
        <w:spacing w:after="120"/>
        <w:rPr>
          <w:rFonts w:asciiTheme="minorHAnsi" w:hAnsiTheme="minorHAnsi"/>
          <w:snapToGrid w:val="0"/>
        </w:rPr>
      </w:pPr>
      <w:r w:rsidRPr="00916586">
        <w:rPr>
          <w:rFonts w:asciiTheme="minorHAnsi" w:hAnsiTheme="minorHAnsi"/>
          <w:snapToGrid w:val="0"/>
        </w:rPr>
        <w:t xml:space="preserve">The PBAC agreed with the evaluation and considered the assumed uptake of pregabalin CR was poorly </w:t>
      </w:r>
      <w:r w:rsidR="0092154B" w:rsidRPr="00916586">
        <w:rPr>
          <w:rFonts w:asciiTheme="minorHAnsi" w:hAnsiTheme="minorHAnsi"/>
          <w:snapToGrid w:val="0"/>
        </w:rPr>
        <w:t>justified but</w:t>
      </w:r>
      <w:r w:rsidR="00F76EA6" w:rsidRPr="00916586">
        <w:rPr>
          <w:rFonts w:asciiTheme="minorHAnsi" w:hAnsiTheme="minorHAnsi"/>
          <w:snapToGrid w:val="0"/>
        </w:rPr>
        <w:t xml:space="preserve"> acknowledged</w:t>
      </w:r>
      <w:r w:rsidRPr="00916586">
        <w:rPr>
          <w:rFonts w:asciiTheme="minorHAnsi" w:hAnsiTheme="minorHAnsi"/>
          <w:snapToGrid w:val="0"/>
        </w:rPr>
        <w:t xml:space="preserve"> there was limited available data upon which to reliably estimate its use in practice. </w:t>
      </w:r>
      <w:r w:rsidR="00F76EA6" w:rsidRPr="00916586">
        <w:rPr>
          <w:rFonts w:asciiTheme="minorHAnsi" w:hAnsiTheme="minorHAnsi"/>
          <w:snapToGrid w:val="0"/>
        </w:rPr>
        <w:t>A</w:t>
      </w:r>
      <w:r w:rsidRPr="00916586">
        <w:rPr>
          <w:rFonts w:asciiTheme="minorHAnsi" w:hAnsiTheme="minorHAnsi"/>
          <w:snapToGrid w:val="0"/>
        </w:rPr>
        <w:t>t the revised price proposed in the PSCR, the PBAC considered</w:t>
      </w:r>
      <w:r w:rsidR="00B12E84" w:rsidRPr="00916586">
        <w:rPr>
          <w:rFonts w:asciiTheme="minorHAnsi" w:hAnsiTheme="minorHAnsi"/>
          <w:snapToGrid w:val="0"/>
        </w:rPr>
        <w:t xml:space="preserve"> </w:t>
      </w:r>
      <w:r w:rsidR="0007749F" w:rsidRPr="00916586">
        <w:rPr>
          <w:rFonts w:asciiTheme="minorHAnsi" w:hAnsiTheme="minorHAnsi"/>
          <w:snapToGrid w:val="0"/>
        </w:rPr>
        <w:t xml:space="preserve">it was unlikely the listing of pregabalin CR would result in a cost </w:t>
      </w:r>
      <w:r w:rsidR="00EF3415" w:rsidRPr="00916586">
        <w:rPr>
          <w:rFonts w:asciiTheme="minorHAnsi" w:hAnsiTheme="minorHAnsi"/>
          <w:snapToGrid w:val="0"/>
        </w:rPr>
        <w:t>to the PBS.</w:t>
      </w:r>
    </w:p>
    <w:p w14:paraId="2DD31E33" w14:textId="77777777" w:rsidR="00460595" w:rsidRPr="00916586" w:rsidRDefault="00460595" w:rsidP="00460595">
      <w:pPr>
        <w:spacing w:before="240"/>
        <w:rPr>
          <w:rFonts w:asciiTheme="minorHAnsi" w:hAnsiTheme="minorHAnsi"/>
          <w:b/>
          <w:bCs/>
          <w:snapToGrid w:val="0"/>
        </w:rPr>
      </w:pPr>
      <w:r w:rsidRPr="00916586">
        <w:rPr>
          <w:rFonts w:asciiTheme="minorHAnsi" w:hAnsiTheme="minorHAnsi"/>
          <w:b/>
          <w:bCs/>
          <w:snapToGrid w:val="0"/>
        </w:rPr>
        <w:t>Outcome:</w:t>
      </w:r>
    </w:p>
    <w:p w14:paraId="173A59F4" w14:textId="77777777" w:rsidR="00606FBA" w:rsidRDefault="00460595" w:rsidP="00B10E0C">
      <w:pPr>
        <w:rPr>
          <w:rFonts w:asciiTheme="minorHAnsi" w:hAnsiTheme="minorHAnsi"/>
          <w:bCs/>
          <w:snapToGrid w:val="0"/>
        </w:rPr>
      </w:pPr>
      <w:r w:rsidRPr="00916586">
        <w:rPr>
          <w:rFonts w:asciiTheme="minorHAnsi" w:hAnsiTheme="minorHAnsi"/>
          <w:bCs/>
          <w:snapToGrid w:val="0"/>
        </w:rPr>
        <w:t xml:space="preserve">Deferred </w:t>
      </w:r>
      <w:bookmarkEnd w:id="31"/>
      <w:bookmarkEnd w:id="32"/>
    </w:p>
    <w:p w14:paraId="067D9409" w14:textId="2DD60109" w:rsidR="00B10E0C" w:rsidRDefault="00B10E0C" w:rsidP="00B10E0C">
      <w:pPr>
        <w:rPr>
          <w:rFonts w:asciiTheme="minorHAnsi" w:hAnsiTheme="minorHAnsi"/>
          <w:bCs/>
          <w:snapToGrid w:val="0"/>
        </w:rPr>
      </w:pPr>
    </w:p>
    <w:p w14:paraId="05F28420" w14:textId="43C36889" w:rsidR="00516592" w:rsidRDefault="00516592" w:rsidP="00B10E0C">
      <w:pPr>
        <w:rPr>
          <w:rFonts w:asciiTheme="minorHAnsi" w:hAnsiTheme="minorHAnsi"/>
          <w:bCs/>
          <w:snapToGrid w:val="0"/>
        </w:rPr>
      </w:pPr>
    </w:p>
    <w:p w14:paraId="3A8E305A" w14:textId="7BE1CBB3" w:rsidR="00516592" w:rsidRDefault="00516592" w:rsidP="00B10E0C">
      <w:pPr>
        <w:rPr>
          <w:rFonts w:asciiTheme="minorHAnsi" w:hAnsiTheme="minorHAnsi"/>
          <w:bCs/>
          <w:snapToGrid w:val="0"/>
        </w:rPr>
      </w:pPr>
    </w:p>
    <w:p w14:paraId="20509E85" w14:textId="4FDE1DF8" w:rsidR="00516592" w:rsidRDefault="00516592" w:rsidP="00B10E0C">
      <w:pPr>
        <w:rPr>
          <w:rFonts w:asciiTheme="minorHAnsi" w:hAnsiTheme="minorHAnsi"/>
          <w:bCs/>
          <w:snapToGrid w:val="0"/>
        </w:rPr>
      </w:pPr>
    </w:p>
    <w:p w14:paraId="1730A224" w14:textId="3FC8F9E6" w:rsidR="00516592" w:rsidRDefault="00516592" w:rsidP="00B10E0C">
      <w:pPr>
        <w:rPr>
          <w:rFonts w:asciiTheme="minorHAnsi" w:hAnsiTheme="minorHAnsi"/>
          <w:bCs/>
          <w:snapToGrid w:val="0"/>
        </w:rPr>
      </w:pPr>
    </w:p>
    <w:p w14:paraId="1C27B696" w14:textId="3A945DA7" w:rsidR="00516592" w:rsidRDefault="00516592" w:rsidP="00B10E0C">
      <w:pPr>
        <w:rPr>
          <w:rFonts w:asciiTheme="minorHAnsi" w:hAnsiTheme="minorHAnsi"/>
          <w:bCs/>
          <w:snapToGrid w:val="0"/>
        </w:rPr>
      </w:pPr>
    </w:p>
    <w:p w14:paraId="68D99C3E" w14:textId="7F4BE8C9" w:rsidR="00516592" w:rsidRDefault="00516592" w:rsidP="00B10E0C">
      <w:pPr>
        <w:rPr>
          <w:rFonts w:asciiTheme="minorHAnsi" w:hAnsiTheme="minorHAnsi"/>
          <w:bCs/>
          <w:snapToGrid w:val="0"/>
        </w:rPr>
      </w:pPr>
    </w:p>
    <w:p w14:paraId="1E2E674D" w14:textId="753DA73F" w:rsidR="00516592" w:rsidRDefault="00516592" w:rsidP="00B10E0C">
      <w:pPr>
        <w:rPr>
          <w:rFonts w:asciiTheme="minorHAnsi" w:hAnsiTheme="minorHAnsi"/>
          <w:bCs/>
          <w:snapToGrid w:val="0"/>
        </w:rPr>
      </w:pPr>
    </w:p>
    <w:p w14:paraId="59461784" w14:textId="71011810" w:rsidR="00516592" w:rsidRDefault="00516592" w:rsidP="00B10E0C">
      <w:pPr>
        <w:rPr>
          <w:rFonts w:asciiTheme="minorHAnsi" w:hAnsiTheme="minorHAnsi"/>
          <w:bCs/>
          <w:snapToGrid w:val="0"/>
        </w:rPr>
      </w:pPr>
    </w:p>
    <w:p w14:paraId="52051A58" w14:textId="28D0779D" w:rsidR="00516592" w:rsidRDefault="00516592" w:rsidP="00B10E0C">
      <w:pPr>
        <w:rPr>
          <w:rFonts w:asciiTheme="minorHAnsi" w:hAnsiTheme="minorHAnsi"/>
          <w:bCs/>
          <w:snapToGrid w:val="0"/>
        </w:rPr>
      </w:pPr>
    </w:p>
    <w:p w14:paraId="60898D1D" w14:textId="17F76B87" w:rsidR="00516592" w:rsidRDefault="00516592" w:rsidP="00B10E0C">
      <w:pPr>
        <w:rPr>
          <w:rFonts w:asciiTheme="minorHAnsi" w:hAnsiTheme="minorHAnsi"/>
          <w:bCs/>
          <w:snapToGrid w:val="0"/>
        </w:rPr>
      </w:pPr>
    </w:p>
    <w:p w14:paraId="09E4D34B" w14:textId="2A8A8F08" w:rsidR="00516592" w:rsidRDefault="00516592" w:rsidP="00B10E0C">
      <w:pPr>
        <w:rPr>
          <w:rFonts w:asciiTheme="minorHAnsi" w:hAnsiTheme="minorHAnsi"/>
          <w:bCs/>
          <w:snapToGrid w:val="0"/>
        </w:rPr>
      </w:pPr>
    </w:p>
    <w:p w14:paraId="209DF4E2" w14:textId="66C846CF" w:rsidR="00516592" w:rsidRDefault="00516592" w:rsidP="00B10E0C">
      <w:pPr>
        <w:rPr>
          <w:rFonts w:asciiTheme="minorHAnsi" w:hAnsiTheme="minorHAnsi"/>
          <w:bCs/>
          <w:snapToGrid w:val="0"/>
        </w:rPr>
      </w:pPr>
    </w:p>
    <w:p w14:paraId="2C5162B2" w14:textId="494404EE" w:rsidR="00516592" w:rsidRDefault="00516592" w:rsidP="00B10E0C">
      <w:pPr>
        <w:rPr>
          <w:rFonts w:asciiTheme="minorHAnsi" w:hAnsiTheme="minorHAnsi"/>
          <w:bCs/>
          <w:snapToGrid w:val="0"/>
        </w:rPr>
      </w:pPr>
    </w:p>
    <w:p w14:paraId="517DF620" w14:textId="68581765" w:rsidR="00516592" w:rsidRDefault="00516592" w:rsidP="00B10E0C">
      <w:pPr>
        <w:rPr>
          <w:rFonts w:asciiTheme="minorHAnsi" w:hAnsiTheme="minorHAnsi"/>
          <w:bCs/>
          <w:snapToGrid w:val="0"/>
        </w:rPr>
      </w:pPr>
    </w:p>
    <w:p w14:paraId="16865B81" w14:textId="3B712739" w:rsidR="00516592" w:rsidRDefault="00516592" w:rsidP="00B10E0C">
      <w:pPr>
        <w:rPr>
          <w:rFonts w:asciiTheme="minorHAnsi" w:hAnsiTheme="minorHAnsi"/>
          <w:bCs/>
          <w:snapToGrid w:val="0"/>
        </w:rPr>
      </w:pPr>
    </w:p>
    <w:p w14:paraId="7EFA9ADB" w14:textId="6F13CC00" w:rsidR="00516592" w:rsidRDefault="00516592" w:rsidP="00B10E0C">
      <w:pPr>
        <w:rPr>
          <w:rFonts w:asciiTheme="minorHAnsi" w:hAnsiTheme="minorHAnsi"/>
          <w:bCs/>
          <w:snapToGrid w:val="0"/>
        </w:rPr>
      </w:pPr>
    </w:p>
    <w:p w14:paraId="6586135C" w14:textId="63A197E5" w:rsidR="00516592" w:rsidRDefault="00516592" w:rsidP="00B10E0C">
      <w:pPr>
        <w:rPr>
          <w:rFonts w:asciiTheme="minorHAnsi" w:hAnsiTheme="minorHAnsi"/>
          <w:bCs/>
          <w:snapToGrid w:val="0"/>
        </w:rPr>
      </w:pPr>
    </w:p>
    <w:p w14:paraId="494D2679" w14:textId="2FC9DA95" w:rsidR="00516592" w:rsidRDefault="00516592" w:rsidP="00B10E0C">
      <w:pPr>
        <w:rPr>
          <w:rFonts w:asciiTheme="minorHAnsi" w:hAnsiTheme="minorHAnsi"/>
          <w:bCs/>
          <w:snapToGrid w:val="0"/>
        </w:rPr>
      </w:pPr>
    </w:p>
    <w:p w14:paraId="6DD34BCF" w14:textId="5E10418E" w:rsidR="00516592" w:rsidRDefault="00516592" w:rsidP="00B10E0C">
      <w:pPr>
        <w:rPr>
          <w:rFonts w:asciiTheme="minorHAnsi" w:hAnsiTheme="minorHAnsi"/>
          <w:bCs/>
          <w:snapToGrid w:val="0"/>
        </w:rPr>
      </w:pPr>
    </w:p>
    <w:p w14:paraId="30AFBA15" w14:textId="608274C5" w:rsidR="00516592" w:rsidRDefault="00516592" w:rsidP="00B10E0C">
      <w:pPr>
        <w:rPr>
          <w:rFonts w:asciiTheme="minorHAnsi" w:hAnsiTheme="minorHAnsi"/>
          <w:bCs/>
          <w:snapToGrid w:val="0"/>
        </w:rPr>
      </w:pPr>
    </w:p>
    <w:p w14:paraId="07C68BCD" w14:textId="66EDEFF7" w:rsidR="00516592" w:rsidRDefault="00516592" w:rsidP="00B10E0C">
      <w:pPr>
        <w:rPr>
          <w:rFonts w:asciiTheme="minorHAnsi" w:hAnsiTheme="minorHAnsi"/>
          <w:bCs/>
          <w:snapToGrid w:val="0"/>
        </w:rPr>
      </w:pPr>
    </w:p>
    <w:p w14:paraId="511BD549" w14:textId="33D22358" w:rsidR="00516592" w:rsidRDefault="00516592" w:rsidP="00B10E0C">
      <w:pPr>
        <w:rPr>
          <w:rFonts w:asciiTheme="minorHAnsi" w:hAnsiTheme="minorHAnsi"/>
          <w:bCs/>
          <w:snapToGrid w:val="0"/>
        </w:rPr>
      </w:pPr>
    </w:p>
    <w:p w14:paraId="1FA2A7EF" w14:textId="3E1141CF" w:rsidR="00516592" w:rsidRDefault="00516592" w:rsidP="00B10E0C">
      <w:pPr>
        <w:rPr>
          <w:rFonts w:asciiTheme="minorHAnsi" w:hAnsiTheme="minorHAnsi"/>
          <w:bCs/>
          <w:snapToGrid w:val="0"/>
        </w:rPr>
      </w:pPr>
    </w:p>
    <w:p w14:paraId="37166EB4" w14:textId="72A1B452" w:rsidR="00516592" w:rsidRDefault="00516592" w:rsidP="00B10E0C">
      <w:pPr>
        <w:rPr>
          <w:rFonts w:asciiTheme="minorHAnsi" w:hAnsiTheme="minorHAnsi"/>
          <w:bCs/>
          <w:snapToGrid w:val="0"/>
        </w:rPr>
      </w:pPr>
    </w:p>
    <w:p w14:paraId="408FB230" w14:textId="63B3B3C7" w:rsidR="00516592" w:rsidRDefault="00516592" w:rsidP="00B10E0C">
      <w:pPr>
        <w:rPr>
          <w:rFonts w:asciiTheme="minorHAnsi" w:hAnsiTheme="minorHAnsi"/>
          <w:bCs/>
          <w:snapToGrid w:val="0"/>
        </w:rPr>
      </w:pPr>
    </w:p>
    <w:p w14:paraId="0004B90E" w14:textId="503C06CE" w:rsidR="00516592" w:rsidRDefault="00516592" w:rsidP="00B10E0C">
      <w:pPr>
        <w:rPr>
          <w:rFonts w:asciiTheme="minorHAnsi" w:hAnsiTheme="minorHAnsi"/>
          <w:bCs/>
          <w:snapToGrid w:val="0"/>
        </w:rPr>
      </w:pPr>
    </w:p>
    <w:p w14:paraId="29DDF9EF" w14:textId="43CA1925" w:rsidR="00516592" w:rsidRDefault="00516592" w:rsidP="00B10E0C">
      <w:pPr>
        <w:rPr>
          <w:rFonts w:asciiTheme="minorHAnsi" w:hAnsiTheme="minorHAnsi"/>
          <w:bCs/>
          <w:snapToGrid w:val="0"/>
        </w:rPr>
      </w:pPr>
    </w:p>
    <w:p w14:paraId="40CFEEDD" w14:textId="363FAE13" w:rsidR="00516592" w:rsidRPr="00CE7A87" w:rsidRDefault="00516592" w:rsidP="00516592">
      <w:pPr>
        <w:pStyle w:val="GeneralHeading"/>
        <w:rPr>
          <w:color w:val="FF0000"/>
          <w:lang w:eastAsia="en-US"/>
        </w:rPr>
      </w:pPr>
      <w:r w:rsidRPr="00CE7A87">
        <w:rPr>
          <w:color w:val="FF0000"/>
          <w:lang w:eastAsia="en-US"/>
        </w:rPr>
        <w:lastRenderedPageBreak/>
        <w:t xml:space="preserve">Addendum to the </w:t>
      </w:r>
      <w:r>
        <w:rPr>
          <w:color w:val="FF0000"/>
          <w:lang w:eastAsia="en-US"/>
        </w:rPr>
        <w:t>November 2021</w:t>
      </w:r>
      <w:r w:rsidRPr="00CE7A87">
        <w:rPr>
          <w:color w:val="FF0000"/>
          <w:lang w:eastAsia="en-US"/>
        </w:rPr>
        <w:t xml:space="preserve"> PBAC </w:t>
      </w:r>
      <w:r w:rsidR="004710A3">
        <w:rPr>
          <w:color w:val="FF0000"/>
          <w:lang w:eastAsia="en-US"/>
        </w:rPr>
        <w:t>Public Summary Document (</w:t>
      </w:r>
      <w:r w:rsidR="00A0256B">
        <w:rPr>
          <w:color w:val="FF0000"/>
          <w:lang w:eastAsia="en-US"/>
        </w:rPr>
        <w:t>PSD</w:t>
      </w:r>
      <w:r w:rsidR="004710A3">
        <w:rPr>
          <w:color w:val="FF0000"/>
          <w:lang w:eastAsia="en-US"/>
        </w:rPr>
        <w:t>)</w:t>
      </w:r>
      <w:r w:rsidRPr="00CE7A87">
        <w:rPr>
          <w:color w:val="FF0000"/>
          <w:lang w:eastAsia="en-US"/>
        </w:rPr>
        <w:t>:</w:t>
      </w:r>
    </w:p>
    <w:p w14:paraId="0715661C" w14:textId="77777777" w:rsidR="00516592" w:rsidRDefault="00516592" w:rsidP="00516592">
      <w:pPr>
        <w:pStyle w:val="1-MainHeading"/>
        <w:ind w:left="1350" w:hanging="1350"/>
      </w:pPr>
      <w:r>
        <w:t>4.01</w:t>
      </w:r>
      <w:r>
        <w:tab/>
      </w:r>
      <w:r w:rsidRPr="00916586">
        <w:t>PREGABALIN,</w:t>
      </w:r>
      <w:r w:rsidRPr="00916586">
        <w:br/>
        <w:t xml:space="preserve">Tablet 82.5 mg, </w:t>
      </w:r>
      <w:r w:rsidRPr="00916586">
        <w:br/>
        <w:t xml:space="preserve">Tablet 165 mg, </w:t>
      </w:r>
      <w:r w:rsidRPr="00916586">
        <w:br/>
        <w:t>Tablet 330 mg</w:t>
      </w:r>
      <w:r w:rsidRPr="00916586">
        <w:br/>
        <w:t>Lyrica®CR,</w:t>
      </w:r>
      <w:r w:rsidRPr="00916586">
        <w:br/>
        <w:t>Upjohn Australia Pty Ltd.</w:t>
      </w:r>
    </w:p>
    <w:p w14:paraId="5AFAE230" w14:textId="77777777" w:rsidR="00516592" w:rsidRDefault="00516592" w:rsidP="00516592">
      <w:pPr>
        <w:pStyle w:val="2-SectionHeading"/>
        <w:numPr>
          <w:ilvl w:val="0"/>
          <w:numId w:val="1"/>
        </w:numPr>
      </w:pPr>
      <w:r>
        <w:t>Background</w:t>
      </w:r>
    </w:p>
    <w:p w14:paraId="65C4371C" w14:textId="77777777" w:rsidR="00516592" w:rsidRPr="002B3AAF" w:rsidRDefault="00516592" w:rsidP="00516592">
      <w:pPr>
        <w:pStyle w:val="3-BodyText"/>
        <w:rPr>
          <w:rFonts w:eastAsiaTheme="minorHAnsi"/>
          <w:b/>
          <w:lang w:eastAsia="en-US"/>
        </w:rPr>
      </w:pPr>
      <w:r>
        <w:rPr>
          <w:rFonts w:eastAsiaTheme="minorHAnsi"/>
          <w:bCs/>
          <w:lang w:eastAsia="en-US"/>
        </w:rPr>
        <w:t xml:space="preserve">At its November 2021 meeting, the PBAC deferred making a decision about listing a controlled-release (CR) formulation of pregabalin (pregabalin CR) to further consider potential quality use of medicines (QUM) concerns with this requested listing. </w:t>
      </w:r>
    </w:p>
    <w:p w14:paraId="338307B0" w14:textId="77777777" w:rsidR="00516592" w:rsidRPr="00B346DC" w:rsidRDefault="00516592" w:rsidP="00516592">
      <w:pPr>
        <w:pStyle w:val="3-BodyText"/>
        <w:rPr>
          <w:rFonts w:eastAsiaTheme="minorHAnsi"/>
          <w:b/>
          <w:lang w:eastAsia="en-US"/>
        </w:rPr>
      </w:pPr>
      <w:r>
        <w:rPr>
          <w:rFonts w:eastAsiaTheme="minorHAnsi"/>
          <w:bCs/>
          <w:lang w:eastAsia="en-US"/>
        </w:rPr>
        <w:t xml:space="preserve">The PBAC requested that the Drug Utilisation Sub-Committee (DUSC) undertake a utilisation analysis of the immediate release (IR) formulations of pregabalin listed on the PBS to inform its consideration of the CR listing request. </w:t>
      </w:r>
    </w:p>
    <w:p w14:paraId="44CAAE99" w14:textId="77777777" w:rsidR="00516592" w:rsidRDefault="00516592" w:rsidP="00516592">
      <w:pPr>
        <w:pStyle w:val="2-SectionHeading"/>
        <w:numPr>
          <w:ilvl w:val="0"/>
          <w:numId w:val="1"/>
        </w:numPr>
      </w:pPr>
      <w:r>
        <w:t>Current Situation</w:t>
      </w:r>
    </w:p>
    <w:p w14:paraId="2E98FE3F" w14:textId="77777777" w:rsidR="00516592" w:rsidRDefault="00516592" w:rsidP="00516592">
      <w:pPr>
        <w:pStyle w:val="3-BodyText"/>
      </w:pPr>
      <w:r>
        <w:t xml:space="preserve">The report of the utilisation analysis of the IR formulations of pregabalin listed on the PBS (the Report) was considered by DUSC at its February 2022 meeting. </w:t>
      </w:r>
    </w:p>
    <w:p w14:paraId="3E5E887C" w14:textId="77777777" w:rsidR="00516592" w:rsidRDefault="00516592" w:rsidP="00516592">
      <w:pPr>
        <w:pStyle w:val="3-BodyText"/>
      </w:pPr>
      <w:r>
        <w:t>The key findings of the Report and considerations of DUSC include the following:</w:t>
      </w:r>
    </w:p>
    <w:p w14:paraId="4BA6CF78" w14:textId="77777777" w:rsidR="00516592" w:rsidRDefault="00516592" w:rsidP="00516592">
      <w:pPr>
        <w:pStyle w:val="3-BodyText"/>
        <w:numPr>
          <w:ilvl w:val="0"/>
          <w:numId w:val="32"/>
        </w:numPr>
      </w:pPr>
      <w:r>
        <w:t xml:space="preserve">There was a substantial reduction in the number of patients first supplied pregabalin from around 259,083 patients in 2017 to 198,309 in 2020 which may indicate the impact of prescriber education programs. </w:t>
      </w:r>
    </w:p>
    <w:p w14:paraId="597200F0" w14:textId="77777777" w:rsidR="00516592" w:rsidRDefault="00516592" w:rsidP="00516592">
      <w:pPr>
        <w:pStyle w:val="3-BodyText"/>
        <w:numPr>
          <w:ilvl w:val="0"/>
          <w:numId w:val="32"/>
        </w:numPr>
      </w:pPr>
      <w:r>
        <w:t xml:space="preserve">Based on 2020 data, the most common strength dispensed was 75 mg (39%) followed by 25 mg (28%). The highest strength (300 mg) represented around 10% of all prescriptions supplied. </w:t>
      </w:r>
    </w:p>
    <w:p w14:paraId="059AE8EF" w14:textId="77777777" w:rsidR="00516592" w:rsidRDefault="00516592" w:rsidP="00516592">
      <w:pPr>
        <w:pStyle w:val="3-BodyText"/>
        <w:numPr>
          <w:ilvl w:val="0"/>
          <w:numId w:val="32"/>
        </w:numPr>
      </w:pPr>
      <w:r>
        <w:t xml:space="preserve">The average daily dose across all age groups for an initial PBS prescription (100.3 mg) was less than the recommended starting dose for pregabalin (150 mg). DUSC considered that the lower supplied dose probably reflected prescribers using the lowest possible effective dose to minimise side-effects. However, DUSC noted that 16% of Australian pregabalin patients were only supplied the lowest dose capsules and there was no titration in dosing, which could indicate off-label use. </w:t>
      </w:r>
    </w:p>
    <w:p w14:paraId="22E6C1F6" w14:textId="77777777" w:rsidR="00516592" w:rsidRDefault="00516592" w:rsidP="00516592">
      <w:pPr>
        <w:pStyle w:val="3-BodyText"/>
        <w:numPr>
          <w:ilvl w:val="0"/>
          <w:numId w:val="32"/>
        </w:numPr>
      </w:pPr>
      <w:r>
        <w:t xml:space="preserve">There was a large number of prescriptions prescribed by rheumatologists and psychiatrists (around 18,000 scripts and 14,000 scripts respectively), which may indicate some potential use outside the PBS restrictions for the </w:t>
      </w:r>
      <w:r>
        <w:lastRenderedPageBreak/>
        <w:t>treatment of fibromyalgia, anxiety and depression. The DUSC noted that an analysis of NPS MedicineWise pregabalin data showed that the majority of pregabalin use was for lower back pain, which is outside the PBS indication</w:t>
      </w:r>
      <w:r>
        <w:rPr>
          <w:rStyle w:val="FootnoteReference"/>
        </w:rPr>
        <w:footnoteReference w:id="5"/>
      </w:r>
      <w:r>
        <w:t>.</w:t>
      </w:r>
    </w:p>
    <w:p w14:paraId="09ABC97F" w14:textId="77777777" w:rsidR="00516592" w:rsidRDefault="00516592" w:rsidP="00516592">
      <w:pPr>
        <w:pStyle w:val="3-BodyText"/>
        <w:numPr>
          <w:ilvl w:val="0"/>
          <w:numId w:val="32"/>
        </w:numPr>
      </w:pPr>
      <w:r>
        <w:t>Reporting by the National Drug and Alcohol Research Centre notes the number of deaths involving pregabalin increased from less than 20 in 2015 to 100 in 2017 with most deaths resulting from a combined use with opioids. The DUSC considered this may indicated additive or synergistic effect.</w:t>
      </w:r>
    </w:p>
    <w:p w14:paraId="1E5DB96C" w14:textId="77777777" w:rsidR="00516592" w:rsidRDefault="00516592" w:rsidP="00516592">
      <w:pPr>
        <w:pStyle w:val="3-BodyText"/>
        <w:numPr>
          <w:ilvl w:val="0"/>
          <w:numId w:val="32"/>
        </w:numPr>
      </w:pPr>
      <w:r>
        <w:t>The DUSC noted that potentially harmful use of pregabalin is not uncommon, observed in approximately 13% to 15% of Australian pregabalin users</w:t>
      </w:r>
      <w:r>
        <w:rPr>
          <w:rStyle w:val="FootnoteReference"/>
        </w:rPr>
        <w:footnoteReference w:id="6"/>
      </w:r>
    </w:p>
    <w:p w14:paraId="0C9F2520" w14:textId="77777777" w:rsidR="00516592" w:rsidRDefault="00516592" w:rsidP="00516592">
      <w:pPr>
        <w:pStyle w:val="3-BodyText"/>
        <w:numPr>
          <w:ilvl w:val="0"/>
          <w:numId w:val="32"/>
        </w:numPr>
      </w:pPr>
      <w:r>
        <w:t xml:space="preserve">The DUSC noted that having both IR and CR forms of a medicine available on the PBS is not unprecedented. Other listed medicines have both forms and while this can lead to dosing errors, the benefit of having both forms available generally outweighs the risk. The DUSC considered an education campaign could be implemented to minimise errors if pregabalin CR is listed. </w:t>
      </w:r>
    </w:p>
    <w:p w14:paraId="505FFBA4" w14:textId="77777777" w:rsidR="00516592" w:rsidRPr="00A16D50" w:rsidRDefault="00516592" w:rsidP="00516592">
      <w:pPr>
        <w:pStyle w:val="ListParagraph"/>
        <w:numPr>
          <w:ilvl w:val="0"/>
          <w:numId w:val="32"/>
        </w:numPr>
        <w:spacing w:after="0"/>
        <w:contextualSpacing/>
        <w:jc w:val="left"/>
        <w:rPr>
          <w:rFonts w:cstheme="minorHAnsi"/>
        </w:rPr>
      </w:pPr>
      <w:r w:rsidRPr="00A16D50">
        <w:rPr>
          <w:rFonts w:cstheme="minorHAnsi"/>
        </w:rPr>
        <w:t xml:space="preserve"> </w:t>
      </w:r>
      <w:r>
        <w:rPr>
          <w:rFonts w:cstheme="minorHAnsi"/>
        </w:rPr>
        <w:t xml:space="preserve">The </w:t>
      </w:r>
      <w:r w:rsidRPr="00A16D50">
        <w:rPr>
          <w:rFonts w:cstheme="minorHAnsi"/>
        </w:rPr>
        <w:t xml:space="preserve">use of pregabalin can affect aged care residents through drowsiness, reducing their activity levels and leading to weight gain and falls. The CR form could extend these side effects for a longer time than the </w:t>
      </w:r>
      <w:r>
        <w:rPr>
          <w:rFonts w:cstheme="minorHAnsi"/>
        </w:rPr>
        <w:t>IR forms</w:t>
      </w:r>
      <w:r w:rsidRPr="00A16D50">
        <w:rPr>
          <w:rFonts w:cstheme="minorHAnsi"/>
        </w:rPr>
        <w:t>. These unintended consequences may impact the cost-effectiveness of pregabalin.</w:t>
      </w:r>
    </w:p>
    <w:p w14:paraId="0D459334" w14:textId="77777777" w:rsidR="00516592" w:rsidRDefault="00516592" w:rsidP="00516592">
      <w:pPr>
        <w:pStyle w:val="3-BodyText"/>
        <w:numPr>
          <w:ilvl w:val="0"/>
          <w:numId w:val="0"/>
        </w:numPr>
      </w:pPr>
    </w:p>
    <w:p w14:paraId="412CF673" w14:textId="77777777" w:rsidR="00516592" w:rsidRPr="007E73FB" w:rsidRDefault="00516592" w:rsidP="00516592">
      <w:pPr>
        <w:pStyle w:val="3-BodyText"/>
      </w:pPr>
      <w:r>
        <w:t xml:space="preserve">The DUSC </w:t>
      </w:r>
      <w:r w:rsidRPr="008B5D69">
        <w:t>received comments</w:t>
      </w:r>
      <w:r>
        <w:t xml:space="preserve"> and input</w:t>
      </w:r>
      <w:r w:rsidRPr="008B5D69">
        <w:t xml:space="preserve"> on </w:t>
      </w:r>
      <w:r>
        <w:t>the Report</w:t>
      </w:r>
      <w:r w:rsidRPr="008B5D69">
        <w:t xml:space="preserve"> from</w:t>
      </w:r>
      <w:r>
        <w:t xml:space="preserve"> a number of stakeholders including</w:t>
      </w:r>
      <w:r w:rsidRPr="008B5D69">
        <w:t xml:space="preserve"> the RACGP</w:t>
      </w:r>
      <w:r>
        <w:t xml:space="preserve">, </w:t>
      </w:r>
      <w:r w:rsidRPr="008B5D69">
        <w:t xml:space="preserve">drug sponsors </w:t>
      </w:r>
      <w:r>
        <w:t>and organisations (</w:t>
      </w:r>
      <w:r w:rsidRPr="007E73FB">
        <w:t>Australian Rheumatology Association, Pain Australia and Musculoskeletal Australia</w:t>
      </w:r>
      <w:r>
        <w:t xml:space="preserve">). The input from organisations indicated that pregabalin is being used to </w:t>
      </w:r>
      <w:r w:rsidRPr="007855BE">
        <w:t xml:space="preserve">treat medical conditions other than neuropathic pain and some patients are receiving lower than the recommended dose. It was noted by the consumer organisations that while pregabalin can be of benefit for some, for others it is not, and the significant side effects can lead to individuals choosing to discontinue use. These side effects include drowsiness, dizziness, and dry mouth, weight gain, constipation, fatigue, brain fog/memory loss, irritability and hallucinations. It was noted by these organisations that many people </w:t>
      </w:r>
      <w:r w:rsidRPr="007855BE">
        <w:lastRenderedPageBreak/>
        <w:t>are not aware of the potential side effects before taking pregabalin and more support and monitoring is needed for people who have been prescribed pregabalin</w:t>
      </w:r>
      <w:r>
        <w:t>.</w:t>
      </w:r>
    </w:p>
    <w:p w14:paraId="74F77B55" w14:textId="77777777" w:rsidR="00516592" w:rsidRDefault="00516592" w:rsidP="00516592">
      <w:pPr>
        <w:pStyle w:val="3-BodyText"/>
        <w:numPr>
          <w:ilvl w:val="0"/>
          <w:numId w:val="0"/>
        </w:numPr>
        <w:ind w:left="720" w:hanging="720"/>
      </w:pPr>
    </w:p>
    <w:p w14:paraId="554358C0" w14:textId="77777777" w:rsidR="00516592" w:rsidRPr="0061589D" w:rsidRDefault="00516592" w:rsidP="00516592">
      <w:pPr>
        <w:pStyle w:val="2-SectionHeading"/>
        <w:numPr>
          <w:ilvl w:val="0"/>
          <w:numId w:val="1"/>
        </w:numPr>
      </w:pPr>
      <w:r w:rsidRPr="0061589D">
        <w:t>PBAC Outcome</w:t>
      </w:r>
    </w:p>
    <w:p w14:paraId="13B094BF" w14:textId="77777777" w:rsidR="00516592" w:rsidRDefault="00516592" w:rsidP="00516592">
      <w:pPr>
        <w:pStyle w:val="3-BodyText"/>
      </w:pPr>
      <w:r>
        <w:t xml:space="preserve">The PBAC did not recommend the listing of a controlled released (CR) formulation of pregabalin (pregabalin CR) for the treatment of neuropathic pain. The PBAC’s decision was based on a lack of established clinical need for a CR formulation of pregabalin and concerns about the quality use of medicines (QUM). </w:t>
      </w:r>
    </w:p>
    <w:p w14:paraId="78471270" w14:textId="77777777" w:rsidR="00516592" w:rsidRDefault="00516592" w:rsidP="00516592">
      <w:pPr>
        <w:pStyle w:val="3-BodyText"/>
      </w:pPr>
      <w:r>
        <w:t xml:space="preserve">The PBAC noted findings of the Report that pregabalin is being used outside of the PBS restrictions to treat medical conditions other than neuropathic pain and that patients are receiving lower than the recommended dose. The PBAC noted there appeared to be limited support from patients and stakeholders for the PBS listing of pregabalin CR, given most of the input from organizations (one of which included input from patients) to the Report emphasised there were significant side effects associated with pregabalin which many patients were not aware of. Further, the PBAC noted the input did not identify an unmet need for additional formulations of pregabalin and therefore considered there appeared to be no established clinical need for a CR formulation of pregabalin. </w:t>
      </w:r>
    </w:p>
    <w:p w14:paraId="599B5596" w14:textId="77777777" w:rsidR="00516592" w:rsidRDefault="00516592" w:rsidP="00516592">
      <w:pPr>
        <w:pStyle w:val="3-BodyText"/>
      </w:pPr>
      <w:r>
        <w:t xml:space="preserve">The PBAC noted that the pregabalin CR once daily dosing might provide greater convenience compared to the IR formulation for some patients, as the IR formulation requires twice daily doses. However, the PBAC reiterated its previous view that the proliferation of formulations had the potential to lead to prescribing errors, given this was observed in the international experience (paragraph 7.4 refers). Further, the PBAC also noted that the IR formulation may be preferrable for some patients as divided doses can be given, such that some of the sedative side effects could be mitigated by taking a larger dose at night.  </w:t>
      </w:r>
    </w:p>
    <w:p w14:paraId="372F41EC" w14:textId="77777777" w:rsidR="00516592" w:rsidRDefault="00516592" w:rsidP="00516592">
      <w:pPr>
        <w:pStyle w:val="3-BodyText"/>
      </w:pPr>
      <w:r>
        <w:t xml:space="preserve">The PBAC noted that the stakeholder input to the Report found that the use of pregabalin can affect aged care residents through drowsiness, reducing their activity levels and leading to weight gain and falls. The Committee was concerned that the listing of the CR formulation of pregabalin, given the risk of additional patient confusion and prescribing errors, had the potential to increase the risk of adverse events, some of which had the potential to lead to serious injury, particularly in elderly patients. </w:t>
      </w:r>
    </w:p>
    <w:p w14:paraId="2B00B9D3" w14:textId="77777777" w:rsidR="00516592" w:rsidRDefault="00516592" w:rsidP="00516592">
      <w:pPr>
        <w:pStyle w:val="3-BodyText"/>
      </w:pPr>
      <w:r>
        <w:t xml:space="preserve">The PBAC noted that while the Report indicated a substantial reduction in the number of patients first supplied pregabalin, the reduction in initiations for younger patients (aged up to 24 years) is less relative to older persons. The PBAC also noted that a high proportion (28%) of younger patients were identified as being supplied pregabalin with an opioid or benzodiazepine, mainly oxycodone, tramadol and diazepam. The PBAC considered that concomitant use of pregabalin with other drugs remained a concern, noting that most toxicity for pregabalin is associated with its use with opioids, </w:t>
      </w:r>
      <w:r>
        <w:lastRenderedPageBreak/>
        <w:t xml:space="preserve">benzodiazepines, alcohol or illegal drugs. The PBAC considered that a particular concern is the mortality risk from drug interactions </w:t>
      </w:r>
      <w:bookmarkStart w:id="33" w:name="_Hlk105433356"/>
      <w:r>
        <w:t xml:space="preserve">when pregabalin is co-administered with opioids and/or benzodiazepines, </w:t>
      </w:r>
      <w:bookmarkEnd w:id="33"/>
      <w:r>
        <w:t xml:space="preserve">which can increase the risk of respiratory depression. </w:t>
      </w:r>
    </w:p>
    <w:p w14:paraId="55E5AB3E" w14:textId="77777777" w:rsidR="00516592" w:rsidRDefault="00516592" w:rsidP="00516592">
      <w:pPr>
        <w:pStyle w:val="3-BodyText"/>
      </w:pPr>
      <w:r>
        <w:t xml:space="preserve">The Committee considered the magnitude of benefits offered by the availability of a CR formulation appeared to be limited compared to the overall risks and QUM concerns that may be created by the proliferation of forms of pregabalin on the PBS. </w:t>
      </w:r>
    </w:p>
    <w:p w14:paraId="66E75053" w14:textId="77777777" w:rsidR="00516592" w:rsidRPr="00614FA2" w:rsidRDefault="00516592" w:rsidP="00516592">
      <w:pPr>
        <w:pStyle w:val="3-BodyText"/>
        <w:rPr>
          <w:rFonts w:cstheme="minorBidi"/>
          <w:szCs w:val="22"/>
        </w:rPr>
      </w:pPr>
      <w:bookmarkStart w:id="34" w:name="_Hlk103871092"/>
      <w:r>
        <w:t xml:space="preserve">The PBAC noted that the larger number of pregabalin scripts prescribed by rheumatologists and psychiatrists may indicate use outside the PBS restrictions, </w:t>
      </w:r>
      <w:bookmarkEnd w:id="34"/>
      <w:r>
        <w:t>though the PBAC noted the extent of use for indications other than neuropathic pain could not be discerned from the PBS data.</w:t>
      </w:r>
    </w:p>
    <w:p w14:paraId="53016215" w14:textId="77777777" w:rsidR="00516592" w:rsidRPr="00BE4CA2" w:rsidRDefault="00516592" w:rsidP="00516592">
      <w:pPr>
        <w:pStyle w:val="3-BodyText"/>
      </w:pPr>
      <w:r>
        <w:t xml:space="preserve">The PBAC noted that this submission is eligible for an Independent Review. </w:t>
      </w:r>
    </w:p>
    <w:p w14:paraId="771CA8FA" w14:textId="77777777" w:rsidR="00516592" w:rsidRPr="001C3525" w:rsidRDefault="00516592" w:rsidP="00516592">
      <w:pPr>
        <w:rPr>
          <w:b/>
          <w:snapToGrid w:val="0"/>
        </w:rPr>
      </w:pPr>
      <w:r w:rsidRPr="001C3525">
        <w:rPr>
          <w:b/>
          <w:snapToGrid w:val="0"/>
        </w:rPr>
        <w:t>Outcome:</w:t>
      </w:r>
    </w:p>
    <w:p w14:paraId="218B677F" w14:textId="77777777" w:rsidR="00516592" w:rsidRPr="005F6956" w:rsidRDefault="00516592" w:rsidP="00516592">
      <w:pPr>
        <w:pStyle w:val="4Bodytextnumbered"/>
        <w:ind w:left="0" w:firstLine="0"/>
      </w:pPr>
      <w:r>
        <w:t>Not recommended</w:t>
      </w:r>
    </w:p>
    <w:p w14:paraId="0393433E" w14:textId="47A34D2D" w:rsidR="007A5D2C" w:rsidRDefault="007A5D2C" w:rsidP="007A5D2C">
      <w:pPr>
        <w:pStyle w:val="2-SectionHeading"/>
        <w:rPr>
          <w:bCs/>
          <w:lang w:val="en-GB"/>
        </w:rPr>
      </w:pPr>
      <w:r w:rsidRPr="00C07617">
        <w:t>Context for Decision</w:t>
      </w:r>
    </w:p>
    <w:p w14:paraId="4387591F" w14:textId="77777777" w:rsidR="007A5D2C" w:rsidRPr="007129F2" w:rsidRDefault="007A5D2C" w:rsidP="003D7C3F">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A72CB8F" w14:textId="4626B502" w:rsidR="007A5D2C" w:rsidRPr="00C07617" w:rsidRDefault="007A5D2C" w:rsidP="007A5D2C">
      <w:pPr>
        <w:pStyle w:val="2-SectionHeading"/>
      </w:pPr>
      <w:r>
        <w:t>Sponsor’s Comment</w:t>
      </w:r>
    </w:p>
    <w:p w14:paraId="269F1FC1" w14:textId="77777777" w:rsidR="007A5D2C" w:rsidRPr="001179AC" w:rsidRDefault="007A5D2C" w:rsidP="003D7C3F">
      <w:pPr>
        <w:spacing w:after="120"/>
        <w:ind w:left="426" w:firstLine="294"/>
        <w:rPr>
          <w:rFonts w:asciiTheme="minorHAnsi" w:hAnsiTheme="minorHAnsi"/>
          <w:bCs/>
        </w:rPr>
      </w:pPr>
      <w:r w:rsidRPr="00C07617">
        <w:rPr>
          <w:rFonts w:asciiTheme="minorHAnsi" w:hAnsiTheme="minorHAnsi"/>
          <w:bCs/>
        </w:rPr>
        <w:t>The sponsor had no comment.</w:t>
      </w:r>
    </w:p>
    <w:p w14:paraId="3B3379AE" w14:textId="77777777" w:rsidR="00516592" w:rsidRPr="00B10E0C" w:rsidRDefault="00516592" w:rsidP="00B10E0C">
      <w:pPr>
        <w:rPr>
          <w:rFonts w:asciiTheme="minorHAnsi" w:hAnsiTheme="minorHAnsi"/>
          <w:bCs/>
          <w:snapToGrid w:val="0"/>
        </w:rPr>
      </w:pPr>
    </w:p>
    <w:sectPr w:rsidR="00516592" w:rsidRPr="00B10E0C" w:rsidSect="0025100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5FA40" w14:textId="77777777" w:rsidR="004710A3" w:rsidRDefault="004710A3" w:rsidP="00124A51">
      <w:r>
        <w:separator/>
      </w:r>
    </w:p>
    <w:p w14:paraId="61CE5D76" w14:textId="77777777" w:rsidR="004710A3" w:rsidRDefault="004710A3"/>
  </w:endnote>
  <w:endnote w:type="continuationSeparator" w:id="0">
    <w:p w14:paraId="0A4CAE52" w14:textId="77777777" w:rsidR="004710A3" w:rsidRDefault="004710A3" w:rsidP="00124A51">
      <w:r>
        <w:continuationSeparator/>
      </w:r>
    </w:p>
    <w:p w14:paraId="3AC83450" w14:textId="77777777" w:rsidR="004710A3" w:rsidRDefault="00471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7412A" w14:textId="77777777" w:rsidR="00AA56BF" w:rsidRDefault="00AA5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EB8A" w14:textId="77777777" w:rsidR="004710A3" w:rsidRDefault="004710A3">
    <w:pPr>
      <w:pStyle w:val="Footer"/>
      <w:jc w:val="center"/>
    </w:pPr>
  </w:p>
  <w:p w14:paraId="3298BBD0" w14:textId="36634F22" w:rsidR="004710A3" w:rsidRPr="00916586" w:rsidRDefault="004710A3" w:rsidP="00916586">
    <w:pPr>
      <w:pStyle w:val="Footer"/>
      <w:jc w:val="center"/>
      <w:rPr>
        <w:b/>
      </w:rPr>
    </w:pPr>
    <w:sdt>
      <w:sdtPr>
        <w:id w:val="667909302"/>
        <w:docPartObj>
          <w:docPartGallery w:val="Page Numbers (Bottom of Page)"/>
          <w:docPartUnique/>
        </w:docPartObj>
      </w:sdtPr>
      <w:sdtEndPr>
        <w:rPr>
          <w:b/>
          <w:noProof/>
        </w:rPr>
      </w:sdtEndPr>
      <w:sdtContent>
        <w:r w:rsidRPr="003E6CDE">
          <w:rPr>
            <w:b/>
          </w:rPr>
          <w:fldChar w:fldCharType="begin"/>
        </w:r>
        <w:r w:rsidRPr="003E6CDE">
          <w:rPr>
            <w:b/>
          </w:rPr>
          <w:instrText xml:space="preserve"> PAGE   \* MERGEFORMAT </w:instrText>
        </w:r>
        <w:r w:rsidRPr="003E6CDE">
          <w:rPr>
            <w:b/>
          </w:rPr>
          <w:fldChar w:fldCharType="separate"/>
        </w:r>
        <w:r>
          <w:rPr>
            <w:b/>
            <w:noProof/>
          </w:rPr>
          <w:t>2</w:t>
        </w:r>
        <w:r w:rsidRPr="003E6CDE">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0F9C2" w14:textId="77777777" w:rsidR="00AA56BF" w:rsidRDefault="00AA5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4DFF5" w14:textId="77777777" w:rsidR="004710A3" w:rsidRDefault="004710A3" w:rsidP="00124A51">
      <w:r>
        <w:separator/>
      </w:r>
    </w:p>
    <w:p w14:paraId="423086CE" w14:textId="77777777" w:rsidR="004710A3" w:rsidRDefault="004710A3"/>
  </w:footnote>
  <w:footnote w:type="continuationSeparator" w:id="0">
    <w:p w14:paraId="3D6B207E" w14:textId="77777777" w:rsidR="004710A3" w:rsidRDefault="004710A3" w:rsidP="00124A51">
      <w:r>
        <w:continuationSeparator/>
      </w:r>
    </w:p>
    <w:p w14:paraId="51CA5B89" w14:textId="77777777" w:rsidR="004710A3" w:rsidRDefault="004710A3"/>
  </w:footnote>
  <w:footnote w:id="1">
    <w:p w14:paraId="4A713635" w14:textId="77777777" w:rsidR="004710A3" w:rsidRDefault="004710A3" w:rsidP="00F316AE">
      <w:pPr>
        <w:pStyle w:val="FootnoteText"/>
      </w:pPr>
      <w:r>
        <w:rPr>
          <w:rStyle w:val="FootnoteReference"/>
        </w:rPr>
        <w:footnoteRef/>
      </w:r>
      <w:hyperlink r:id="rId1" w:history="1">
        <w:r w:rsidRPr="00470032">
          <w:rPr>
            <w:rStyle w:val="Hyperlink"/>
          </w:rPr>
          <w:t>https://amhonline.amh.net.au/auth?page=chapters/neurological-drugs/antiepileptics/other-antiepileptics/pregabalin</w:t>
        </w:r>
      </w:hyperlink>
      <w:r>
        <w:t xml:space="preserve"> (accessed 22 August 2021).</w:t>
      </w:r>
    </w:p>
  </w:footnote>
  <w:footnote w:id="2">
    <w:p w14:paraId="74397348" w14:textId="77777777" w:rsidR="004710A3" w:rsidRPr="00DE01AC" w:rsidRDefault="004710A3" w:rsidP="002F4337">
      <w:pPr>
        <w:pStyle w:val="FootnoteText"/>
      </w:pPr>
      <w:r>
        <w:rPr>
          <w:rStyle w:val="FootnoteReference"/>
        </w:rPr>
        <w:footnoteRef/>
      </w:r>
      <w:r>
        <w:t xml:space="preserve"> </w:t>
      </w:r>
      <w:r w:rsidRPr="002574D5">
        <w:t>International Association for the Study of Pain</w:t>
      </w:r>
      <w:r>
        <w:t xml:space="preserve">, </w:t>
      </w:r>
      <w:r w:rsidRPr="00DE01AC">
        <w:t>2020</w:t>
      </w:r>
      <w:r>
        <w:t>.</w:t>
      </w:r>
      <w:r w:rsidRPr="00DE01AC">
        <w:t xml:space="preserve"> </w:t>
      </w:r>
      <w:r w:rsidRPr="00DE01AC">
        <w:rPr>
          <w:bCs/>
        </w:rPr>
        <w:t>Neuropathic pain in the community: prevalence, impact, and risk factors</w:t>
      </w:r>
      <w:r>
        <w:rPr>
          <w:bCs/>
        </w:rPr>
        <w:t>.</w:t>
      </w:r>
    </w:p>
  </w:footnote>
  <w:footnote w:id="3">
    <w:p w14:paraId="5B087DCD" w14:textId="77777777" w:rsidR="004710A3" w:rsidRDefault="004710A3" w:rsidP="00D663CD">
      <w:pPr>
        <w:pStyle w:val="FootnoteText"/>
      </w:pPr>
      <w:r>
        <w:rPr>
          <w:rStyle w:val="FootnoteReference"/>
        </w:rPr>
        <w:footnoteRef/>
      </w:r>
      <w:r>
        <w:t xml:space="preserve"> Pregabalin and gabapentin Safety Advisory on TGA </w:t>
      </w:r>
      <w:hyperlink r:id="rId2" w:history="1">
        <w:r w:rsidRPr="003768ED">
          <w:rPr>
            <w:rStyle w:val="Hyperlink"/>
          </w:rPr>
          <w:t>https://www.tga.gov.au/alert/pregabalin-and-gabapentin</w:t>
        </w:r>
      </w:hyperlink>
      <w:r>
        <w:rPr>
          <w:rStyle w:val="Hyperlink"/>
        </w:rPr>
        <w:t>:</w:t>
      </w:r>
      <w:r>
        <w:t xml:space="preserve"> accessed 19 August 2021</w:t>
      </w:r>
    </w:p>
  </w:footnote>
  <w:footnote w:id="4">
    <w:p w14:paraId="6FCF09FF" w14:textId="77777777" w:rsidR="004710A3" w:rsidRDefault="004710A3" w:rsidP="00D663CD">
      <w:pPr>
        <w:pStyle w:val="FootnoteText"/>
      </w:pPr>
      <w:r>
        <w:rPr>
          <w:rStyle w:val="FootnoteReference"/>
        </w:rPr>
        <w:footnoteRef/>
      </w:r>
      <w:r>
        <w:t xml:space="preserve"> </w:t>
      </w:r>
      <w:r w:rsidRPr="00D55F0B">
        <w:t>Cairns R, Schaffer AL, Ryan N, et al. Rising pregabalin use and misuse in Australia: trends in utilization and intentional poisonings. Addiction 2018. doi:10.1111/add.14412</w:t>
      </w:r>
      <w:r>
        <w:t>.</w:t>
      </w:r>
    </w:p>
  </w:footnote>
  <w:footnote w:id="5">
    <w:p w14:paraId="7C0E4388" w14:textId="77777777" w:rsidR="004710A3" w:rsidRDefault="004710A3" w:rsidP="00516592">
      <w:pPr>
        <w:pStyle w:val="FootnoteText"/>
      </w:pPr>
      <w:r>
        <w:rPr>
          <w:rStyle w:val="FootnoteReference"/>
        </w:rPr>
        <w:footnoteRef/>
      </w:r>
      <w:r>
        <w:t xml:space="preserve"> NPS MedicineWise ‘Practice Review – Revising pregabalin: Optimising safety in prescribing for neuropathic pain. Accessed at: </w:t>
      </w:r>
      <w:r w:rsidRPr="00FE5612">
        <w:t>https://www.nps.org.au/pbs-pregabalin</w:t>
      </w:r>
    </w:p>
  </w:footnote>
  <w:footnote w:id="6">
    <w:p w14:paraId="4A41B4C9" w14:textId="77777777" w:rsidR="004710A3" w:rsidRDefault="004710A3" w:rsidP="00516592">
      <w:pPr>
        <w:pStyle w:val="FootnoteText"/>
      </w:pPr>
      <w:r>
        <w:rPr>
          <w:rStyle w:val="FootnoteReference"/>
        </w:rPr>
        <w:footnoteRef/>
      </w:r>
      <w:r>
        <w:t xml:space="preserve"> Cairns R, Schaffer AL, Ryan N, Pearson SA, Buckley NA. Rising pregabalin use and misuse in Australia: trends in utilization and intentional poisonings. Addiction 2019;114:1026–34.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8DCEB" w14:textId="77777777" w:rsidR="00AA56BF" w:rsidRDefault="00AA5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24C60" w14:textId="7EA49A8B" w:rsidR="004710A3" w:rsidRDefault="004710A3" w:rsidP="00B10E0C">
    <w:pPr>
      <w:pStyle w:val="Header"/>
      <w:ind w:left="360"/>
      <w:rPr>
        <w:rFonts w:asciiTheme="minorHAnsi" w:hAnsiTheme="minorHAnsi"/>
        <w:i/>
        <w:color w:val="808080"/>
      </w:rPr>
    </w:pPr>
    <w:bookmarkStart w:id="35" w:name="_Hlk76375146"/>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November 2021</w:t>
    </w:r>
    <w:r w:rsidRPr="00056684">
      <w:rPr>
        <w:rFonts w:asciiTheme="minorHAnsi" w:hAnsiTheme="minorHAnsi"/>
        <w:i/>
        <w:color w:val="808080"/>
      </w:rPr>
      <w:t xml:space="preserve"> PBAC Meeting</w:t>
    </w:r>
    <w:r>
      <w:rPr>
        <w:rFonts w:asciiTheme="minorHAnsi" w:hAnsiTheme="minorHAnsi"/>
        <w:i/>
        <w:color w:val="808080"/>
      </w:rPr>
      <w:t xml:space="preserve"> with May 2022 Addendum</w:t>
    </w:r>
  </w:p>
  <w:bookmarkEnd w:id="35"/>
  <w:p w14:paraId="602903A5" w14:textId="77777777" w:rsidR="004710A3" w:rsidRDefault="004710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95657" w14:textId="77777777" w:rsidR="00AA56BF" w:rsidRDefault="00AA5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E7432C"/>
    <w:multiLevelType w:val="hybridMultilevel"/>
    <w:tmpl w:val="2B4C55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83247D"/>
    <w:multiLevelType w:val="multilevel"/>
    <w:tmpl w:val="25EE91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B03DB2"/>
    <w:multiLevelType w:val="hybridMultilevel"/>
    <w:tmpl w:val="31981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1A2A4B"/>
    <w:multiLevelType w:val="hybridMultilevel"/>
    <w:tmpl w:val="6FC8B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376C72"/>
    <w:multiLevelType w:val="hybridMultilevel"/>
    <w:tmpl w:val="917CB06E"/>
    <w:lvl w:ilvl="0" w:tplc="DA8CD7B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E05F3"/>
    <w:multiLevelType w:val="hybridMultilevel"/>
    <w:tmpl w:val="C22E0480"/>
    <w:lvl w:ilvl="0" w:tplc="E7763612">
      <w:start w:val="1"/>
      <w:numFmt w:val="decimal"/>
      <w:lvlText w:val="%1."/>
      <w:lvlJc w:val="left"/>
      <w:pPr>
        <w:ind w:left="720" w:hanging="360"/>
      </w:pPr>
      <w:rPr>
        <w:rFonts w:ascii="Calibri" w:eastAsia="Times New Roman" w:hAnsi="Calibri" w:cs="Arial" w:hint="default"/>
        <w:i/>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47474F"/>
    <w:multiLevelType w:val="hybridMultilevel"/>
    <w:tmpl w:val="A80C5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314B88"/>
    <w:multiLevelType w:val="hybridMultilevel"/>
    <w:tmpl w:val="8084C7A4"/>
    <w:lvl w:ilvl="0" w:tplc="3A0E7560">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D308E7"/>
    <w:multiLevelType w:val="hybridMultilevel"/>
    <w:tmpl w:val="41C464C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53430A6C"/>
    <w:multiLevelType w:val="hybridMultilevel"/>
    <w:tmpl w:val="F2183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94494D"/>
    <w:multiLevelType w:val="hybridMultilevel"/>
    <w:tmpl w:val="B074C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F5122E"/>
    <w:multiLevelType w:val="multilevel"/>
    <w:tmpl w:val="69E4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9D7F8B"/>
    <w:multiLevelType w:val="hybridMultilevel"/>
    <w:tmpl w:val="7BD62E8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84D033C"/>
    <w:multiLevelType w:val="multilevel"/>
    <w:tmpl w:val="78EEBDE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7E534A"/>
    <w:multiLevelType w:val="hybridMultilevel"/>
    <w:tmpl w:val="22C2F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E43D95"/>
    <w:multiLevelType w:val="hybridMultilevel"/>
    <w:tmpl w:val="716469AC"/>
    <w:lvl w:ilvl="0" w:tplc="6C94CD72">
      <w:start w:val="1"/>
      <w:numFmt w:val="lowerLetter"/>
      <w:lvlText w:val="%1"/>
      <w:lvlJc w:val="left"/>
      <w:pPr>
        <w:ind w:left="103"/>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1" w:tplc="11E2578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2" w:tplc="78C8EEBC">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3" w:tplc="4F52512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4" w:tplc="07C8F7D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5" w:tplc="D8D88362">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6" w:tplc="DDD0F6BE">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7" w:tplc="95A45800">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8" w:tplc="5D08681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abstractNum>
  <w:num w:numId="1">
    <w:abstractNumId w:val="25"/>
  </w:num>
  <w:num w:numId="2">
    <w:abstractNumId w:val="11"/>
  </w:num>
  <w:num w:numId="3">
    <w:abstractNumId w:val="12"/>
  </w:num>
  <w:num w:numId="4">
    <w:abstractNumId w:val="0"/>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6"/>
  </w:num>
  <w:num w:numId="9">
    <w:abstractNumId w:val="26"/>
  </w:num>
  <w:num w:numId="10">
    <w:abstractNumId w:val="21"/>
  </w:num>
  <w:num w:numId="11">
    <w:abstractNumId w:val="22"/>
  </w:num>
  <w:num w:numId="12">
    <w:abstractNumId w:val="9"/>
  </w:num>
  <w:num w:numId="13">
    <w:abstractNumId w:val="15"/>
  </w:num>
  <w:num w:numId="14">
    <w:abstractNumId w:val="14"/>
  </w:num>
  <w:num w:numId="15">
    <w:abstractNumId w:val="4"/>
  </w:num>
  <w:num w:numId="16">
    <w:abstractNumId w:val="5"/>
  </w:num>
  <w:num w:numId="17">
    <w:abstractNumId w:val="17"/>
  </w:num>
  <w:num w:numId="18">
    <w:abstractNumId w:val="13"/>
  </w:num>
  <w:num w:numId="19">
    <w:abstractNumId w:val="2"/>
  </w:num>
  <w:num w:numId="20">
    <w:abstractNumId w:val="27"/>
  </w:num>
  <w:num w:numId="21">
    <w:abstractNumId w:val="25"/>
  </w:num>
  <w:num w:numId="22">
    <w:abstractNumId w:val="18"/>
  </w:num>
  <w:num w:numId="23">
    <w:abstractNumId w:val="19"/>
  </w:num>
  <w:num w:numId="24">
    <w:abstractNumId w:val="3"/>
  </w:num>
  <w:num w:numId="25">
    <w:abstractNumId w:val="1"/>
  </w:num>
  <w:num w:numId="26">
    <w:abstractNumId w:val="7"/>
  </w:num>
  <w:num w:numId="27">
    <w:abstractNumId w:val="8"/>
  </w:num>
  <w:num w:numId="28">
    <w:abstractNumId w:val="6"/>
  </w:num>
  <w:num w:numId="2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5"/>
  </w:num>
  <w:num w:numId="32">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zp02ztvwrvw9ne0af9vtp5avwx5vpe0w55e&quot;&gt;Pregabalin CR&lt;record-ids&gt;&lt;item&gt;1&lt;/item&gt;&lt;item&gt;2&lt;/item&gt;&lt;item&gt;3&lt;/item&gt;&lt;item&gt;4&lt;/item&gt;&lt;item&gt;5&lt;/item&gt;&lt;item&gt;6&lt;/item&gt;&lt;/record-ids&gt;&lt;/item&gt;&lt;/Libraries&gt;"/>
  </w:docVars>
  <w:rsids>
    <w:rsidRoot w:val="00E65E79"/>
    <w:rsid w:val="00000790"/>
    <w:rsid w:val="00000BA1"/>
    <w:rsid w:val="00000CC2"/>
    <w:rsid w:val="0000110B"/>
    <w:rsid w:val="00001294"/>
    <w:rsid w:val="00002E01"/>
    <w:rsid w:val="00003499"/>
    <w:rsid w:val="000039B7"/>
    <w:rsid w:val="0000639A"/>
    <w:rsid w:val="00007FC3"/>
    <w:rsid w:val="00010571"/>
    <w:rsid w:val="0001253C"/>
    <w:rsid w:val="00013247"/>
    <w:rsid w:val="00015886"/>
    <w:rsid w:val="000162EF"/>
    <w:rsid w:val="0001784C"/>
    <w:rsid w:val="000207C9"/>
    <w:rsid w:val="000213C6"/>
    <w:rsid w:val="0002225F"/>
    <w:rsid w:val="00022E2B"/>
    <w:rsid w:val="0002362D"/>
    <w:rsid w:val="00023763"/>
    <w:rsid w:val="000249E4"/>
    <w:rsid w:val="00025392"/>
    <w:rsid w:val="00026A4C"/>
    <w:rsid w:val="000274B8"/>
    <w:rsid w:val="000314F6"/>
    <w:rsid w:val="00033863"/>
    <w:rsid w:val="00035DC0"/>
    <w:rsid w:val="00036829"/>
    <w:rsid w:val="00037357"/>
    <w:rsid w:val="0003785C"/>
    <w:rsid w:val="00040895"/>
    <w:rsid w:val="000435EE"/>
    <w:rsid w:val="00043871"/>
    <w:rsid w:val="00043C37"/>
    <w:rsid w:val="00043D47"/>
    <w:rsid w:val="0004400F"/>
    <w:rsid w:val="000440D3"/>
    <w:rsid w:val="00045017"/>
    <w:rsid w:val="00045A2B"/>
    <w:rsid w:val="0004698F"/>
    <w:rsid w:val="00047AEF"/>
    <w:rsid w:val="00047CFE"/>
    <w:rsid w:val="00052112"/>
    <w:rsid w:val="00052816"/>
    <w:rsid w:val="000539D0"/>
    <w:rsid w:val="00053B7A"/>
    <w:rsid w:val="00054621"/>
    <w:rsid w:val="000546D7"/>
    <w:rsid w:val="00056ECF"/>
    <w:rsid w:val="00057808"/>
    <w:rsid w:val="000604DF"/>
    <w:rsid w:val="000618F5"/>
    <w:rsid w:val="00062725"/>
    <w:rsid w:val="00063D1C"/>
    <w:rsid w:val="000647CD"/>
    <w:rsid w:val="00064FBA"/>
    <w:rsid w:val="000653B5"/>
    <w:rsid w:val="00066360"/>
    <w:rsid w:val="00066AF8"/>
    <w:rsid w:val="00067C30"/>
    <w:rsid w:val="00071248"/>
    <w:rsid w:val="000720B9"/>
    <w:rsid w:val="000737F7"/>
    <w:rsid w:val="0007508A"/>
    <w:rsid w:val="0007672F"/>
    <w:rsid w:val="00076B54"/>
    <w:rsid w:val="0007749F"/>
    <w:rsid w:val="000774F0"/>
    <w:rsid w:val="00080909"/>
    <w:rsid w:val="000812CA"/>
    <w:rsid w:val="00081E63"/>
    <w:rsid w:val="00082332"/>
    <w:rsid w:val="0008258D"/>
    <w:rsid w:val="0008281D"/>
    <w:rsid w:val="00082D4E"/>
    <w:rsid w:val="00083E99"/>
    <w:rsid w:val="000845A2"/>
    <w:rsid w:val="00084B4A"/>
    <w:rsid w:val="00084FA8"/>
    <w:rsid w:val="000856C5"/>
    <w:rsid w:val="00085C31"/>
    <w:rsid w:val="0009019F"/>
    <w:rsid w:val="000902D9"/>
    <w:rsid w:val="000907E4"/>
    <w:rsid w:val="00090A67"/>
    <w:rsid w:val="00090C7E"/>
    <w:rsid w:val="00090DF7"/>
    <w:rsid w:val="00092600"/>
    <w:rsid w:val="0009262B"/>
    <w:rsid w:val="00093310"/>
    <w:rsid w:val="0009445C"/>
    <w:rsid w:val="00095200"/>
    <w:rsid w:val="00095FE5"/>
    <w:rsid w:val="000960A5"/>
    <w:rsid w:val="00096284"/>
    <w:rsid w:val="00096A4F"/>
    <w:rsid w:val="000A1BC0"/>
    <w:rsid w:val="000A2836"/>
    <w:rsid w:val="000A3BE2"/>
    <w:rsid w:val="000A6039"/>
    <w:rsid w:val="000A7453"/>
    <w:rsid w:val="000A7D08"/>
    <w:rsid w:val="000B0121"/>
    <w:rsid w:val="000B0670"/>
    <w:rsid w:val="000B08F0"/>
    <w:rsid w:val="000B0E75"/>
    <w:rsid w:val="000B2DCB"/>
    <w:rsid w:val="000B44E6"/>
    <w:rsid w:val="000B57D0"/>
    <w:rsid w:val="000B5CE0"/>
    <w:rsid w:val="000B6764"/>
    <w:rsid w:val="000B6CAC"/>
    <w:rsid w:val="000B7612"/>
    <w:rsid w:val="000B78AE"/>
    <w:rsid w:val="000B7F80"/>
    <w:rsid w:val="000C00AF"/>
    <w:rsid w:val="000C2E23"/>
    <w:rsid w:val="000C3DF9"/>
    <w:rsid w:val="000C6713"/>
    <w:rsid w:val="000C77A6"/>
    <w:rsid w:val="000D0515"/>
    <w:rsid w:val="000D1BFC"/>
    <w:rsid w:val="000D1CEC"/>
    <w:rsid w:val="000D1D5D"/>
    <w:rsid w:val="000D206C"/>
    <w:rsid w:val="000D27A1"/>
    <w:rsid w:val="000D281A"/>
    <w:rsid w:val="000D2848"/>
    <w:rsid w:val="000D326A"/>
    <w:rsid w:val="000D51FB"/>
    <w:rsid w:val="000D58B9"/>
    <w:rsid w:val="000D6189"/>
    <w:rsid w:val="000D7747"/>
    <w:rsid w:val="000E0640"/>
    <w:rsid w:val="000E0C9D"/>
    <w:rsid w:val="000E135D"/>
    <w:rsid w:val="000E2B15"/>
    <w:rsid w:val="000E43C1"/>
    <w:rsid w:val="000F00BA"/>
    <w:rsid w:val="000F0C98"/>
    <w:rsid w:val="000F236A"/>
    <w:rsid w:val="000F2C75"/>
    <w:rsid w:val="000F316A"/>
    <w:rsid w:val="000F3C74"/>
    <w:rsid w:val="000F4BB8"/>
    <w:rsid w:val="000F4FA9"/>
    <w:rsid w:val="000F53FB"/>
    <w:rsid w:val="000F7127"/>
    <w:rsid w:val="000F7B54"/>
    <w:rsid w:val="00100F8A"/>
    <w:rsid w:val="00102712"/>
    <w:rsid w:val="00103298"/>
    <w:rsid w:val="00103E65"/>
    <w:rsid w:val="0010452E"/>
    <w:rsid w:val="00104FDC"/>
    <w:rsid w:val="0010553C"/>
    <w:rsid w:val="00105692"/>
    <w:rsid w:val="00105AE2"/>
    <w:rsid w:val="00106024"/>
    <w:rsid w:val="001060C6"/>
    <w:rsid w:val="00106B80"/>
    <w:rsid w:val="0010734D"/>
    <w:rsid w:val="00107A56"/>
    <w:rsid w:val="00107F43"/>
    <w:rsid w:val="0011032E"/>
    <w:rsid w:val="0011277D"/>
    <w:rsid w:val="0011348B"/>
    <w:rsid w:val="00115982"/>
    <w:rsid w:val="001160B2"/>
    <w:rsid w:val="00116C53"/>
    <w:rsid w:val="00117DC1"/>
    <w:rsid w:val="00121799"/>
    <w:rsid w:val="00121A55"/>
    <w:rsid w:val="00121F60"/>
    <w:rsid w:val="001222FC"/>
    <w:rsid w:val="00123902"/>
    <w:rsid w:val="00124A51"/>
    <w:rsid w:val="00124CB3"/>
    <w:rsid w:val="00126621"/>
    <w:rsid w:val="00126B1D"/>
    <w:rsid w:val="00126D5A"/>
    <w:rsid w:val="0012782D"/>
    <w:rsid w:val="001301E9"/>
    <w:rsid w:val="001302A7"/>
    <w:rsid w:val="00131D82"/>
    <w:rsid w:val="00132B22"/>
    <w:rsid w:val="00132DCA"/>
    <w:rsid w:val="00133D36"/>
    <w:rsid w:val="0013486E"/>
    <w:rsid w:val="00135BC4"/>
    <w:rsid w:val="001360B2"/>
    <w:rsid w:val="00136306"/>
    <w:rsid w:val="001367BF"/>
    <w:rsid w:val="00137645"/>
    <w:rsid w:val="0014015A"/>
    <w:rsid w:val="001409B0"/>
    <w:rsid w:val="00140E99"/>
    <w:rsid w:val="001424B3"/>
    <w:rsid w:val="00142D8F"/>
    <w:rsid w:val="00143F67"/>
    <w:rsid w:val="00144F10"/>
    <w:rsid w:val="00145370"/>
    <w:rsid w:val="00145540"/>
    <w:rsid w:val="001456B0"/>
    <w:rsid w:val="00146C76"/>
    <w:rsid w:val="00150D64"/>
    <w:rsid w:val="00152CE1"/>
    <w:rsid w:val="00155035"/>
    <w:rsid w:val="00156F8F"/>
    <w:rsid w:val="00157130"/>
    <w:rsid w:val="00157674"/>
    <w:rsid w:val="001576B1"/>
    <w:rsid w:val="0016047B"/>
    <w:rsid w:val="00160A4C"/>
    <w:rsid w:val="00161D7E"/>
    <w:rsid w:val="00162460"/>
    <w:rsid w:val="00162913"/>
    <w:rsid w:val="00163EFF"/>
    <w:rsid w:val="00163F66"/>
    <w:rsid w:val="001646EC"/>
    <w:rsid w:val="00164A82"/>
    <w:rsid w:val="001652A9"/>
    <w:rsid w:val="001661FB"/>
    <w:rsid w:val="0016634F"/>
    <w:rsid w:val="001671A0"/>
    <w:rsid w:val="0016767F"/>
    <w:rsid w:val="001702C8"/>
    <w:rsid w:val="00173565"/>
    <w:rsid w:val="00173B07"/>
    <w:rsid w:val="00174082"/>
    <w:rsid w:val="001751FA"/>
    <w:rsid w:val="00175F39"/>
    <w:rsid w:val="00180F40"/>
    <w:rsid w:val="00181D9C"/>
    <w:rsid w:val="0018315D"/>
    <w:rsid w:val="0018393D"/>
    <w:rsid w:val="00184B0E"/>
    <w:rsid w:val="001861F5"/>
    <w:rsid w:val="0018752F"/>
    <w:rsid w:val="00187C06"/>
    <w:rsid w:val="0019371C"/>
    <w:rsid w:val="00193838"/>
    <w:rsid w:val="001942BD"/>
    <w:rsid w:val="00194AD8"/>
    <w:rsid w:val="00195222"/>
    <w:rsid w:val="00195278"/>
    <w:rsid w:val="001956F2"/>
    <w:rsid w:val="00196BD4"/>
    <w:rsid w:val="001975D8"/>
    <w:rsid w:val="001A178E"/>
    <w:rsid w:val="001A3DDC"/>
    <w:rsid w:val="001A43FA"/>
    <w:rsid w:val="001A46E9"/>
    <w:rsid w:val="001A47C5"/>
    <w:rsid w:val="001A59FB"/>
    <w:rsid w:val="001A5E9E"/>
    <w:rsid w:val="001A6354"/>
    <w:rsid w:val="001A6366"/>
    <w:rsid w:val="001A6ED7"/>
    <w:rsid w:val="001A7AE8"/>
    <w:rsid w:val="001B1D3F"/>
    <w:rsid w:val="001B204E"/>
    <w:rsid w:val="001B2372"/>
    <w:rsid w:val="001B2E8A"/>
    <w:rsid w:val="001B3443"/>
    <w:rsid w:val="001B4D20"/>
    <w:rsid w:val="001B606D"/>
    <w:rsid w:val="001B6BD2"/>
    <w:rsid w:val="001B6E46"/>
    <w:rsid w:val="001C2A9B"/>
    <w:rsid w:val="001C3199"/>
    <w:rsid w:val="001C38C7"/>
    <w:rsid w:val="001C40BF"/>
    <w:rsid w:val="001C4299"/>
    <w:rsid w:val="001C4874"/>
    <w:rsid w:val="001C577B"/>
    <w:rsid w:val="001C5F94"/>
    <w:rsid w:val="001C63A1"/>
    <w:rsid w:val="001C6D07"/>
    <w:rsid w:val="001C6E66"/>
    <w:rsid w:val="001C7FFC"/>
    <w:rsid w:val="001D1100"/>
    <w:rsid w:val="001D1391"/>
    <w:rsid w:val="001D1C27"/>
    <w:rsid w:val="001D25D7"/>
    <w:rsid w:val="001D2B8A"/>
    <w:rsid w:val="001D3229"/>
    <w:rsid w:val="001D42F8"/>
    <w:rsid w:val="001D50B2"/>
    <w:rsid w:val="001D5A99"/>
    <w:rsid w:val="001D7645"/>
    <w:rsid w:val="001D7A80"/>
    <w:rsid w:val="001E0EEA"/>
    <w:rsid w:val="001E1E86"/>
    <w:rsid w:val="001E238E"/>
    <w:rsid w:val="001E2483"/>
    <w:rsid w:val="001E2B1E"/>
    <w:rsid w:val="001E2CFF"/>
    <w:rsid w:val="001E2F24"/>
    <w:rsid w:val="001E30D4"/>
    <w:rsid w:val="001E34DF"/>
    <w:rsid w:val="001E432E"/>
    <w:rsid w:val="001E52AF"/>
    <w:rsid w:val="001E52EB"/>
    <w:rsid w:val="001E56AD"/>
    <w:rsid w:val="001E61D2"/>
    <w:rsid w:val="001E644C"/>
    <w:rsid w:val="001E740C"/>
    <w:rsid w:val="001F01FA"/>
    <w:rsid w:val="001F1235"/>
    <w:rsid w:val="001F1C06"/>
    <w:rsid w:val="001F1CB3"/>
    <w:rsid w:val="001F20B7"/>
    <w:rsid w:val="001F38B5"/>
    <w:rsid w:val="001F4081"/>
    <w:rsid w:val="001F4318"/>
    <w:rsid w:val="001F5147"/>
    <w:rsid w:val="001F5BFC"/>
    <w:rsid w:val="001F6234"/>
    <w:rsid w:val="001F7361"/>
    <w:rsid w:val="002011B0"/>
    <w:rsid w:val="00202E8C"/>
    <w:rsid w:val="00203181"/>
    <w:rsid w:val="00203783"/>
    <w:rsid w:val="0020385F"/>
    <w:rsid w:val="00203914"/>
    <w:rsid w:val="00203A67"/>
    <w:rsid w:val="002043FB"/>
    <w:rsid w:val="00206025"/>
    <w:rsid w:val="002063A5"/>
    <w:rsid w:val="002068A0"/>
    <w:rsid w:val="00207021"/>
    <w:rsid w:val="0020732F"/>
    <w:rsid w:val="00207439"/>
    <w:rsid w:val="0020773F"/>
    <w:rsid w:val="00207D00"/>
    <w:rsid w:val="002105C1"/>
    <w:rsid w:val="00211F4C"/>
    <w:rsid w:val="0021310E"/>
    <w:rsid w:val="00213B23"/>
    <w:rsid w:val="00213C7C"/>
    <w:rsid w:val="00213CB1"/>
    <w:rsid w:val="00213EF5"/>
    <w:rsid w:val="00215E49"/>
    <w:rsid w:val="00216BF5"/>
    <w:rsid w:val="00217F93"/>
    <w:rsid w:val="002206E6"/>
    <w:rsid w:val="00222BAA"/>
    <w:rsid w:val="00223B49"/>
    <w:rsid w:val="00223D5A"/>
    <w:rsid w:val="00224048"/>
    <w:rsid w:val="00224DD4"/>
    <w:rsid w:val="0022645D"/>
    <w:rsid w:val="002278A0"/>
    <w:rsid w:val="002309CC"/>
    <w:rsid w:val="00230ED0"/>
    <w:rsid w:val="0023158F"/>
    <w:rsid w:val="00231766"/>
    <w:rsid w:val="0023209F"/>
    <w:rsid w:val="00233BE9"/>
    <w:rsid w:val="00233C01"/>
    <w:rsid w:val="0023413C"/>
    <w:rsid w:val="002346F0"/>
    <w:rsid w:val="00234AAF"/>
    <w:rsid w:val="0023620C"/>
    <w:rsid w:val="0023629D"/>
    <w:rsid w:val="002369D9"/>
    <w:rsid w:val="00237255"/>
    <w:rsid w:val="0024088A"/>
    <w:rsid w:val="00240A28"/>
    <w:rsid w:val="00240B3A"/>
    <w:rsid w:val="00242125"/>
    <w:rsid w:val="002424AF"/>
    <w:rsid w:val="00242E6D"/>
    <w:rsid w:val="002432E8"/>
    <w:rsid w:val="002439DC"/>
    <w:rsid w:val="00243D85"/>
    <w:rsid w:val="002441D2"/>
    <w:rsid w:val="00244DC8"/>
    <w:rsid w:val="002458BA"/>
    <w:rsid w:val="00245CE9"/>
    <w:rsid w:val="00245EC8"/>
    <w:rsid w:val="0024636C"/>
    <w:rsid w:val="00246F60"/>
    <w:rsid w:val="00247925"/>
    <w:rsid w:val="00247A1D"/>
    <w:rsid w:val="00251006"/>
    <w:rsid w:val="0025149B"/>
    <w:rsid w:val="002524D5"/>
    <w:rsid w:val="002528D1"/>
    <w:rsid w:val="00253B1D"/>
    <w:rsid w:val="00254DCF"/>
    <w:rsid w:val="0025534B"/>
    <w:rsid w:val="0025540A"/>
    <w:rsid w:val="00255BB7"/>
    <w:rsid w:val="00255D4B"/>
    <w:rsid w:val="00256326"/>
    <w:rsid w:val="002574D5"/>
    <w:rsid w:val="00257541"/>
    <w:rsid w:val="00257A39"/>
    <w:rsid w:val="00257AC4"/>
    <w:rsid w:val="00261EEF"/>
    <w:rsid w:val="00262A1A"/>
    <w:rsid w:val="00262A87"/>
    <w:rsid w:val="00264D26"/>
    <w:rsid w:val="002668BB"/>
    <w:rsid w:val="00267642"/>
    <w:rsid w:val="00267AEA"/>
    <w:rsid w:val="002700E6"/>
    <w:rsid w:val="0027230C"/>
    <w:rsid w:val="0027294B"/>
    <w:rsid w:val="00273767"/>
    <w:rsid w:val="00273EB4"/>
    <w:rsid w:val="00274584"/>
    <w:rsid w:val="00274682"/>
    <w:rsid w:val="00274C16"/>
    <w:rsid w:val="0027508D"/>
    <w:rsid w:val="00275C5A"/>
    <w:rsid w:val="00276B80"/>
    <w:rsid w:val="00276BDD"/>
    <w:rsid w:val="00276C2A"/>
    <w:rsid w:val="00281014"/>
    <w:rsid w:val="00281CE3"/>
    <w:rsid w:val="00281D83"/>
    <w:rsid w:val="002833C1"/>
    <w:rsid w:val="002833CA"/>
    <w:rsid w:val="00284ABA"/>
    <w:rsid w:val="002856FD"/>
    <w:rsid w:val="002859E8"/>
    <w:rsid w:val="002864A8"/>
    <w:rsid w:val="0028665D"/>
    <w:rsid w:val="00290C48"/>
    <w:rsid w:val="002914A8"/>
    <w:rsid w:val="00291E95"/>
    <w:rsid w:val="002956B2"/>
    <w:rsid w:val="002965C3"/>
    <w:rsid w:val="002A14AB"/>
    <w:rsid w:val="002A2ADE"/>
    <w:rsid w:val="002A2F50"/>
    <w:rsid w:val="002A74E3"/>
    <w:rsid w:val="002A7A2C"/>
    <w:rsid w:val="002B05A1"/>
    <w:rsid w:val="002B09A4"/>
    <w:rsid w:val="002B1C1F"/>
    <w:rsid w:val="002B239D"/>
    <w:rsid w:val="002B2C95"/>
    <w:rsid w:val="002B432F"/>
    <w:rsid w:val="002B60BB"/>
    <w:rsid w:val="002B62B3"/>
    <w:rsid w:val="002B6754"/>
    <w:rsid w:val="002B6CCE"/>
    <w:rsid w:val="002B73DD"/>
    <w:rsid w:val="002C0BF2"/>
    <w:rsid w:val="002C2510"/>
    <w:rsid w:val="002C2775"/>
    <w:rsid w:val="002C27C1"/>
    <w:rsid w:val="002C3358"/>
    <w:rsid w:val="002C5099"/>
    <w:rsid w:val="002C5889"/>
    <w:rsid w:val="002C6428"/>
    <w:rsid w:val="002C71CE"/>
    <w:rsid w:val="002D0061"/>
    <w:rsid w:val="002D086E"/>
    <w:rsid w:val="002D08F8"/>
    <w:rsid w:val="002D577C"/>
    <w:rsid w:val="002D5884"/>
    <w:rsid w:val="002D6B52"/>
    <w:rsid w:val="002E1071"/>
    <w:rsid w:val="002E15B9"/>
    <w:rsid w:val="002E2158"/>
    <w:rsid w:val="002E4F02"/>
    <w:rsid w:val="002E52E9"/>
    <w:rsid w:val="002E703D"/>
    <w:rsid w:val="002E7722"/>
    <w:rsid w:val="002F0273"/>
    <w:rsid w:val="002F07BA"/>
    <w:rsid w:val="002F0DA9"/>
    <w:rsid w:val="002F1014"/>
    <w:rsid w:val="002F3919"/>
    <w:rsid w:val="002F4337"/>
    <w:rsid w:val="002F5676"/>
    <w:rsid w:val="002F5A9C"/>
    <w:rsid w:val="002F643C"/>
    <w:rsid w:val="002F6672"/>
    <w:rsid w:val="002F71C0"/>
    <w:rsid w:val="002F74F1"/>
    <w:rsid w:val="003007D5"/>
    <w:rsid w:val="00301017"/>
    <w:rsid w:val="0030155F"/>
    <w:rsid w:val="0030489F"/>
    <w:rsid w:val="00304F1D"/>
    <w:rsid w:val="003051A0"/>
    <w:rsid w:val="0030587B"/>
    <w:rsid w:val="00306D98"/>
    <w:rsid w:val="0030786C"/>
    <w:rsid w:val="0031031A"/>
    <w:rsid w:val="0031034A"/>
    <w:rsid w:val="00310981"/>
    <w:rsid w:val="00310F34"/>
    <w:rsid w:val="003124D9"/>
    <w:rsid w:val="00312594"/>
    <w:rsid w:val="00313C2E"/>
    <w:rsid w:val="00315498"/>
    <w:rsid w:val="00315F70"/>
    <w:rsid w:val="00316474"/>
    <w:rsid w:val="00316BF9"/>
    <w:rsid w:val="0031717A"/>
    <w:rsid w:val="0032163D"/>
    <w:rsid w:val="00321802"/>
    <w:rsid w:val="00322107"/>
    <w:rsid w:val="00322355"/>
    <w:rsid w:val="00322846"/>
    <w:rsid w:val="003228D3"/>
    <w:rsid w:val="00322A0F"/>
    <w:rsid w:val="00324093"/>
    <w:rsid w:val="00325808"/>
    <w:rsid w:val="00326DA7"/>
    <w:rsid w:val="003270E4"/>
    <w:rsid w:val="00327E50"/>
    <w:rsid w:val="00330DAA"/>
    <w:rsid w:val="00330F5C"/>
    <w:rsid w:val="003313CE"/>
    <w:rsid w:val="00334131"/>
    <w:rsid w:val="0033557C"/>
    <w:rsid w:val="00335A1B"/>
    <w:rsid w:val="003366C9"/>
    <w:rsid w:val="0033707C"/>
    <w:rsid w:val="003371B0"/>
    <w:rsid w:val="00337427"/>
    <w:rsid w:val="00340DF1"/>
    <w:rsid w:val="0034212D"/>
    <w:rsid w:val="003424C3"/>
    <w:rsid w:val="00343E0B"/>
    <w:rsid w:val="003517F9"/>
    <w:rsid w:val="00351BA9"/>
    <w:rsid w:val="00354F64"/>
    <w:rsid w:val="0035620E"/>
    <w:rsid w:val="00360345"/>
    <w:rsid w:val="0036154E"/>
    <w:rsid w:val="00361A05"/>
    <w:rsid w:val="003624C4"/>
    <w:rsid w:val="00363740"/>
    <w:rsid w:val="00363B00"/>
    <w:rsid w:val="00363C17"/>
    <w:rsid w:val="0036421B"/>
    <w:rsid w:val="003654AC"/>
    <w:rsid w:val="0036653B"/>
    <w:rsid w:val="00366916"/>
    <w:rsid w:val="003710CF"/>
    <w:rsid w:val="00371BCF"/>
    <w:rsid w:val="0037358A"/>
    <w:rsid w:val="003750F6"/>
    <w:rsid w:val="003760FC"/>
    <w:rsid w:val="00377533"/>
    <w:rsid w:val="0038365C"/>
    <w:rsid w:val="0038369B"/>
    <w:rsid w:val="00383B78"/>
    <w:rsid w:val="00383ED4"/>
    <w:rsid w:val="00385A9D"/>
    <w:rsid w:val="003902B1"/>
    <w:rsid w:val="00390D26"/>
    <w:rsid w:val="0039179C"/>
    <w:rsid w:val="0039191B"/>
    <w:rsid w:val="00394874"/>
    <w:rsid w:val="0039503D"/>
    <w:rsid w:val="00396896"/>
    <w:rsid w:val="00396FD0"/>
    <w:rsid w:val="00397C89"/>
    <w:rsid w:val="003A1A7A"/>
    <w:rsid w:val="003A2392"/>
    <w:rsid w:val="003A24E9"/>
    <w:rsid w:val="003A2831"/>
    <w:rsid w:val="003A3CB6"/>
    <w:rsid w:val="003A3ED1"/>
    <w:rsid w:val="003A44DB"/>
    <w:rsid w:val="003A4D4B"/>
    <w:rsid w:val="003A606E"/>
    <w:rsid w:val="003A61F9"/>
    <w:rsid w:val="003A6617"/>
    <w:rsid w:val="003B2AC7"/>
    <w:rsid w:val="003B3443"/>
    <w:rsid w:val="003B3971"/>
    <w:rsid w:val="003B54CD"/>
    <w:rsid w:val="003B55D1"/>
    <w:rsid w:val="003B5B61"/>
    <w:rsid w:val="003B684C"/>
    <w:rsid w:val="003B7012"/>
    <w:rsid w:val="003C1391"/>
    <w:rsid w:val="003C1654"/>
    <w:rsid w:val="003C238B"/>
    <w:rsid w:val="003C3BAE"/>
    <w:rsid w:val="003C54B2"/>
    <w:rsid w:val="003C54DA"/>
    <w:rsid w:val="003C5542"/>
    <w:rsid w:val="003C7D19"/>
    <w:rsid w:val="003C7D2F"/>
    <w:rsid w:val="003D0D7F"/>
    <w:rsid w:val="003D1828"/>
    <w:rsid w:val="003D1DE4"/>
    <w:rsid w:val="003D1E9A"/>
    <w:rsid w:val="003D22C3"/>
    <w:rsid w:val="003D2422"/>
    <w:rsid w:val="003D2D83"/>
    <w:rsid w:val="003D3750"/>
    <w:rsid w:val="003D39A1"/>
    <w:rsid w:val="003D3F13"/>
    <w:rsid w:val="003D3FBF"/>
    <w:rsid w:val="003D4A30"/>
    <w:rsid w:val="003D69F3"/>
    <w:rsid w:val="003D7452"/>
    <w:rsid w:val="003D79BB"/>
    <w:rsid w:val="003D7C3F"/>
    <w:rsid w:val="003D7C98"/>
    <w:rsid w:val="003D7D9D"/>
    <w:rsid w:val="003E0543"/>
    <w:rsid w:val="003E0663"/>
    <w:rsid w:val="003E1297"/>
    <w:rsid w:val="003E1A86"/>
    <w:rsid w:val="003E25CC"/>
    <w:rsid w:val="003E6CDE"/>
    <w:rsid w:val="003E749E"/>
    <w:rsid w:val="003E7EF6"/>
    <w:rsid w:val="003F0D6C"/>
    <w:rsid w:val="003F1E3D"/>
    <w:rsid w:val="003F1E43"/>
    <w:rsid w:val="003F364E"/>
    <w:rsid w:val="003F3EC4"/>
    <w:rsid w:val="003F4156"/>
    <w:rsid w:val="003F5728"/>
    <w:rsid w:val="003F5958"/>
    <w:rsid w:val="003F5ADF"/>
    <w:rsid w:val="003F5F03"/>
    <w:rsid w:val="003F64D9"/>
    <w:rsid w:val="003F67FC"/>
    <w:rsid w:val="00400B29"/>
    <w:rsid w:val="00400D59"/>
    <w:rsid w:val="00401960"/>
    <w:rsid w:val="00404CF5"/>
    <w:rsid w:val="0040504B"/>
    <w:rsid w:val="004059F4"/>
    <w:rsid w:val="004073FB"/>
    <w:rsid w:val="004075E0"/>
    <w:rsid w:val="00407FE5"/>
    <w:rsid w:val="004101B0"/>
    <w:rsid w:val="00410326"/>
    <w:rsid w:val="00410708"/>
    <w:rsid w:val="00410A36"/>
    <w:rsid w:val="00410EC7"/>
    <w:rsid w:val="00411B39"/>
    <w:rsid w:val="004127A7"/>
    <w:rsid w:val="00413A1E"/>
    <w:rsid w:val="00414476"/>
    <w:rsid w:val="00414C2E"/>
    <w:rsid w:val="00414FD8"/>
    <w:rsid w:val="004151CF"/>
    <w:rsid w:val="00415C0C"/>
    <w:rsid w:val="00416364"/>
    <w:rsid w:val="00417113"/>
    <w:rsid w:val="00417EC8"/>
    <w:rsid w:val="004203A9"/>
    <w:rsid w:val="0042047F"/>
    <w:rsid w:val="00420AA6"/>
    <w:rsid w:val="00420B68"/>
    <w:rsid w:val="00420B9F"/>
    <w:rsid w:val="00420C05"/>
    <w:rsid w:val="0042192C"/>
    <w:rsid w:val="00422260"/>
    <w:rsid w:val="0042413F"/>
    <w:rsid w:val="00424313"/>
    <w:rsid w:val="0042754F"/>
    <w:rsid w:val="004319F8"/>
    <w:rsid w:val="00431E55"/>
    <w:rsid w:val="004321F6"/>
    <w:rsid w:val="00432463"/>
    <w:rsid w:val="00433044"/>
    <w:rsid w:val="0043346C"/>
    <w:rsid w:val="00434088"/>
    <w:rsid w:val="004351CE"/>
    <w:rsid w:val="004375B9"/>
    <w:rsid w:val="004428D0"/>
    <w:rsid w:val="00444185"/>
    <w:rsid w:val="004443A7"/>
    <w:rsid w:val="0044442C"/>
    <w:rsid w:val="00444B88"/>
    <w:rsid w:val="00444DF2"/>
    <w:rsid w:val="0044521C"/>
    <w:rsid w:val="00445941"/>
    <w:rsid w:val="004464EB"/>
    <w:rsid w:val="00446872"/>
    <w:rsid w:val="00447D26"/>
    <w:rsid w:val="00447DFC"/>
    <w:rsid w:val="00451B22"/>
    <w:rsid w:val="00452370"/>
    <w:rsid w:val="00455D45"/>
    <w:rsid w:val="0045686C"/>
    <w:rsid w:val="00460595"/>
    <w:rsid w:val="00461B5B"/>
    <w:rsid w:val="00464595"/>
    <w:rsid w:val="00465431"/>
    <w:rsid w:val="004658B5"/>
    <w:rsid w:val="004678FE"/>
    <w:rsid w:val="004710A3"/>
    <w:rsid w:val="004715DC"/>
    <w:rsid w:val="004719D9"/>
    <w:rsid w:val="00471EA5"/>
    <w:rsid w:val="00472A79"/>
    <w:rsid w:val="00473F19"/>
    <w:rsid w:val="00474CE6"/>
    <w:rsid w:val="00475E22"/>
    <w:rsid w:val="00476BC4"/>
    <w:rsid w:val="0048088E"/>
    <w:rsid w:val="00480F2B"/>
    <w:rsid w:val="00482495"/>
    <w:rsid w:val="00482720"/>
    <w:rsid w:val="00483321"/>
    <w:rsid w:val="004835E7"/>
    <w:rsid w:val="00483657"/>
    <w:rsid w:val="00484429"/>
    <w:rsid w:val="00484F58"/>
    <w:rsid w:val="00485235"/>
    <w:rsid w:val="004867E2"/>
    <w:rsid w:val="00487D33"/>
    <w:rsid w:val="00490B17"/>
    <w:rsid w:val="00491722"/>
    <w:rsid w:val="00491B3A"/>
    <w:rsid w:val="0049241F"/>
    <w:rsid w:val="00492CFD"/>
    <w:rsid w:val="00494207"/>
    <w:rsid w:val="00494DD5"/>
    <w:rsid w:val="00494FA1"/>
    <w:rsid w:val="00495085"/>
    <w:rsid w:val="004952A6"/>
    <w:rsid w:val="00495FC2"/>
    <w:rsid w:val="004962D2"/>
    <w:rsid w:val="00496DFB"/>
    <w:rsid w:val="00497B41"/>
    <w:rsid w:val="004A0DA1"/>
    <w:rsid w:val="004A13D6"/>
    <w:rsid w:val="004A52E9"/>
    <w:rsid w:val="004A5B9A"/>
    <w:rsid w:val="004A6040"/>
    <w:rsid w:val="004A632D"/>
    <w:rsid w:val="004A6597"/>
    <w:rsid w:val="004A7848"/>
    <w:rsid w:val="004B05E9"/>
    <w:rsid w:val="004B1CB4"/>
    <w:rsid w:val="004B2F18"/>
    <w:rsid w:val="004B3DDB"/>
    <w:rsid w:val="004B3E94"/>
    <w:rsid w:val="004B44FD"/>
    <w:rsid w:val="004B5CFC"/>
    <w:rsid w:val="004B601C"/>
    <w:rsid w:val="004B671D"/>
    <w:rsid w:val="004B6F79"/>
    <w:rsid w:val="004B774D"/>
    <w:rsid w:val="004B780A"/>
    <w:rsid w:val="004B7985"/>
    <w:rsid w:val="004C07A8"/>
    <w:rsid w:val="004C0AF3"/>
    <w:rsid w:val="004C0C56"/>
    <w:rsid w:val="004C1501"/>
    <w:rsid w:val="004C4AED"/>
    <w:rsid w:val="004C5C6B"/>
    <w:rsid w:val="004C6563"/>
    <w:rsid w:val="004D1B38"/>
    <w:rsid w:val="004D2477"/>
    <w:rsid w:val="004D2C2D"/>
    <w:rsid w:val="004D69B5"/>
    <w:rsid w:val="004D7227"/>
    <w:rsid w:val="004E0E7F"/>
    <w:rsid w:val="004E0EB8"/>
    <w:rsid w:val="004E18E9"/>
    <w:rsid w:val="004E2ADC"/>
    <w:rsid w:val="004E43B2"/>
    <w:rsid w:val="004E4DEC"/>
    <w:rsid w:val="004F1D02"/>
    <w:rsid w:val="004F2679"/>
    <w:rsid w:val="004F2F21"/>
    <w:rsid w:val="004F3DE5"/>
    <w:rsid w:val="004F55E6"/>
    <w:rsid w:val="004F6913"/>
    <w:rsid w:val="004F6ADF"/>
    <w:rsid w:val="004F7454"/>
    <w:rsid w:val="004F7865"/>
    <w:rsid w:val="0050174E"/>
    <w:rsid w:val="00501854"/>
    <w:rsid w:val="0050219B"/>
    <w:rsid w:val="00502F8F"/>
    <w:rsid w:val="0050326C"/>
    <w:rsid w:val="00503BE6"/>
    <w:rsid w:val="00503F17"/>
    <w:rsid w:val="00504A63"/>
    <w:rsid w:val="00504B50"/>
    <w:rsid w:val="00505018"/>
    <w:rsid w:val="00506928"/>
    <w:rsid w:val="005077EF"/>
    <w:rsid w:val="00510BC1"/>
    <w:rsid w:val="00510D52"/>
    <w:rsid w:val="00511AD5"/>
    <w:rsid w:val="00511DC7"/>
    <w:rsid w:val="0051276C"/>
    <w:rsid w:val="005142C5"/>
    <w:rsid w:val="0051501B"/>
    <w:rsid w:val="005150A6"/>
    <w:rsid w:val="005152B5"/>
    <w:rsid w:val="00516592"/>
    <w:rsid w:val="0052123C"/>
    <w:rsid w:val="00521319"/>
    <w:rsid w:val="00522BC8"/>
    <w:rsid w:val="00523738"/>
    <w:rsid w:val="00523C28"/>
    <w:rsid w:val="00526C54"/>
    <w:rsid w:val="0053176B"/>
    <w:rsid w:val="00532271"/>
    <w:rsid w:val="00534E44"/>
    <w:rsid w:val="00536308"/>
    <w:rsid w:val="00536747"/>
    <w:rsid w:val="00536F42"/>
    <w:rsid w:val="00537182"/>
    <w:rsid w:val="005401DE"/>
    <w:rsid w:val="00540FEF"/>
    <w:rsid w:val="00541EDD"/>
    <w:rsid w:val="00542240"/>
    <w:rsid w:val="00542743"/>
    <w:rsid w:val="00542865"/>
    <w:rsid w:val="00542C2D"/>
    <w:rsid w:val="00544A5F"/>
    <w:rsid w:val="005478BD"/>
    <w:rsid w:val="005479E3"/>
    <w:rsid w:val="00550AF3"/>
    <w:rsid w:val="00550D57"/>
    <w:rsid w:val="0055102C"/>
    <w:rsid w:val="00551985"/>
    <w:rsid w:val="00552BD3"/>
    <w:rsid w:val="005532A0"/>
    <w:rsid w:val="00555109"/>
    <w:rsid w:val="0055694B"/>
    <w:rsid w:val="00556B35"/>
    <w:rsid w:val="0055741A"/>
    <w:rsid w:val="0055765F"/>
    <w:rsid w:val="005605D0"/>
    <w:rsid w:val="005611B7"/>
    <w:rsid w:val="005618D4"/>
    <w:rsid w:val="005619EB"/>
    <w:rsid w:val="00563908"/>
    <w:rsid w:val="00563BF9"/>
    <w:rsid w:val="0056408B"/>
    <w:rsid w:val="00565AC5"/>
    <w:rsid w:val="00565DF0"/>
    <w:rsid w:val="0056696F"/>
    <w:rsid w:val="00567CE5"/>
    <w:rsid w:val="00572269"/>
    <w:rsid w:val="0057244A"/>
    <w:rsid w:val="00572F26"/>
    <w:rsid w:val="0057318F"/>
    <w:rsid w:val="005750C5"/>
    <w:rsid w:val="005752DE"/>
    <w:rsid w:val="00575933"/>
    <w:rsid w:val="00575BEA"/>
    <w:rsid w:val="00575D8D"/>
    <w:rsid w:val="00576972"/>
    <w:rsid w:val="00576E43"/>
    <w:rsid w:val="0057761F"/>
    <w:rsid w:val="00582B0B"/>
    <w:rsid w:val="00583699"/>
    <w:rsid w:val="00584337"/>
    <w:rsid w:val="005847D3"/>
    <w:rsid w:val="00585CDD"/>
    <w:rsid w:val="00587058"/>
    <w:rsid w:val="00591957"/>
    <w:rsid w:val="00592607"/>
    <w:rsid w:val="00596840"/>
    <w:rsid w:val="00597BF9"/>
    <w:rsid w:val="005A309A"/>
    <w:rsid w:val="005A373D"/>
    <w:rsid w:val="005A394F"/>
    <w:rsid w:val="005A48B6"/>
    <w:rsid w:val="005B0B58"/>
    <w:rsid w:val="005B304F"/>
    <w:rsid w:val="005B4E53"/>
    <w:rsid w:val="005B5704"/>
    <w:rsid w:val="005B5857"/>
    <w:rsid w:val="005C1B83"/>
    <w:rsid w:val="005C2105"/>
    <w:rsid w:val="005C2240"/>
    <w:rsid w:val="005C25FF"/>
    <w:rsid w:val="005C2D55"/>
    <w:rsid w:val="005C33BE"/>
    <w:rsid w:val="005C346B"/>
    <w:rsid w:val="005C38F2"/>
    <w:rsid w:val="005C39FE"/>
    <w:rsid w:val="005C53BE"/>
    <w:rsid w:val="005C5AA5"/>
    <w:rsid w:val="005C648F"/>
    <w:rsid w:val="005D044D"/>
    <w:rsid w:val="005D0ABD"/>
    <w:rsid w:val="005D18AD"/>
    <w:rsid w:val="005D26B4"/>
    <w:rsid w:val="005D5055"/>
    <w:rsid w:val="005E0623"/>
    <w:rsid w:val="005E1230"/>
    <w:rsid w:val="005E356B"/>
    <w:rsid w:val="005E6537"/>
    <w:rsid w:val="005E6CBC"/>
    <w:rsid w:val="005E72FF"/>
    <w:rsid w:val="005E73C0"/>
    <w:rsid w:val="005F20D1"/>
    <w:rsid w:val="005F2121"/>
    <w:rsid w:val="005F2706"/>
    <w:rsid w:val="005F6A8F"/>
    <w:rsid w:val="005F6BB7"/>
    <w:rsid w:val="005F6F75"/>
    <w:rsid w:val="005F7588"/>
    <w:rsid w:val="00603D74"/>
    <w:rsid w:val="00603DB9"/>
    <w:rsid w:val="00603FEB"/>
    <w:rsid w:val="00605797"/>
    <w:rsid w:val="00606FBA"/>
    <w:rsid w:val="00607669"/>
    <w:rsid w:val="006076F4"/>
    <w:rsid w:val="006077DE"/>
    <w:rsid w:val="00607AFD"/>
    <w:rsid w:val="00612F97"/>
    <w:rsid w:val="0061345D"/>
    <w:rsid w:val="00614991"/>
    <w:rsid w:val="0061549B"/>
    <w:rsid w:val="0061661A"/>
    <w:rsid w:val="00616802"/>
    <w:rsid w:val="006170EA"/>
    <w:rsid w:val="00617E12"/>
    <w:rsid w:val="00620C25"/>
    <w:rsid w:val="0062112B"/>
    <w:rsid w:val="00621477"/>
    <w:rsid w:val="00621ADA"/>
    <w:rsid w:val="00623F7B"/>
    <w:rsid w:val="006249C5"/>
    <w:rsid w:val="006263AA"/>
    <w:rsid w:val="0063158F"/>
    <w:rsid w:val="00631D6B"/>
    <w:rsid w:val="00632183"/>
    <w:rsid w:val="006330A1"/>
    <w:rsid w:val="0063376F"/>
    <w:rsid w:val="00633B97"/>
    <w:rsid w:val="00633C2D"/>
    <w:rsid w:val="0063479F"/>
    <w:rsid w:val="006353F0"/>
    <w:rsid w:val="006357B5"/>
    <w:rsid w:val="006359A5"/>
    <w:rsid w:val="006364A1"/>
    <w:rsid w:val="0063678E"/>
    <w:rsid w:val="00637BFD"/>
    <w:rsid w:val="006405EB"/>
    <w:rsid w:val="00641899"/>
    <w:rsid w:val="00641C4E"/>
    <w:rsid w:val="00641FB3"/>
    <w:rsid w:val="0064297D"/>
    <w:rsid w:val="00642CBB"/>
    <w:rsid w:val="00643CC4"/>
    <w:rsid w:val="0064434C"/>
    <w:rsid w:val="00645750"/>
    <w:rsid w:val="00647062"/>
    <w:rsid w:val="006471CC"/>
    <w:rsid w:val="00647A29"/>
    <w:rsid w:val="0065079F"/>
    <w:rsid w:val="00650814"/>
    <w:rsid w:val="006512BF"/>
    <w:rsid w:val="006517EE"/>
    <w:rsid w:val="006518E3"/>
    <w:rsid w:val="00652A28"/>
    <w:rsid w:val="0065374B"/>
    <w:rsid w:val="0065379F"/>
    <w:rsid w:val="00656188"/>
    <w:rsid w:val="0065715A"/>
    <w:rsid w:val="006610F1"/>
    <w:rsid w:val="00661C6B"/>
    <w:rsid w:val="00664639"/>
    <w:rsid w:val="00671004"/>
    <w:rsid w:val="00671D18"/>
    <w:rsid w:val="00671D42"/>
    <w:rsid w:val="00672646"/>
    <w:rsid w:val="00674E42"/>
    <w:rsid w:val="006763CD"/>
    <w:rsid w:val="006768EA"/>
    <w:rsid w:val="0067717E"/>
    <w:rsid w:val="006809B5"/>
    <w:rsid w:val="006813F8"/>
    <w:rsid w:val="00681FE7"/>
    <w:rsid w:val="00682112"/>
    <w:rsid w:val="00682BA6"/>
    <w:rsid w:val="00686957"/>
    <w:rsid w:val="006872BA"/>
    <w:rsid w:val="00690635"/>
    <w:rsid w:val="00690795"/>
    <w:rsid w:val="00691648"/>
    <w:rsid w:val="006917D7"/>
    <w:rsid w:val="0069434C"/>
    <w:rsid w:val="0069445B"/>
    <w:rsid w:val="00694541"/>
    <w:rsid w:val="00694F44"/>
    <w:rsid w:val="00694FD5"/>
    <w:rsid w:val="00695A94"/>
    <w:rsid w:val="0069651B"/>
    <w:rsid w:val="00696F51"/>
    <w:rsid w:val="00697030"/>
    <w:rsid w:val="006979A5"/>
    <w:rsid w:val="006A08E2"/>
    <w:rsid w:val="006A1834"/>
    <w:rsid w:val="006A3DD2"/>
    <w:rsid w:val="006A6B99"/>
    <w:rsid w:val="006A795C"/>
    <w:rsid w:val="006A7E5F"/>
    <w:rsid w:val="006B0144"/>
    <w:rsid w:val="006B13F8"/>
    <w:rsid w:val="006B261B"/>
    <w:rsid w:val="006B2C90"/>
    <w:rsid w:val="006B35E6"/>
    <w:rsid w:val="006B43D0"/>
    <w:rsid w:val="006B465A"/>
    <w:rsid w:val="006B503E"/>
    <w:rsid w:val="006B6DD0"/>
    <w:rsid w:val="006B7057"/>
    <w:rsid w:val="006B7CDA"/>
    <w:rsid w:val="006C0399"/>
    <w:rsid w:val="006C2A8E"/>
    <w:rsid w:val="006C3255"/>
    <w:rsid w:val="006C3F26"/>
    <w:rsid w:val="006C4633"/>
    <w:rsid w:val="006D0D17"/>
    <w:rsid w:val="006D1665"/>
    <w:rsid w:val="006D3C7D"/>
    <w:rsid w:val="006D3FB9"/>
    <w:rsid w:val="006D4659"/>
    <w:rsid w:val="006D5D5F"/>
    <w:rsid w:val="006D68FB"/>
    <w:rsid w:val="006E0EB0"/>
    <w:rsid w:val="006E1068"/>
    <w:rsid w:val="006E1BDF"/>
    <w:rsid w:val="006E2868"/>
    <w:rsid w:val="006E38F8"/>
    <w:rsid w:val="006E550D"/>
    <w:rsid w:val="006E5F61"/>
    <w:rsid w:val="006E67A5"/>
    <w:rsid w:val="006E685A"/>
    <w:rsid w:val="006E7E8E"/>
    <w:rsid w:val="006F188B"/>
    <w:rsid w:val="006F1DD9"/>
    <w:rsid w:val="006F2582"/>
    <w:rsid w:val="006F306C"/>
    <w:rsid w:val="006F63A5"/>
    <w:rsid w:val="0070142B"/>
    <w:rsid w:val="0070276E"/>
    <w:rsid w:val="00702948"/>
    <w:rsid w:val="00702F8F"/>
    <w:rsid w:val="007032B9"/>
    <w:rsid w:val="00703BD0"/>
    <w:rsid w:val="00703E9D"/>
    <w:rsid w:val="007079FC"/>
    <w:rsid w:val="00710C26"/>
    <w:rsid w:val="00711A36"/>
    <w:rsid w:val="00714C26"/>
    <w:rsid w:val="0071529C"/>
    <w:rsid w:val="00716AF8"/>
    <w:rsid w:val="007170DA"/>
    <w:rsid w:val="007172AD"/>
    <w:rsid w:val="007173A2"/>
    <w:rsid w:val="00720801"/>
    <w:rsid w:val="00721A6E"/>
    <w:rsid w:val="007223A9"/>
    <w:rsid w:val="00722B1B"/>
    <w:rsid w:val="00722CD9"/>
    <w:rsid w:val="0072416F"/>
    <w:rsid w:val="00724613"/>
    <w:rsid w:val="00724A78"/>
    <w:rsid w:val="007264A7"/>
    <w:rsid w:val="00727C94"/>
    <w:rsid w:val="00731055"/>
    <w:rsid w:val="00731B0A"/>
    <w:rsid w:val="00731EAE"/>
    <w:rsid w:val="00732B2A"/>
    <w:rsid w:val="00733073"/>
    <w:rsid w:val="00735033"/>
    <w:rsid w:val="00735328"/>
    <w:rsid w:val="0073685B"/>
    <w:rsid w:val="0073727B"/>
    <w:rsid w:val="00742116"/>
    <w:rsid w:val="007445CC"/>
    <w:rsid w:val="007449BF"/>
    <w:rsid w:val="00745EE6"/>
    <w:rsid w:val="007460E6"/>
    <w:rsid w:val="0074681B"/>
    <w:rsid w:val="00746BC0"/>
    <w:rsid w:val="00746DA2"/>
    <w:rsid w:val="007471AB"/>
    <w:rsid w:val="007506FA"/>
    <w:rsid w:val="007510B4"/>
    <w:rsid w:val="00752142"/>
    <w:rsid w:val="007523F9"/>
    <w:rsid w:val="0075357E"/>
    <w:rsid w:val="00754822"/>
    <w:rsid w:val="00755026"/>
    <w:rsid w:val="00756A7F"/>
    <w:rsid w:val="007573E8"/>
    <w:rsid w:val="00760C4E"/>
    <w:rsid w:val="00760F9E"/>
    <w:rsid w:val="007614C5"/>
    <w:rsid w:val="007627BE"/>
    <w:rsid w:val="00764AED"/>
    <w:rsid w:val="00764F03"/>
    <w:rsid w:val="00765B1A"/>
    <w:rsid w:val="00767FF0"/>
    <w:rsid w:val="007718F3"/>
    <w:rsid w:val="00771E9E"/>
    <w:rsid w:val="00775116"/>
    <w:rsid w:val="00777335"/>
    <w:rsid w:val="007778D7"/>
    <w:rsid w:val="00777A12"/>
    <w:rsid w:val="00781C85"/>
    <w:rsid w:val="00781FC9"/>
    <w:rsid w:val="007826DA"/>
    <w:rsid w:val="007843D2"/>
    <w:rsid w:val="007843F2"/>
    <w:rsid w:val="00785385"/>
    <w:rsid w:val="00785A9F"/>
    <w:rsid w:val="007862E1"/>
    <w:rsid w:val="007924C8"/>
    <w:rsid w:val="007925DF"/>
    <w:rsid w:val="00794DA4"/>
    <w:rsid w:val="007971BB"/>
    <w:rsid w:val="007A08AA"/>
    <w:rsid w:val="007A0A12"/>
    <w:rsid w:val="007A132D"/>
    <w:rsid w:val="007A1345"/>
    <w:rsid w:val="007A18D9"/>
    <w:rsid w:val="007A1BC3"/>
    <w:rsid w:val="007A2DDB"/>
    <w:rsid w:val="007A5D2C"/>
    <w:rsid w:val="007A67B9"/>
    <w:rsid w:val="007A6825"/>
    <w:rsid w:val="007A70BA"/>
    <w:rsid w:val="007A7D85"/>
    <w:rsid w:val="007A7FAD"/>
    <w:rsid w:val="007B0D68"/>
    <w:rsid w:val="007B251D"/>
    <w:rsid w:val="007B2A51"/>
    <w:rsid w:val="007B4F58"/>
    <w:rsid w:val="007B528D"/>
    <w:rsid w:val="007B54B5"/>
    <w:rsid w:val="007B5DF5"/>
    <w:rsid w:val="007B63CA"/>
    <w:rsid w:val="007B72D5"/>
    <w:rsid w:val="007B77D1"/>
    <w:rsid w:val="007B7CE3"/>
    <w:rsid w:val="007C07C7"/>
    <w:rsid w:val="007C1CD9"/>
    <w:rsid w:val="007C2C3D"/>
    <w:rsid w:val="007C32EF"/>
    <w:rsid w:val="007C361D"/>
    <w:rsid w:val="007C4B84"/>
    <w:rsid w:val="007C579E"/>
    <w:rsid w:val="007C70FF"/>
    <w:rsid w:val="007C73CD"/>
    <w:rsid w:val="007C7974"/>
    <w:rsid w:val="007C7C25"/>
    <w:rsid w:val="007D004F"/>
    <w:rsid w:val="007D09A7"/>
    <w:rsid w:val="007D0B38"/>
    <w:rsid w:val="007D1BB4"/>
    <w:rsid w:val="007D3D44"/>
    <w:rsid w:val="007D5440"/>
    <w:rsid w:val="007D60AB"/>
    <w:rsid w:val="007D69EB"/>
    <w:rsid w:val="007D7C17"/>
    <w:rsid w:val="007E0EE4"/>
    <w:rsid w:val="007E128F"/>
    <w:rsid w:val="007E14B3"/>
    <w:rsid w:val="007E2EB2"/>
    <w:rsid w:val="007E4979"/>
    <w:rsid w:val="007E61B6"/>
    <w:rsid w:val="007F1017"/>
    <w:rsid w:val="007F15F8"/>
    <w:rsid w:val="007F2E5E"/>
    <w:rsid w:val="007F38D8"/>
    <w:rsid w:val="007F4A3F"/>
    <w:rsid w:val="007F4A61"/>
    <w:rsid w:val="007F5255"/>
    <w:rsid w:val="007F56CC"/>
    <w:rsid w:val="007F5715"/>
    <w:rsid w:val="007F61C2"/>
    <w:rsid w:val="00801997"/>
    <w:rsid w:val="00804E1A"/>
    <w:rsid w:val="00805142"/>
    <w:rsid w:val="008051DF"/>
    <w:rsid w:val="00805820"/>
    <w:rsid w:val="00805B6A"/>
    <w:rsid w:val="00805FCE"/>
    <w:rsid w:val="00806455"/>
    <w:rsid w:val="00806B84"/>
    <w:rsid w:val="0080705F"/>
    <w:rsid w:val="00807A8B"/>
    <w:rsid w:val="00811383"/>
    <w:rsid w:val="00812149"/>
    <w:rsid w:val="00812CAC"/>
    <w:rsid w:val="00816361"/>
    <w:rsid w:val="008166EF"/>
    <w:rsid w:val="00816FEF"/>
    <w:rsid w:val="00820A8C"/>
    <w:rsid w:val="008215FB"/>
    <w:rsid w:val="00821B93"/>
    <w:rsid w:val="00823174"/>
    <w:rsid w:val="00825751"/>
    <w:rsid w:val="008264EB"/>
    <w:rsid w:val="008271D7"/>
    <w:rsid w:val="00833B05"/>
    <w:rsid w:val="00833D83"/>
    <w:rsid w:val="00836290"/>
    <w:rsid w:val="008362B4"/>
    <w:rsid w:val="008379F3"/>
    <w:rsid w:val="00840CA2"/>
    <w:rsid w:val="00841C1C"/>
    <w:rsid w:val="00841D8A"/>
    <w:rsid w:val="008420A2"/>
    <w:rsid w:val="008434FA"/>
    <w:rsid w:val="00843738"/>
    <w:rsid w:val="0084374F"/>
    <w:rsid w:val="00844743"/>
    <w:rsid w:val="00844A22"/>
    <w:rsid w:val="00844BD6"/>
    <w:rsid w:val="00847703"/>
    <w:rsid w:val="00847DF5"/>
    <w:rsid w:val="008502A3"/>
    <w:rsid w:val="008522A5"/>
    <w:rsid w:val="0085309D"/>
    <w:rsid w:val="0085377D"/>
    <w:rsid w:val="0085395F"/>
    <w:rsid w:val="00853BE4"/>
    <w:rsid w:val="00856519"/>
    <w:rsid w:val="00856897"/>
    <w:rsid w:val="00856E9A"/>
    <w:rsid w:val="0086024B"/>
    <w:rsid w:val="0086075D"/>
    <w:rsid w:val="00862502"/>
    <w:rsid w:val="00862CC1"/>
    <w:rsid w:val="008641AF"/>
    <w:rsid w:val="00864E6C"/>
    <w:rsid w:val="008660D4"/>
    <w:rsid w:val="00866927"/>
    <w:rsid w:val="00867597"/>
    <w:rsid w:val="00867A87"/>
    <w:rsid w:val="00867B9F"/>
    <w:rsid w:val="00870182"/>
    <w:rsid w:val="008704F9"/>
    <w:rsid w:val="00871A66"/>
    <w:rsid w:val="00871FA9"/>
    <w:rsid w:val="00872321"/>
    <w:rsid w:val="008728E9"/>
    <w:rsid w:val="0087306D"/>
    <w:rsid w:val="008740CE"/>
    <w:rsid w:val="008750C2"/>
    <w:rsid w:val="0087533F"/>
    <w:rsid w:val="008756D3"/>
    <w:rsid w:val="008760DA"/>
    <w:rsid w:val="00880D26"/>
    <w:rsid w:val="00882874"/>
    <w:rsid w:val="0088289C"/>
    <w:rsid w:val="00882E3C"/>
    <w:rsid w:val="00883787"/>
    <w:rsid w:val="008855E4"/>
    <w:rsid w:val="00885771"/>
    <w:rsid w:val="00885FDC"/>
    <w:rsid w:val="0088650F"/>
    <w:rsid w:val="00886CD2"/>
    <w:rsid w:val="008876C6"/>
    <w:rsid w:val="00891E6F"/>
    <w:rsid w:val="0089275D"/>
    <w:rsid w:val="00892A36"/>
    <w:rsid w:val="00893239"/>
    <w:rsid w:val="0089351D"/>
    <w:rsid w:val="00894489"/>
    <w:rsid w:val="00894549"/>
    <w:rsid w:val="00895E6A"/>
    <w:rsid w:val="008963A5"/>
    <w:rsid w:val="00896862"/>
    <w:rsid w:val="008968F2"/>
    <w:rsid w:val="00896D5D"/>
    <w:rsid w:val="008A25FF"/>
    <w:rsid w:val="008A3363"/>
    <w:rsid w:val="008A3371"/>
    <w:rsid w:val="008A3C3E"/>
    <w:rsid w:val="008A4BDE"/>
    <w:rsid w:val="008A7850"/>
    <w:rsid w:val="008A79DE"/>
    <w:rsid w:val="008B1757"/>
    <w:rsid w:val="008B1D4D"/>
    <w:rsid w:val="008B238A"/>
    <w:rsid w:val="008B5B8F"/>
    <w:rsid w:val="008B63C1"/>
    <w:rsid w:val="008B7992"/>
    <w:rsid w:val="008B7D7E"/>
    <w:rsid w:val="008C0EF3"/>
    <w:rsid w:val="008C1079"/>
    <w:rsid w:val="008C5610"/>
    <w:rsid w:val="008C5739"/>
    <w:rsid w:val="008C5EED"/>
    <w:rsid w:val="008C64A7"/>
    <w:rsid w:val="008C7539"/>
    <w:rsid w:val="008C7ECB"/>
    <w:rsid w:val="008D3B86"/>
    <w:rsid w:val="008D4755"/>
    <w:rsid w:val="008D4C3D"/>
    <w:rsid w:val="008D743C"/>
    <w:rsid w:val="008D759B"/>
    <w:rsid w:val="008E00D4"/>
    <w:rsid w:val="008E0D3C"/>
    <w:rsid w:val="008E1444"/>
    <w:rsid w:val="008E1B9E"/>
    <w:rsid w:val="008E3388"/>
    <w:rsid w:val="008E55AB"/>
    <w:rsid w:val="008E6C47"/>
    <w:rsid w:val="008E6C87"/>
    <w:rsid w:val="008F120A"/>
    <w:rsid w:val="008F1EE8"/>
    <w:rsid w:val="008F27E0"/>
    <w:rsid w:val="008F48EB"/>
    <w:rsid w:val="008F49F0"/>
    <w:rsid w:val="008F4ABC"/>
    <w:rsid w:val="008F4F0B"/>
    <w:rsid w:val="008F6AC2"/>
    <w:rsid w:val="008F7440"/>
    <w:rsid w:val="009017C9"/>
    <w:rsid w:val="009040E5"/>
    <w:rsid w:val="009046C4"/>
    <w:rsid w:val="009052FD"/>
    <w:rsid w:val="009062A5"/>
    <w:rsid w:val="009069D7"/>
    <w:rsid w:val="00910FA7"/>
    <w:rsid w:val="00911272"/>
    <w:rsid w:val="009130F1"/>
    <w:rsid w:val="009135D6"/>
    <w:rsid w:val="00914C77"/>
    <w:rsid w:val="00915556"/>
    <w:rsid w:val="009164CE"/>
    <w:rsid w:val="00916586"/>
    <w:rsid w:val="0091680E"/>
    <w:rsid w:val="00916CFB"/>
    <w:rsid w:val="0092154B"/>
    <w:rsid w:val="00921ACB"/>
    <w:rsid w:val="00922B10"/>
    <w:rsid w:val="0092369B"/>
    <w:rsid w:val="00923D36"/>
    <w:rsid w:val="009258D6"/>
    <w:rsid w:val="009261A6"/>
    <w:rsid w:val="00926B4B"/>
    <w:rsid w:val="00927E39"/>
    <w:rsid w:val="00931011"/>
    <w:rsid w:val="009334A4"/>
    <w:rsid w:val="0093394C"/>
    <w:rsid w:val="00934988"/>
    <w:rsid w:val="00935F98"/>
    <w:rsid w:val="00937089"/>
    <w:rsid w:val="009419AB"/>
    <w:rsid w:val="00944F8A"/>
    <w:rsid w:val="0094623D"/>
    <w:rsid w:val="00946E25"/>
    <w:rsid w:val="00950017"/>
    <w:rsid w:val="009510A2"/>
    <w:rsid w:val="009524D9"/>
    <w:rsid w:val="00953257"/>
    <w:rsid w:val="0095474C"/>
    <w:rsid w:val="009547FC"/>
    <w:rsid w:val="00955888"/>
    <w:rsid w:val="009608E9"/>
    <w:rsid w:val="0096093B"/>
    <w:rsid w:val="00962CB9"/>
    <w:rsid w:val="00964312"/>
    <w:rsid w:val="00964E0A"/>
    <w:rsid w:val="009658C6"/>
    <w:rsid w:val="00965B8A"/>
    <w:rsid w:val="00966827"/>
    <w:rsid w:val="00966F16"/>
    <w:rsid w:val="0097071F"/>
    <w:rsid w:val="009717AC"/>
    <w:rsid w:val="00972051"/>
    <w:rsid w:val="009751C1"/>
    <w:rsid w:val="009773E5"/>
    <w:rsid w:val="009811F1"/>
    <w:rsid w:val="00983B41"/>
    <w:rsid w:val="00983E57"/>
    <w:rsid w:val="00985DE2"/>
    <w:rsid w:val="0098675D"/>
    <w:rsid w:val="009901CA"/>
    <w:rsid w:val="00991D3D"/>
    <w:rsid w:val="009926E0"/>
    <w:rsid w:val="0099343D"/>
    <w:rsid w:val="00993A9C"/>
    <w:rsid w:val="0099451E"/>
    <w:rsid w:val="00994A40"/>
    <w:rsid w:val="00995808"/>
    <w:rsid w:val="00995CF7"/>
    <w:rsid w:val="00996B1A"/>
    <w:rsid w:val="00996C46"/>
    <w:rsid w:val="00996CAA"/>
    <w:rsid w:val="00997ECC"/>
    <w:rsid w:val="009A2703"/>
    <w:rsid w:val="009A2DCC"/>
    <w:rsid w:val="009A5ABC"/>
    <w:rsid w:val="009A7F10"/>
    <w:rsid w:val="009B08CB"/>
    <w:rsid w:val="009B22A6"/>
    <w:rsid w:val="009B3E26"/>
    <w:rsid w:val="009B4D9B"/>
    <w:rsid w:val="009B7DBB"/>
    <w:rsid w:val="009C0ECA"/>
    <w:rsid w:val="009C1935"/>
    <w:rsid w:val="009C3706"/>
    <w:rsid w:val="009C3A3A"/>
    <w:rsid w:val="009C476C"/>
    <w:rsid w:val="009C53DF"/>
    <w:rsid w:val="009C6435"/>
    <w:rsid w:val="009C6CEA"/>
    <w:rsid w:val="009C6DC4"/>
    <w:rsid w:val="009C758B"/>
    <w:rsid w:val="009C7B85"/>
    <w:rsid w:val="009D0254"/>
    <w:rsid w:val="009D06CB"/>
    <w:rsid w:val="009D0F77"/>
    <w:rsid w:val="009D1A64"/>
    <w:rsid w:val="009D3201"/>
    <w:rsid w:val="009D5B91"/>
    <w:rsid w:val="009D61E7"/>
    <w:rsid w:val="009D73BE"/>
    <w:rsid w:val="009D792E"/>
    <w:rsid w:val="009E0786"/>
    <w:rsid w:val="009E0DFE"/>
    <w:rsid w:val="009E2F32"/>
    <w:rsid w:val="009E31F6"/>
    <w:rsid w:val="009E3C90"/>
    <w:rsid w:val="009E4A2C"/>
    <w:rsid w:val="009E4C07"/>
    <w:rsid w:val="009E5E12"/>
    <w:rsid w:val="009E7BA5"/>
    <w:rsid w:val="009F071C"/>
    <w:rsid w:val="009F0FB2"/>
    <w:rsid w:val="009F2C49"/>
    <w:rsid w:val="009F599A"/>
    <w:rsid w:val="009F6B2C"/>
    <w:rsid w:val="009F710F"/>
    <w:rsid w:val="00A002BB"/>
    <w:rsid w:val="00A01184"/>
    <w:rsid w:val="00A015CC"/>
    <w:rsid w:val="00A01D7C"/>
    <w:rsid w:val="00A0256B"/>
    <w:rsid w:val="00A02F9F"/>
    <w:rsid w:val="00A036BD"/>
    <w:rsid w:val="00A037C2"/>
    <w:rsid w:val="00A03D43"/>
    <w:rsid w:val="00A03FB9"/>
    <w:rsid w:val="00A04380"/>
    <w:rsid w:val="00A04DD6"/>
    <w:rsid w:val="00A05472"/>
    <w:rsid w:val="00A05C32"/>
    <w:rsid w:val="00A06170"/>
    <w:rsid w:val="00A0653F"/>
    <w:rsid w:val="00A10B77"/>
    <w:rsid w:val="00A11CD0"/>
    <w:rsid w:val="00A13663"/>
    <w:rsid w:val="00A13948"/>
    <w:rsid w:val="00A1555B"/>
    <w:rsid w:val="00A155C5"/>
    <w:rsid w:val="00A15E51"/>
    <w:rsid w:val="00A16AD8"/>
    <w:rsid w:val="00A17D07"/>
    <w:rsid w:val="00A21C95"/>
    <w:rsid w:val="00A21CF3"/>
    <w:rsid w:val="00A24813"/>
    <w:rsid w:val="00A249F8"/>
    <w:rsid w:val="00A25D9F"/>
    <w:rsid w:val="00A2635F"/>
    <w:rsid w:val="00A27AEC"/>
    <w:rsid w:val="00A27D2F"/>
    <w:rsid w:val="00A320DB"/>
    <w:rsid w:val="00A3295D"/>
    <w:rsid w:val="00A330F0"/>
    <w:rsid w:val="00A33EFE"/>
    <w:rsid w:val="00A343C2"/>
    <w:rsid w:val="00A35B9C"/>
    <w:rsid w:val="00A35D16"/>
    <w:rsid w:val="00A36A8E"/>
    <w:rsid w:val="00A37BCD"/>
    <w:rsid w:val="00A4026C"/>
    <w:rsid w:val="00A41689"/>
    <w:rsid w:val="00A42592"/>
    <w:rsid w:val="00A427AB"/>
    <w:rsid w:val="00A428C0"/>
    <w:rsid w:val="00A43C59"/>
    <w:rsid w:val="00A50B92"/>
    <w:rsid w:val="00A50ECD"/>
    <w:rsid w:val="00A50EE3"/>
    <w:rsid w:val="00A518F3"/>
    <w:rsid w:val="00A524F2"/>
    <w:rsid w:val="00A52729"/>
    <w:rsid w:val="00A5323B"/>
    <w:rsid w:val="00A53675"/>
    <w:rsid w:val="00A55FDB"/>
    <w:rsid w:val="00A564D7"/>
    <w:rsid w:val="00A56B6A"/>
    <w:rsid w:val="00A57803"/>
    <w:rsid w:val="00A57813"/>
    <w:rsid w:val="00A578DC"/>
    <w:rsid w:val="00A61C3E"/>
    <w:rsid w:val="00A63703"/>
    <w:rsid w:val="00A640E2"/>
    <w:rsid w:val="00A64D65"/>
    <w:rsid w:val="00A65F40"/>
    <w:rsid w:val="00A6725B"/>
    <w:rsid w:val="00A67AE0"/>
    <w:rsid w:val="00A70605"/>
    <w:rsid w:val="00A72D86"/>
    <w:rsid w:val="00A73134"/>
    <w:rsid w:val="00A73B30"/>
    <w:rsid w:val="00A73FFA"/>
    <w:rsid w:val="00A7431B"/>
    <w:rsid w:val="00A75374"/>
    <w:rsid w:val="00A76001"/>
    <w:rsid w:val="00A777B2"/>
    <w:rsid w:val="00A818C3"/>
    <w:rsid w:val="00A825D4"/>
    <w:rsid w:val="00A828F6"/>
    <w:rsid w:val="00A82B73"/>
    <w:rsid w:val="00A84F39"/>
    <w:rsid w:val="00A86E8B"/>
    <w:rsid w:val="00A87164"/>
    <w:rsid w:val="00A90A84"/>
    <w:rsid w:val="00A90ADF"/>
    <w:rsid w:val="00A93072"/>
    <w:rsid w:val="00A938BD"/>
    <w:rsid w:val="00A93953"/>
    <w:rsid w:val="00A959D8"/>
    <w:rsid w:val="00AA113D"/>
    <w:rsid w:val="00AA56BF"/>
    <w:rsid w:val="00AA5C4C"/>
    <w:rsid w:val="00AA6BD5"/>
    <w:rsid w:val="00AA6BD8"/>
    <w:rsid w:val="00AA6C7D"/>
    <w:rsid w:val="00AA6FB6"/>
    <w:rsid w:val="00AA72ED"/>
    <w:rsid w:val="00AA7CB6"/>
    <w:rsid w:val="00AA7FD6"/>
    <w:rsid w:val="00AB042A"/>
    <w:rsid w:val="00AB0B46"/>
    <w:rsid w:val="00AB19EF"/>
    <w:rsid w:val="00AB2D34"/>
    <w:rsid w:val="00AB3430"/>
    <w:rsid w:val="00AB37B9"/>
    <w:rsid w:val="00AB41A9"/>
    <w:rsid w:val="00AB46D9"/>
    <w:rsid w:val="00AB4AD1"/>
    <w:rsid w:val="00AB5E07"/>
    <w:rsid w:val="00AB5EAA"/>
    <w:rsid w:val="00AB72F4"/>
    <w:rsid w:val="00AB7CFA"/>
    <w:rsid w:val="00AC1F95"/>
    <w:rsid w:val="00AC2596"/>
    <w:rsid w:val="00AC42E3"/>
    <w:rsid w:val="00AC4342"/>
    <w:rsid w:val="00AC4F8D"/>
    <w:rsid w:val="00AC5B48"/>
    <w:rsid w:val="00AC669F"/>
    <w:rsid w:val="00AC6DDB"/>
    <w:rsid w:val="00AD1450"/>
    <w:rsid w:val="00AD1524"/>
    <w:rsid w:val="00AD6502"/>
    <w:rsid w:val="00AD6C9A"/>
    <w:rsid w:val="00AE0695"/>
    <w:rsid w:val="00AE1EDD"/>
    <w:rsid w:val="00AE3E7E"/>
    <w:rsid w:val="00AE44A0"/>
    <w:rsid w:val="00AF067B"/>
    <w:rsid w:val="00AF1315"/>
    <w:rsid w:val="00AF19BF"/>
    <w:rsid w:val="00AF2DC3"/>
    <w:rsid w:val="00AF3151"/>
    <w:rsid w:val="00AF390B"/>
    <w:rsid w:val="00AF64C7"/>
    <w:rsid w:val="00B033E5"/>
    <w:rsid w:val="00B035D2"/>
    <w:rsid w:val="00B03A63"/>
    <w:rsid w:val="00B05215"/>
    <w:rsid w:val="00B10121"/>
    <w:rsid w:val="00B101BE"/>
    <w:rsid w:val="00B10E0C"/>
    <w:rsid w:val="00B12E84"/>
    <w:rsid w:val="00B1322F"/>
    <w:rsid w:val="00B16848"/>
    <w:rsid w:val="00B17A34"/>
    <w:rsid w:val="00B201A4"/>
    <w:rsid w:val="00B201D1"/>
    <w:rsid w:val="00B213A6"/>
    <w:rsid w:val="00B22E2B"/>
    <w:rsid w:val="00B235B0"/>
    <w:rsid w:val="00B24DF6"/>
    <w:rsid w:val="00B25368"/>
    <w:rsid w:val="00B25535"/>
    <w:rsid w:val="00B31285"/>
    <w:rsid w:val="00B3468C"/>
    <w:rsid w:val="00B34FE2"/>
    <w:rsid w:val="00B35166"/>
    <w:rsid w:val="00B357D8"/>
    <w:rsid w:val="00B360F4"/>
    <w:rsid w:val="00B36A00"/>
    <w:rsid w:val="00B3736A"/>
    <w:rsid w:val="00B37BFC"/>
    <w:rsid w:val="00B40358"/>
    <w:rsid w:val="00B41184"/>
    <w:rsid w:val="00B41614"/>
    <w:rsid w:val="00B4190D"/>
    <w:rsid w:val="00B42851"/>
    <w:rsid w:val="00B42F80"/>
    <w:rsid w:val="00B435CB"/>
    <w:rsid w:val="00B46009"/>
    <w:rsid w:val="00B46E54"/>
    <w:rsid w:val="00B505C8"/>
    <w:rsid w:val="00B50DB8"/>
    <w:rsid w:val="00B50E2C"/>
    <w:rsid w:val="00B53654"/>
    <w:rsid w:val="00B53905"/>
    <w:rsid w:val="00B53F06"/>
    <w:rsid w:val="00B54B5B"/>
    <w:rsid w:val="00B5562E"/>
    <w:rsid w:val="00B55D65"/>
    <w:rsid w:val="00B57000"/>
    <w:rsid w:val="00B60915"/>
    <w:rsid w:val="00B60939"/>
    <w:rsid w:val="00B60AFD"/>
    <w:rsid w:val="00B62715"/>
    <w:rsid w:val="00B65611"/>
    <w:rsid w:val="00B70E8E"/>
    <w:rsid w:val="00B70FBB"/>
    <w:rsid w:val="00B7313E"/>
    <w:rsid w:val="00B74BBA"/>
    <w:rsid w:val="00B74D03"/>
    <w:rsid w:val="00B76022"/>
    <w:rsid w:val="00B7646A"/>
    <w:rsid w:val="00B76C92"/>
    <w:rsid w:val="00B818A4"/>
    <w:rsid w:val="00B83EFC"/>
    <w:rsid w:val="00B84117"/>
    <w:rsid w:val="00B858F0"/>
    <w:rsid w:val="00B85AA2"/>
    <w:rsid w:val="00B8649C"/>
    <w:rsid w:val="00B8695D"/>
    <w:rsid w:val="00B87F0A"/>
    <w:rsid w:val="00B90253"/>
    <w:rsid w:val="00B925B2"/>
    <w:rsid w:val="00B92D0B"/>
    <w:rsid w:val="00B94945"/>
    <w:rsid w:val="00B94DD6"/>
    <w:rsid w:val="00B96474"/>
    <w:rsid w:val="00B97182"/>
    <w:rsid w:val="00BA0344"/>
    <w:rsid w:val="00BA0567"/>
    <w:rsid w:val="00BA1D5F"/>
    <w:rsid w:val="00BA322D"/>
    <w:rsid w:val="00BA3CB9"/>
    <w:rsid w:val="00BA62D8"/>
    <w:rsid w:val="00BA63FA"/>
    <w:rsid w:val="00BA675D"/>
    <w:rsid w:val="00BB00B3"/>
    <w:rsid w:val="00BB0BDD"/>
    <w:rsid w:val="00BB176C"/>
    <w:rsid w:val="00BB2419"/>
    <w:rsid w:val="00BB2A73"/>
    <w:rsid w:val="00BB3A45"/>
    <w:rsid w:val="00BB4ACC"/>
    <w:rsid w:val="00BB61DA"/>
    <w:rsid w:val="00BB703E"/>
    <w:rsid w:val="00BB732D"/>
    <w:rsid w:val="00BB7405"/>
    <w:rsid w:val="00BC3631"/>
    <w:rsid w:val="00BC4E83"/>
    <w:rsid w:val="00BC591F"/>
    <w:rsid w:val="00BC6518"/>
    <w:rsid w:val="00BC7D6D"/>
    <w:rsid w:val="00BD2108"/>
    <w:rsid w:val="00BD3EB7"/>
    <w:rsid w:val="00BD48B8"/>
    <w:rsid w:val="00BD65C1"/>
    <w:rsid w:val="00BD68A3"/>
    <w:rsid w:val="00BD6938"/>
    <w:rsid w:val="00BD69B5"/>
    <w:rsid w:val="00BD6CF3"/>
    <w:rsid w:val="00BD76B9"/>
    <w:rsid w:val="00BE0ECA"/>
    <w:rsid w:val="00BE12F8"/>
    <w:rsid w:val="00BE2180"/>
    <w:rsid w:val="00BE21F2"/>
    <w:rsid w:val="00BE276E"/>
    <w:rsid w:val="00BE416A"/>
    <w:rsid w:val="00BE4275"/>
    <w:rsid w:val="00BE5DE1"/>
    <w:rsid w:val="00BE669F"/>
    <w:rsid w:val="00BE7C10"/>
    <w:rsid w:val="00BF06AE"/>
    <w:rsid w:val="00BF0744"/>
    <w:rsid w:val="00BF08BD"/>
    <w:rsid w:val="00BF0A11"/>
    <w:rsid w:val="00BF0F95"/>
    <w:rsid w:val="00BF1253"/>
    <w:rsid w:val="00BF2433"/>
    <w:rsid w:val="00BF385C"/>
    <w:rsid w:val="00BF42F1"/>
    <w:rsid w:val="00BF55C2"/>
    <w:rsid w:val="00BF61C9"/>
    <w:rsid w:val="00BF66B5"/>
    <w:rsid w:val="00BF6C94"/>
    <w:rsid w:val="00BF6CE1"/>
    <w:rsid w:val="00BF7AC1"/>
    <w:rsid w:val="00C00424"/>
    <w:rsid w:val="00C01180"/>
    <w:rsid w:val="00C01CD5"/>
    <w:rsid w:val="00C10947"/>
    <w:rsid w:val="00C1179F"/>
    <w:rsid w:val="00C1288B"/>
    <w:rsid w:val="00C12C14"/>
    <w:rsid w:val="00C12F8D"/>
    <w:rsid w:val="00C14656"/>
    <w:rsid w:val="00C15F04"/>
    <w:rsid w:val="00C16B77"/>
    <w:rsid w:val="00C179B3"/>
    <w:rsid w:val="00C17E3F"/>
    <w:rsid w:val="00C200AA"/>
    <w:rsid w:val="00C237ED"/>
    <w:rsid w:val="00C24632"/>
    <w:rsid w:val="00C25246"/>
    <w:rsid w:val="00C25418"/>
    <w:rsid w:val="00C25D9C"/>
    <w:rsid w:val="00C27406"/>
    <w:rsid w:val="00C2778B"/>
    <w:rsid w:val="00C27F7D"/>
    <w:rsid w:val="00C31362"/>
    <w:rsid w:val="00C31649"/>
    <w:rsid w:val="00C31BA2"/>
    <w:rsid w:val="00C3434C"/>
    <w:rsid w:val="00C349A3"/>
    <w:rsid w:val="00C3507E"/>
    <w:rsid w:val="00C40385"/>
    <w:rsid w:val="00C41768"/>
    <w:rsid w:val="00C41BAD"/>
    <w:rsid w:val="00C4220D"/>
    <w:rsid w:val="00C42ACC"/>
    <w:rsid w:val="00C466D8"/>
    <w:rsid w:val="00C47055"/>
    <w:rsid w:val="00C475AA"/>
    <w:rsid w:val="00C5191F"/>
    <w:rsid w:val="00C53C98"/>
    <w:rsid w:val="00C542EF"/>
    <w:rsid w:val="00C55DA0"/>
    <w:rsid w:val="00C56FCF"/>
    <w:rsid w:val="00C57B6C"/>
    <w:rsid w:val="00C6128B"/>
    <w:rsid w:val="00C616CA"/>
    <w:rsid w:val="00C61DBD"/>
    <w:rsid w:val="00C628A6"/>
    <w:rsid w:val="00C64344"/>
    <w:rsid w:val="00C65108"/>
    <w:rsid w:val="00C65576"/>
    <w:rsid w:val="00C655C2"/>
    <w:rsid w:val="00C66165"/>
    <w:rsid w:val="00C6688B"/>
    <w:rsid w:val="00C673D9"/>
    <w:rsid w:val="00C67A6C"/>
    <w:rsid w:val="00C7060A"/>
    <w:rsid w:val="00C7151A"/>
    <w:rsid w:val="00C717E3"/>
    <w:rsid w:val="00C71EAD"/>
    <w:rsid w:val="00C71F60"/>
    <w:rsid w:val="00C72241"/>
    <w:rsid w:val="00C72314"/>
    <w:rsid w:val="00C750C8"/>
    <w:rsid w:val="00C7560F"/>
    <w:rsid w:val="00C77079"/>
    <w:rsid w:val="00C7715E"/>
    <w:rsid w:val="00C772B8"/>
    <w:rsid w:val="00C772EC"/>
    <w:rsid w:val="00C80A0E"/>
    <w:rsid w:val="00C80B6D"/>
    <w:rsid w:val="00C82053"/>
    <w:rsid w:val="00C8213F"/>
    <w:rsid w:val="00C83D58"/>
    <w:rsid w:val="00C84FCC"/>
    <w:rsid w:val="00C85154"/>
    <w:rsid w:val="00C8797A"/>
    <w:rsid w:val="00C87E5A"/>
    <w:rsid w:val="00C900B8"/>
    <w:rsid w:val="00C90B39"/>
    <w:rsid w:val="00C90C71"/>
    <w:rsid w:val="00C90CE0"/>
    <w:rsid w:val="00C91FD1"/>
    <w:rsid w:val="00C931CF"/>
    <w:rsid w:val="00C938CF"/>
    <w:rsid w:val="00C93AF9"/>
    <w:rsid w:val="00C94053"/>
    <w:rsid w:val="00C9624D"/>
    <w:rsid w:val="00C969DA"/>
    <w:rsid w:val="00CA2BB4"/>
    <w:rsid w:val="00CA2C77"/>
    <w:rsid w:val="00CA41DE"/>
    <w:rsid w:val="00CA444F"/>
    <w:rsid w:val="00CA49EA"/>
    <w:rsid w:val="00CA5245"/>
    <w:rsid w:val="00CA52B6"/>
    <w:rsid w:val="00CA6447"/>
    <w:rsid w:val="00CA6C88"/>
    <w:rsid w:val="00CA71F4"/>
    <w:rsid w:val="00CA7B09"/>
    <w:rsid w:val="00CB12A5"/>
    <w:rsid w:val="00CB1CAC"/>
    <w:rsid w:val="00CB2A60"/>
    <w:rsid w:val="00CB2F2A"/>
    <w:rsid w:val="00CB5B1A"/>
    <w:rsid w:val="00CB6B22"/>
    <w:rsid w:val="00CB7F5F"/>
    <w:rsid w:val="00CC0606"/>
    <w:rsid w:val="00CC1073"/>
    <w:rsid w:val="00CC1B39"/>
    <w:rsid w:val="00CC21B9"/>
    <w:rsid w:val="00CC28EE"/>
    <w:rsid w:val="00CC35EA"/>
    <w:rsid w:val="00CC3633"/>
    <w:rsid w:val="00CC3848"/>
    <w:rsid w:val="00CC3F3C"/>
    <w:rsid w:val="00CC4869"/>
    <w:rsid w:val="00CC4AAE"/>
    <w:rsid w:val="00CC4D07"/>
    <w:rsid w:val="00CC6404"/>
    <w:rsid w:val="00CC741E"/>
    <w:rsid w:val="00CD216A"/>
    <w:rsid w:val="00CD3DFF"/>
    <w:rsid w:val="00CD3F77"/>
    <w:rsid w:val="00CD5029"/>
    <w:rsid w:val="00CD6ADC"/>
    <w:rsid w:val="00CD6E6E"/>
    <w:rsid w:val="00CD70B8"/>
    <w:rsid w:val="00CD7193"/>
    <w:rsid w:val="00CD7A19"/>
    <w:rsid w:val="00CE1886"/>
    <w:rsid w:val="00CE38C8"/>
    <w:rsid w:val="00CE6178"/>
    <w:rsid w:val="00CE6274"/>
    <w:rsid w:val="00CE77B6"/>
    <w:rsid w:val="00CF0F9A"/>
    <w:rsid w:val="00CF2B8D"/>
    <w:rsid w:val="00CF456B"/>
    <w:rsid w:val="00CF5A22"/>
    <w:rsid w:val="00D0262E"/>
    <w:rsid w:val="00D04EB7"/>
    <w:rsid w:val="00D05E3D"/>
    <w:rsid w:val="00D06139"/>
    <w:rsid w:val="00D107D5"/>
    <w:rsid w:val="00D110BD"/>
    <w:rsid w:val="00D13675"/>
    <w:rsid w:val="00D141E1"/>
    <w:rsid w:val="00D15314"/>
    <w:rsid w:val="00D17D6C"/>
    <w:rsid w:val="00D20FE1"/>
    <w:rsid w:val="00D21432"/>
    <w:rsid w:val="00D2155B"/>
    <w:rsid w:val="00D21663"/>
    <w:rsid w:val="00D23D11"/>
    <w:rsid w:val="00D244B6"/>
    <w:rsid w:val="00D255D2"/>
    <w:rsid w:val="00D2754D"/>
    <w:rsid w:val="00D27B27"/>
    <w:rsid w:val="00D27F20"/>
    <w:rsid w:val="00D310A1"/>
    <w:rsid w:val="00D31529"/>
    <w:rsid w:val="00D318F4"/>
    <w:rsid w:val="00D31E17"/>
    <w:rsid w:val="00D33BE9"/>
    <w:rsid w:val="00D33C08"/>
    <w:rsid w:val="00D33F93"/>
    <w:rsid w:val="00D34667"/>
    <w:rsid w:val="00D357FF"/>
    <w:rsid w:val="00D41990"/>
    <w:rsid w:val="00D424C7"/>
    <w:rsid w:val="00D43B2A"/>
    <w:rsid w:val="00D43D6E"/>
    <w:rsid w:val="00D43D83"/>
    <w:rsid w:val="00D45BB5"/>
    <w:rsid w:val="00D47575"/>
    <w:rsid w:val="00D5243B"/>
    <w:rsid w:val="00D533EC"/>
    <w:rsid w:val="00D55F0B"/>
    <w:rsid w:val="00D5635B"/>
    <w:rsid w:val="00D56486"/>
    <w:rsid w:val="00D56A95"/>
    <w:rsid w:val="00D606F1"/>
    <w:rsid w:val="00D651D6"/>
    <w:rsid w:val="00D66093"/>
    <w:rsid w:val="00D66183"/>
    <w:rsid w:val="00D663CD"/>
    <w:rsid w:val="00D703DD"/>
    <w:rsid w:val="00D70AF1"/>
    <w:rsid w:val="00D70DD0"/>
    <w:rsid w:val="00D70F16"/>
    <w:rsid w:val="00D72F57"/>
    <w:rsid w:val="00D76A44"/>
    <w:rsid w:val="00D76E32"/>
    <w:rsid w:val="00D80A44"/>
    <w:rsid w:val="00D815EF"/>
    <w:rsid w:val="00D81909"/>
    <w:rsid w:val="00D81F26"/>
    <w:rsid w:val="00D84C88"/>
    <w:rsid w:val="00D86231"/>
    <w:rsid w:val="00D91923"/>
    <w:rsid w:val="00D92E72"/>
    <w:rsid w:val="00D93753"/>
    <w:rsid w:val="00D962EC"/>
    <w:rsid w:val="00D973BB"/>
    <w:rsid w:val="00DA1F28"/>
    <w:rsid w:val="00DA3167"/>
    <w:rsid w:val="00DA3243"/>
    <w:rsid w:val="00DA4DC3"/>
    <w:rsid w:val="00DA5CC5"/>
    <w:rsid w:val="00DA5F59"/>
    <w:rsid w:val="00DA77A5"/>
    <w:rsid w:val="00DB0D9E"/>
    <w:rsid w:val="00DB3DBF"/>
    <w:rsid w:val="00DB484F"/>
    <w:rsid w:val="00DB75D8"/>
    <w:rsid w:val="00DC04F6"/>
    <w:rsid w:val="00DC0690"/>
    <w:rsid w:val="00DC18E0"/>
    <w:rsid w:val="00DC1D65"/>
    <w:rsid w:val="00DC1E27"/>
    <w:rsid w:val="00DC368F"/>
    <w:rsid w:val="00DC3C57"/>
    <w:rsid w:val="00DC4347"/>
    <w:rsid w:val="00DC510E"/>
    <w:rsid w:val="00DC5501"/>
    <w:rsid w:val="00DC5534"/>
    <w:rsid w:val="00DC7154"/>
    <w:rsid w:val="00DC7E8A"/>
    <w:rsid w:val="00DD0F78"/>
    <w:rsid w:val="00DD113F"/>
    <w:rsid w:val="00DD273C"/>
    <w:rsid w:val="00DD3044"/>
    <w:rsid w:val="00DD3F28"/>
    <w:rsid w:val="00DD4537"/>
    <w:rsid w:val="00DD4B6F"/>
    <w:rsid w:val="00DD4E15"/>
    <w:rsid w:val="00DD52A2"/>
    <w:rsid w:val="00DE01AC"/>
    <w:rsid w:val="00DE2304"/>
    <w:rsid w:val="00DE269D"/>
    <w:rsid w:val="00DE3138"/>
    <w:rsid w:val="00DE37F8"/>
    <w:rsid w:val="00DE3C5A"/>
    <w:rsid w:val="00DE4D43"/>
    <w:rsid w:val="00DE4FCB"/>
    <w:rsid w:val="00DE5D07"/>
    <w:rsid w:val="00DE6868"/>
    <w:rsid w:val="00DE72A7"/>
    <w:rsid w:val="00DE7832"/>
    <w:rsid w:val="00DF18FC"/>
    <w:rsid w:val="00DF308A"/>
    <w:rsid w:val="00DF4E0F"/>
    <w:rsid w:val="00DF5D2B"/>
    <w:rsid w:val="00E00E8E"/>
    <w:rsid w:val="00E024B5"/>
    <w:rsid w:val="00E0262B"/>
    <w:rsid w:val="00E0305C"/>
    <w:rsid w:val="00E0313B"/>
    <w:rsid w:val="00E04722"/>
    <w:rsid w:val="00E05630"/>
    <w:rsid w:val="00E06DBB"/>
    <w:rsid w:val="00E10149"/>
    <w:rsid w:val="00E11340"/>
    <w:rsid w:val="00E11EC6"/>
    <w:rsid w:val="00E122A1"/>
    <w:rsid w:val="00E16372"/>
    <w:rsid w:val="00E167AA"/>
    <w:rsid w:val="00E16D64"/>
    <w:rsid w:val="00E20E4D"/>
    <w:rsid w:val="00E20ED6"/>
    <w:rsid w:val="00E21358"/>
    <w:rsid w:val="00E223F7"/>
    <w:rsid w:val="00E2249B"/>
    <w:rsid w:val="00E22A0D"/>
    <w:rsid w:val="00E22C92"/>
    <w:rsid w:val="00E244F6"/>
    <w:rsid w:val="00E25185"/>
    <w:rsid w:val="00E2576A"/>
    <w:rsid w:val="00E25EDB"/>
    <w:rsid w:val="00E2771E"/>
    <w:rsid w:val="00E30CCA"/>
    <w:rsid w:val="00E311EF"/>
    <w:rsid w:val="00E32180"/>
    <w:rsid w:val="00E34948"/>
    <w:rsid w:val="00E351A9"/>
    <w:rsid w:val="00E371AA"/>
    <w:rsid w:val="00E37339"/>
    <w:rsid w:val="00E37569"/>
    <w:rsid w:val="00E401B2"/>
    <w:rsid w:val="00E41AF8"/>
    <w:rsid w:val="00E41D14"/>
    <w:rsid w:val="00E41E30"/>
    <w:rsid w:val="00E42424"/>
    <w:rsid w:val="00E42F73"/>
    <w:rsid w:val="00E43D70"/>
    <w:rsid w:val="00E44B7C"/>
    <w:rsid w:val="00E44CBA"/>
    <w:rsid w:val="00E453CC"/>
    <w:rsid w:val="00E466F3"/>
    <w:rsid w:val="00E46A2C"/>
    <w:rsid w:val="00E47B2C"/>
    <w:rsid w:val="00E51560"/>
    <w:rsid w:val="00E53FC8"/>
    <w:rsid w:val="00E54347"/>
    <w:rsid w:val="00E5484D"/>
    <w:rsid w:val="00E54F2C"/>
    <w:rsid w:val="00E54F4E"/>
    <w:rsid w:val="00E55424"/>
    <w:rsid w:val="00E55915"/>
    <w:rsid w:val="00E55BB5"/>
    <w:rsid w:val="00E56D66"/>
    <w:rsid w:val="00E56D67"/>
    <w:rsid w:val="00E5755D"/>
    <w:rsid w:val="00E5787A"/>
    <w:rsid w:val="00E614C3"/>
    <w:rsid w:val="00E61909"/>
    <w:rsid w:val="00E62645"/>
    <w:rsid w:val="00E62D26"/>
    <w:rsid w:val="00E6322F"/>
    <w:rsid w:val="00E64DF1"/>
    <w:rsid w:val="00E65E79"/>
    <w:rsid w:val="00E66BA2"/>
    <w:rsid w:val="00E67416"/>
    <w:rsid w:val="00E71631"/>
    <w:rsid w:val="00E718B6"/>
    <w:rsid w:val="00E71D6C"/>
    <w:rsid w:val="00E72312"/>
    <w:rsid w:val="00E723BA"/>
    <w:rsid w:val="00E72492"/>
    <w:rsid w:val="00E73581"/>
    <w:rsid w:val="00E73C99"/>
    <w:rsid w:val="00E73E70"/>
    <w:rsid w:val="00E74439"/>
    <w:rsid w:val="00E74DF5"/>
    <w:rsid w:val="00E754B5"/>
    <w:rsid w:val="00E817C8"/>
    <w:rsid w:val="00E81B4A"/>
    <w:rsid w:val="00E8255A"/>
    <w:rsid w:val="00E82A28"/>
    <w:rsid w:val="00E833F7"/>
    <w:rsid w:val="00E83BDF"/>
    <w:rsid w:val="00E86F34"/>
    <w:rsid w:val="00E872C1"/>
    <w:rsid w:val="00E87A1D"/>
    <w:rsid w:val="00E9094A"/>
    <w:rsid w:val="00E91D35"/>
    <w:rsid w:val="00E926A5"/>
    <w:rsid w:val="00E933E6"/>
    <w:rsid w:val="00E953EC"/>
    <w:rsid w:val="00E95679"/>
    <w:rsid w:val="00EA120A"/>
    <w:rsid w:val="00EA1476"/>
    <w:rsid w:val="00EA17C3"/>
    <w:rsid w:val="00EA182B"/>
    <w:rsid w:val="00EA278A"/>
    <w:rsid w:val="00EA2CAA"/>
    <w:rsid w:val="00EA3864"/>
    <w:rsid w:val="00EA5EBD"/>
    <w:rsid w:val="00EA618A"/>
    <w:rsid w:val="00EA62E7"/>
    <w:rsid w:val="00EA7F1C"/>
    <w:rsid w:val="00EB06EC"/>
    <w:rsid w:val="00EB0F49"/>
    <w:rsid w:val="00EB15B6"/>
    <w:rsid w:val="00EB1B6C"/>
    <w:rsid w:val="00EB1F5E"/>
    <w:rsid w:val="00EB298B"/>
    <w:rsid w:val="00EB2E43"/>
    <w:rsid w:val="00EB3196"/>
    <w:rsid w:val="00EB36E2"/>
    <w:rsid w:val="00EB3738"/>
    <w:rsid w:val="00EB3996"/>
    <w:rsid w:val="00EB3D06"/>
    <w:rsid w:val="00EB4916"/>
    <w:rsid w:val="00EB5114"/>
    <w:rsid w:val="00EC00C9"/>
    <w:rsid w:val="00EC01ED"/>
    <w:rsid w:val="00EC0DD9"/>
    <w:rsid w:val="00EC21E0"/>
    <w:rsid w:val="00EC2649"/>
    <w:rsid w:val="00EC31ED"/>
    <w:rsid w:val="00EC33F3"/>
    <w:rsid w:val="00EC5836"/>
    <w:rsid w:val="00EC688C"/>
    <w:rsid w:val="00ED57EA"/>
    <w:rsid w:val="00ED5B1C"/>
    <w:rsid w:val="00ED5BD4"/>
    <w:rsid w:val="00ED6FB2"/>
    <w:rsid w:val="00EE07D3"/>
    <w:rsid w:val="00EE1599"/>
    <w:rsid w:val="00EE1996"/>
    <w:rsid w:val="00EE1C01"/>
    <w:rsid w:val="00EE22AF"/>
    <w:rsid w:val="00EE72D5"/>
    <w:rsid w:val="00EF0171"/>
    <w:rsid w:val="00EF1923"/>
    <w:rsid w:val="00EF1B25"/>
    <w:rsid w:val="00EF1DA0"/>
    <w:rsid w:val="00EF2C84"/>
    <w:rsid w:val="00EF3415"/>
    <w:rsid w:val="00EF4747"/>
    <w:rsid w:val="00EF4BF8"/>
    <w:rsid w:val="00F002A0"/>
    <w:rsid w:val="00F01DAA"/>
    <w:rsid w:val="00F02253"/>
    <w:rsid w:val="00F037E9"/>
    <w:rsid w:val="00F038B4"/>
    <w:rsid w:val="00F03C2E"/>
    <w:rsid w:val="00F03F0D"/>
    <w:rsid w:val="00F04A66"/>
    <w:rsid w:val="00F04B4B"/>
    <w:rsid w:val="00F0510B"/>
    <w:rsid w:val="00F0516C"/>
    <w:rsid w:val="00F05617"/>
    <w:rsid w:val="00F067A2"/>
    <w:rsid w:val="00F07B9E"/>
    <w:rsid w:val="00F1095B"/>
    <w:rsid w:val="00F10AE6"/>
    <w:rsid w:val="00F10D5D"/>
    <w:rsid w:val="00F1116F"/>
    <w:rsid w:val="00F1263A"/>
    <w:rsid w:val="00F15B77"/>
    <w:rsid w:val="00F16BCE"/>
    <w:rsid w:val="00F17FDE"/>
    <w:rsid w:val="00F241BB"/>
    <w:rsid w:val="00F24837"/>
    <w:rsid w:val="00F2575F"/>
    <w:rsid w:val="00F26AB3"/>
    <w:rsid w:val="00F26B66"/>
    <w:rsid w:val="00F27565"/>
    <w:rsid w:val="00F310D4"/>
    <w:rsid w:val="00F316AE"/>
    <w:rsid w:val="00F31C04"/>
    <w:rsid w:val="00F31D5A"/>
    <w:rsid w:val="00F31EE7"/>
    <w:rsid w:val="00F33975"/>
    <w:rsid w:val="00F33DE9"/>
    <w:rsid w:val="00F35E6D"/>
    <w:rsid w:val="00F3619A"/>
    <w:rsid w:val="00F406A6"/>
    <w:rsid w:val="00F406F0"/>
    <w:rsid w:val="00F40AAA"/>
    <w:rsid w:val="00F40BA7"/>
    <w:rsid w:val="00F40F9D"/>
    <w:rsid w:val="00F41ACD"/>
    <w:rsid w:val="00F41D3A"/>
    <w:rsid w:val="00F43C7D"/>
    <w:rsid w:val="00F43DA4"/>
    <w:rsid w:val="00F462DD"/>
    <w:rsid w:val="00F46605"/>
    <w:rsid w:val="00F4667C"/>
    <w:rsid w:val="00F46CB6"/>
    <w:rsid w:val="00F4756D"/>
    <w:rsid w:val="00F47DE8"/>
    <w:rsid w:val="00F50C7C"/>
    <w:rsid w:val="00F51105"/>
    <w:rsid w:val="00F534AA"/>
    <w:rsid w:val="00F53F36"/>
    <w:rsid w:val="00F542C1"/>
    <w:rsid w:val="00F55E73"/>
    <w:rsid w:val="00F55EDA"/>
    <w:rsid w:val="00F55F8B"/>
    <w:rsid w:val="00F562C6"/>
    <w:rsid w:val="00F56C80"/>
    <w:rsid w:val="00F60092"/>
    <w:rsid w:val="00F6094D"/>
    <w:rsid w:val="00F61731"/>
    <w:rsid w:val="00F61C18"/>
    <w:rsid w:val="00F61E2A"/>
    <w:rsid w:val="00F651F3"/>
    <w:rsid w:val="00F65F4B"/>
    <w:rsid w:val="00F67A69"/>
    <w:rsid w:val="00F70BFF"/>
    <w:rsid w:val="00F70C9D"/>
    <w:rsid w:val="00F72D8A"/>
    <w:rsid w:val="00F74CD9"/>
    <w:rsid w:val="00F7521F"/>
    <w:rsid w:val="00F75769"/>
    <w:rsid w:val="00F763E1"/>
    <w:rsid w:val="00F76478"/>
    <w:rsid w:val="00F76AF1"/>
    <w:rsid w:val="00F76EA6"/>
    <w:rsid w:val="00F8016E"/>
    <w:rsid w:val="00F80A7B"/>
    <w:rsid w:val="00F80E5D"/>
    <w:rsid w:val="00F810A7"/>
    <w:rsid w:val="00F81E78"/>
    <w:rsid w:val="00F82EB9"/>
    <w:rsid w:val="00F846BC"/>
    <w:rsid w:val="00F851CE"/>
    <w:rsid w:val="00F86134"/>
    <w:rsid w:val="00F91219"/>
    <w:rsid w:val="00F91834"/>
    <w:rsid w:val="00F92444"/>
    <w:rsid w:val="00F9393E"/>
    <w:rsid w:val="00F96FD0"/>
    <w:rsid w:val="00F976C8"/>
    <w:rsid w:val="00F97A78"/>
    <w:rsid w:val="00FA0B20"/>
    <w:rsid w:val="00FA14C0"/>
    <w:rsid w:val="00FA24E7"/>
    <w:rsid w:val="00FA48A7"/>
    <w:rsid w:val="00FA5EE6"/>
    <w:rsid w:val="00FA7956"/>
    <w:rsid w:val="00FA7ECA"/>
    <w:rsid w:val="00FB015B"/>
    <w:rsid w:val="00FB0B32"/>
    <w:rsid w:val="00FB1405"/>
    <w:rsid w:val="00FB2FCB"/>
    <w:rsid w:val="00FB4497"/>
    <w:rsid w:val="00FB44ED"/>
    <w:rsid w:val="00FB49A3"/>
    <w:rsid w:val="00FB4EFF"/>
    <w:rsid w:val="00FB7C55"/>
    <w:rsid w:val="00FC0970"/>
    <w:rsid w:val="00FC1074"/>
    <w:rsid w:val="00FC1884"/>
    <w:rsid w:val="00FC371D"/>
    <w:rsid w:val="00FC5F0B"/>
    <w:rsid w:val="00FD163D"/>
    <w:rsid w:val="00FD1B9D"/>
    <w:rsid w:val="00FD2100"/>
    <w:rsid w:val="00FD354A"/>
    <w:rsid w:val="00FD436C"/>
    <w:rsid w:val="00FD446D"/>
    <w:rsid w:val="00FD4F2C"/>
    <w:rsid w:val="00FD6394"/>
    <w:rsid w:val="00FD6E6D"/>
    <w:rsid w:val="00FD6F61"/>
    <w:rsid w:val="00FD7BD9"/>
    <w:rsid w:val="00FE0E00"/>
    <w:rsid w:val="00FE0E6C"/>
    <w:rsid w:val="00FE1CDC"/>
    <w:rsid w:val="00FE1D77"/>
    <w:rsid w:val="00FE3F0D"/>
    <w:rsid w:val="00FE6BFA"/>
    <w:rsid w:val="00FE70C3"/>
    <w:rsid w:val="00FE79F4"/>
    <w:rsid w:val="00FE7EC1"/>
    <w:rsid w:val="00FF1842"/>
    <w:rsid w:val="00FF2AD9"/>
    <w:rsid w:val="00FF359F"/>
    <w:rsid w:val="00FF3DCF"/>
    <w:rsid w:val="00FF492C"/>
    <w:rsid w:val="00FF4A21"/>
    <w:rsid w:val="00FF5329"/>
    <w:rsid w:val="00FF5AA3"/>
    <w:rsid w:val="00FF5AD8"/>
    <w:rsid w:val="00FF7F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2F1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FBA"/>
    <w:pPr>
      <w:jc w:val="both"/>
    </w:pPr>
    <w:rPr>
      <w:rFonts w:ascii="Calibri" w:hAnsi="Calibri" w:cs="Arial"/>
      <w:sz w:val="24"/>
      <w:szCs w:val="24"/>
    </w:rPr>
  </w:style>
  <w:style w:type="paragraph" w:styleId="Heading1">
    <w:name w:val="heading 1"/>
    <w:aliases w:val="Section Heading,H1,Header 1,Heading 12,Titre 1 Car Car,Titre 1 Car,Outline1,p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qFormat/>
    <w:rsid w:val="00124A51"/>
    <w:pPr>
      <w:keepNext/>
      <w:spacing w:before="240" w:after="60"/>
      <w:outlineLvl w:val="3"/>
    </w:pPr>
    <w:rPr>
      <w:b/>
      <w:bCs/>
      <w:i/>
      <w:sz w:val="26"/>
      <w:szCs w:val="28"/>
    </w:rPr>
  </w:style>
  <w:style w:type="paragraph" w:styleId="Heading5">
    <w:name w:val="heading 5"/>
    <w:basedOn w:val="Normal"/>
    <w:next w:val="Normal"/>
    <w:qFormat/>
    <w:rsid w:val="00124A51"/>
    <w:pPr>
      <w:spacing w:before="240" w:after="60"/>
      <w:outlineLvl w:val="4"/>
    </w:pPr>
    <w:rPr>
      <w:b/>
      <w:bCs/>
      <w:iCs/>
      <w:sz w:val="26"/>
      <w:szCs w:val="26"/>
    </w:rPr>
  </w:style>
  <w:style w:type="paragraph" w:styleId="Heading6">
    <w:name w:val="heading 6"/>
    <w:basedOn w:val="Normal"/>
    <w:next w:val="Normal"/>
    <w:uiPriority w:val="9"/>
    <w:qFormat/>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SR Caption,Bayer Caption,IB Caption,Medical Caption,- H17,Char,Caption2,Caption Char1 Char,Caption Char Char Char,Caption Char1 Char Char Char,Caption Char Char Char Char Char,Caption Char Char1 Char,Caption Char1 Char1,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SR Caption Char,Bayer Caption Char,IB Caption Char,Medical Caption Char,- H17 Char,Char Char,Caption2 Char,Caption Char1 Char Char,Caption Char Char Char Char,Caption Char1 Char Char Char Char,Caption Char Char Char Char Char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Table Legend,Bullet1,Bullet 1,Section 5"/>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Source table_"/>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link w:val="2-SectionHeadingChar"/>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CA2BB4"/>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CA2BB4"/>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basedOn w:val="Normal"/>
    <w:link w:val="FootnoteTextChar"/>
    <w:unhideWhenUsed/>
    <w:rsid w:val="002063A5"/>
    <w:rPr>
      <w:sz w:val="20"/>
      <w:szCs w:val="20"/>
    </w:rPr>
  </w:style>
  <w:style w:type="character" w:customStyle="1" w:styleId="FootnoteTextChar">
    <w:name w:val="Footnote Text Char"/>
    <w:basedOn w:val="DefaultParagraphFont"/>
    <w:link w:val="FootnoteText"/>
    <w:semiHidden/>
    <w:rsid w:val="002063A5"/>
    <w:rPr>
      <w:rFonts w:ascii="Calibri" w:hAnsi="Calibri" w:cs="Arial"/>
    </w:rPr>
  </w:style>
  <w:style w:type="character" w:styleId="FootnoteReference">
    <w:name w:val="footnote reference"/>
    <w:basedOn w:val="DefaultParagraphFont"/>
    <w:semiHidden/>
    <w:unhideWhenUsed/>
    <w:rsid w:val="002063A5"/>
    <w:rPr>
      <w:vertAlign w:val="superscript"/>
    </w:rPr>
  </w:style>
  <w:style w:type="paragraph" w:customStyle="1" w:styleId="TableLeft">
    <w:name w:val="Table Left"/>
    <w:basedOn w:val="Normal"/>
    <w:link w:val="TableLeftChar"/>
    <w:uiPriority w:val="99"/>
    <w:qFormat/>
    <w:rsid w:val="002E52E9"/>
    <w:pPr>
      <w:jc w:val="left"/>
    </w:pPr>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2E52E9"/>
    <w:rPr>
      <w:rFonts w:ascii="Calibri" w:eastAsiaTheme="majorEastAsia" w:hAnsi="Calibri" w:cstheme="majorBidi"/>
      <w:sz w:val="18"/>
      <w:szCs w:val="22"/>
      <w:lang w:eastAsia="en-US" w:bidi="en-US"/>
    </w:rPr>
  </w:style>
  <w:style w:type="table" w:customStyle="1" w:styleId="TableGrid1">
    <w:name w:val="Table Grid1"/>
    <w:basedOn w:val="TableNormal"/>
    <w:next w:val="TableGrid"/>
    <w:uiPriority w:val="59"/>
    <w:rsid w:val="002E52E9"/>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dNoteBibliographyTitle">
    <w:name w:val="EndNote Bibliography Title"/>
    <w:basedOn w:val="Normal"/>
    <w:link w:val="EndNoteBibliographyTitleChar"/>
    <w:rsid w:val="00A61C3E"/>
    <w:pPr>
      <w:jc w:val="center"/>
    </w:pPr>
    <w:rPr>
      <w:rFonts w:cs="Calibri"/>
      <w:noProof/>
    </w:rPr>
  </w:style>
  <w:style w:type="character" w:customStyle="1" w:styleId="2-SectionHeadingChar">
    <w:name w:val="2-Section Heading Char"/>
    <w:basedOn w:val="DefaultParagraphFont"/>
    <w:link w:val="2-SectionHeading"/>
    <w:rsid w:val="00A61C3E"/>
    <w:rPr>
      <w:rFonts w:asciiTheme="minorHAnsi" w:hAnsiTheme="minorHAnsi" w:cs="Arial"/>
      <w:b/>
      <w:snapToGrid w:val="0"/>
      <w:sz w:val="32"/>
      <w:szCs w:val="32"/>
    </w:rPr>
  </w:style>
  <w:style w:type="character" w:customStyle="1" w:styleId="EndNoteBibliographyTitleChar">
    <w:name w:val="EndNote Bibliography Title Char"/>
    <w:basedOn w:val="2-SectionHeadingChar"/>
    <w:link w:val="EndNoteBibliographyTitle"/>
    <w:rsid w:val="00A61C3E"/>
    <w:rPr>
      <w:rFonts w:ascii="Calibri" w:hAnsi="Calibri" w:cs="Calibri"/>
      <w:b w:val="0"/>
      <w:noProof/>
      <w:snapToGrid/>
      <w:sz w:val="24"/>
      <w:szCs w:val="24"/>
    </w:rPr>
  </w:style>
  <w:style w:type="paragraph" w:customStyle="1" w:styleId="EndNoteBibliography">
    <w:name w:val="EndNote Bibliography"/>
    <w:basedOn w:val="Normal"/>
    <w:link w:val="EndNoteBibliographyChar"/>
    <w:rsid w:val="00A61C3E"/>
    <w:rPr>
      <w:rFonts w:cs="Calibri"/>
      <w:noProof/>
    </w:rPr>
  </w:style>
  <w:style w:type="character" w:customStyle="1" w:styleId="EndNoteBibliographyChar">
    <w:name w:val="EndNote Bibliography Char"/>
    <w:basedOn w:val="2-SectionHeadingChar"/>
    <w:link w:val="EndNoteBibliography"/>
    <w:rsid w:val="00A61C3E"/>
    <w:rPr>
      <w:rFonts w:ascii="Calibri" w:hAnsi="Calibri" w:cs="Calibri"/>
      <w:b w:val="0"/>
      <w:noProof/>
      <w:snapToGrid/>
      <w:sz w:val="24"/>
      <w:szCs w:val="24"/>
    </w:rPr>
  </w:style>
  <w:style w:type="character" w:customStyle="1" w:styleId="UnresolvedMention1">
    <w:name w:val="Unresolved Mention1"/>
    <w:basedOn w:val="DefaultParagraphFont"/>
    <w:uiPriority w:val="99"/>
    <w:semiHidden/>
    <w:unhideWhenUsed/>
    <w:rsid w:val="00EF2C84"/>
    <w:rPr>
      <w:color w:val="605E5C"/>
      <w:shd w:val="clear" w:color="auto" w:fill="E1DFDD"/>
    </w:rPr>
  </w:style>
  <w:style w:type="table" w:customStyle="1" w:styleId="TableGrid0">
    <w:name w:val="TableGrid"/>
    <w:rsid w:val="00C12F8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3-SubsectionHeading">
    <w:name w:val="3-Subsection Heading"/>
    <w:basedOn w:val="Heading2"/>
    <w:next w:val="Normal"/>
    <w:link w:val="3-SubsectionHeadingChar"/>
    <w:qFormat/>
    <w:rsid w:val="00460595"/>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460595"/>
    <w:rPr>
      <w:rFonts w:asciiTheme="minorHAnsi" w:eastAsiaTheme="majorEastAsia" w:hAnsiTheme="minorHAnsi" w:cstheme="majorBidi"/>
      <w:b/>
      <w:i/>
      <w:snapToGrid/>
      <w:spacing w:val="5"/>
      <w:kern w:val="28"/>
      <w:sz w:val="28"/>
      <w:szCs w:val="36"/>
      <w:lang w:eastAsia="en-US"/>
    </w:rPr>
  </w:style>
  <w:style w:type="paragraph" w:customStyle="1" w:styleId="3Bodytext">
    <w:name w:val="3. Body text"/>
    <w:basedOn w:val="ListParagraph"/>
    <w:qFormat/>
    <w:rsid w:val="00B10E0C"/>
    <w:pPr>
      <w:ind w:left="720" w:hanging="720"/>
      <w:jc w:val="left"/>
    </w:pPr>
    <w:rPr>
      <w:rFonts w:eastAsiaTheme="minorHAnsi" w:cstheme="minorBidi"/>
      <w:snapToGrid/>
      <w:szCs w:val="22"/>
    </w:rPr>
  </w:style>
  <w:style w:type="paragraph" w:customStyle="1" w:styleId="4Bodytextnumbered">
    <w:name w:val="4. Body text numbered"/>
    <w:basedOn w:val="ListParagraph"/>
    <w:qFormat/>
    <w:rsid w:val="00516592"/>
    <w:pPr>
      <w:ind w:left="720" w:hanging="720"/>
    </w:pPr>
    <w:rPr>
      <w:rFonts w:eastAsiaTheme="minorHAnsi" w:cstheme="minorBidi"/>
      <w:snapToGrid/>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5337669">
      <w:bodyDiv w:val="1"/>
      <w:marLeft w:val="0"/>
      <w:marRight w:val="0"/>
      <w:marTop w:val="0"/>
      <w:marBottom w:val="0"/>
      <w:divBdr>
        <w:top w:val="none" w:sz="0" w:space="0" w:color="auto"/>
        <w:left w:val="none" w:sz="0" w:space="0" w:color="auto"/>
        <w:bottom w:val="none" w:sz="0" w:space="0" w:color="auto"/>
        <w:right w:val="none" w:sz="0" w:space="0" w:color="auto"/>
      </w:divBdr>
    </w:div>
    <w:div w:id="141624247">
      <w:bodyDiv w:val="1"/>
      <w:marLeft w:val="0"/>
      <w:marRight w:val="0"/>
      <w:marTop w:val="0"/>
      <w:marBottom w:val="0"/>
      <w:divBdr>
        <w:top w:val="none" w:sz="0" w:space="0" w:color="auto"/>
        <w:left w:val="none" w:sz="0" w:space="0" w:color="auto"/>
        <w:bottom w:val="none" w:sz="0" w:space="0" w:color="auto"/>
        <w:right w:val="none" w:sz="0" w:space="0" w:color="auto"/>
      </w:divBdr>
      <w:divsChild>
        <w:div w:id="1311327881">
          <w:marLeft w:val="0"/>
          <w:marRight w:val="0"/>
          <w:marTop w:val="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48090640">
      <w:bodyDiv w:val="1"/>
      <w:marLeft w:val="0"/>
      <w:marRight w:val="0"/>
      <w:marTop w:val="0"/>
      <w:marBottom w:val="0"/>
      <w:divBdr>
        <w:top w:val="none" w:sz="0" w:space="0" w:color="auto"/>
        <w:left w:val="none" w:sz="0" w:space="0" w:color="auto"/>
        <w:bottom w:val="none" w:sz="0" w:space="0" w:color="auto"/>
        <w:right w:val="none" w:sz="0" w:space="0" w:color="auto"/>
      </w:divBdr>
    </w:div>
    <w:div w:id="705179586">
      <w:bodyDiv w:val="1"/>
      <w:marLeft w:val="0"/>
      <w:marRight w:val="0"/>
      <w:marTop w:val="0"/>
      <w:marBottom w:val="0"/>
      <w:divBdr>
        <w:top w:val="none" w:sz="0" w:space="0" w:color="auto"/>
        <w:left w:val="none" w:sz="0" w:space="0" w:color="auto"/>
        <w:bottom w:val="none" w:sz="0" w:space="0" w:color="auto"/>
        <w:right w:val="none" w:sz="0" w:space="0" w:color="auto"/>
      </w:divBdr>
    </w:div>
    <w:div w:id="932594098">
      <w:bodyDiv w:val="1"/>
      <w:marLeft w:val="0"/>
      <w:marRight w:val="0"/>
      <w:marTop w:val="0"/>
      <w:marBottom w:val="0"/>
      <w:divBdr>
        <w:top w:val="none" w:sz="0" w:space="0" w:color="auto"/>
        <w:left w:val="none" w:sz="0" w:space="0" w:color="auto"/>
        <w:bottom w:val="none" w:sz="0" w:space="0" w:color="auto"/>
        <w:right w:val="none" w:sz="0" w:space="0" w:color="auto"/>
      </w:divBdr>
      <w:divsChild>
        <w:div w:id="924607767">
          <w:marLeft w:val="0"/>
          <w:marRight w:val="0"/>
          <w:marTop w:val="0"/>
          <w:marBottom w:val="0"/>
          <w:divBdr>
            <w:top w:val="none" w:sz="0" w:space="0" w:color="auto"/>
            <w:left w:val="none" w:sz="0" w:space="0" w:color="auto"/>
            <w:bottom w:val="none" w:sz="0" w:space="0" w:color="auto"/>
            <w:right w:val="none" w:sz="0" w:space="0" w:color="auto"/>
          </w:divBdr>
        </w:div>
        <w:div w:id="1400204911">
          <w:marLeft w:val="0"/>
          <w:marRight w:val="0"/>
          <w:marTop w:val="0"/>
          <w:marBottom w:val="0"/>
          <w:divBdr>
            <w:top w:val="none" w:sz="0" w:space="0" w:color="auto"/>
            <w:left w:val="none" w:sz="0" w:space="0" w:color="auto"/>
            <w:bottom w:val="none" w:sz="0" w:space="0" w:color="auto"/>
            <w:right w:val="none" w:sz="0" w:space="0" w:color="auto"/>
          </w:divBdr>
        </w:div>
      </w:divsChild>
    </w:div>
    <w:div w:id="1128165638">
      <w:bodyDiv w:val="1"/>
      <w:marLeft w:val="0"/>
      <w:marRight w:val="0"/>
      <w:marTop w:val="0"/>
      <w:marBottom w:val="0"/>
      <w:divBdr>
        <w:top w:val="none" w:sz="0" w:space="0" w:color="auto"/>
        <w:left w:val="none" w:sz="0" w:space="0" w:color="auto"/>
        <w:bottom w:val="none" w:sz="0" w:space="0" w:color="auto"/>
        <w:right w:val="none" w:sz="0" w:space="0" w:color="auto"/>
      </w:divBdr>
      <w:divsChild>
        <w:div w:id="1169559168">
          <w:marLeft w:val="0"/>
          <w:marRight w:val="0"/>
          <w:marTop w:val="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788">
      <w:bodyDiv w:val="1"/>
      <w:marLeft w:val="0"/>
      <w:marRight w:val="0"/>
      <w:marTop w:val="0"/>
      <w:marBottom w:val="0"/>
      <w:divBdr>
        <w:top w:val="none" w:sz="0" w:space="0" w:color="auto"/>
        <w:left w:val="none" w:sz="0" w:space="0" w:color="auto"/>
        <w:bottom w:val="none" w:sz="0" w:space="0" w:color="auto"/>
        <w:right w:val="none" w:sz="0" w:space="0" w:color="auto"/>
      </w:divBdr>
    </w:div>
    <w:div w:id="1384138176">
      <w:bodyDiv w:val="1"/>
      <w:marLeft w:val="0"/>
      <w:marRight w:val="0"/>
      <w:marTop w:val="0"/>
      <w:marBottom w:val="0"/>
      <w:divBdr>
        <w:top w:val="none" w:sz="0" w:space="0" w:color="auto"/>
        <w:left w:val="none" w:sz="0" w:space="0" w:color="auto"/>
        <w:bottom w:val="none" w:sz="0" w:space="0" w:color="auto"/>
        <w:right w:val="none" w:sz="0" w:space="0" w:color="auto"/>
      </w:divBdr>
    </w:div>
    <w:div w:id="1412116842">
      <w:bodyDiv w:val="1"/>
      <w:marLeft w:val="0"/>
      <w:marRight w:val="0"/>
      <w:marTop w:val="0"/>
      <w:marBottom w:val="0"/>
      <w:divBdr>
        <w:top w:val="none" w:sz="0" w:space="0" w:color="auto"/>
        <w:left w:val="none" w:sz="0" w:space="0" w:color="auto"/>
        <w:bottom w:val="none" w:sz="0" w:space="0" w:color="auto"/>
        <w:right w:val="none" w:sz="0" w:space="0" w:color="auto"/>
      </w:divBdr>
    </w:div>
    <w:div w:id="1419982220">
      <w:bodyDiv w:val="1"/>
      <w:marLeft w:val="0"/>
      <w:marRight w:val="0"/>
      <w:marTop w:val="0"/>
      <w:marBottom w:val="0"/>
      <w:divBdr>
        <w:top w:val="none" w:sz="0" w:space="0" w:color="auto"/>
        <w:left w:val="none" w:sz="0" w:space="0" w:color="auto"/>
        <w:bottom w:val="none" w:sz="0" w:space="0" w:color="auto"/>
        <w:right w:val="none" w:sz="0" w:space="0" w:color="auto"/>
      </w:divBdr>
      <w:divsChild>
        <w:div w:id="113721969">
          <w:marLeft w:val="0"/>
          <w:marRight w:val="0"/>
          <w:marTop w:val="0"/>
          <w:marBottom w:val="0"/>
          <w:divBdr>
            <w:top w:val="none" w:sz="0" w:space="0" w:color="auto"/>
            <w:left w:val="none" w:sz="0" w:space="0" w:color="auto"/>
            <w:bottom w:val="none" w:sz="0" w:space="0" w:color="auto"/>
            <w:right w:val="none" w:sz="0" w:space="0" w:color="auto"/>
          </w:divBdr>
        </w:div>
        <w:div w:id="251427995">
          <w:marLeft w:val="0"/>
          <w:marRight w:val="0"/>
          <w:marTop w:val="0"/>
          <w:marBottom w:val="0"/>
          <w:divBdr>
            <w:top w:val="none" w:sz="0" w:space="0" w:color="auto"/>
            <w:left w:val="none" w:sz="0" w:space="0" w:color="auto"/>
            <w:bottom w:val="none" w:sz="0" w:space="0" w:color="auto"/>
            <w:right w:val="none" w:sz="0" w:space="0" w:color="auto"/>
          </w:divBdr>
          <w:divsChild>
            <w:div w:id="28997868">
              <w:marLeft w:val="0"/>
              <w:marRight w:val="0"/>
              <w:marTop w:val="0"/>
              <w:marBottom w:val="0"/>
              <w:divBdr>
                <w:top w:val="none" w:sz="0" w:space="0" w:color="auto"/>
                <w:left w:val="none" w:sz="0" w:space="0" w:color="auto"/>
                <w:bottom w:val="none" w:sz="0" w:space="0" w:color="auto"/>
                <w:right w:val="none" w:sz="0" w:space="0" w:color="auto"/>
              </w:divBdr>
            </w:div>
            <w:div w:id="611520716">
              <w:marLeft w:val="0"/>
              <w:marRight w:val="0"/>
              <w:marTop w:val="0"/>
              <w:marBottom w:val="0"/>
              <w:divBdr>
                <w:top w:val="none" w:sz="0" w:space="0" w:color="auto"/>
                <w:left w:val="none" w:sz="0" w:space="0" w:color="auto"/>
                <w:bottom w:val="none" w:sz="0" w:space="0" w:color="auto"/>
                <w:right w:val="none" w:sz="0" w:space="0" w:color="auto"/>
              </w:divBdr>
            </w:div>
            <w:div w:id="2029141760">
              <w:marLeft w:val="0"/>
              <w:marRight w:val="0"/>
              <w:marTop w:val="0"/>
              <w:marBottom w:val="0"/>
              <w:divBdr>
                <w:top w:val="none" w:sz="0" w:space="0" w:color="auto"/>
                <w:left w:val="none" w:sz="0" w:space="0" w:color="auto"/>
                <w:bottom w:val="none" w:sz="0" w:space="0" w:color="auto"/>
                <w:right w:val="none" w:sz="0" w:space="0" w:color="auto"/>
              </w:divBdr>
            </w:div>
          </w:divsChild>
        </w:div>
        <w:div w:id="857040442">
          <w:marLeft w:val="0"/>
          <w:marRight w:val="0"/>
          <w:marTop w:val="0"/>
          <w:marBottom w:val="0"/>
          <w:divBdr>
            <w:top w:val="none" w:sz="0" w:space="0" w:color="auto"/>
            <w:left w:val="none" w:sz="0" w:space="0" w:color="auto"/>
            <w:bottom w:val="none" w:sz="0" w:space="0" w:color="auto"/>
            <w:right w:val="none" w:sz="0" w:space="0" w:color="auto"/>
          </w:divBdr>
        </w:div>
        <w:div w:id="929045594">
          <w:marLeft w:val="0"/>
          <w:marRight w:val="0"/>
          <w:marTop w:val="0"/>
          <w:marBottom w:val="0"/>
          <w:divBdr>
            <w:top w:val="none" w:sz="0" w:space="0" w:color="auto"/>
            <w:left w:val="none" w:sz="0" w:space="0" w:color="auto"/>
            <w:bottom w:val="none" w:sz="0" w:space="0" w:color="auto"/>
            <w:right w:val="none" w:sz="0" w:space="0" w:color="auto"/>
          </w:divBdr>
          <w:divsChild>
            <w:div w:id="366609626">
              <w:marLeft w:val="0"/>
              <w:marRight w:val="0"/>
              <w:marTop w:val="0"/>
              <w:marBottom w:val="0"/>
              <w:divBdr>
                <w:top w:val="none" w:sz="0" w:space="0" w:color="auto"/>
                <w:left w:val="none" w:sz="0" w:space="0" w:color="auto"/>
                <w:bottom w:val="none" w:sz="0" w:space="0" w:color="auto"/>
                <w:right w:val="none" w:sz="0" w:space="0" w:color="auto"/>
              </w:divBdr>
            </w:div>
            <w:div w:id="376858892">
              <w:marLeft w:val="0"/>
              <w:marRight w:val="0"/>
              <w:marTop w:val="0"/>
              <w:marBottom w:val="0"/>
              <w:divBdr>
                <w:top w:val="none" w:sz="0" w:space="0" w:color="auto"/>
                <w:left w:val="none" w:sz="0" w:space="0" w:color="auto"/>
                <w:bottom w:val="none" w:sz="0" w:space="0" w:color="auto"/>
                <w:right w:val="none" w:sz="0" w:space="0" w:color="auto"/>
              </w:divBdr>
            </w:div>
            <w:div w:id="443354752">
              <w:marLeft w:val="0"/>
              <w:marRight w:val="0"/>
              <w:marTop w:val="0"/>
              <w:marBottom w:val="0"/>
              <w:divBdr>
                <w:top w:val="none" w:sz="0" w:space="0" w:color="auto"/>
                <w:left w:val="none" w:sz="0" w:space="0" w:color="auto"/>
                <w:bottom w:val="none" w:sz="0" w:space="0" w:color="auto"/>
                <w:right w:val="none" w:sz="0" w:space="0" w:color="auto"/>
              </w:divBdr>
            </w:div>
            <w:div w:id="1246838519">
              <w:marLeft w:val="0"/>
              <w:marRight w:val="0"/>
              <w:marTop w:val="0"/>
              <w:marBottom w:val="0"/>
              <w:divBdr>
                <w:top w:val="none" w:sz="0" w:space="0" w:color="auto"/>
                <w:left w:val="none" w:sz="0" w:space="0" w:color="auto"/>
                <w:bottom w:val="none" w:sz="0" w:space="0" w:color="auto"/>
                <w:right w:val="none" w:sz="0" w:space="0" w:color="auto"/>
              </w:divBdr>
            </w:div>
          </w:divsChild>
        </w:div>
        <w:div w:id="976034569">
          <w:marLeft w:val="0"/>
          <w:marRight w:val="0"/>
          <w:marTop w:val="0"/>
          <w:marBottom w:val="0"/>
          <w:divBdr>
            <w:top w:val="none" w:sz="0" w:space="0" w:color="auto"/>
            <w:left w:val="none" w:sz="0" w:space="0" w:color="auto"/>
            <w:bottom w:val="none" w:sz="0" w:space="0" w:color="auto"/>
            <w:right w:val="none" w:sz="0" w:space="0" w:color="auto"/>
          </w:divBdr>
        </w:div>
        <w:div w:id="1150752745">
          <w:marLeft w:val="0"/>
          <w:marRight w:val="0"/>
          <w:marTop w:val="0"/>
          <w:marBottom w:val="0"/>
          <w:divBdr>
            <w:top w:val="none" w:sz="0" w:space="0" w:color="auto"/>
            <w:left w:val="none" w:sz="0" w:space="0" w:color="auto"/>
            <w:bottom w:val="none" w:sz="0" w:space="0" w:color="auto"/>
            <w:right w:val="none" w:sz="0" w:space="0" w:color="auto"/>
          </w:divBdr>
        </w:div>
        <w:div w:id="1293754225">
          <w:marLeft w:val="0"/>
          <w:marRight w:val="0"/>
          <w:marTop w:val="0"/>
          <w:marBottom w:val="0"/>
          <w:divBdr>
            <w:top w:val="none" w:sz="0" w:space="0" w:color="auto"/>
            <w:left w:val="none" w:sz="0" w:space="0" w:color="auto"/>
            <w:bottom w:val="none" w:sz="0" w:space="0" w:color="auto"/>
            <w:right w:val="none" w:sz="0" w:space="0" w:color="auto"/>
          </w:divBdr>
        </w:div>
        <w:div w:id="1882399053">
          <w:marLeft w:val="0"/>
          <w:marRight w:val="0"/>
          <w:marTop w:val="0"/>
          <w:marBottom w:val="0"/>
          <w:divBdr>
            <w:top w:val="none" w:sz="0" w:space="0" w:color="auto"/>
            <w:left w:val="none" w:sz="0" w:space="0" w:color="auto"/>
            <w:bottom w:val="none" w:sz="0" w:space="0" w:color="auto"/>
            <w:right w:val="none" w:sz="0" w:space="0" w:color="auto"/>
          </w:divBdr>
        </w:div>
        <w:div w:id="2132900891">
          <w:marLeft w:val="0"/>
          <w:marRight w:val="0"/>
          <w:marTop w:val="0"/>
          <w:marBottom w:val="0"/>
          <w:divBdr>
            <w:top w:val="none" w:sz="0" w:space="0" w:color="auto"/>
            <w:left w:val="none" w:sz="0" w:space="0" w:color="auto"/>
            <w:bottom w:val="none" w:sz="0" w:space="0" w:color="auto"/>
            <w:right w:val="none" w:sz="0" w:space="0" w:color="auto"/>
          </w:divBdr>
        </w:div>
      </w:divsChild>
    </w:div>
    <w:div w:id="1611204949">
      <w:bodyDiv w:val="1"/>
      <w:marLeft w:val="0"/>
      <w:marRight w:val="0"/>
      <w:marTop w:val="0"/>
      <w:marBottom w:val="0"/>
      <w:divBdr>
        <w:top w:val="none" w:sz="0" w:space="0" w:color="auto"/>
        <w:left w:val="none" w:sz="0" w:space="0" w:color="auto"/>
        <w:bottom w:val="none" w:sz="0" w:space="0" w:color="auto"/>
        <w:right w:val="none" w:sz="0" w:space="0" w:color="auto"/>
      </w:divBdr>
      <w:divsChild>
        <w:div w:id="536357083">
          <w:marLeft w:val="0"/>
          <w:marRight w:val="0"/>
          <w:marTop w:val="0"/>
          <w:marBottom w:val="0"/>
          <w:divBdr>
            <w:top w:val="none" w:sz="0" w:space="0" w:color="auto"/>
            <w:left w:val="none" w:sz="0" w:space="0" w:color="auto"/>
            <w:bottom w:val="none" w:sz="0" w:space="0" w:color="auto"/>
            <w:right w:val="none" w:sz="0" w:space="0" w:color="auto"/>
          </w:divBdr>
        </w:div>
        <w:div w:id="1655060710">
          <w:marLeft w:val="0"/>
          <w:marRight w:val="0"/>
          <w:marTop w:val="0"/>
          <w:marBottom w:val="0"/>
          <w:divBdr>
            <w:top w:val="none" w:sz="0" w:space="0" w:color="auto"/>
            <w:left w:val="none" w:sz="0" w:space="0" w:color="auto"/>
            <w:bottom w:val="none" w:sz="0" w:space="0" w:color="auto"/>
            <w:right w:val="none" w:sz="0" w:space="0" w:color="auto"/>
          </w:divBdr>
        </w:div>
        <w:div w:id="2054693319">
          <w:marLeft w:val="0"/>
          <w:marRight w:val="0"/>
          <w:marTop w:val="0"/>
          <w:marBottom w:val="0"/>
          <w:divBdr>
            <w:top w:val="none" w:sz="0" w:space="0" w:color="auto"/>
            <w:left w:val="none" w:sz="0" w:space="0" w:color="auto"/>
            <w:bottom w:val="none" w:sz="0" w:space="0" w:color="auto"/>
            <w:right w:val="none" w:sz="0" w:space="0" w:color="auto"/>
          </w:divBdr>
        </w:div>
      </w:divsChild>
    </w:div>
    <w:div w:id="1691755398">
      <w:bodyDiv w:val="1"/>
      <w:marLeft w:val="0"/>
      <w:marRight w:val="0"/>
      <w:marTop w:val="0"/>
      <w:marBottom w:val="0"/>
      <w:divBdr>
        <w:top w:val="none" w:sz="0" w:space="0" w:color="auto"/>
        <w:left w:val="none" w:sz="0" w:space="0" w:color="auto"/>
        <w:bottom w:val="none" w:sz="0" w:space="0" w:color="auto"/>
        <w:right w:val="none" w:sz="0" w:space="0" w:color="auto"/>
      </w:divBdr>
      <w:divsChild>
        <w:div w:id="1338966826">
          <w:marLeft w:val="0"/>
          <w:marRight w:val="0"/>
          <w:marTop w:val="0"/>
          <w:marBottom w:val="0"/>
          <w:divBdr>
            <w:top w:val="none" w:sz="0" w:space="0" w:color="auto"/>
            <w:left w:val="none" w:sz="0" w:space="0" w:color="auto"/>
            <w:bottom w:val="none" w:sz="0" w:space="0" w:color="auto"/>
            <w:right w:val="none" w:sz="0" w:space="0" w:color="auto"/>
          </w:divBdr>
        </w:div>
      </w:divsChild>
    </w:div>
    <w:div w:id="178985836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0547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ga.gov.au/alert/pregabalin-and-gabapentin" TargetMode="External"/><Relationship Id="rId1" Type="http://schemas.openxmlformats.org/officeDocument/2006/relationships/hyperlink" Target="https://amhonline.amh.net.au/auth?page=chapters/neurological-drugs/antiepileptics/other-antiepileptics/pregaba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6CFDD-95C1-479A-9F84-69635A0D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7970</Words>
  <Characters>42535</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2022-08-25T02:14:00Z</dcterms:created>
  <dcterms:modified xsi:type="dcterms:W3CDTF">2022-08-25T02:43:00Z</dcterms:modified>
</cp:coreProperties>
</file>