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4231B" w14:textId="6954C67A" w:rsidR="00545020" w:rsidRPr="00545020" w:rsidRDefault="00545020" w:rsidP="00545020">
      <w:pPr>
        <w:rPr>
          <w:rFonts w:cs="Calibri"/>
        </w:rPr>
      </w:pPr>
      <w:bookmarkStart w:id="0" w:name="_Toc93496330"/>
      <w:r>
        <w:rPr>
          <w:color w:val="FF0000"/>
        </w:rPr>
        <w:t xml:space="preserve">An addendum to </w:t>
      </w:r>
      <w:r w:rsidR="00FC731A">
        <w:rPr>
          <w:color w:val="FF0000"/>
        </w:rPr>
        <w:t>this Public Summary Document (PSD)</w:t>
      </w:r>
      <w:r w:rsidRPr="00300BEC">
        <w:rPr>
          <w:color w:val="FF0000"/>
        </w:rPr>
        <w:t xml:space="preserve"> ha</w:t>
      </w:r>
      <w:r>
        <w:rPr>
          <w:color w:val="FF0000"/>
        </w:rPr>
        <w:t>s</w:t>
      </w:r>
      <w:r w:rsidRPr="00300BEC">
        <w:rPr>
          <w:color w:val="FF0000"/>
        </w:rPr>
        <w:t xml:space="preserve"> been included at the end of the document.</w:t>
      </w:r>
    </w:p>
    <w:p w14:paraId="0AA0B770" w14:textId="368CB478" w:rsidR="00743959" w:rsidRDefault="00743959" w:rsidP="00743959">
      <w:pPr>
        <w:pStyle w:val="1-MainHeading"/>
        <w:spacing w:after="0"/>
      </w:pPr>
      <w:r>
        <w:t>5</w:t>
      </w:r>
      <w:r w:rsidR="00433044" w:rsidRPr="00C12C14">
        <w:t>.</w:t>
      </w:r>
      <w:r>
        <w:t>08</w:t>
      </w:r>
      <w:r w:rsidR="00163F66">
        <w:tab/>
        <w:t>D</w:t>
      </w:r>
      <w:r w:rsidR="00927A08">
        <w:t>ULAGLUTIDE</w:t>
      </w:r>
      <w:r w:rsidR="00163F66">
        <w:t>,</w:t>
      </w:r>
      <w:r w:rsidR="00163F66">
        <w:br/>
      </w:r>
      <w:r w:rsidRPr="00743959">
        <w:t>Injection 3 mg in 0.5 mL single dose pre-filled pen</w:t>
      </w:r>
      <w:r>
        <w:t>,</w:t>
      </w:r>
      <w:bookmarkEnd w:id="0"/>
    </w:p>
    <w:p w14:paraId="51C6701A" w14:textId="0F6A4660" w:rsidR="00B60939" w:rsidRDefault="00743959" w:rsidP="00743959">
      <w:pPr>
        <w:pStyle w:val="1-MainHeading"/>
        <w:spacing w:before="0" w:after="0"/>
        <w:ind w:firstLine="0"/>
      </w:pPr>
      <w:bookmarkStart w:id="1" w:name="_Toc93496331"/>
      <w:r>
        <w:t>Injection 4.5 mg in 0.5 mL single dose pre</w:t>
      </w:r>
      <w:r w:rsidR="0083211D">
        <w:t>-</w:t>
      </w:r>
      <w:r>
        <w:t>filled pen,</w:t>
      </w:r>
      <w:r w:rsidR="008809FB">
        <w:t xml:space="preserve"> </w:t>
      </w:r>
      <w:r w:rsidR="00433044" w:rsidRPr="004A6040">
        <w:t>Tr</w:t>
      </w:r>
      <w:r w:rsidR="00927A08">
        <w:t>ulicity</w:t>
      </w:r>
      <w:r w:rsidR="00927A08" w:rsidRPr="004A6040">
        <w:rPr>
          <w:vertAlign w:val="superscript"/>
        </w:rPr>
        <w:t xml:space="preserve"> </w:t>
      </w:r>
      <w:r w:rsidR="00B60939" w:rsidRPr="004A6040">
        <w:rPr>
          <w:vertAlign w:val="superscript"/>
        </w:rPr>
        <w:t>®</w:t>
      </w:r>
      <w:r w:rsidR="004A6040" w:rsidRPr="004A6040">
        <w:t>,</w:t>
      </w:r>
      <w:r w:rsidR="004A6040" w:rsidRPr="004A6040">
        <w:br/>
      </w:r>
      <w:r w:rsidR="0023191C">
        <w:t xml:space="preserve">Eli Lilly </w:t>
      </w:r>
      <w:r w:rsidR="008809FB">
        <w:t xml:space="preserve">Australia </w:t>
      </w:r>
      <w:r w:rsidR="0023191C">
        <w:t>Pty L</w:t>
      </w:r>
      <w:r w:rsidR="008809FB">
        <w:t>t</w:t>
      </w:r>
      <w:r w:rsidR="0023191C">
        <w:t>d</w:t>
      </w:r>
      <w:r w:rsidR="00B60939" w:rsidRPr="004A6040">
        <w:t>.</w:t>
      </w:r>
      <w:bookmarkEnd w:id="1"/>
    </w:p>
    <w:p w14:paraId="1795F40D" w14:textId="77777777" w:rsidR="00343962" w:rsidRPr="004A6040" w:rsidRDefault="00343962" w:rsidP="00343962"/>
    <w:p w14:paraId="11C00795" w14:textId="3DFB6D23" w:rsidR="00B50DB8" w:rsidRPr="00407F2D" w:rsidRDefault="00B50DB8" w:rsidP="004A6040">
      <w:pPr>
        <w:pStyle w:val="2-SectionHeading"/>
      </w:pPr>
      <w:bookmarkStart w:id="2" w:name="_Toc93496333"/>
      <w:r w:rsidRPr="00407F2D">
        <w:t xml:space="preserve">Purpose of </w:t>
      </w:r>
      <w:r w:rsidR="00CD7193">
        <w:t>s</w:t>
      </w:r>
      <w:r w:rsidR="00BB3A45">
        <w:t>ubmission</w:t>
      </w:r>
      <w:bookmarkEnd w:id="2"/>
    </w:p>
    <w:p w14:paraId="19414AA1" w14:textId="788058F1" w:rsidR="002C2775" w:rsidRPr="008B1757" w:rsidRDefault="007170DA" w:rsidP="004E18E9">
      <w:pPr>
        <w:pStyle w:val="3-BodyText"/>
      </w:pPr>
      <w:r>
        <w:t>The</w:t>
      </w:r>
      <w:r w:rsidR="00C07523">
        <w:t xml:space="preserve"> Category 2</w:t>
      </w:r>
      <w:r>
        <w:t xml:space="preserve"> submission </w:t>
      </w:r>
      <w:r w:rsidRPr="004E18E9">
        <w:t xml:space="preserve">requested </w:t>
      </w:r>
      <w:r w:rsidR="00994A87" w:rsidRPr="00AE2491">
        <w:t xml:space="preserve">Section 85 (General Schedule) Authority Required (STREAMLINED) </w:t>
      </w:r>
      <w:r w:rsidR="008B1757" w:rsidRPr="004E18E9">
        <w:t xml:space="preserve">listing for </w:t>
      </w:r>
      <w:r w:rsidR="00994A87">
        <w:t xml:space="preserve">dulaglutide </w:t>
      </w:r>
      <w:r w:rsidR="00994A87" w:rsidRPr="00994A87">
        <w:t>3.0 mg and 4.5 mg</w:t>
      </w:r>
      <w:r w:rsidR="008B1757" w:rsidRPr="004E18E9">
        <w:t xml:space="preserve"> for </w:t>
      </w:r>
      <w:r w:rsidR="0050174E" w:rsidRPr="004E18E9">
        <w:t xml:space="preserve">the </w:t>
      </w:r>
      <w:r w:rsidR="008B1757" w:rsidRPr="004E18E9">
        <w:t>treatment of</w:t>
      </w:r>
      <w:r w:rsidR="00177B17">
        <w:t xml:space="preserve"> </w:t>
      </w:r>
      <w:r w:rsidR="005C2D4D">
        <w:rPr>
          <w:rFonts w:cs="Calibri"/>
          <w:bCs/>
        </w:rPr>
        <w:t>patients</w:t>
      </w:r>
      <w:r w:rsidR="005C2D4D" w:rsidRPr="00AE2491">
        <w:rPr>
          <w:rFonts w:cs="Calibri"/>
          <w:bCs/>
        </w:rPr>
        <w:t xml:space="preserve"> </w:t>
      </w:r>
      <w:r w:rsidR="00177B17" w:rsidRPr="00AE2491">
        <w:rPr>
          <w:rFonts w:cs="Calibri"/>
          <w:bCs/>
        </w:rPr>
        <w:t>with type 2 diabetes mellitus (T2DM) who require treatment intensification to achieve glycaemic target</w:t>
      </w:r>
      <w:r w:rsidR="00177B17">
        <w:rPr>
          <w:rFonts w:cs="Calibri"/>
          <w:bCs/>
        </w:rPr>
        <w:t>s,</w:t>
      </w:r>
      <w:r w:rsidR="005C2D4D">
        <w:rPr>
          <w:rFonts w:cs="Calibri"/>
          <w:bCs/>
        </w:rPr>
        <w:t xml:space="preserve"> as dual therapy</w:t>
      </w:r>
      <w:r w:rsidR="00177B17">
        <w:rPr>
          <w:rFonts w:cs="Calibri"/>
          <w:bCs/>
        </w:rPr>
        <w:t xml:space="preserve"> </w:t>
      </w:r>
      <w:r w:rsidR="00177B17" w:rsidRPr="00AE2491">
        <w:rPr>
          <w:rFonts w:cs="Calibri"/>
          <w:bCs/>
        </w:rPr>
        <w:t>in combination with metformin</w:t>
      </w:r>
      <w:r w:rsidR="00177B17">
        <w:rPr>
          <w:rFonts w:cs="Calibri"/>
          <w:bCs/>
        </w:rPr>
        <w:t>.</w:t>
      </w:r>
      <w:r w:rsidR="00177B17" w:rsidRPr="00AE2491">
        <w:rPr>
          <w:rFonts w:cs="Calibri"/>
          <w:bCs/>
        </w:rPr>
        <w:t xml:space="preserve"> </w:t>
      </w:r>
    </w:p>
    <w:p w14:paraId="2BD16292" w14:textId="7345F881" w:rsidR="00685EC3" w:rsidRPr="00685EC3" w:rsidRDefault="005750C5" w:rsidP="00252A0F">
      <w:pPr>
        <w:pStyle w:val="3-BodyText"/>
        <w:rPr>
          <w:rFonts w:ascii="Arial Narrow" w:hAnsi="Arial Narrow"/>
          <w:b/>
          <w:sz w:val="20"/>
        </w:rPr>
      </w:pPr>
      <w:r w:rsidRPr="005750C5">
        <w:t>Listing was requested on the basis of a cost-minimisation</w:t>
      </w:r>
      <w:r w:rsidR="007E323A">
        <w:t xml:space="preserve"> </w:t>
      </w:r>
      <w:r w:rsidRPr="005750C5">
        <w:t>analysis versus</w:t>
      </w:r>
      <w:r>
        <w:t xml:space="preserve"> </w:t>
      </w:r>
      <w:r w:rsidR="007E323A">
        <w:t>dulaglutide 1.5</w:t>
      </w:r>
      <w:r w:rsidR="005C2D4D">
        <w:t xml:space="preserve"> </w:t>
      </w:r>
      <w:r w:rsidR="007E323A">
        <w:t>mg.</w:t>
      </w:r>
    </w:p>
    <w:p w14:paraId="3718DE61" w14:textId="31ED419F" w:rsidR="008B1757" w:rsidRDefault="008B1757" w:rsidP="007A6FF6">
      <w:pPr>
        <w:pStyle w:val="3-BodyText"/>
        <w:keepNext/>
        <w:keepLines/>
        <w:numPr>
          <w:ilvl w:val="0"/>
          <w:numId w:val="0"/>
        </w:numPr>
        <w:rPr>
          <w:rStyle w:val="CommentReference"/>
          <w:szCs w:val="24"/>
        </w:rPr>
      </w:pPr>
      <w:r w:rsidRPr="00685EC3">
        <w:rPr>
          <w:rStyle w:val="CommentReference"/>
          <w:szCs w:val="24"/>
        </w:rPr>
        <w:t xml:space="preserve">Table </w:t>
      </w:r>
      <w:r w:rsidR="007E323A">
        <w:rPr>
          <w:rStyle w:val="CommentReference"/>
          <w:szCs w:val="24"/>
        </w:rPr>
        <w:t>1</w:t>
      </w:r>
      <w:r w:rsidRPr="00685EC3">
        <w:rPr>
          <w:rStyle w:val="CommentReference"/>
          <w:szCs w:val="24"/>
        </w:rPr>
        <w:t>:</w:t>
      </w:r>
      <w:r w:rsidR="00BC591F" w:rsidRPr="00685EC3">
        <w:rPr>
          <w:rStyle w:val="CommentReference"/>
          <w:szCs w:val="24"/>
        </w:rPr>
        <w:t xml:space="preserve"> </w:t>
      </w:r>
      <w:r w:rsidRPr="00685EC3">
        <w:rPr>
          <w:rStyle w:val="CommentReference"/>
          <w:szCs w:val="24"/>
        </w:rPr>
        <w:t>Key components of the clinical issue addressed by the submission</w:t>
      </w:r>
      <w:r w:rsidR="007170DA" w:rsidRPr="00685EC3">
        <w:rPr>
          <w:rStyle w:val="CommentReference"/>
          <w:szCs w:val="24"/>
        </w:rPr>
        <w:t xml:space="preserve"> (as stated in the submission)</w:t>
      </w:r>
    </w:p>
    <w:tbl>
      <w:tblPr>
        <w:tblStyle w:val="TableGrid"/>
        <w:tblW w:w="5000" w:type="pct"/>
        <w:tblLook w:val="04A0" w:firstRow="1" w:lastRow="0" w:firstColumn="1" w:lastColumn="0" w:noHBand="0" w:noVBand="1"/>
        <w:tblCaption w:val="Table 1: Key components of the clinical issue addressed by the submission "/>
      </w:tblPr>
      <w:tblGrid>
        <w:gridCol w:w="1513"/>
        <w:gridCol w:w="7504"/>
      </w:tblGrid>
      <w:tr w:rsidR="00177B17" w:rsidRPr="00177B17" w14:paraId="07F5FCF6" w14:textId="77777777" w:rsidTr="00927A08">
        <w:trPr>
          <w:tblHeader/>
        </w:trPr>
        <w:tc>
          <w:tcPr>
            <w:tcW w:w="1513" w:type="dxa"/>
            <w:shd w:val="clear" w:color="auto" w:fill="auto"/>
            <w:vAlign w:val="center"/>
          </w:tcPr>
          <w:p w14:paraId="3D179BCF" w14:textId="77777777" w:rsidR="00177B17" w:rsidRPr="00177B17" w:rsidRDefault="00177B17" w:rsidP="007A6FF6">
            <w:pPr>
              <w:pStyle w:val="In-tableHeading"/>
              <w:keepLines/>
              <w:rPr>
                <w:snapToGrid w:val="0"/>
              </w:rPr>
            </w:pPr>
            <w:r w:rsidRPr="00177B17">
              <w:rPr>
                <w:snapToGrid w:val="0"/>
              </w:rPr>
              <w:t>Component</w:t>
            </w:r>
          </w:p>
        </w:tc>
        <w:tc>
          <w:tcPr>
            <w:tcW w:w="7504" w:type="dxa"/>
            <w:shd w:val="clear" w:color="auto" w:fill="auto"/>
            <w:vAlign w:val="center"/>
          </w:tcPr>
          <w:p w14:paraId="4DC13408" w14:textId="77777777" w:rsidR="00177B17" w:rsidRPr="00177B17" w:rsidRDefault="00177B17" w:rsidP="007A6FF6">
            <w:pPr>
              <w:pStyle w:val="In-tableHeading"/>
              <w:keepLines/>
              <w:rPr>
                <w:snapToGrid w:val="0"/>
              </w:rPr>
            </w:pPr>
            <w:r w:rsidRPr="00177B17">
              <w:rPr>
                <w:snapToGrid w:val="0"/>
              </w:rPr>
              <w:t>Description</w:t>
            </w:r>
          </w:p>
        </w:tc>
      </w:tr>
      <w:tr w:rsidR="00177B17" w:rsidRPr="00177B17" w14:paraId="1D143863" w14:textId="77777777" w:rsidTr="00177B17">
        <w:tc>
          <w:tcPr>
            <w:tcW w:w="1513" w:type="dxa"/>
          </w:tcPr>
          <w:p w14:paraId="02F62BFC" w14:textId="77777777" w:rsidR="00177B17" w:rsidRPr="00177B17" w:rsidRDefault="00177B17" w:rsidP="007A6FF6">
            <w:pPr>
              <w:pStyle w:val="TableText0"/>
              <w:keepLines/>
              <w:rPr>
                <w:snapToGrid w:val="0"/>
              </w:rPr>
            </w:pPr>
            <w:r w:rsidRPr="00177B17">
              <w:rPr>
                <w:snapToGrid w:val="0"/>
              </w:rPr>
              <w:t>Population</w:t>
            </w:r>
          </w:p>
        </w:tc>
        <w:tc>
          <w:tcPr>
            <w:tcW w:w="7504" w:type="dxa"/>
          </w:tcPr>
          <w:p w14:paraId="39020204" w14:textId="6A843040" w:rsidR="00177B17" w:rsidRPr="00177B17" w:rsidRDefault="00177B17" w:rsidP="007A6FF6">
            <w:pPr>
              <w:pStyle w:val="TableText0"/>
              <w:keepLines/>
              <w:rPr>
                <w:i/>
                <w:snapToGrid w:val="0"/>
              </w:rPr>
            </w:pPr>
            <w:r w:rsidRPr="00177B17">
              <w:rPr>
                <w:snapToGrid w:val="0"/>
              </w:rPr>
              <w:t>Adult</w:t>
            </w:r>
            <w:r w:rsidR="003375D3">
              <w:rPr>
                <w:snapToGrid w:val="0"/>
              </w:rPr>
              <w:t>s</w:t>
            </w:r>
            <w:r w:rsidRPr="00177B17">
              <w:rPr>
                <w:snapToGrid w:val="0"/>
              </w:rPr>
              <w:t xml:space="preserve"> with T2DM who are not achieving adequate glycaemic control with</w:t>
            </w:r>
            <w:r w:rsidR="00A91279">
              <w:rPr>
                <w:snapToGrid w:val="0"/>
              </w:rPr>
              <w:t xml:space="preserve"> dulaglutide</w:t>
            </w:r>
            <w:r w:rsidRPr="00177B17">
              <w:rPr>
                <w:snapToGrid w:val="0"/>
              </w:rPr>
              <w:t xml:space="preserve"> 1.5 mg with metformin.</w:t>
            </w:r>
          </w:p>
        </w:tc>
      </w:tr>
      <w:tr w:rsidR="00177B17" w:rsidRPr="00177B17" w14:paraId="2A551082" w14:textId="77777777" w:rsidTr="00177B17">
        <w:tc>
          <w:tcPr>
            <w:tcW w:w="1513" w:type="dxa"/>
          </w:tcPr>
          <w:p w14:paraId="2BC3EBC8" w14:textId="77777777" w:rsidR="00177B17" w:rsidRPr="00177B17" w:rsidRDefault="00177B17" w:rsidP="007A6FF6">
            <w:pPr>
              <w:pStyle w:val="TableText0"/>
              <w:keepLines/>
              <w:rPr>
                <w:snapToGrid w:val="0"/>
              </w:rPr>
            </w:pPr>
            <w:r w:rsidRPr="00177B17">
              <w:rPr>
                <w:snapToGrid w:val="0"/>
              </w:rPr>
              <w:t>Intervention</w:t>
            </w:r>
          </w:p>
        </w:tc>
        <w:tc>
          <w:tcPr>
            <w:tcW w:w="7504" w:type="dxa"/>
            <w:vAlign w:val="center"/>
          </w:tcPr>
          <w:p w14:paraId="16392BE1" w14:textId="51F1AD1C" w:rsidR="00177B17" w:rsidRPr="00177B17" w:rsidRDefault="00177B17" w:rsidP="007A6FF6">
            <w:pPr>
              <w:pStyle w:val="TableText0"/>
              <w:keepLines/>
              <w:rPr>
                <w:i/>
                <w:snapToGrid w:val="0"/>
              </w:rPr>
            </w:pPr>
            <w:r w:rsidRPr="00177B17">
              <w:rPr>
                <w:iCs/>
                <w:snapToGrid w:val="0"/>
              </w:rPr>
              <w:t xml:space="preserve">Dulaglutide (Trulicity®) 3.0 mg or 4.5 mg injection in a single use pre-filled pen (autoinjector), administered once weekly in combination with metformin </w:t>
            </w:r>
          </w:p>
        </w:tc>
      </w:tr>
      <w:tr w:rsidR="00177B17" w:rsidRPr="00177B17" w14:paraId="2E30B7B5" w14:textId="77777777" w:rsidTr="00177B17">
        <w:tc>
          <w:tcPr>
            <w:tcW w:w="1513" w:type="dxa"/>
          </w:tcPr>
          <w:p w14:paraId="1C6726CB" w14:textId="77777777" w:rsidR="00177B17" w:rsidRPr="00177B17" w:rsidRDefault="00177B17" w:rsidP="00177B17">
            <w:pPr>
              <w:pStyle w:val="TableText0"/>
              <w:rPr>
                <w:snapToGrid w:val="0"/>
              </w:rPr>
            </w:pPr>
            <w:r w:rsidRPr="00177B17">
              <w:rPr>
                <w:snapToGrid w:val="0"/>
              </w:rPr>
              <w:t>Comparator</w:t>
            </w:r>
          </w:p>
        </w:tc>
        <w:tc>
          <w:tcPr>
            <w:tcW w:w="7504" w:type="dxa"/>
            <w:vAlign w:val="center"/>
          </w:tcPr>
          <w:p w14:paraId="3C47EBE0" w14:textId="510FD846" w:rsidR="00177B17" w:rsidRPr="00177B17" w:rsidRDefault="00177B17" w:rsidP="00177B17">
            <w:pPr>
              <w:pStyle w:val="TableText0"/>
              <w:rPr>
                <w:i/>
                <w:snapToGrid w:val="0"/>
              </w:rPr>
            </w:pPr>
            <w:r w:rsidRPr="00177B17">
              <w:rPr>
                <w:iCs/>
                <w:snapToGrid w:val="0"/>
              </w:rPr>
              <w:t>Dulaglutide (Trulicity®) 1.5 mg injection in a single use pre-filled pen (autoinjector), administered once weekly in combination with metformin</w:t>
            </w:r>
          </w:p>
        </w:tc>
      </w:tr>
      <w:tr w:rsidR="00177B17" w:rsidRPr="00177B17" w14:paraId="6C268C4F" w14:textId="77777777" w:rsidTr="00177B17">
        <w:tc>
          <w:tcPr>
            <w:tcW w:w="1513" w:type="dxa"/>
          </w:tcPr>
          <w:p w14:paraId="1E047199" w14:textId="77777777" w:rsidR="00177B17" w:rsidRPr="00177B17" w:rsidRDefault="00177B17" w:rsidP="00177B17">
            <w:pPr>
              <w:pStyle w:val="TableText0"/>
              <w:rPr>
                <w:snapToGrid w:val="0"/>
              </w:rPr>
            </w:pPr>
            <w:r w:rsidRPr="00177B17">
              <w:rPr>
                <w:snapToGrid w:val="0"/>
              </w:rPr>
              <w:t>Outcomes</w:t>
            </w:r>
          </w:p>
        </w:tc>
        <w:tc>
          <w:tcPr>
            <w:tcW w:w="7504" w:type="dxa"/>
            <w:vAlign w:val="center"/>
          </w:tcPr>
          <w:p w14:paraId="2B86C211" w14:textId="77777777" w:rsidR="00177B17" w:rsidRPr="00B639B6" w:rsidRDefault="00177B17" w:rsidP="00177B17">
            <w:pPr>
              <w:pStyle w:val="TableText0"/>
              <w:rPr>
                <w:b/>
                <w:bCs w:val="0"/>
                <w:iCs/>
                <w:snapToGrid w:val="0"/>
              </w:rPr>
            </w:pPr>
            <w:r w:rsidRPr="00B639B6">
              <w:rPr>
                <w:b/>
                <w:bCs w:val="0"/>
                <w:iCs/>
                <w:snapToGrid w:val="0"/>
              </w:rPr>
              <w:t>Primary efficacy outcome</w:t>
            </w:r>
          </w:p>
          <w:p w14:paraId="6BCFC497" w14:textId="77777777" w:rsidR="00177B17" w:rsidRPr="00177B17" w:rsidRDefault="00177B17" w:rsidP="00177B17">
            <w:pPr>
              <w:pStyle w:val="TableText0"/>
              <w:rPr>
                <w:iCs/>
                <w:snapToGrid w:val="0"/>
              </w:rPr>
            </w:pPr>
            <w:r w:rsidRPr="00177B17">
              <w:rPr>
                <w:iCs/>
                <w:snapToGrid w:val="0"/>
              </w:rPr>
              <w:t>Change in HbA1c% baseline to week 36</w:t>
            </w:r>
          </w:p>
          <w:p w14:paraId="1CB5BA76" w14:textId="77777777" w:rsidR="00177B17" w:rsidRPr="00B639B6" w:rsidRDefault="00177B17" w:rsidP="00177B17">
            <w:pPr>
              <w:pStyle w:val="TableText0"/>
              <w:rPr>
                <w:b/>
                <w:bCs w:val="0"/>
                <w:iCs/>
                <w:snapToGrid w:val="0"/>
              </w:rPr>
            </w:pPr>
            <w:r w:rsidRPr="00B639B6">
              <w:rPr>
                <w:b/>
                <w:bCs w:val="0"/>
                <w:iCs/>
                <w:snapToGrid w:val="0"/>
              </w:rPr>
              <w:t>Secondary efficacy outcomes</w:t>
            </w:r>
          </w:p>
          <w:p w14:paraId="02BF0009" w14:textId="77777777" w:rsidR="00177B17" w:rsidRPr="00177B17" w:rsidRDefault="00177B17" w:rsidP="00177B17">
            <w:pPr>
              <w:pStyle w:val="TableText0"/>
              <w:rPr>
                <w:iCs/>
                <w:snapToGrid w:val="0"/>
              </w:rPr>
            </w:pPr>
            <w:r w:rsidRPr="00177B17">
              <w:rPr>
                <w:iCs/>
                <w:snapToGrid w:val="0"/>
              </w:rPr>
              <w:t>Patients achieving target HbA1c &lt;7% at week 36</w:t>
            </w:r>
          </w:p>
          <w:p w14:paraId="74711176" w14:textId="77777777" w:rsidR="00177B17" w:rsidRPr="00177B17" w:rsidRDefault="00177B17" w:rsidP="00177B17">
            <w:pPr>
              <w:pStyle w:val="TableText0"/>
              <w:rPr>
                <w:iCs/>
                <w:snapToGrid w:val="0"/>
              </w:rPr>
            </w:pPr>
            <w:r w:rsidRPr="00177B17">
              <w:rPr>
                <w:iCs/>
                <w:snapToGrid w:val="0"/>
              </w:rPr>
              <w:t>Change in fasting blood glucose baseline to week 36</w:t>
            </w:r>
          </w:p>
          <w:p w14:paraId="30B7E4EA" w14:textId="77777777" w:rsidR="00177B17" w:rsidRPr="00177B17" w:rsidRDefault="00177B17" w:rsidP="00177B17">
            <w:pPr>
              <w:pStyle w:val="TableText0"/>
              <w:rPr>
                <w:iCs/>
                <w:snapToGrid w:val="0"/>
              </w:rPr>
            </w:pPr>
            <w:r w:rsidRPr="00177B17">
              <w:rPr>
                <w:iCs/>
                <w:snapToGrid w:val="0"/>
              </w:rPr>
              <w:t>Change in bodyweight from baseline to week 36</w:t>
            </w:r>
          </w:p>
          <w:p w14:paraId="19D5B7F5" w14:textId="77777777" w:rsidR="00177B17" w:rsidRPr="00B639B6" w:rsidRDefault="00177B17" w:rsidP="00177B17">
            <w:pPr>
              <w:pStyle w:val="TableText0"/>
              <w:rPr>
                <w:b/>
                <w:bCs w:val="0"/>
                <w:iCs/>
                <w:snapToGrid w:val="0"/>
              </w:rPr>
            </w:pPr>
            <w:r w:rsidRPr="00B639B6">
              <w:rPr>
                <w:b/>
                <w:bCs w:val="0"/>
                <w:iCs/>
                <w:snapToGrid w:val="0"/>
              </w:rPr>
              <w:t>Safety objectives</w:t>
            </w:r>
          </w:p>
          <w:p w14:paraId="36FEE867" w14:textId="77777777" w:rsidR="00177B17" w:rsidRPr="00177B17" w:rsidRDefault="00177B17" w:rsidP="00177B17">
            <w:pPr>
              <w:pStyle w:val="TableText0"/>
              <w:rPr>
                <w:i/>
                <w:snapToGrid w:val="0"/>
              </w:rPr>
            </w:pPr>
            <w:r w:rsidRPr="00177B17">
              <w:rPr>
                <w:iCs/>
                <w:snapToGrid w:val="0"/>
              </w:rPr>
              <w:t>Safety parameters through 36 weeks and 52 weeks</w:t>
            </w:r>
          </w:p>
        </w:tc>
      </w:tr>
      <w:tr w:rsidR="00177B17" w:rsidRPr="00177B17" w14:paraId="0C22F483" w14:textId="77777777" w:rsidTr="00177B17">
        <w:tc>
          <w:tcPr>
            <w:tcW w:w="1513" w:type="dxa"/>
          </w:tcPr>
          <w:p w14:paraId="1DE1AB30" w14:textId="77777777" w:rsidR="00177B17" w:rsidRPr="00177B17" w:rsidRDefault="00177B17" w:rsidP="00177B17">
            <w:pPr>
              <w:pStyle w:val="TableText0"/>
              <w:rPr>
                <w:snapToGrid w:val="0"/>
              </w:rPr>
            </w:pPr>
            <w:r w:rsidRPr="00177B17">
              <w:rPr>
                <w:snapToGrid w:val="0"/>
              </w:rPr>
              <w:t>Clinical claim*</w:t>
            </w:r>
          </w:p>
        </w:tc>
        <w:tc>
          <w:tcPr>
            <w:tcW w:w="7504" w:type="dxa"/>
            <w:vAlign w:val="center"/>
          </w:tcPr>
          <w:p w14:paraId="757106E8" w14:textId="1C0C6A5A" w:rsidR="00177B17" w:rsidRPr="00177B17" w:rsidRDefault="00177B17" w:rsidP="00177B17">
            <w:pPr>
              <w:pStyle w:val="TableText0"/>
              <w:rPr>
                <w:i/>
                <w:snapToGrid w:val="0"/>
              </w:rPr>
            </w:pPr>
            <w:r w:rsidRPr="00177B17">
              <w:rPr>
                <w:snapToGrid w:val="0"/>
              </w:rPr>
              <w:t xml:space="preserve">For </w:t>
            </w:r>
            <w:r w:rsidR="00707531">
              <w:rPr>
                <w:snapToGrid w:val="0"/>
              </w:rPr>
              <w:t>patients</w:t>
            </w:r>
            <w:r w:rsidR="00707531" w:rsidRPr="00177B17">
              <w:rPr>
                <w:snapToGrid w:val="0"/>
              </w:rPr>
              <w:t xml:space="preserve"> </w:t>
            </w:r>
            <w:r w:rsidRPr="00177B17">
              <w:rPr>
                <w:snapToGrid w:val="0"/>
              </w:rPr>
              <w:t>with T2DM who require treatment intensification to obtain glycaemic targets, dulaglutide 3.0 mg and dulaglutide 4.5 m</w:t>
            </w:r>
            <w:r w:rsidR="007B2ED0">
              <w:rPr>
                <w:snapToGrid w:val="0"/>
              </w:rPr>
              <w:t>g</w:t>
            </w:r>
            <w:r w:rsidRPr="00177B17">
              <w:rPr>
                <w:snapToGrid w:val="0"/>
              </w:rPr>
              <w:t xml:space="preserve"> provide at least non-inferior efficacy with respect to glycaemic control (HbA1c), and non-inferior safety with respect to adverse events, compared to dulaglutide 1.5</w:t>
            </w:r>
            <w:r w:rsidR="007B2ED0">
              <w:rPr>
                <w:snapToGrid w:val="0"/>
              </w:rPr>
              <w:t> </w:t>
            </w:r>
            <w:r w:rsidRPr="00177B17">
              <w:rPr>
                <w:snapToGrid w:val="0"/>
              </w:rPr>
              <w:t xml:space="preserve">mg once weekly, when all medicines are used in combination with metformin. </w:t>
            </w:r>
          </w:p>
        </w:tc>
      </w:tr>
    </w:tbl>
    <w:p w14:paraId="24DFCE3E" w14:textId="0BD7F84C" w:rsidR="00177B17" w:rsidRPr="00B03F68" w:rsidRDefault="00177B17" w:rsidP="00B03F68">
      <w:pPr>
        <w:pStyle w:val="TableFigureFooter"/>
        <w:rPr>
          <w:rStyle w:val="CommentReference"/>
          <w:b w:val="0"/>
          <w:szCs w:val="22"/>
        </w:rPr>
      </w:pPr>
      <w:r>
        <w:t xml:space="preserve">Source: Table ES 1.1, p i </w:t>
      </w:r>
      <w:r w:rsidRPr="00D13A3E">
        <w:t xml:space="preserve">of the </w:t>
      </w:r>
      <w:r>
        <w:t>submission.</w:t>
      </w:r>
    </w:p>
    <w:p w14:paraId="6B4AB6C2" w14:textId="7F01D731" w:rsidR="005C25FF" w:rsidRPr="00407F2D" w:rsidRDefault="005C25FF" w:rsidP="004A6040">
      <w:pPr>
        <w:pStyle w:val="2-SectionHeading"/>
      </w:pPr>
      <w:bookmarkStart w:id="3" w:name="_Toc93496334"/>
      <w:r w:rsidRPr="00407F2D">
        <w:t>Background</w:t>
      </w:r>
      <w:bookmarkEnd w:id="3"/>
    </w:p>
    <w:p w14:paraId="2C521D6D" w14:textId="78CF03EE" w:rsidR="005C25FF" w:rsidRPr="004151CF" w:rsidRDefault="005C25FF" w:rsidP="004A6040">
      <w:pPr>
        <w:pStyle w:val="4-SubsectionHeading"/>
      </w:pPr>
      <w:bookmarkStart w:id="4" w:name="_Toc22897638"/>
      <w:bookmarkStart w:id="5" w:name="_Toc93496335"/>
      <w:r w:rsidRPr="004151CF">
        <w:t>Registration status</w:t>
      </w:r>
      <w:bookmarkEnd w:id="4"/>
      <w:bookmarkEnd w:id="5"/>
    </w:p>
    <w:p w14:paraId="25974EFA" w14:textId="5E5B53F7" w:rsidR="0023191C" w:rsidRDefault="00673CAE" w:rsidP="00252A0F">
      <w:pPr>
        <w:pStyle w:val="3-BodyText"/>
      </w:pPr>
      <w:r w:rsidRPr="00673CAE">
        <w:rPr>
          <w:rFonts w:ascii="Calibri" w:eastAsia="Calibri" w:hAnsi="Calibri"/>
          <w:b/>
          <w:szCs w:val="22"/>
        </w:rPr>
        <w:t xml:space="preserve">TGA status at time of </w:t>
      </w:r>
      <w:r w:rsidR="00105771">
        <w:rPr>
          <w:rFonts w:ascii="Calibri" w:eastAsia="Calibri" w:hAnsi="Calibri"/>
          <w:b/>
          <w:szCs w:val="22"/>
        </w:rPr>
        <w:t>PBAC consideration</w:t>
      </w:r>
      <w:r w:rsidRPr="00673CAE">
        <w:rPr>
          <w:rFonts w:ascii="Calibri" w:eastAsia="Calibri" w:hAnsi="Calibri"/>
          <w:szCs w:val="22"/>
        </w:rPr>
        <w:t xml:space="preserve">: </w:t>
      </w:r>
      <w:r w:rsidR="00927A08" w:rsidRPr="00105771">
        <w:t>T</w:t>
      </w:r>
      <w:r w:rsidR="005C25FF" w:rsidRPr="00105771">
        <w:t xml:space="preserve">he submission was made under </w:t>
      </w:r>
      <w:r w:rsidR="00E244F6" w:rsidRPr="00105771">
        <w:t xml:space="preserve">the </w:t>
      </w:r>
      <w:r w:rsidR="005C25FF" w:rsidRPr="00105771">
        <w:t>TGA/PBAC Parallel Process.</w:t>
      </w:r>
      <w:r w:rsidRPr="00105771">
        <w:t xml:space="preserve"> The </w:t>
      </w:r>
      <w:r w:rsidR="00D01CFA" w:rsidRPr="00105771">
        <w:t xml:space="preserve">second round TGA Clinical Evaluation Report was </w:t>
      </w:r>
      <w:r w:rsidR="00D01CFA" w:rsidRPr="00105771">
        <w:lastRenderedPageBreak/>
        <w:t>available</w:t>
      </w:r>
      <w:r w:rsidR="005C25FF" w:rsidRPr="00105771">
        <w:t xml:space="preserve">. </w:t>
      </w:r>
      <w:r w:rsidR="007E323A" w:rsidRPr="00105771">
        <w:t xml:space="preserve">The Delegate’s </w:t>
      </w:r>
      <w:r w:rsidR="005C25FF" w:rsidRPr="00105771">
        <w:t>Overview is expected</w:t>
      </w:r>
      <w:r w:rsidR="00B8695D" w:rsidRPr="00105771">
        <w:t xml:space="preserve"> </w:t>
      </w:r>
      <w:r w:rsidR="00105771" w:rsidRPr="00105771">
        <w:t>3</w:t>
      </w:r>
      <w:r w:rsidR="007E323A" w:rsidRPr="00105771">
        <w:t>1 March</w:t>
      </w:r>
      <w:r w:rsidR="007E323A" w:rsidRPr="00927A08">
        <w:t xml:space="preserve"> 2022. </w:t>
      </w:r>
      <w:r w:rsidR="007E323A">
        <w:t xml:space="preserve">The submission provided the EMA </w:t>
      </w:r>
      <w:r w:rsidR="00927A08">
        <w:t>assessment report.</w:t>
      </w:r>
      <w:bookmarkStart w:id="6" w:name="_Toc22897639"/>
    </w:p>
    <w:p w14:paraId="3E2A6EAB" w14:textId="44B31772" w:rsidR="005C25FF" w:rsidRPr="00621ADA" w:rsidRDefault="005C25FF" w:rsidP="0023191C">
      <w:pPr>
        <w:pStyle w:val="4-SubsectionHeading"/>
      </w:pPr>
      <w:bookmarkStart w:id="7" w:name="_Toc93496336"/>
      <w:r w:rsidRPr="00621ADA">
        <w:t>Previous PBAC consideration</w:t>
      </w:r>
      <w:bookmarkEnd w:id="6"/>
      <w:bookmarkEnd w:id="7"/>
    </w:p>
    <w:p w14:paraId="0F1DAAD0" w14:textId="089380EA" w:rsidR="005C25FF" w:rsidRPr="001E1E86" w:rsidRDefault="0023191C" w:rsidP="000267C0">
      <w:pPr>
        <w:pStyle w:val="3-BodyText"/>
        <w:rPr>
          <w:color w:val="0066FF"/>
        </w:rPr>
      </w:pPr>
      <w:r>
        <w:rPr>
          <w:snapToGrid/>
          <w:lang w:val="en-US"/>
        </w:rPr>
        <w:t xml:space="preserve">The </w:t>
      </w:r>
      <w:r w:rsidR="00F2366A">
        <w:rPr>
          <w:snapToGrid/>
          <w:lang w:val="en-US"/>
        </w:rPr>
        <w:t xml:space="preserve">PBAC initially </w:t>
      </w:r>
      <w:r>
        <w:rPr>
          <w:snapToGrid/>
          <w:lang w:val="en-US"/>
        </w:rPr>
        <w:t>recommended dul</w:t>
      </w:r>
      <w:r w:rsidR="000267C0">
        <w:rPr>
          <w:snapToGrid/>
          <w:lang w:val="en-US"/>
        </w:rPr>
        <w:t>a</w:t>
      </w:r>
      <w:r>
        <w:rPr>
          <w:snapToGrid/>
          <w:lang w:val="en-US"/>
        </w:rPr>
        <w:t>glutide 1.5</w:t>
      </w:r>
      <w:r w:rsidR="00AA7F2D">
        <w:rPr>
          <w:snapToGrid/>
          <w:lang w:val="en-US"/>
        </w:rPr>
        <w:t> </w:t>
      </w:r>
      <w:r>
        <w:rPr>
          <w:snapToGrid/>
          <w:lang w:val="en-US"/>
        </w:rPr>
        <w:t>mg for lis</w:t>
      </w:r>
      <w:r w:rsidR="000267C0">
        <w:rPr>
          <w:snapToGrid/>
          <w:lang w:val="en-US"/>
        </w:rPr>
        <w:t>ting in November 2017</w:t>
      </w:r>
      <w:r w:rsidR="002C1E1D">
        <w:rPr>
          <w:snapToGrid/>
        </w:rPr>
        <w:t xml:space="preserve"> as </w:t>
      </w:r>
      <w:r w:rsidR="002C1E1D" w:rsidRPr="002C1E1D">
        <w:rPr>
          <w:snapToGrid/>
        </w:rPr>
        <w:t xml:space="preserve">dual therapy in combination with metformin and </w:t>
      </w:r>
      <w:r w:rsidR="002C1E1D">
        <w:rPr>
          <w:snapToGrid/>
        </w:rPr>
        <w:t>as</w:t>
      </w:r>
      <w:r w:rsidR="002C1E1D" w:rsidRPr="002C1E1D">
        <w:rPr>
          <w:snapToGrid/>
        </w:rPr>
        <w:t xml:space="preserve"> triple therapy in combination with metformin and a sulfonylurea.</w:t>
      </w:r>
      <w:r w:rsidR="00F2366A">
        <w:rPr>
          <w:snapToGrid/>
          <w:lang w:val="en-US"/>
        </w:rPr>
        <w:t xml:space="preserve"> </w:t>
      </w:r>
      <w:r w:rsidR="002C1E1D">
        <w:rPr>
          <w:snapToGrid/>
          <w:lang w:val="en-US"/>
        </w:rPr>
        <w:t>The PBAC</w:t>
      </w:r>
      <w:r w:rsidR="00F2366A">
        <w:rPr>
          <w:snapToGrid/>
          <w:lang w:val="en-US"/>
        </w:rPr>
        <w:t xml:space="preserve"> recommended extending</w:t>
      </w:r>
      <w:r w:rsidR="002C1E1D">
        <w:rPr>
          <w:snapToGrid/>
          <w:lang w:val="en-US"/>
        </w:rPr>
        <w:t xml:space="preserve"> the listing of dulaglutide</w:t>
      </w:r>
      <w:r w:rsidR="00F2366A">
        <w:rPr>
          <w:snapToGrid/>
          <w:lang w:val="en-US"/>
        </w:rPr>
        <w:t xml:space="preserve"> </w:t>
      </w:r>
      <w:r w:rsidR="00F2366A" w:rsidRPr="0028081E">
        <w:t>to include the treatment of T2DM in combination with insulin and metformin</w:t>
      </w:r>
      <w:r w:rsidR="00F2366A">
        <w:t xml:space="preserve"> in July 2020. </w:t>
      </w:r>
      <w:r w:rsidR="00F2366A">
        <w:rPr>
          <w:snapToGrid/>
          <w:lang w:val="en-US"/>
        </w:rPr>
        <w:t>The PBAC</w:t>
      </w:r>
      <w:r w:rsidR="000267C0">
        <w:rPr>
          <w:snapToGrid/>
          <w:lang w:val="en-US"/>
        </w:rPr>
        <w:t xml:space="preserve"> has not </w:t>
      </w:r>
      <w:r w:rsidR="00F2366A">
        <w:rPr>
          <w:snapToGrid/>
          <w:lang w:val="en-US"/>
        </w:rPr>
        <w:t xml:space="preserve">previously </w:t>
      </w:r>
      <w:r w:rsidR="000267C0">
        <w:rPr>
          <w:snapToGrid/>
          <w:lang w:val="en-US"/>
        </w:rPr>
        <w:t>considered the high</w:t>
      </w:r>
      <w:r w:rsidR="00252A0F">
        <w:rPr>
          <w:snapToGrid/>
          <w:lang w:val="en-US"/>
        </w:rPr>
        <w:t>er</w:t>
      </w:r>
      <w:r w:rsidR="000267C0">
        <w:rPr>
          <w:snapToGrid/>
          <w:lang w:val="en-US"/>
        </w:rPr>
        <w:t xml:space="preserve"> strengths. </w:t>
      </w:r>
    </w:p>
    <w:p w14:paraId="56763224" w14:textId="08061BB5" w:rsidR="00470891" w:rsidRDefault="00B50DB8" w:rsidP="00606615">
      <w:pPr>
        <w:pStyle w:val="2-SectionHeading"/>
      </w:pPr>
      <w:bookmarkStart w:id="8" w:name="_Toc93496337"/>
      <w:r w:rsidRPr="00407F2D">
        <w:t>Requested listing</w:t>
      </w:r>
      <w:bookmarkEnd w:id="8"/>
    </w:p>
    <w:p w14:paraId="58F13F3E" w14:textId="77777777" w:rsidR="00617E12" w:rsidRPr="007C609A" w:rsidRDefault="00617E12" w:rsidP="00617E12"/>
    <w:tbl>
      <w:tblPr>
        <w:tblW w:w="4977" w:type="pct"/>
        <w:tblInd w:w="28" w:type="dxa"/>
        <w:tblCellMar>
          <w:left w:w="28" w:type="dxa"/>
          <w:right w:w="28" w:type="dxa"/>
        </w:tblCellMar>
        <w:tblLook w:val="0000" w:firstRow="0" w:lastRow="0" w:firstColumn="0" w:lastColumn="0" w:noHBand="0" w:noVBand="0"/>
      </w:tblPr>
      <w:tblGrid>
        <w:gridCol w:w="2237"/>
        <w:gridCol w:w="1114"/>
        <w:gridCol w:w="1075"/>
        <w:gridCol w:w="832"/>
        <w:gridCol w:w="1504"/>
        <w:gridCol w:w="742"/>
        <w:gridCol w:w="1481"/>
      </w:tblGrid>
      <w:tr w:rsidR="003517F9" w:rsidRPr="00413860" w14:paraId="3F3E5DD2" w14:textId="77777777" w:rsidTr="0005316E">
        <w:trPr>
          <w:cantSplit/>
          <w:trHeight w:val="463"/>
        </w:trPr>
        <w:tc>
          <w:tcPr>
            <w:tcW w:w="1865" w:type="pct"/>
            <w:gridSpan w:val="2"/>
            <w:tcBorders>
              <w:top w:val="single" w:sz="4" w:space="0" w:color="auto"/>
              <w:bottom w:val="single" w:sz="4" w:space="0" w:color="auto"/>
            </w:tcBorders>
            <w:vAlign w:val="center"/>
          </w:tcPr>
          <w:p w14:paraId="0F6E847E" w14:textId="77777777" w:rsidR="00617E12" w:rsidRPr="00C7151A" w:rsidRDefault="00617E12" w:rsidP="00617E12">
            <w:pPr>
              <w:keepNext/>
              <w:jc w:val="left"/>
              <w:rPr>
                <w:rFonts w:ascii="Arial Narrow" w:hAnsi="Arial Narrow"/>
                <w:b/>
                <w:sz w:val="20"/>
              </w:rPr>
            </w:pPr>
            <w:r w:rsidRPr="00C7151A">
              <w:rPr>
                <w:rFonts w:ascii="Arial Narrow" w:hAnsi="Arial Narrow"/>
                <w:b/>
                <w:sz w:val="20"/>
              </w:rPr>
              <w:t>Name, Restriction,</w:t>
            </w:r>
          </w:p>
          <w:p w14:paraId="1DDDA174" w14:textId="77777777" w:rsidR="00617E12" w:rsidRPr="00C7151A" w:rsidRDefault="00617E12" w:rsidP="00617E12">
            <w:pPr>
              <w:keepNext/>
              <w:jc w:val="left"/>
              <w:rPr>
                <w:rFonts w:ascii="Arial Narrow" w:hAnsi="Arial Narrow"/>
                <w:b/>
                <w:sz w:val="20"/>
              </w:rPr>
            </w:pPr>
            <w:r w:rsidRPr="00C7151A">
              <w:rPr>
                <w:rFonts w:ascii="Arial Narrow" w:hAnsi="Arial Narrow"/>
                <w:b/>
                <w:sz w:val="20"/>
              </w:rPr>
              <w:t>Manner of administration and form</w:t>
            </w:r>
          </w:p>
        </w:tc>
        <w:tc>
          <w:tcPr>
            <w:tcW w:w="598" w:type="pct"/>
            <w:tcBorders>
              <w:top w:val="single" w:sz="4" w:space="0" w:color="auto"/>
              <w:bottom w:val="single" w:sz="4" w:space="0" w:color="auto"/>
            </w:tcBorders>
            <w:vAlign w:val="center"/>
          </w:tcPr>
          <w:p w14:paraId="5A87A426" w14:textId="77777777" w:rsidR="00617E12" w:rsidRPr="00C7151A" w:rsidRDefault="00617E12" w:rsidP="00617E12">
            <w:pPr>
              <w:keepNext/>
              <w:jc w:val="center"/>
              <w:rPr>
                <w:rFonts w:ascii="Arial Narrow" w:hAnsi="Arial Narrow"/>
                <w:b/>
                <w:sz w:val="20"/>
              </w:rPr>
            </w:pPr>
            <w:r w:rsidRPr="00C7151A">
              <w:rPr>
                <w:rFonts w:ascii="Arial Narrow" w:hAnsi="Arial Narrow"/>
                <w:b/>
                <w:sz w:val="20"/>
              </w:rPr>
              <w:t>Max.</w:t>
            </w:r>
          </w:p>
          <w:p w14:paraId="20B12ACF" w14:textId="47AC3209" w:rsidR="00617E12" w:rsidRPr="00C7151A" w:rsidRDefault="00617E12" w:rsidP="00617E12">
            <w:pPr>
              <w:keepNext/>
              <w:jc w:val="center"/>
              <w:rPr>
                <w:rFonts w:ascii="Arial Narrow" w:hAnsi="Arial Narrow"/>
                <w:b/>
                <w:sz w:val="20"/>
              </w:rPr>
            </w:pPr>
            <w:r w:rsidRPr="00C7151A">
              <w:rPr>
                <w:rFonts w:ascii="Arial Narrow" w:hAnsi="Arial Narrow"/>
                <w:b/>
                <w:sz w:val="20"/>
              </w:rPr>
              <w:t>Qty</w:t>
            </w:r>
            <w:r w:rsidR="00591957" w:rsidRPr="00C7151A">
              <w:rPr>
                <w:rFonts w:ascii="Arial Narrow" w:hAnsi="Arial Narrow"/>
                <w:b/>
                <w:sz w:val="20"/>
              </w:rPr>
              <w:t xml:space="preserve"> </w:t>
            </w:r>
          </w:p>
        </w:tc>
        <w:tc>
          <w:tcPr>
            <w:tcW w:w="463" w:type="pct"/>
            <w:tcBorders>
              <w:top w:val="single" w:sz="4" w:space="0" w:color="auto"/>
              <w:bottom w:val="single" w:sz="4" w:space="0" w:color="auto"/>
            </w:tcBorders>
            <w:vAlign w:val="center"/>
          </w:tcPr>
          <w:p w14:paraId="47C41B58" w14:textId="77777777" w:rsidR="00617E12" w:rsidRPr="00C7151A" w:rsidRDefault="00617E12" w:rsidP="00617E12">
            <w:pPr>
              <w:keepNext/>
              <w:jc w:val="center"/>
              <w:rPr>
                <w:rFonts w:ascii="Arial Narrow" w:hAnsi="Arial Narrow"/>
                <w:b/>
                <w:sz w:val="20"/>
              </w:rPr>
            </w:pPr>
            <w:r w:rsidRPr="00C7151A">
              <w:rPr>
                <w:rFonts w:ascii="Arial Narrow" w:hAnsi="Arial Narrow" w:cs="Times New Roman"/>
                <w:b/>
                <w:sz w:val="20"/>
              </w:rPr>
              <w:t>№</w:t>
            </w:r>
            <w:r w:rsidRPr="00C7151A">
              <w:rPr>
                <w:rFonts w:ascii="Arial Narrow" w:hAnsi="Arial Narrow"/>
                <w:b/>
                <w:sz w:val="20"/>
              </w:rPr>
              <w:t>.of</w:t>
            </w:r>
          </w:p>
          <w:p w14:paraId="4959D822" w14:textId="77777777" w:rsidR="00617E12" w:rsidRPr="00C7151A" w:rsidRDefault="00617E12" w:rsidP="00617E12">
            <w:pPr>
              <w:keepNext/>
              <w:jc w:val="center"/>
              <w:rPr>
                <w:rFonts w:ascii="Arial Narrow" w:hAnsi="Arial Narrow"/>
                <w:b/>
                <w:sz w:val="20"/>
              </w:rPr>
            </w:pPr>
            <w:r w:rsidRPr="00C7151A">
              <w:rPr>
                <w:rFonts w:ascii="Arial Narrow" w:hAnsi="Arial Narrow"/>
                <w:b/>
                <w:sz w:val="20"/>
              </w:rPr>
              <w:t>Rpts</w:t>
            </w:r>
          </w:p>
        </w:tc>
        <w:tc>
          <w:tcPr>
            <w:tcW w:w="837" w:type="pct"/>
            <w:tcBorders>
              <w:top w:val="single" w:sz="4" w:space="0" w:color="auto"/>
              <w:bottom w:val="single" w:sz="4" w:space="0" w:color="auto"/>
            </w:tcBorders>
            <w:vAlign w:val="center"/>
          </w:tcPr>
          <w:p w14:paraId="16C5700A" w14:textId="2E3AD488" w:rsidR="00617E12" w:rsidRPr="00C7151A" w:rsidRDefault="00617E12" w:rsidP="00617E12">
            <w:pPr>
              <w:keepNext/>
              <w:jc w:val="center"/>
              <w:rPr>
                <w:rFonts w:ascii="Arial Narrow" w:hAnsi="Arial Narrow"/>
                <w:b/>
                <w:sz w:val="20"/>
              </w:rPr>
            </w:pPr>
            <w:r w:rsidRPr="00C7151A">
              <w:rPr>
                <w:rFonts w:ascii="Arial Narrow" w:hAnsi="Arial Narrow"/>
                <w:b/>
                <w:sz w:val="20"/>
              </w:rPr>
              <w:t>Dispensed Price for Max. Qty</w:t>
            </w:r>
          </w:p>
        </w:tc>
        <w:tc>
          <w:tcPr>
            <w:tcW w:w="1237" w:type="pct"/>
            <w:gridSpan w:val="2"/>
            <w:tcBorders>
              <w:top w:val="single" w:sz="4" w:space="0" w:color="auto"/>
              <w:bottom w:val="single" w:sz="4" w:space="0" w:color="auto"/>
            </w:tcBorders>
            <w:vAlign w:val="center"/>
          </w:tcPr>
          <w:p w14:paraId="2F67E163" w14:textId="77777777" w:rsidR="00617E12" w:rsidRPr="00C7151A" w:rsidRDefault="00617E12" w:rsidP="00617E12">
            <w:pPr>
              <w:keepNext/>
              <w:jc w:val="center"/>
              <w:rPr>
                <w:rFonts w:ascii="Arial Narrow" w:hAnsi="Arial Narrow"/>
                <w:b/>
                <w:sz w:val="20"/>
                <w:lang w:val="fr-FR"/>
              </w:rPr>
            </w:pPr>
            <w:r w:rsidRPr="00C7151A">
              <w:rPr>
                <w:rFonts w:ascii="Arial Narrow" w:hAnsi="Arial Narrow"/>
                <w:b/>
                <w:sz w:val="20"/>
              </w:rPr>
              <w:t>Proprietary Name and Manufacturer</w:t>
            </w:r>
          </w:p>
        </w:tc>
      </w:tr>
      <w:tr w:rsidR="003517F9" w:rsidRPr="00413860" w14:paraId="7FCBB5F3" w14:textId="77777777" w:rsidTr="0005316E">
        <w:trPr>
          <w:cantSplit/>
          <w:trHeight w:val="567"/>
        </w:trPr>
        <w:tc>
          <w:tcPr>
            <w:tcW w:w="1865" w:type="pct"/>
            <w:gridSpan w:val="2"/>
            <w:vAlign w:val="center"/>
          </w:tcPr>
          <w:p w14:paraId="56A2065F" w14:textId="790A3C82" w:rsidR="00617E12" w:rsidRPr="00591957" w:rsidRDefault="0023191C" w:rsidP="00617E12">
            <w:pPr>
              <w:keepNext/>
              <w:jc w:val="left"/>
              <w:rPr>
                <w:rFonts w:ascii="Arial Narrow" w:hAnsi="Arial Narrow"/>
                <w:sz w:val="20"/>
              </w:rPr>
            </w:pPr>
            <w:r>
              <w:rPr>
                <w:rFonts w:ascii="Arial Narrow" w:hAnsi="Arial Narrow"/>
                <w:smallCaps/>
                <w:sz w:val="20"/>
              </w:rPr>
              <w:t xml:space="preserve">Dulaglutide </w:t>
            </w:r>
          </w:p>
          <w:p w14:paraId="20DB567C" w14:textId="3306A48C" w:rsidR="00617E12" w:rsidRPr="00591957" w:rsidRDefault="0023191C" w:rsidP="00617E12">
            <w:pPr>
              <w:keepNext/>
              <w:jc w:val="left"/>
              <w:rPr>
                <w:rFonts w:ascii="Arial Narrow" w:hAnsi="Arial Narrow"/>
                <w:sz w:val="20"/>
              </w:rPr>
            </w:pPr>
            <w:r>
              <w:rPr>
                <w:rFonts w:ascii="Arial Narrow" w:hAnsi="Arial Narrow"/>
                <w:sz w:val="20"/>
              </w:rPr>
              <w:t>injection</w:t>
            </w:r>
            <w:r w:rsidR="00617E12" w:rsidRPr="00591957">
              <w:rPr>
                <w:rFonts w:ascii="Arial Narrow" w:hAnsi="Arial Narrow"/>
                <w:sz w:val="20"/>
              </w:rPr>
              <w:t xml:space="preserve"> </w:t>
            </w:r>
            <w:r>
              <w:rPr>
                <w:rFonts w:ascii="Arial Narrow" w:hAnsi="Arial Narrow"/>
                <w:sz w:val="20"/>
              </w:rPr>
              <w:t>3.0</w:t>
            </w:r>
            <w:r w:rsidR="00641172">
              <w:rPr>
                <w:rFonts w:ascii="Arial Narrow" w:hAnsi="Arial Narrow"/>
                <w:sz w:val="20"/>
              </w:rPr>
              <w:t xml:space="preserve"> </w:t>
            </w:r>
            <w:r>
              <w:rPr>
                <w:rFonts w:ascii="Arial Narrow" w:hAnsi="Arial Narrow"/>
                <w:sz w:val="20"/>
              </w:rPr>
              <w:t>mg/0.5</w:t>
            </w:r>
            <w:r w:rsidR="007B2ED0">
              <w:rPr>
                <w:rFonts w:ascii="Arial Narrow" w:hAnsi="Arial Narrow"/>
                <w:sz w:val="20"/>
              </w:rPr>
              <w:t> </w:t>
            </w:r>
            <w:r>
              <w:rPr>
                <w:rFonts w:ascii="Arial Narrow" w:hAnsi="Arial Narrow"/>
                <w:sz w:val="20"/>
              </w:rPr>
              <w:t>mL, 4.5</w:t>
            </w:r>
            <w:r w:rsidR="00641172">
              <w:rPr>
                <w:rFonts w:ascii="Arial Narrow" w:hAnsi="Arial Narrow"/>
                <w:sz w:val="20"/>
              </w:rPr>
              <w:t xml:space="preserve"> </w:t>
            </w:r>
            <w:r>
              <w:rPr>
                <w:rFonts w:ascii="Arial Narrow" w:hAnsi="Arial Narrow"/>
                <w:sz w:val="20"/>
              </w:rPr>
              <w:t>mg/0.</w:t>
            </w:r>
            <w:r w:rsidR="005A2858">
              <w:rPr>
                <w:rFonts w:ascii="Arial Narrow" w:hAnsi="Arial Narrow"/>
                <w:sz w:val="20"/>
              </w:rPr>
              <w:t>5 </w:t>
            </w:r>
            <w:r>
              <w:rPr>
                <w:rFonts w:ascii="Arial Narrow" w:hAnsi="Arial Narrow"/>
                <w:sz w:val="20"/>
              </w:rPr>
              <w:t>mL, 4</w:t>
            </w:r>
            <w:r w:rsidR="007B2ED0">
              <w:rPr>
                <w:rFonts w:ascii="Arial Narrow" w:hAnsi="Arial Narrow"/>
                <w:sz w:val="20"/>
              </w:rPr>
              <w:t> </w:t>
            </w:r>
            <w:r>
              <w:rPr>
                <w:rFonts w:ascii="Arial Narrow" w:hAnsi="Arial Narrow"/>
                <w:sz w:val="20"/>
              </w:rPr>
              <w:t>single use pens</w:t>
            </w:r>
          </w:p>
        </w:tc>
        <w:tc>
          <w:tcPr>
            <w:tcW w:w="598" w:type="pct"/>
            <w:vAlign w:val="center"/>
          </w:tcPr>
          <w:p w14:paraId="0329C315" w14:textId="1C257A41" w:rsidR="00617E12" w:rsidRPr="00591957" w:rsidRDefault="0023191C" w:rsidP="00617E12">
            <w:pPr>
              <w:keepNext/>
              <w:jc w:val="center"/>
              <w:rPr>
                <w:rFonts w:ascii="Arial Narrow" w:hAnsi="Arial Narrow"/>
                <w:sz w:val="20"/>
              </w:rPr>
            </w:pPr>
            <w:r>
              <w:rPr>
                <w:rFonts w:ascii="Arial Narrow" w:hAnsi="Arial Narrow"/>
                <w:sz w:val="20"/>
              </w:rPr>
              <w:t>1 pack containing 4</w:t>
            </w:r>
            <w:r w:rsidR="007B2ED0">
              <w:rPr>
                <w:rFonts w:ascii="Arial Narrow" w:hAnsi="Arial Narrow"/>
                <w:sz w:val="20"/>
              </w:rPr>
              <w:t> </w:t>
            </w:r>
            <w:r>
              <w:rPr>
                <w:rFonts w:ascii="Arial Narrow" w:hAnsi="Arial Narrow"/>
                <w:sz w:val="20"/>
              </w:rPr>
              <w:t>pens</w:t>
            </w:r>
          </w:p>
        </w:tc>
        <w:tc>
          <w:tcPr>
            <w:tcW w:w="463" w:type="pct"/>
            <w:vAlign w:val="center"/>
          </w:tcPr>
          <w:p w14:paraId="1822E97A" w14:textId="5A3DF464" w:rsidR="00617E12" w:rsidRPr="00591957" w:rsidRDefault="0023191C" w:rsidP="00617E12">
            <w:pPr>
              <w:keepNext/>
              <w:jc w:val="center"/>
              <w:rPr>
                <w:rFonts w:ascii="Arial Narrow" w:hAnsi="Arial Narrow"/>
                <w:sz w:val="20"/>
              </w:rPr>
            </w:pPr>
            <w:r>
              <w:rPr>
                <w:rFonts w:ascii="Arial Narrow" w:hAnsi="Arial Narrow"/>
                <w:sz w:val="20"/>
              </w:rPr>
              <w:t>5</w:t>
            </w:r>
          </w:p>
        </w:tc>
        <w:tc>
          <w:tcPr>
            <w:tcW w:w="837" w:type="pct"/>
            <w:vAlign w:val="center"/>
          </w:tcPr>
          <w:p w14:paraId="7F1AC7C5" w14:textId="77777777" w:rsidR="0023191C" w:rsidRPr="0023191C" w:rsidRDefault="0023191C" w:rsidP="0023191C">
            <w:pPr>
              <w:keepNext/>
              <w:jc w:val="center"/>
              <w:rPr>
                <w:rFonts w:ascii="Arial Narrow" w:hAnsi="Arial Narrow"/>
                <w:iCs/>
                <w:sz w:val="20"/>
              </w:rPr>
            </w:pPr>
            <w:r w:rsidRPr="0023191C">
              <w:rPr>
                <w:rFonts w:ascii="Arial Narrow" w:hAnsi="Arial Narrow"/>
                <w:iCs/>
                <w:sz w:val="20"/>
              </w:rPr>
              <w:t>$ 132.89 [Published]</w:t>
            </w:r>
          </w:p>
          <w:p w14:paraId="416EDEA1" w14:textId="075C4B49" w:rsidR="0023191C" w:rsidRPr="0023191C" w:rsidRDefault="0023191C" w:rsidP="0023191C">
            <w:pPr>
              <w:keepNext/>
              <w:jc w:val="center"/>
              <w:rPr>
                <w:rFonts w:ascii="Arial Narrow" w:hAnsi="Arial Narrow"/>
                <w:iCs/>
                <w:sz w:val="20"/>
              </w:rPr>
            </w:pPr>
            <w:r w:rsidRPr="0023191C">
              <w:rPr>
                <w:rFonts w:ascii="Arial Narrow" w:hAnsi="Arial Narrow"/>
                <w:iCs/>
                <w:sz w:val="20"/>
              </w:rPr>
              <w:t>$</w:t>
            </w:r>
            <w:r w:rsidR="00F66AF9" w:rsidRPr="005D792F">
              <w:rPr>
                <w:rFonts w:ascii="Arial Narrow" w:hAnsi="Arial Narrow" w:hint="eastAsia"/>
                <w:iCs/>
                <w:color w:val="000000"/>
                <w:w w:val="15"/>
                <w:sz w:val="20"/>
                <w:shd w:val="solid" w:color="000000" w:fill="000000"/>
                <w:fitText w:val="30" w:id="-1510248704"/>
                <w14:textFill>
                  <w14:solidFill>
                    <w14:srgbClr w14:val="000000">
                      <w14:alpha w14:val="100000"/>
                    </w14:srgbClr>
                  </w14:solidFill>
                </w14:textFill>
              </w:rPr>
              <w:t xml:space="preserve">　</w:t>
            </w:r>
            <w:r w:rsidR="00F66AF9" w:rsidRPr="005D792F">
              <w:rPr>
                <w:rFonts w:ascii="Arial Narrow" w:hAnsi="Arial Narrow"/>
                <w:iCs/>
                <w:color w:val="000000"/>
                <w:w w:val="15"/>
                <w:sz w:val="20"/>
                <w:shd w:val="solid" w:color="000000" w:fill="000000"/>
                <w:fitText w:val="30" w:id="-1510248704"/>
                <w14:textFill>
                  <w14:solidFill>
                    <w14:srgbClr w14:val="000000">
                      <w14:alpha w14:val="100000"/>
                    </w14:srgbClr>
                  </w14:solidFill>
                </w14:textFill>
              </w:rPr>
              <w:t>|</w:t>
            </w:r>
            <w:r w:rsidR="00F66AF9" w:rsidRPr="005D792F">
              <w:rPr>
                <w:rFonts w:ascii="Arial Narrow" w:hAnsi="Arial Narrow" w:hint="eastAsia"/>
                <w:iCs/>
                <w:color w:val="000000"/>
                <w:spacing w:val="-35"/>
                <w:w w:val="15"/>
                <w:sz w:val="20"/>
                <w:shd w:val="solid" w:color="000000" w:fill="000000"/>
                <w:fitText w:val="30" w:id="-1510248704"/>
                <w14:textFill>
                  <w14:solidFill>
                    <w14:srgbClr w14:val="000000">
                      <w14:alpha w14:val="100000"/>
                    </w14:srgbClr>
                  </w14:solidFill>
                </w14:textFill>
              </w:rPr>
              <w:t xml:space="preserve">　</w:t>
            </w:r>
            <w:r w:rsidRPr="0023191C">
              <w:rPr>
                <w:rFonts w:ascii="Arial Narrow" w:hAnsi="Arial Narrow"/>
                <w:iCs/>
                <w:sz w:val="20"/>
              </w:rPr>
              <w:t xml:space="preserve"> </w:t>
            </w:r>
          </w:p>
          <w:p w14:paraId="2097F2B6" w14:textId="4C1E552A" w:rsidR="00617E12" w:rsidRPr="00591957" w:rsidRDefault="0023191C" w:rsidP="0023191C">
            <w:pPr>
              <w:keepNext/>
              <w:jc w:val="center"/>
              <w:rPr>
                <w:rFonts w:ascii="Arial Narrow" w:hAnsi="Arial Narrow"/>
                <w:sz w:val="20"/>
              </w:rPr>
            </w:pPr>
            <w:r w:rsidRPr="0023191C">
              <w:rPr>
                <w:rFonts w:ascii="Arial Narrow" w:hAnsi="Arial Narrow"/>
                <w:iCs/>
                <w:sz w:val="20"/>
              </w:rPr>
              <w:t>[SPA Effective</w:t>
            </w:r>
            <w:r w:rsidR="00AA7F2D">
              <w:rPr>
                <w:rFonts w:ascii="Arial Narrow" w:hAnsi="Arial Narrow"/>
                <w:iCs/>
                <w:sz w:val="20"/>
              </w:rPr>
              <w:t xml:space="preserve"> ex-man</w:t>
            </w:r>
            <w:r w:rsidRPr="0023191C">
              <w:rPr>
                <w:rFonts w:ascii="Arial Narrow" w:hAnsi="Arial Narrow"/>
                <w:iCs/>
                <w:sz w:val="20"/>
              </w:rPr>
              <w:t>]</w:t>
            </w:r>
          </w:p>
        </w:tc>
        <w:tc>
          <w:tcPr>
            <w:tcW w:w="413" w:type="pct"/>
            <w:vAlign w:val="center"/>
          </w:tcPr>
          <w:p w14:paraId="0047029E" w14:textId="65364B97" w:rsidR="00617E12" w:rsidRPr="00591957" w:rsidRDefault="0023191C" w:rsidP="00617E12">
            <w:pPr>
              <w:keepNext/>
              <w:jc w:val="center"/>
              <w:rPr>
                <w:rFonts w:ascii="Arial Narrow" w:hAnsi="Arial Narrow"/>
                <w:sz w:val="20"/>
              </w:rPr>
            </w:pPr>
            <w:r>
              <w:rPr>
                <w:rFonts w:ascii="Arial Narrow" w:hAnsi="Arial Narrow"/>
                <w:sz w:val="20"/>
              </w:rPr>
              <w:t>Trulicity</w:t>
            </w:r>
            <w:r w:rsidRPr="0023191C">
              <w:rPr>
                <w:rFonts w:ascii="Arial Narrow" w:hAnsi="Arial Narrow"/>
                <w:sz w:val="20"/>
              </w:rPr>
              <w:t>®</w:t>
            </w:r>
          </w:p>
        </w:tc>
        <w:tc>
          <w:tcPr>
            <w:tcW w:w="824" w:type="pct"/>
            <w:vAlign w:val="center"/>
          </w:tcPr>
          <w:p w14:paraId="3F3C1A5A" w14:textId="3FCB0DBB" w:rsidR="00591957" w:rsidRPr="00591957" w:rsidRDefault="0023191C" w:rsidP="00EC0DD9">
            <w:pPr>
              <w:keepNext/>
              <w:jc w:val="center"/>
              <w:rPr>
                <w:rFonts w:ascii="Arial Narrow" w:hAnsi="Arial Narrow"/>
                <w:sz w:val="20"/>
              </w:rPr>
            </w:pPr>
            <w:r>
              <w:rPr>
                <w:rFonts w:ascii="Arial Narrow" w:hAnsi="Arial Narrow"/>
                <w:sz w:val="20"/>
              </w:rPr>
              <w:t>Eli Lilly Pty Ltd</w:t>
            </w:r>
          </w:p>
        </w:tc>
      </w:tr>
      <w:tr w:rsidR="00542C2D" w:rsidRPr="00A30A33" w14:paraId="714ABA0E" w14:textId="77777777" w:rsidTr="0005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5" w:type="pct"/>
            <w:tcBorders>
              <w:top w:val="single" w:sz="4" w:space="0" w:color="auto"/>
              <w:left w:val="single" w:sz="4" w:space="0" w:color="auto"/>
              <w:bottom w:val="single" w:sz="4" w:space="0" w:color="auto"/>
              <w:right w:val="single" w:sz="4" w:space="0" w:color="auto"/>
            </w:tcBorders>
            <w:hideMark/>
          </w:tcPr>
          <w:p w14:paraId="37D692F1" w14:textId="1D344C53" w:rsidR="00542C2D" w:rsidRPr="00A30A33" w:rsidRDefault="00591957" w:rsidP="00591957">
            <w:pPr>
              <w:pStyle w:val="Tabletext"/>
            </w:pPr>
            <w:r>
              <w:t>Category/Program:</w:t>
            </w:r>
          </w:p>
        </w:tc>
        <w:tc>
          <w:tcPr>
            <w:tcW w:w="3755" w:type="pct"/>
            <w:gridSpan w:val="6"/>
            <w:tcBorders>
              <w:top w:val="single" w:sz="4" w:space="0" w:color="auto"/>
              <w:left w:val="single" w:sz="4" w:space="0" w:color="auto"/>
              <w:bottom w:val="single" w:sz="4" w:space="0" w:color="auto"/>
              <w:right w:val="single" w:sz="4" w:space="0" w:color="auto"/>
            </w:tcBorders>
          </w:tcPr>
          <w:p w14:paraId="3DD00B35" w14:textId="2FC424AD" w:rsidR="00542C2D" w:rsidRPr="00A30A33" w:rsidRDefault="00591957" w:rsidP="00591957">
            <w:pPr>
              <w:pStyle w:val="Tabletext"/>
            </w:pPr>
            <w:r>
              <w:t>General Schedule</w:t>
            </w:r>
          </w:p>
        </w:tc>
      </w:tr>
      <w:tr w:rsidR="00542C2D" w:rsidRPr="00A30A33" w14:paraId="6A82E2AD" w14:textId="77777777" w:rsidTr="0005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5" w:type="pct"/>
            <w:tcBorders>
              <w:top w:val="single" w:sz="4" w:space="0" w:color="auto"/>
              <w:left w:val="single" w:sz="4" w:space="0" w:color="auto"/>
              <w:bottom w:val="single" w:sz="4" w:space="0" w:color="auto"/>
              <w:right w:val="single" w:sz="4" w:space="0" w:color="auto"/>
            </w:tcBorders>
            <w:hideMark/>
          </w:tcPr>
          <w:p w14:paraId="5AD0A811" w14:textId="4DA0756A" w:rsidR="00542C2D" w:rsidRPr="00A30A33" w:rsidRDefault="00591957" w:rsidP="00591957">
            <w:pPr>
              <w:pStyle w:val="Tabletext"/>
            </w:pPr>
            <w:r>
              <w:t>PBS indication:</w:t>
            </w:r>
          </w:p>
        </w:tc>
        <w:tc>
          <w:tcPr>
            <w:tcW w:w="3755" w:type="pct"/>
            <w:gridSpan w:val="6"/>
            <w:tcBorders>
              <w:top w:val="single" w:sz="4" w:space="0" w:color="auto"/>
              <w:left w:val="single" w:sz="4" w:space="0" w:color="auto"/>
              <w:bottom w:val="single" w:sz="4" w:space="0" w:color="auto"/>
              <w:right w:val="single" w:sz="4" w:space="0" w:color="auto"/>
            </w:tcBorders>
          </w:tcPr>
          <w:p w14:paraId="11CC6D1E" w14:textId="4B1D538E" w:rsidR="00542C2D" w:rsidRPr="00A30A33" w:rsidRDefault="00C64920" w:rsidP="00591957">
            <w:pPr>
              <w:pStyle w:val="Tabletext"/>
            </w:pPr>
            <w:r w:rsidRPr="00C64920">
              <w:t>Diabetes mellitus type 2</w:t>
            </w:r>
          </w:p>
        </w:tc>
      </w:tr>
      <w:tr w:rsidR="00542C2D" w:rsidRPr="00A30A33" w14:paraId="06EC54A9" w14:textId="77777777" w:rsidTr="0005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5" w:type="pct"/>
            <w:tcBorders>
              <w:top w:val="single" w:sz="4" w:space="0" w:color="auto"/>
              <w:left w:val="single" w:sz="4" w:space="0" w:color="auto"/>
              <w:bottom w:val="single" w:sz="4" w:space="0" w:color="auto"/>
              <w:right w:val="single" w:sz="4" w:space="0" w:color="auto"/>
            </w:tcBorders>
            <w:hideMark/>
          </w:tcPr>
          <w:p w14:paraId="5E559BD4" w14:textId="37238FA9" w:rsidR="00542C2D" w:rsidRPr="00A30A33" w:rsidRDefault="00542C2D" w:rsidP="00591957">
            <w:pPr>
              <w:pStyle w:val="Tabletext"/>
            </w:pPr>
            <w:r w:rsidRPr="00A30A33">
              <w:t>Restriction</w:t>
            </w:r>
            <w:r w:rsidR="00591957">
              <w:t>:</w:t>
            </w:r>
          </w:p>
        </w:tc>
        <w:tc>
          <w:tcPr>
            <w:tcW w:w="3755" w:type="pct"/>
            <w:gridSpan w:val="6"/>
            <w:tcBorders>
              <w:top w:val="single" w:sz="4" w:space="0" w:color="auto"/>
              <w:left w:val="single" w:sz="4" w:space="0" w:color="auto"/>
              <w:bottom w:val="single" w:sz="4" w:space="0" w:color="auto"/>
              <w:right w:val="single" w:sz="4" w:space="0" w:color="auto"/>
            </w:tcBorders>
          </w:tcPr>
          <w:p w14:paraId="154804C9" w14:textId="3D35AFFC" w:rsidR="00542C2D" w:rsidRPr="00A30A33" w:rsidRDefault="0023191C" w:rsidP="00591957">
            <w:pPr>
              <w:pStyle w:val="Tabletext"/>
            </w:pPr>
            <w:r>
              <w:t>Authority Required (</w:t>
            </w:r>
            <w:r w:rsidR="008A1F1C">
              <w:t>Streamlined</w:t>
            </w:r>
            <w:r>
              <w:t>)</w:t>
            </w:r>
          </w:p>
        </w:tc>
      </w:tr>
      <w:tr w:rsidR="00542C2D" w:rsidRPr="00A30A33" w14:paraId="0479F7D8" w14:textId="77777777" w:rsidTr="0005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5" w:type="pct"/>
            <w:tcBorders>
              <w:top w:val="single" w:sz="4" w:space="0" w:color="auto"/>
              <w:left w:val="single" w:sz="4" w:space="0" w:color="auto"/>
              <w:bottom w:val="single" w:sz="4" w:space="0" w:color="auto"/>
              <w:right w:val="single" w:sz="4" w:space="0" w:color="auto"/>
            </w:tcBorders>
            <w:hideMark/>
          </w:tcPr>
          <w:p w14:paraId="33B5F61F" w14:textId="5DF57CEB" w:rsidR="00542C2D" w:rsidRPr="00A30A33" w:rsidRDefault="00542C2D" w:rsidP="00591957">
            <w:pPr>
              <w:pStyle w:val="Tabletext"/>
            </w:pPr>
            <w:r w:rsidRPr="00A30A33">
              <w:t>Clinical criteria</w:t>
            </w:r>
            <w:r w:rsidR="00591957">
              <w:t>:</w:t>
            </w:r>
          </w:p>
        </w:tc>
        <w:tc>
          <w:tcPr>
            <w:tcW w:w="3755" w:type="pct"/>
            <w:gridSpan w:val="6"/>
            <w:tcBorders>
              <w:top w:val="single" w:sz="4" w:space="0" w:color="auto"/>
              <w:left w:val="single" w:sz="4" w:space="0" w:color="auto"/>
              <w:bottom w:val="single" w:sz="4" w:space="0" w:color="auto"/>
              <w:right w:val="single" w:sz="4" w:space="0" w:color="auto"/>
            </w:tcBorders>
          </w:tcPr>
          <w:p w14:paraId="1967E838" w14:textId="77777777" w:rsidR="0005316E" w:rsidRPr="0005316E" w:rsidRDefault="0005316E" w:rsidP="0005316E">
            <w:pPr>
              <w:pStyle w:val="Tabletext"/>
              <w:rPr>
                <w:b/>
              </w:rPr>
            </w:pPr>
            <w:r w:rsidRPr="0005316E">
              <w:t xml:space="preserve">The treatment must be in combination with metformin </w:t>
            </w:r>
          </w:p>
          <w:p w14:paraId="42447C5E" w14:textId="77777777" w:rsidR="0005316E" w:rsidRPr="0005316E" w:rsidRDefault="0005316E" w:rsidP="0005316E">
            <w:pPr>
              <w:pStyle w:val="Tabletext"/>
              <w:rPr>
                <w:b/>
              </w:rPr>
            </w:pPr>
            <w:r w:rsidRPr="0005316E">
              <w:rPr>
                <w:b/>
              </w:rPr>
              <w:t xml:space="preserve">AND </w:t>
            </w:r>
          </w:p>
          <w:p w14:paraId="5863FBB0" w14:textId="64BB60F8" w:rsidR="0005316E" w:rsidRPr="0005316E" w:rsidRDefault="0005316E" w:rsidP="0005316E">
            <w:pPr>
              <w:pStyle w:val="Tabletext"/>
            </w:pPr>
            <w:r w:rsidRPr="0005316E">
              <w:t>Patient must have, or have had, a HbA1c measurement greater than 7% prior to the initiation of a dipeptidyl peptidase 4 inhibitor (gliptin), a thiazolidinedione (glitazone), a glucagon-like peptide-1 or a sodium-glucose co-transporter 2 (SGLT2) inhibitor despite treatment with metformin OR</w:t>
            </w:r>
          </w:p>
          <w:p w14:paraId="66AFE1E5" w14:textId="3BB92A0F" w:rsidR="00542C2D" w:rsidRPr="00A30A33" w:rsidRDefault="0005316E" w:rsidP="0005316E">
            <w:pPr>
              <w:pStyle w:val="Tabletext"/>
            </w:pPr>
            <w:r w:rsidRPr="0005316E">
              <w:t xml:space="preserve">Patient must have, or have had, where HbA1c measurement is clinically inappropriate, blood glucose levels greater than 10 mmol per L in more than 20% of tests over a 2 week period prior to initiation </w:t>
            </w:r>
            <w:r w:rsidR="00252A0F">
              <w:t>of</w:t>
            </w:r>
            <w:r w:rsidRPr="0005316E">
              <w:t xml:space="preserve"> a gliptin, a glitazone, a glucagon-like peptide-1 </w:t>
            </w:r>
            <w:r w:rsidR="00252A0F">
              <w:t xml:space="preserve">receptor agonist </w:t>
            </w:r>
            <w:r w:rsidRPr="0005316E">
              <w:t>or an SGLT2 inhibitor despite treatment metformin</w:t>
            </w:r>
          </w:p>
        </w:tc>
      </w:tr>
      <w:tr w:rsidR="00542C2D" w:rsidRPr="00A30A33" w14:paraId="00531E8B" w14:textId="77777777" w:rsidTr="0005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5" w:type="pct"/>
            <w:tcBorders>
              <w:top w:val="single" w:sz="4" w:space="0" w:color="auto"/>
              <w:left w:val="single" w:sz="4" w:space="0" w:color="auto"/>
              <w:bottom w:val="single" w:sz="4" w:space="0" w:color="auto"/>
              <w:right w:val="single" w:sz="4" w:space="0" w:color="auto"/>
            </w:tcBorders>
            <w:hideMark/>
          </w:tcPr>
          <w:p w14:paraId="5625D14A" w14:textId="43B290EB" w:rsidR="00542C2D" w:rsidRPr="00A30A33" w:rsidRDefault="00591957" w:rsidP="00591957">
            <w:pPr>
              <w:pStyle w:val="Tabletext"/>
            </w:pPr>
            <w:r>
              <w:t>Prescriber criteria:</w:t>
            </w:r>
          </w:p>
        </w:tc>
        <w:tc>
          <w:tcPr>
            <w:tcW w:w="3755" w:type="pct"/>
            <w:gridSpan w:val="6"/>
            <w:tcBorders>
              <w:top w:val="single" w:sz="4" w:space="0" w:color="auto"/>
              <w:left w:val="single" w:sz="4" w:space="0" w:color="auto"/>
              <w:bottom w:val="single" w:sz="4" w:space="0" w:color="auto"/>
              <w:right w:val="single" w:sz="4" w:space="0" w:color="auto"/>
            </w:tcBorders>
          </w:tcPr>
          <w:p w14:paraId="03DAEA17" w14:textId="1B7F7898" w:rsidR="00542C2D" w:rsidRPr="00A30A33" w:rsidRDefault="00C64920" w:rsidP="00591957">
            <w:pPr>
              <w:pStyle w:val="Tabletext"/>
              <w:rPr>
                <w:color w:val="000000"/>
              </w:rPr>
            </w:pPr>
            <w:r w:rsidRPr="00C64920">
              <w:rPr>
                <w:color w:val="000000"/>
              </w:rPr>
              <w:t>Medical Practitioners</w:t>
            </w:r>
            <w:r>
              <w:rPr>
                <w:color w:val="000000"/>
              </w:rPr>
              <w:t>,</w:t>
            </w:r>
            <w:r w:rsidR="0005316E">
              <w:rPr>
                <w:color w:val="000000"/>
              </w:rPr>
              <w:t xml:space="preserve"> </w:t>
            </w:r>
            <w:r w:rsidRPr="00C64920">
              <w:rPr>
                <w:color w:val="000000"/>
              </w:rPr>
              <w:t>Nurse Practitioners</w:t>
            </w:r>
          </w:p>
        </w:tc>
      </w:tr>
      <w:tr w:rsidR="0005316E" w:rsidRPr="00A30A33" w14:paraId="003EAE65" w14:textId="77777777" w:rsidTr="0005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5" w:type="pct"/>
            <w:tcBorders>
              <w:top w:val="single" w:sz="4" w:space="0" w:color="auto"/>
              <w:left w:val="single" w:sz="4" w:space="0" w:color="auto"/>
              <w:bottom w:val="single" w:sz="4" w:space="0" w:color="auto"/>
              <w:right w:val="single" w:sz="4" w:space="0" w:color="auto"/>
            </w:tcBorders>
          </w:tcPr>
          <w:p w14:paraId="424CB5F2" w14:textId="095B0BE6" w:rsidR="0005316E" w:rsidRPr="0005316E" w:rsidRDefault="0005316E" w:rsidP="0005316E">
            <w:pPr>
              <w:pStyle w:val="Tabletext"/>
              <w:rPr>
                <w:bCs/>
              </w:rPr>
            </w:pPr>
            <w:r w:rsidRPr="0005316E">
              <w:rPr>
                <w:bCs/>
              </w:rPr>
              <w:t>Prescriber Instructions</w:t>
            </w:r>
          </w:p>
        </w:tc>
        <w:tc>
          <w:tcPr>
            <w:tcW w:w="3755" w:type="pct"/>
            <w:gridSpan w:val="6"/>
            <w:tcBorders>
              <w:top w:val="single" w:sz="4" w:space="0" w:color="auto"/>
              <w:left w:val="single" w:sz="4" w:space="0" w:color="auto"/>
              <w:bottom w:val="single" w:sz="4" w:space="0" w:color="auto"/>
              <w:right w:val="single" w:sz="4" w:space="0" w:color="auto"/>
            </w:tcBorders>
          </w:tcPr>
          <w:p w14:paraId="6D21008E" w14:textId="415A61FE" w:rsidR="0005316E" w:rsidRPr="007102A5" w:rsidRDefault="0005316E" w:rsidP="0005316E">
            <w:pPr>
              <w:pStyle w:val="TableFigureFooter"/>
              <w:rPr>
                <w:sz w:val="20"/>
                <w:szCs w:val="24"/>
              </w:rPr>
            </w:pPr>
            <w:r w:rsidRPr="007102A5">
              <w:rPr>
                <w:sz w:val="20"/>
                <w:szCs w:val="24"/>
              </w:rPr>
              <w:t xml:space="preserve">The date and level of the qualifying HbA1c measurement must be, or must have been, documented in the patient's medical records at the time treatment with a gliptin, a glitazone, a glucagon-like peptide-1 </w:t>
            </w:r>
            <w:r w:rsidR="00252A0F" w:rsidRPr="007102A5">
              <w:rPr>
                <w:sz w:val="20"/>
                <w:szCs w:val="24"/>
              </w:rPr>
              <w:t xml:space="preserve">receptor agonist </w:t>
            </w:r>
            <w:r w:rsidRPr="007102A5">
              <w:rPr>
                <w:sz w:val="20"/>
                <w:szCs w:val="24"/>
              </w:rPr>
              <w:t xml:space="preserve">or an SGLT2 inhibitor is initiated. </w:t>
            </w:r>
          </w:p>
          <w:p w14:paraId="261F40E6" w14:textId="77777777" w:rsidR="0005316E" w:rsidRPr="007102A5" w:rsidRDefault="0005316E" w:rsidP="0005316E">
            <w:pPr>
              <w:pStyle w:val="TableFigureFooter"/>
              <w:rPr>
                <w:sz w:val="20"/>
                <w:szCs w:val="24"/>
              </w:rPr>
            </w:pPr>
          </w:p>
          <w:p w14:paraId="18096E08" w14:textId="77777777" w:rsidR="0005316E" w:rsidRPr="007102A5" w:rsidRDefault="0005316E" w:rsidP="0005316E">
            <w:pPr>
              <w:pStyle w:val="TableFigureFooter"/>
              <w:rPr>
                <w:sz w:val="20"/>
                <w:szCs w:val="24"/>
              </w:rPr>
            </w:pPr>
            <w:r w:rsidRPr="007102A5">
              <w:rPr>
                <w:sz w:val="20"/>
                <w:szCs w:val="24"/>
              </w:rPr>
              <w:t xml:space="preserve">The HbA1c must be no more than 4 months old at the time treatment with a gliptin, a glitazone, a glucagon-like peptide-1 or an SGLT2 inhibitor was initiated. </w:t>
            </w:r>
          </w:p>
          <w:p w14:paraId="3CCEDE68" w14:textId="77777777" w:rsidR="0005316E" w:rsidRPr="007102A5" w:rsidRDefault="0005316E" w:rsidP="0005316E">
            <w:pPr>
              <w:pStyle w:val="TableFigureFooter"/>
              <w:rPr>
                <w:sz w:val="20"/>
                <w:szCs w:val="24"/>
              </w:rPr>
            </w:pPr>
          </w:p>
          <w:p w14:paraId="673709C8" w14:textId="77777777" w:rsidR="0005316E" w:rsidRPr="007102A5" w:rsidRDefault="0005316E" w:rsidP="0005316E">
            <w:pPr>
              <w:pStyle w:val="TableFigureFooter"/>
              <w:rPr>
                <w:sz w:val="20"/>
                <w:szCs w:val="24"/>
              </w:rPr>
            </w:pPr>
            <w:r w:rsidRPr="007102A5">
              <w:rPr>
                <w:sz w:val="20"/>
                <w:szCs w:val="24"/>
              </w:rPr>
              <w:t xml:space="preserve">Blood glucose monitoring may be used as an alternative assessment to HbA1c levels in the following circumstances: </w:t>
            </w:r>
          </w:p>
          <w:p w14:paraId="457F1ADE" w14:textId="77777777" w:rsidR="0005316E" w:rsidRPr="007102A5" w:rsidRDefault="0005316E" w:rsidP="0005316E">
            <w:pPr>
              <w:pStyle w:val="TableFigureFooter"/>
              <w:rPr>
                <w:sz w:val="20"/>
                <w:szCs w:val="24"/>
              </w:rPr>
            </w:pPr>
            <w:r w:rsidRPr="007102A5">
              <w:rPr>
                <w:sz w:val="20"/>
                <w:szCs w:val="24"/>
              </w:rPr>
              <w:t xml:space="preserve">A clinical condition with reduced red blood cell survival, including haemolytic anaemias and haemoglobinopathies; and/or </w:t>
            </w:r>
          </w:p>
          <w:p w14:paraId="38368EFD" w14:textId="77777777" w:rsidR="0005316E" w:rsidRPr="007102A5" w:rsidRDefault="0005316E" w:rsidP="0005316E">
            <w:pPr>
              <w:pStyle w:val="TableFigureFooter"/>
              <w:rPr>
                <w:sz w:val="20"/>
                <w:szCs w:val="24"/>
              </w:rPr>
            </w:pPr>
            <w:r w:rsidRPr="007102A5">
              <w:rPr>
                <w:sz w:val="20"/>
                <w:szCs w:val="24"/>
              </w:rPr>
              <w:t>Had red cell transfusion within the previous 3 months.</w:t>
            </w:r>
          </w:p>
          <w:p w14:paraId="20185FAC" w14:textId="77777777" w:rsidR="0005316E" w:rsidRPr="007102A5" w:rsidRDefault="0005316E" w:rsidP="0005316E">
            <w:pPr>
              <w:pStyle w:val="TableFigureFooter"/>
              <w:rPr>
                <w:sz w:val="20"/>
                <w:szCs w:val="24"/>
              </w:rPr>
            </w:pPr>
          </w:p>
          <w:p w14:paraId="13ECD89D" w14:textId="621B0234" w:rsidR="0005316E" w:rsidRPr="00C64920" w:rsidRDefault="0005316E" w:rsidP="0005316E">
            <w:pPr>
              <w:pStyle w:val="TableFigureFooter"/>
              <w:rPr>
                <w:color w:val="000000"/>
              </w:rPr>
            </w:pPr>
            <w:r w:rsidRPr="007102A5">
              <w:rPr>
                <w:sz w:val="20"/>
                <w:szCs w:val="24"/>
              </w:rPr>
              <w:t>The results of the blood glucose monitoring, which must be no more than 4 months old at the time of initiation of treatment with a gliptin, a glitazone, a glucagon-like peptide-1 or an SGLT2 inhibitor, must be documented in the patient's medical records</w:t>
            </w:r>
          </w:p>
        </w:tc>
      </w:tr>
      <w:tr w:rsidR="0005316E" w:rsidRPr="00A30A33" w14:paraId="2604FADD" w14:textId="77777777" w:rsidTr="00053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5" w:type="pct"/>
            <w:tcBorders>
              <w:top w:val="single" w:sz="4" w:space="0" w:color="auto"/>
              <w:left w:val="single" w:sz="4" w:space="0" w:color="auto"/>
              <w:bottom w:val="single" w:sz="4" w:space="0" w:color="auto"/>
              <w:right w:val="single" w:sz="4" w:space="0" w:color="auto"/>
            </w:tcBorders>
          </w:tcPr>
          <w:p w14:paraId="0DDEB184" w14:textId="3B4C5A25" w:rsidR="0005316E" w:rsidRPr="0005316E" w:rsidRDefault="0005316E" w:rsidP="0005316E">
            <w:pPr>
              <w:pStyle w:val="Tabletext"/>
            </w:pPr>
            <w:r w:rsidRPr="0005316E">
              <w:lastRenderedPageBreak/>
              <w:t>Administrative Advice</w:t>
            </w:r>
          </w:p>
        </w:tc>
        <w:tc>
          <w:tcPr>
            <w:tcW w:w="3755" w:type="pct"/>
            <w:gridSpan w:val="6"/>
            <w:tcBorders>
              <w:top w:val="single" w:sz="4" w:space="0" w:color="auto"/>
              <w:left w:val="single" w:sz="4" w:space="0" w:color="auto"/>
              <w:bottom w:val="single" w:sz="4" w:space="0" w:color="auto"/>
              <w:right w:val="single" w:sz="4" w:space="0" w:color="auto"/>
            </w:tcBorders>
          </w:tcPr>
          <w:p w14:paraId="334CD7F1" w14:textId="5947D399" w:rsidR="0005316E" w:rsidRPr="00AE2491" w:rsidRDefault="0005316E" w:rsidP="0005316E">
            <w:pPr>
              <w:pStyle w:val="TableFigureFooter"/>
            </w:pPr>
            <w:r w:rsidRPr="007102A5">
              <w:rPr>
                <w:iCs/>
                <w:sz w:val="20"/>
                <w:szCs w:val="24"/>
              </w:rPr>
              <w:t>This drug is not PBS-subsidised for use as monotherapy or in combination with a sulphonylurea, a dipeptidyl peptidase 4 inhibitor (gliptin), a thiazolidinedione (glitazone), or an SGLT2 inhibitor.</w:t>
            </w:r>
          </w:p>
        </w:tc>
      </w:tr>
    </w:tbl>
    <w:p w14:paraId="19A58713" w14:textId="77777777" w:rsidR="0023191C" w:rsidRPr="00882085" w:rsidRDefault="0023191C" w:rsidP="004B1CB4"/>
    <w:p w14:paraId="4ADD507F" w14:textId="04040B70" w:rsidR="00C64920" w:rsidRPr="00AE2491" w:rsidRDefault="00C64920" w:rsidP="00C64920">
      <w:pPr>
        <w:pStyle w:val="3-BodyText"/>
      </w:pPr>
      <w:r>
        <w:t xml:space="preserve">The submission </w:t>
      </w:r>
      <w:r w:rsidRPr="00AE2491">
        <w:t>request</w:t>
      </w:r>
      <w:r>
        <w:t xml:space="preserve">ed that the </w:t>
      </w:r>
      <w:r w:rsidRPr="00AE2491">
        <w:t xml:space="preserve">existing </w:t>
      </w:r>
      <w:r w:rsidR="0005316E" w:rsidRPr="00AE2491">
        <w:t>SPA</w:t>
      </w:r>
      <w:r w:rsidR="00386792">
        <w:t xml:space="preserve"> for dulaglutide be applied to the requested listing</w:t>
      </w:r>
      <w:r w:rsidR="0005316E">
        <w:t xml:space="preserve">, </w:t>
      </w:r>
      <w:r w:rsidR="0005316E" w:rsidRPr="00AE2491">
        <w:t>and</w:t>
      </w:r>
      <w:r w:rsidRPr="00AE2491">
        <w:t xml:space="preserve"> </w:t>
      </w:r>
      <w:r>
        <w:t xml:space="preserve">that the </w:t>
      </w:r>
      <w:bookmarkStart w:id="9" w:name="_Hlk92810402"/>
      <w:r w:rsidRPr="00AE2491">
        <w:t>current public price of dulaglutide</w:t>
      </w:r>
      <w:r w:rsidR="00386792">
        <w:t xml:space="preserve"> (ex-manufacturer price of $111.44)</w:t>
      </w:r>
      <w:r>
        <w:t xml:space="preserve"> be maintained</w:t>
      </w:r>
      <w:r w:rsidR="006C3B54">
        <w:t>.</w:t>
      </w:r>
      <w:bookmarkEnd w:id="9"/>
    </w:p>
    <w:p w14:paraId="7E87BD52" w14:textId="2B95744C" w:rsidR="00591957" w:rsidRDefault="00C64920" w:rsidP="004E18E9">
      <w:pPr>
        <w:pStyle w:val="3-BodyText"/>
      </w:pPr>
      <w:r w:rsidRPr="00C64920">
        <w:t xml:space="preserve">The pricing structure proposed is therefore flat pricing across all three strengths of dulaglutide. </w:t>
      </w:r>
    </w:p>
    <w:p w14:paraId="205DC7CD" w14:textId="77777777" w:rsidR="0034379F" w:rsidRPr="00C33D30" w:rsidRDefault="0034379F" w:rsidP="0034379F">
      <w:pPr>
        <w:ind w:firstLine="709"/>
        <w:rPr>
          <w:rFonts w:asciiTheme="minorHAnsi" w:hAnsiTheme="minorHAnsi"/>
          <w:i/>
        </w:rPr>
      </w:pPr>
      <w:bookmarkStart w:id="10" w:name="_Hlk76375324"/>
      <w:r w:rsidRPr="00C33D30">
        <w:rPr>
          <w:rFonts w:asciiTheme="minorHAnsi" w:hAnsiTheme="minorHAnsi"/>
          <w:i/>
        </w:rPr>
        <w:t>For more detail on PBAC’s view, see section 7 PBAC outcome.</w:t>
      </w:r>
    </w:p>
    <w:p w14:paraId="7075B85C" w14:textId="1655A25A" w:rsidR="00B50DB8" w:rsidRPr="00407F2D" w:rsidRDefault="00203181" w:rsidP="004E18E9">
      <w:pPr>
        <w:pStyle w:val="2-SectionHeading"/>
      </w:pPr>
      <w:bookmarkStart w:id="11" w:name="_Toc93496338"/>
      <w:bookmarkEnd w:id="10"/>
      <w:r>
        <w:t xml:space="preserve">Population and </w:t>
      </w:r>
      <w:r w:rsidR="008E0D3C">
        <w:t>d</w:t>
      </w:r>
      <w:r>
        <w:t>isease</w:t>
      </w:r>
      <w:bookmarkEnd w:id="11"/>
    </w:p>
    <w:p w14:paraId="4594D8D7" w14:textId="761C32AA" w:rsidR="00915C91" w:rsidRPr="00DB14F4" w:rsidRDefault="00915C91" w:rsidP="00915C91">
      <w:pPr>
        <w:pStyle w:val="3-BodyText"/>
      </w:pPr>
      <w:r w:rsidRPr="00DB14F4">
        <w:t>Diabetes mellitus is a group of complex metabolic disorders characterised by impaired insulin secretion and variable degrees of peripheral insulin resistance leading to hyperglycaemia</w:t>
      </w:r>
      <w:r>
        <w:t xml:space="preserve">. </w:t>
      </w:r>
      <w:r w:rsidRPr="00DB14F4">
        <w:t>In type 2 diabetes</w:t>
      </w:r>
      <w:r w:rsidR="00252A0F">
        <w:t xml:space="preserve"> (T2DM)</w:t>
      </w:r>
      <w:r w:rsidRPr="00DB14F4">
        <w:t>, insulin resistance is typically accompanied by inadequate insulin secretion</w:t>
      </w:r>
      <w:r>
        <w:t xml:space="preserve">. </w:t>
      </w:r>
      <w:r w:rsidRPr="00DB14F4">
        <w:t>Complications such as cardiovascular disease and renal disease are substantial contributors to overall mortality, with cardiovascular disease accounting for approximately half of all mortality and disability associated with diabetes.</w:t>
      </w:r>
      <w:r w:rsidR="006C3B54" w:rsidRPr="006C3B54">
        <w:t xml:space="preserve"> </w:t>
      </w:r>
      <w:bookmarkStart w:id="12" w:name="_Hlk92809524"/>
      <w:r w:rsidR="006C3B54">
        <w:t>The main goals of treatment for T2DM are to prevent or delay complications and maintain quality of life in current practice.</w:t>
      </w:r>
      <w:r w:rsidR="00D15112">
        <w:t xml:space="preserve"> </w:t>
      </w:r>
      <w:bookmarkEnd w:id="12"/>
    </w:p>
    <w:p w14:paraId="18C18A39" w14:textId="1EC84083" w:rsidR="00C64920" w:rsidRPr="002E4F02" w:rsidRDefault="00C64920" w:rsidP="00C64920">
      <w:pPr>
        <w:pStyle w:val="3-BodyText"/>
        <w:rPr>
          <w:color w:val="0066FF"/>
        </w:rPr>
      </w:pPr>
      <w:r w:rsidRPr="00C64920">
        <w:t xml:space="preserve">The submission proposed that </w:t>
      </w:r>
      <w:r>
        <w:t>dulaglutide 3.</w:t>
      </w:r>
      <w:r w:rsidR="005A2858">
        <w:t>0 </w:t>
      </w:r>
      <w:r>
        <w:t>mg and 4.</w:t>
      </w:r>
      <w:r w:rsidR="005A2858">
        <w:t>5 </w:t>
      </w:r>
      <w:r>
        <w:t>mg will be used in the same place in therapy as dulaglutide 1.</w:t>
      </w:r>
      <w:r w:rsidR="005A2858">
        <w:t>5 </w:t>
      </w:r>
      <w:r>
        <w:t>mg (or other GLP-1 RAs). The proposed place in the treatment algorithm for dulaglutide 3.</w:t>
      </w:r>
      <w:r w:rsidR="005A2858">
        <w:t>0 </w:t>
      </w:r>
      <w:r>
        <w:t>mg and 4.</w:t>
      </w:r>
      <w:r w:rsidR="005A2858">
        <w:t>5 </w:t>
      </w:r>
      <w:r>
        <w:t>mg in combination with metformin, is for people with T2DM treated with dulaglutide 1.5</w:t>
      </w:r>
      <w:r w:rsidR="005A2858">
        <w:t> </w:t>
      </w:r>
      <w:r>
        <w:t>mg who require treatment intensification to achieve glycaemic targets.</w:t>
      </w:r>
      <w:r w:rsidR="004D74EC">
        <w:t xml:space="preserve"> The submission did not propose listing for use in combination with insulin.</w:t>
      </w:r>
    </w:p>
    <w:p w14:paraId="285FD8B6" w14:textId="77777777" w:rsidR="00252A0F" w:rsidRDefault="00F2366A" w:rsidP="00252A0F">
      <w:pPr>
        <w:pStyle w:val="3-BodyText"/>
      </w:pPr>
      <w:r w:rsidRPr="00481A5C">
        <w:t>Dulaglutide is a once-weekly glucagon-like peptide</w:t>
      </w:r>
      <w:r>
        <w:t>-1</w:t>
      </w:r>
      <w:r w:rsidRPr="00481A5C">
        <w:t xml:space="preserve"> (GLP-1) receptor agonist (RA)</w:t>
      </w:r>
      <w:r>
        <w:t>.</w:t>
      </w:r>
    </w:p>
    <w:p w14:paraId="51E5AE96" w14:textId="344724E9" w:rsidR="00B50DB8" w:rsidRPr="007343A5" w:rsidRDefault="00F2366A" w:rsidP="001C227C">
      <w:pPr>
        <w:pStyle w:val="2-SectionHeading"/>
      </w:pPr>
      <w:r w:rsidRPr="007343A5">
        <w:t xml:space="preserve"> </w:t>
      </w:r>
      <w:bookmarkStart w:id="13" w:name="_Toc93496339"/>
      <w:r w:rsidR="00B50DB8" w:rsidRPr="007343A5">
        <w:t>Comparator</w:t>
      </w:r>
      <w:bookmarkEnd w:id="13"/>
    </w:p>
    <w:p w14:paraId="50059A62" w14:textId="3A6D3C73" w:rsidR="007B25F3" w:rsidRPr="004A13A7" w:rsidRDefault="007B25F3" w:rsidP="007B25F3">
      <w:pPr>
        <w:pStyle w:val="3-BodyText"/>
      </w:pPr>
      <w:r w:rsidRPr="004A13A7">
        <w:t>The submission nominated dulaglutide 1.</w:t>
      </w:r>
      <w:r w:rsidR="005A2858" w:rsidRPr="004A13A7">
        <w:t>5</w:t>
      </w:r>
      <w:r w:rsidR="005A2858">
        <w:t> </w:t>
      </w:r>
      <w:r w:rsidRPr="004A13A7">
        <w:t>mg as the main comparator as it is the medicine most likely to be displaced by a listing for dulaglutide 3.</w:t>
      </w:r>
      <w:r w:rsidR="005A2858" w:rsidRPr="004A13A7">
        <w:t>0</w:t>
      </w:r>
      <w:r w:rsidR="005A2858">
        <w:t> </w:t>
      </w:r>
      <w:r w:rsidRPr="004A13A7">
        <w:t>mg and 4.</w:t>
      </w:r>
      <w:r w:rsidR="005A2858" w:rsidRPr="004A13A7">
        <w:t>5</w:t>
      </w:r>
      <w:r w:rsidR="005A2858">
        <w:t> </w:t>
      </w:r>
      <w:r w:rsidRPr="004A13A7">
        <w:t xml:space="preserve">mg. The submission nominated semaglutide as a supplementary comparator as it is </w:t>
      </w:r>
      <w:r w:rsidR="00252A0F" w:rsidRPr="004A13A7">
        <w:t>also a GLP</w:t>
      </w:r>
      <w:r w:rsidR="001E3FCD" w:rsidRPr="004A13A7">
        <w:noBreakHyphen/>
      </w:r>
      <w:r w:rsidR="00252A0F" w:rsidRPr="004A13A7">
        <w:t>1 RA</w:t>
      </w:r>
      <w:r w:rsidR="009E6B78" w:rsidRPr="004A13A7">
        <w:t xml:space="preserve"> but</w:t>
      </w:r>
      <w:r w:rsidRPr="004A13A7">
        <w:t xml:space="preserve"> represents a smaller proportion of the GLP-1 RA T2DM market. </w:t>
      </w:r>
      <w:r w:rsidR="00915C91" w:rsidRPr="004A13A7">
        <w:t>These comparators are appropriate.</w:t>
      </w:r>
      <w:r w:rsidR="00596DA6" w:rsidRPr="004A13A7">
        <w:t xml:space="preserve"> </w:t>
      </w:r>
    </w:p>
    <w:p w14:paraId="7F9C27C8" w14:textId="77777777" w:rsidR="00223D5A" w:rsidRPr="00407F2D" w:rsidRDefault="00223D5A" w:rsidP="00223D5A">
      <w:pPr>
        <w:pStyle w:val="2-SectionHeading"/>
      </w:pPr>
      <w:bookmarkStart w:id="14" w:name="_Toc93496340"/>
      <w:bookmarkStart w:id="15" w:name="_Hlk100318496"/>
      <w:bookmarkStart w:id="16" w:name="_Toc22897640"/>
      <w:r>
        <w:t>C</w:t>
      </w:r>
      <w:r w:rsidRPr="00407F2D">
        <w:t>onsideration of the evidence</w:t>
      </w:r>
      <w:bookmarkEnd w:id="14"/>
    </w:p>
    <w:p w14:paraId="7D118E35" w14:textId="677FDC23" w:rsidR="00FD1562" w:rsidRPr="00C9624D" w:rsidRDefault="00FD1562" w:rsidP="00FD1562">
      <w:pPr>
        <w:pStyle w:val="4-SubsectionHeading"/>
      </w:pPr>
      <w:bookmarkStart w:id="17" w:name="_Hlk100315058"/>
      <w:bookmarkStart w:id="18" w:name="_Toc93496341"/>
      <w:bookmarkEnd w:id="15"/>
      <w:r>
        <w:t>Sponsor hearing</w:t>
      </w:r>
    </w:p>
    <w:bookmarkEnd w:id="17"/>
    <w:p w14:paraId="16F23572" w14:textId="4F1D8918" w:rsidR="00FD1562" w:rsidRPr="00FD1562" w:rsidRDefault="00FD1562" w:rsidP="00544FFD">
      <w:pPr>
        <w:pStyle w:val="3-BodyText"/>
      </w:pPr>
      <w:r w:rsidRPr="00FD1562">
        <w:rPr>
          <w:snapToGrid/>
          <w:lang w:val="en-US"/>
        </w:rPr>
        <w:t>The</w:t>
      </w:r>
      <w:r>
        <w:rPr>
          <w:snapToGrid/>
          <w:lang w:val="en-US"/>
        </w:rPr>
        <w:t xml:space="preserve">re was no hearing for this item. </w:t>
      </w:r>
    </w:p>
    <w:p w14:paraId="0A48445C" w14:textId="056C1C05" w:rsidR="00FD1562" w:rsidRPr="00C9624D" w:rsidRDefault="00FD1562" w:rsidP="00FD1562">
      <w:pPr>
        <w:pStyle w:val="4-SubsectionHeading"/>
      </w:pPr>
      <w:r>
        <w:lastRenderedPageBreak/>
        <w:t>Consumer comments</w:t>
      </w:r>
    </w:p>
    <w:p w14:paraId="6D7F5CB2" w14:textId="41991B38" w:rsidR="00FD1562" w:rsidRDefault="009311B9" w:rsidP="00FD1562">
      <w:pPr>
        <w:pStyle w:val="3-BodyText"/>
      </w:pPr>
      <w:r w:rsidRPr="009311B9">
        <w:t>The PBAC noted and welcomed the input from individuals (</w:t>
      </w:r>
      <w:r>
        <w:t>1</w:t>
      </w:r>
      <w:r w:rsidRPr="009311B9">
        <w:t>) and organisations (1) via the Consumer Comments facility on the PBS website.</w:t>
      </w:r>
      <w:r w:rsidR="003A31F0">
        <w:t xml:space="preserve"> The</w:t>
      </w:r>
      <w:r w:rsidR="00FD6199">
        <w:t xml:space="preserve"> comment from the</w:t>
      </w:r>
      <w:r w:rsidR="003A31F0">
        <w:t xml:space="preserve"> individual described their experience using Ozempic</w:t>
      </w:r>
      <w:r w:rsidR="003A31F0">
        <w:rPr>
          <w:rFonts w:cstheme="minorHAnsi"/>
        </w:rPr>
        <w:t>®</w:t>
      </w:r>
      <w:r w:rsidR="003A31F0">
        <w:t xml:space="preserve"> (semaglutide) </w:t>
      </w:r>
      <w:r w:rsidR="00FD6199">
        <w:t>for weight loss and was therefore</w:t>
      </w:r>
      <w:r w:rsidR="0064482D">
        <w:t xml:space="preserve"> not</w:t>
      </w:r>
      <w:r w:rsidR="00FD6199">
        <w:t xml:space="preserve"> directly relevant to the submission. </w:t>
      </w:r>
    </w:p>
    <w:p w14:paraId="3B213DDA" w14:textId="53D1E608" w:rsidR="00A07B9D" w:rsidRDefault="00FD6199" w:rsidP="003C0B44">
      <w:pPr>
        <w:pStyle w:val="3-BodyText"/>
      </w:pPr>
      <w:r>
        <w:t xml:space="preserve">Diabetes Australia </w:t>
      </w:r>
      <w:r w:rsidR="00830934">
        <w:t xml:space="preserve">supported listing dulaglutide </w:t>
      </w:r>
      <w:r w:rsidR="005A2858">
        <w:t>3 </w:t>
      </w:r>
      <w:r w:rsidR="00830934">
        <w:t>mg and 4.</w:t>
      </w:r>
      <w:r w:rsidR="005A2858">
        <w:t>5 </w:t>
      </w:r>
      <w:r w:rsidR="00830934">
        <w:t xml:space="preserve">mg on the PBS. Diabetes Australia highlighted the importance of ensuring access to medicines for T2DM </w:t>
      </w:r>
      <w:r w:rsidR="00E11AA3">
        <w:t xml:space="preserve">noting that the number of people developing the condition is likely to continue increasing. Diabetes Australia </w:t>
      </w:r>
      <w:r w:rsidR="003C0B44">
        <w:t>noted</w:t>
      </w:r>
      <w:r w:rsidR="00E11AA3">
        <w:t xml:space="preserve"> the results of the AWARD-11 trial </w:t>
      </w:r>
      <w:r w:rsidR="003C0B44">
        <w:t xml:space="preserve">and considered that including dulaglutide </w:t>
      </w:r>
      <w:r w:rsidR="005A2858">
        <w:t>3 </w:t>
      </w:r>
      <w:r w:rsidR="003C0B44">
        <w:t>mg and 4.</w:t>
      </w:r>
      <w:r w:rsidR="005A2858">
        <w:t>5 </w:t>
      </w:r>
      <w:r w:rsidR="003C0B44">
        <w:t xml:space="preserve">mg on the PBS would provide options to ensure people can access the treatment needed to manage their T2DM successfully. </w:t>
      </w:r>
    </w:p>
    <w:p w14:paraId="36729CFE" w14:textId="77777777" w:rsidR="00A07B9D" w:rsidRDefault="00A07B9D">
      <w:pPr>
        <w:jc w:val="left"/>
        <w:rPr>
          <w:rFonts w:asciiTheme="minorHAnsi" w:hAnsiTheme="minorHAnsi"/>
          <w:snapToGrid w:val="0"/>
        </w:rPr>
      </w:pPr>
      <w:r>
        <w:br w:type="page"/>
      </w:r>
    </w:p>
    <w:p w14:paraId="609C0765" w14:textId="7304B720" w:rsidR="00B60939" w:rsidRPr="00C9624D" w:rsidRDefault="00B60939" w:rsidP="002E4F02">
      <w:pPr>
        <w:pStyle w:val="4-SubsectionHeading"/>
      </w:pPr>
      <w:r w:rsidRPr="00C9624D">
        <w:lastRenderedPageBreak/>
        <w:t xml:space="preserve">Clinical </w:t>
      </w:r>
      <w:r w:rsidR="00D5243B">
        <w:t>studies</w:t>
      </w:r>
      <w:r w:rsidR="00252A0F">
        <w:t xml:space="preserve"> and</w:t>
      </w:r>
      <w:r w:rsidR="00960A92">
        <w:t xml:space="preserve"> </w:t>
      </w:r>
      <w:r w:rsidRPr="00C9624D">
        <w:t>trials</w:t>
      </w:r>
      <w:bookmarkEnd w:id="16"/>
      <w:bookmarkEnd w:id="18"/>
    </w:p>
    <w:p w14:paraId="17DE34DC" w14:textId="24C1814C" w:rsidR="007F1017" w:rsidRPr="00960A92" w:rsidRDefault="00A73134" w:rsidP="002E4F02">
      <w:pPr>
        <w:pStyle w:val="3-BodyText"/>
        <w:rPr>
          <w:color w:val="0066FF"/>
        </w:rPr>
      </w:pPr>
      <w:bookmarkStart w:id="19" w:name="_Hlk100315028"/>
      <w:r w:rsidRPr="00960A92">
        <w:rPr>
          <w:snapToGrid/>
          <w:lang w:val="en-US"/>
        </w:rPr>
        <w:t xml:space="preserve">The submission </w:t>
      </w:r>
      <w:r w:rsidR="00D5243B" w:rsidRPr="00960A92">
        <w:rPr>
          <w:snapToGrid/>
          <w:lang w:val="en-US"/>
        </w:rPr>
        <w:t>wa</w:t>
      </w:r>
      <w:r w:rsidRPr="00960A92">
        <w:rPr>
          <w:snapToGrid/>
          <w:lang w:val="en-US"/>
        </w:rPr>
        <w:t xml:space="preserve">s based on </w:t>
      </w:r>
      <w:bookmarkStart w:id="20" w:name="_Hlk100333860"/>
      <w:r w:rsidRPr="00960A92">
        <w:rPr>
          <w:snapToGrid/>
          <w:lang w:val="en-US"/>
        </w:rPr>
        <w:t xml:space="preserve">one head-to-head trial comparing </w:t>
      </w:r>
      <w:r w:rsidR="00CB372B" w:rsidRPr="00960A92">
        <w:rPr>
          <w:snapToGrid/>
          <w:lang w:val="en-US"/>
        </w:rPr>
        <w:t>dulaglutide 1.5</w:t>
      </w:r>
      <w:r w:rsidR="00CB29FC">
        <w:rPr>
          <w:snapToGrid/>
          <w:lang w:val="en-US"/>
        </w:rPr>
        <w:t xml:space="preserve"> </w:t>
      </w:r>
      <w:r w:rsidR="00CB372B" w:rsidRPr="00960A92">
        <w:rPr>
          <w:snapToGrid/>
          <w:lang w:val="en-US"/>
        </w:rPr>
        <w:t xml:space="preserve">mg </w:t>
      </w:r>
      <w:r w:rsidRPr="00960A92">
        <w:rPr>
          <w:snapToGrid/>
          <w:lang w:val="en-US"/>
        </w:rPr>
        <w:t>to</w:t>
      </w:r>
      <w:r w:rsidR="00CB29FC">
        <w:rPr>
          <w:snapToGrid/>
          <w:lang w:val="en-US"/>
        </w:rPr>
        <w:t xml:space="preserve"> dulaglutide</w:t>
      </w:r>
      <w:r w:rsidR="00CB372B" w:rsidRPr="00960A92">
        <w:rPr>
          <w:snapToGrid/>
          <w:lang w:val="en-US"/>
        </w:rPr>
        <w:t xml:space="preserve"> 3.</w:t>
      </w:r>
      <w:r w:rsidR="005A2858" w:rsidRPr="00960A92">
        <w:rPr>
          <w:snapToGrid/>
          <w:lang w:val="en-US"/>
        </w:rPr>
        <w:t>0</w:t>
      </w:r>
      <w:r w:rsidR="005A2858">
        <w:rPr>
          <w:snapToGrid/>
          <w:lang w:val="en-US"/>
        </w:rPr>
        <w:t> </w:t>
      </w:r>
      <w:r w:rsidR="00CB372B" w:rsidRPr="00960A92">
        <w:rPr>
          <w:snapToGrid/>
          <w:lang w:val="en-US"/>
        </w:rPr>
        <w:t>mg and</w:t>
      </w:r>
      <w:r w:rsidR="00CB29FC">
        <w:rPr>
          <w:snapToGrid/>
          <w:lang w:val="en-US"/>
        </w:rPr>
        <w:t xml:space="preserve"> dulaglutide</w:t>
      </w:r>
      <w:r w:rsidR="00CB372B" w:rsidRPr="00960A92">
        <w:rPr>
          <w:snapToGrid/>
          <w:lang w:val="en-US"/>
        </w:rPr>
        <w:t xml:space="preserve"> 4.5</w:t>
      </w:r>
      <w:r w:rsidR="005A2858">
        <w:rPr>
          <w:snapToGrid/>
          <w:lang w:val="en-US"/>
        </w:rPr>
        <w:t> </w:t>
      </w:r>
      <w:r w:rsidR="00CB372B" w:rsidRPr="00960A92">
        <w:rPr>
          <w:snapToGrid/>
          <w:lang w:val="en-US"/>
        </w:rPr>
        <w:t>mg (AWARD-11)</w:t>
      </w:r>
      <w:bookmarkEnd w:id="20"/>
      <w:r w:rsidR="00CB372B" w:rsidRPr="00960A92">
        <w:rPr>
          <w:snapToGrid/>
          <w:lang w:val="en-US"/>
        </w:rPr>
        <w:t xml:space="preserve">, and </w:t>
      </w:r>
      <w:r w:rsidR="008C5500" w:rsidRPr="00960A92">
        <w:rPr>
          <w:snapToGrid/>
          <w:lang w:val="en-US"/>
        </w:rPr>
        <w:t>a</w:t>
      </w:r>
      <w:r w:rsidR="00960A92" w:rsidRPr="00960A92">
        <w:rPr>
          <w:snapToGrid/>
          <w:lang w:val="en-US"/>
        </w:rPr>
        <w:t xml:space="preserve"> ‘</w:t>
      </w:r>
      <w:r w:rsidR="002C02F7" w:rsidRPr="00960A92">
        <w:rPr>
          <w:snapToGrid/>
          <w:lang w:val="en-US"/>
        </w:rPr>
        <w:t xml:space="preserve">supplementary’ </w:t>
      </w:r>
      <w:r w:rsidR="008C5500" w:rsidRPr="00960A92">
        <w:rPr>
          <w:snapToGrid/>
          <w:lang w:val="en-US"/>
        </w:rPr>
        <w:t xml:space="preserve">indirect comparison </w:t>
      </w:r>
      <w:r w:rsidR="008C5500" w:rsidRPr="00960A92">
        <w:t xml:space="preserve">using this trial and a trial </w:t>
      </w:r>
      <w:r w:rsidR="00CB29FC">
        <w:t>comparing</w:t>
      </w:r>
      <w:r w:rsidR="00CB29FC" w:rsidRPr="00960A92">
        <w:t xml:space="preserve"> </w:t>
      </w:r>
      <w:r w:rsidR="008C5500" w:rsidRPr="00960A92">
        <w:t>semaglutide 0.</w:t>
      </w:r>
      <w:r w:rsidR="005A2858" w:rsidRPr="00960A92">
        <w:t>5</w:t>
      </w:r>
      <w:r w:rsidR="005A2858">
        <w:t> </w:t>
      </w:r>
      <w:r w:rsidR="008C5500" w:rsidRPr="00960A92">
        <w:t xml:space="preserve">mg and </w:t>
      </w:r>
      <w:r w:rsidR="00CB29FC">
        <w:t xml:space="preserve">semaglutide </w:t>
      </w:r>
      <w:r w:rsidR="008C5500" w:rsidRPr="00960A92">
        <w:t>1.</w:t>
      </w:r>
      <w:r w:rsidR="005A2858" w:rsidRPr="00960A92">
        <w:t>0</w:t>
      </w:r>
      <w:r w:rsidR="005A2858">
        <w:t> </w:t>
      </w:r>
      <w:r w:rsidR="008C5500" w:rsidRPr="00960A92">
        <w:t>mg vs dulaglutide 0.</w:t>
      </w:r>
      <w:r w:rsidR="005A2858" w:rsidRPr="00960A92">
        <w:t>75</w:t>
      </w:r>
      <w:r w:rsidR="005A2858">
        <w:t> </w:t>
      </w:r>
      <w:r w:rsidR="008C5500" w:rsidRPr="00960A92">
        <w:t>mg and 1.</w:t>
      </w:r>
      <w:r w:rsidR="005A2858" w:rsidRPr="00960A92">
        <w:t>5</w:t>
      </w:r>
      <w:r w:rsidR="005A2858">
        <w:t> </w:t>
      </w:r>
      <w:r w:rsidR="008C5500" w:rsidRPr="00960A92">
        <w:t xml:space="preserve">mg (SUSTAIN 7). </w:t>
      </w:r>
    </w:p>
    <w:p w14:paraId="2B59ABAC" w14:textId="671928DE" w:rsidR="00862502" w:rsidRPr="00B50DB8" w:rsidRDefault="00A73134" w:rsidP="002E4F02">
      <w:pPr>
        <w:pStyle w:val="3-BodyText"/>
      </w:pPr>
      <w:bookmarkStart w:id="21" w:name="_Hlk100315091"/>
      <w:bookmarkEnd w:id="19"/>
      <w:r>
        <w:rPr>
          <w:snapToGrid/>
          <w:lang w:val="en-US"/>
        </w:rPr>
        <w:t>Details of the trials</w:t>
      </w:r>
      <w:r w:rsidR="007A6FF6">
        <w:rPr>
          <w:snapToGrid/>
          <w:lang w:val="en-US"/>
        </w:rPr>
        <w:t xml:space="preserve"> </w:t>
      </w:r>
      <w:r>
        <w:rPr>
          <w:snapToGrid/>
          <w:lang w:val="en-US"/>
        </w:rPr>
        <w:t>presented in the submission are provided in the table below.</w:t>
      </w:r>
      <w:r w:rsidR="00BC591F">
        <w:rPr>
          <w:snapToGrid/>
          <w:lang w:val="en-US"/>
        </w:rPr>
        <w:t xml:space="preserve"> </w:t>
      </w:r>
    </w:p>
    <w:bookmarkEnd w:id="21"/>
    <w:p w14:paraId="4BE9FEFC" w14:textId="3A142290" w:rsidR="00960A92" w:rsidRPr="0023413C" w:rsidRDefault="008E0D3C" w:rsidP="005A2858">
      <w:pPr>
        <w:jc w:val="left"/>
      </w:pPr>
      <w:r w:rsidRPr="002E4F02">
        <w:rPr>
          <w:rStyle w:val="CommentReference"/>
          <w:szCs w:val="24"/>
        </w:rPr>
        <w:t xml:space="preserve">Table </w:t>
      </w:r>
      <w:r w:rsidR="00252A0F">
        <w:rPr>
          <w:rStyle w:val="CommentReference"/>
          <w:szCs w:val="24"/>
        </w:rPr>
        <w:t>2</w:t>
      </w:r>
      <w:r w:rsidRPr="002E4F02">
        <w:rPr>
          <w:rStyle w:val="CommentReference"/>
          <w:szCs w:val="24"/>
        </w:rPr>
        <w:t>:</w:t>
      </w:r>
      <w:r w:rsidR="00BC591F" w:rsidRPr="002E4F02">
        <w:rPr>
          <w:rStyle w:val="CommentReference"/>
          <w:szCs w:val="24"/>
        </w:rPr>
        <w:t xml:space="preserve"> </w:t>
      </w:r>
      <w:r w:rsidRPr="002E4F02">
        <w:rPr>
          <w:rStyle w:val="CommentReference"/>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5"/>
        <w:gridCol w:w="5459"/>
        <w:gridCol w:w="2123"/>
      </w:tblGrid>
      <w:tr w:rsidR="00960A92" w:rsidRPr="00B41614" w14:paraId="0120918D" w14:textId="77777777" w:rsidTr="00252A0F">
        <w:trPr>
          <w:tblHeader/>
        </w:trPr>
        <w:tc>
          <w:tcPr>
            <w:tcW w:w="796" w:type="pct"/>
            <w:vAlign w:val="center"/>
          </w:tcPr>
          <w:p w14:paraId="6AE7F405" w14:textId="77777777" w:rsidR="00960A92" w:rsidRPr="00B41614" w:rsidRDefault="00960A92" w:rsidP="00252A0F">
            <w:pPr>
              <w:pStyle w:val="In-tableHeading"/>
            </w:pPr>
            <w:r w:rsidRPr="00B41614">
              <w:t>Trial ID</w:t>
            </w:r>
          </w:p>
        </w:tc>
        <w:tc>
          <w:tcPr>
            <w:tcW w:w="3027" w:type="pct"/>
            <w:vAlign w:val="center"/>
          </w:tcPr>
          <w:p w14:paraId="5F8941ED" w14:textId="77777777" w:rsidR="00960A92" w:rsidRPr="00B41614" w:rsidRDefault="00960A92" w:rsidP="00252A0F">
            <w:pPr>
              <w:pStyle w:val="In-tableHeading"/>
            </w:pPr>
            <w:r w:rsidRPr="00B41614">
              <w:t>Protocol title/ Publication title</w:t>
            </w:r>
          </w:p>
        </w:tc>
        <w:tc>
          <w:tcPr>
            <w:tcW w:w="1177" w:type="pct"/>
            <w:vAlign w:val="center"/>
          </w:tcPr>
          <w:p w14:paraId="2FB30055" w14:textId="77777777" w:rsidR="00960A92" w:rsidRPr="00B41614" w:rsidRDefault="00960A92" w:rsidP="00252A0F">
            <w:pPr>
              <w:pStyle w:val="In-tableHeading"/>
            </w:pPr>
            <w:r w:rsidRPr="00B41614">
              <w:t>Publication citation</w:t>
            </w:r>
          </w:p>
        </w:tc>
      </w:tr>
      <w:tr w:rsidR="00960A92" w:rsidRPr="00CB38A8" w14:paraId="0F066E44" w14:textId="77777777" w:rsidTr="00252A0F">
        <w:tc>
          <w:tcPr>
            <w:tcW w:w="796" w:type="pct"/>
            <w:tcBorders>
              <w:bottom w:val="nil"/>
            </w:tcBorders>
            <w:vAlign w:val="center"/>
          </w:tcPr>
          <w:p w14:paraId="597C8B70" w14:textId="77777777" w:rsidR="00960A92" w:rsidRPr="00CB38A8" w:rsidRDefault="00960A92" w:rsidP="00252A0F">
            <w:pPr>
              <w:pStyle w:val="Tabletext"/>
            </w:pPr>
          </w:p>
        </w:tc>
        <w:tc>
          <w:tcPr>
            <w:tcW w:w="3027" w:type="pct"/>
            <w:tcBorders>
              <w:bottom w:val="nil"/>
            </w:tcBorders>
            <w:vAlign w:val="center"/>
          </w:tcPr>
          <w:p w14:paraId="19FE30E4" w14:textId="77777777" w:rsidR="00960A92" w:rsidRPr="00447EFA" w:rsidRDefault="00960A92" w:rsidP="00252A0F">
            <w:pPr>
              <w:pStyle w:val="Tabletext"/>
              <w:rPr>
                <w:szCs w:val="18"/>
              </w:rPr>
            </w:pPr>
            <w:r w:rsidRPr="00E34A35">
              <w:rPr>
                <w:szCs w:val="18"/>
              </w:rPr>
              <w:t xml:space="preserve">A </w:t>
            </w:r>
            <w:r w:rsidRPr="00447EFA">
              <w:rPr>
                <w:szCs w:val="18"/>
              </w:rPr>
              <w:t xml:space="preserve">Randomized, Double-Blind, Parallel Arm Study of the Efficacy and Safety of Investigational Dulaglutide Doses When Added to Metformin in Patients with Type 2 Diabetes Mellitus. </w:t>
            </w:r>
          </w:p>
          <w:p w14:paraId="47A65AAB" w14:textId="77777777" w:rsidR="00960A92" w:rsidRPr="00447EFA" w:rsidRDefault="00960A92" w:rsidP="00252A0F">
            <w:pPr>
              <w:pStyle w:val="Tabletext"/>
              <w:rPr>
                <w:szCs w:val="18"/>
              </w:rPr>
            </w:pPr>
            <w:r w:rsidRPr="00447EFA">
              <w:rPr>
                <w:szCs w:val="18"/>
              </w:rPr>
              <w:t>Approval date: 9 October 2020 (Week 36 data)</w:t>
            </w:r>
          </w:p>
          <w:p w14:paraId="53F122AB" w14:textId="77777777" w:rsidR="00960A92" w:rsidRPr="00447EFA" w:rsidRDefault="00960A92" w:rsidP="00252A0F">
            <w:pPr>
              <w:pStyle w:val="Tabletext"/>
              <w:rPr>
                <w:szCs w:val="18"/>
              </w:rPr>
            </w:pPr>
            <w:r w:rsidRPr="00447EFA">
              <w:rPr>
                <w:szCs w:val="18"/>
              </w:rPr>
              <w:t>Approval date: 15 October 2020 (Week 52 data)</w:t>
            </w:r>
          </w:p>
          <w:p w14:paraId="64CBDE13" w14:textId="77777777" w:rsidR="00960A92" w:rsidRPr="00AB6248" w:rsidRDefault="00960A92" w:rsidP="00252A0F">
            <w:pPr>
              <w:pStyle w:val="Tabletext"/>
              <w:rPr>
                <w:szCs w:val="18"/>
              </w:rPr>
            </w:pPr>
          </w:p>
        </w:tc>
        <w:tc>
          <w:tcPr>
            <w:tcW w:w="1177" w:type="pct"/>
            <w:tcBorders>
              <w:bottom w:val="nil"/>
            </w:tcBorders>
            <w:vAlign w:val="center"/>
          </w:tcPr>
          <w:p w14:paraId="7C136494" w14:textId="77777777" w:rsidR="00960A92" w:rsidRPr="00CB38A8" w:rsidRDefault="00960A92" w:rsidP="00252A0F">
            <w:pPr>
              <w:pStyle w:val="Tabletext"/>
            </w:pPr>
            <w:r w:rsidRPr="00961857">
              <w:t>NCT03495102</w:t>
            </w:r>
          </w:p>
        </w:tc>
      </w:tr>
      <w:tr w:rsidR="00960A92" w:rsidRPr="00CB38A8" w14:paraId="2EB1F032" w14:textId="77777777" w:rsidTr="00252A0F">
        <w:tc>
          <w:tcPr>
            <w:tcW w:w="796" w:type="pct"/>
            <w:tcBorders>
              <w:top w:val="nil"/>
              <w:bottom w:val="nil"/>
            </w:tcBorders>
            <w:vAlign w:val="center"/>
          </w:tcPr>
          <w:p w14:paraId="04C0DAC8" w14:textId="77777777" w:rsidR="00960A92" w:rsidRPr="00447EFA" w:rsidRDefault="00960A92" w:rsidP="00252A0F">
            <w:pPr>
              <w:pStyle w:val="Tabletext"/>
            </w:pPr>
          </w:p>
        </w:tc>
        <w:tc>
          <w:tcPr>
            <w:tcW w:w="3027" w:type="pct"/>
            <w:tcBorders>
              <w:top w:val="nil"/>
              <w:bottom w:val="nil"/>
            </w:tcBorders>
            <w:vAlign w:val="center"/>
          </w:tcPr>
          <w:p w14:paraId="7595E758" w14:textId="77777777" w:rsidR="00960A92" w:rsidRDefault="00960A92" w:rsidP="00252A0F">
            <w:pPr>
              <w:pStyle w:val="Tabletext"/>
            </w:pPr>
            <w:r>
              <w:t>Frias, Bonora et al</w:t>
            </w:r>
            <w:r w:rsidRPr="00447EFA">
              <w:t xml:space="preserve">. Efficacy and Safety of Dulaglutide 3.0 mg and 4.5 mg Versus Dulaglutide 1.5 mg in Metformin-Treated Patients With Type 2 Diabetes in a Randomized Controlled Trial (AWARD-11). </w:t>
            </w:r>
          </w:p>
        </w:tc>
        <w:tc>
          <w:tcPr>
            <w:tcW w:w="1177" w:type="pct"/>
            <w:tcBorders>
              <w:top w:val="nil"/>
              <w:bottom w:val="nil"/>
            </w:tcBorders>
            <w:vAlign w:val="center"/>
          </w:tcPr>
          <w:p w14:paraId="12D9201F" w14:textId="77777777" w:rsidR="00960A92" w:rsidRPr="00E34A35" w:rsidRDefault="00960A92" w:rsidP="00252A0F">
            <w:pPr>
              <w:pStyle w:val="Tabletext"/>
              <w:rPr>
                <w:szCs w:val="18"/>
              </w:rPr>
            </w:pPr>
            <w:r w:rsidRPr="00B351C2">
              <w:rPr>
                <w:i/>
                <w:iCs/>
              </w:rPr>
              <w:t>Diabetes Care</w:t>
            </w:r>
            <w:r>
              <w:t xml:space="preserve"> 2021; 44: 765-773.</w:t>
            </w:r>
          </w:p>
        </w:tc>
      </w:tr>
      <w:tr w:rsidR="00960A92" w:rsidRPr="00CB38A8" w14:paraId="08FCA68A" w14:textId="77777777" w:rsidTr="00252A0F">
        <w:tc>
          <w:tcPr>
            <w:tcW w:w="796" w:type="pct"/>
            <w:tcBorders>
              <w:top w:val="nil"/>
              <w:bottom w:val="nil"/>
            </w:tcBorders>
            <w:vAlign w:val="center"/>
          </w:tcPr>
          <w:p w14:paraId="7B588B12" w14:textId="77777777" w:rsidR="00960A92" w:rsidRPr="00CB38A8" w:rsidRDefault="00960A92" w:rsidP="00252A0F">
            <w:pPr>
              <w:pStyle w:val="Tabletext"/>
            </w:pPr>
            <w:r w:rsidRPr="00447EFA">
              <w:t>AWARD-11</w:t>
            </w:r>
          </w:p>
        </w:tc>
        <w:tc>
          <w:tcPr>
            <w:tcW w:w="3027" w:type="pct"/>
            <w:tcBorders>
              <w:top w:val="nil"/>
              <w:bottom w:val="nil"/>
            </w:tcBorders>
            <w:vAlign w:val="center"/>
          </w:tcPr>
          <w:p w14:paraId="0EDC3ABC" w14:textId="77777777" w:rsidR="00960A92" w:rsidRPr="00447EFA" w:rsidRDefault="00960A92" w:rsidP="00252A0F">
            <w:pPr>
              <w:pStyle w:val="Tabletext"/>
            </w:pPr>
          </w:p>
          <w:p w14:paraId="31C60841" w14:textId="27FBFCAD" w:rsidR="00960A92" w:rsidRPr="00E34A35" w:rsidRDefault="00960A92" w:rsidP="00252A0F">
            <w:pPr>
              <w:pStyle w:val="Tabletext"/>
              <w:rPr>
                <w:szCs w:val="18"/>
              </w:rPr>
            </w:pPr>
            <w:r w:rsidRPr="00B351C2">
              <w:rPr>
                <w:szCs w:val="18"/>
              </w:rPr>
              <w:t>Frias, Bonora et al. Efficacy and safety of dulaglutide 3.0</w:t>
            </w:r>
            <w:r w:rsidR="00CF6D7E">
              <w:rPr>
                <w:szCs w:val="18"/>
              </w:rPr>
              <w:t xml:space="preserve"> mg</w:t>
            </w:r>
            <w:r w:rsidRPr="00B351C2">
              <w:rPr>
                <w:szCs w:val="18"/>
              </w:rPr>
              <w:t xml:space="preserve"> and 4.5 mg in patients aged younger than 65 and 65 years or older: Post hoc analysis of the AWARD-11 trial. </w:t>
            </w:r>
          </w:p>
        </w:tc>
        <w:tc>
          <w:tcPr>
            <w:tcW w:w="1177" w:type="pct"/>
            <w:tcBorders>
              <w:top w:val="nil"/>
              <w:bottom w:val="nil"/>
            </w:tcBorders>
            <w:vAlign w:val="center"/>
          </w:tcPr>
          <w:p w14:paraId="153763CF" w14:textId="77777777" w:rsidR="00960A92" w:rsidRPr="00E34A35" w:rsidRDefault="00960A92" w:rsidP="00252A0F">
            <w:pPr>
              <w:pStyle w:val="Tabletext"/>
              <w:rPr>
                <w:szCs w:val="18"/>
              </w:rPr>
            </w:pPr>
            <w:r w:rsidRPr="00B351C2">
              <w:rPr>
                <w:i/>
                <w:iCs/>
                <w:szCs w:val="18"/>
              </w:rPr>
              <w:t>Diabetes Obes Metab</w:t>
            </w:r>
            <w:r w:rsidRPr="00B351C2">
              <w:rPr>
                <w:szCs w:val="18"/>
              </w:rPr>
              <w:t xml:space="preserve"> 2021; 23 (10): 2279-2288.</w:t>
            </w:r>
          </w:p>
        </w:tc>
      </w:tr>
      <w:tr w:rsidR="00960A92" w:rsidRPr="00CB38A8" w14:paraId="1427C195" w14:textId="77777777" w:rsidTr="00252A0F">
        <w:tc>
          <w:tcPr>
            <w:tcW w:w="796" w:type="pct"/>
            <w:tcBorders>
              <w:top w:val="nil"/>
              <w:bottom w:val="nil"/>
            </w:tcBorders>
            <w:vAlign w:val="center"/>
          </w:tcPr>
          <w:p w14:paraId="5F8DA14C" w14:textId="77777777" w:rsidR="00960A92" w:rsidRPr="00CB38A8" w:rsidRDefault="00960A92" w:rsidP="00252A0F">
            <w:pPr>
              <w:pStyle w:val="Tabletext"/>
            </w:pPr>
          </w:p>
        </w:tc>
        <w:tc>
          <w:tcPr>
            <w:tcW w:w="3027" w:type="pct"/>
            <w:tcBorders>
              <w:top w:val="nil"/>
              <w:bottom w:val="nil"/>
            </w:tcBorders>
            <w:vAlign w:val="center"/>
          </w:tcPr>
          <w:p w14:paraId="5771BE0B" w14:textId="77777777" w:rsidR="00960A92" w:rsidRDefault="00960A92" w:rsidP="00252A0F">
            <w:pPr>
              <w:pStyle w:val="Tabletext"/>
              <w:rPr>
                <w:szCs w:val="18"/>
                <w:lang w:val="en-US"/>
              </w:rPr>
            </w:pPr>
          </w:p>
          <w:p w14:paraId="4194993E" w14:textId="5821E41B" w:rsidR="00960A92" w:rsidRPr="00AB6248" w:rsidRDefault="00960A92" w:rsidP="00252A0F">
            <w:pPr>
              <w:pStyle w:val="Tabletext"/>
              <w:rPr>
                <w:szCs w:val="18"/>
                <w:lang w:val="en-US"/>
              </w:rPr>
            </w:pPr>
            <w:r w:rsidRPr="00B351C2">
              <w:rPr>
                <w:szCs w:val="18"/>
                <w:lang w:val="en-US"/>
              </w:rPr>
              <w:t xml:space="preserve">Bonora, Frias et al. Effect of dulaglutide 3.0 </w:t>
            </w:r>
            <w:r w:rsidR="00CF6D7E">
              <w:rPr>
                <w:szCs w:val="18"/>
                <w:lang w:val="en-US"/>
              </w:rPr>
              <w:t xml:space="preserve">mg </w:t>
            </w:r>
            <w:r w:rsidRPr="00B351C2">
              <w:rPr>
                <w:szCs w:val="18"/>
                <w:lang w:val="en-US"/>
              </w:rPr>
              <w:t xml:space="preserve">and 4.5 mg on weight in patients with type 2 diabetes: Exploratory analyses of AWARD-11. </w:t>
            </w:r>
          </w:p>
        </w:tc>
        <w:tc>
          <w:tcPr>
            <w:tcW w:w="1177" w:type="pct"/>
            <w:tcBorders>
              <w:top w:val="nil"/>
              <w:bottom w:val="nil"/>
            </w:tcBorders>
            <w:vAlign w:val="center"/>
          </w:tcPr>
          <w:p w14:paraId="7CC7B2EA" w14:textId="77777777" w:rsidR="00960A92" w:rsidRPr="00AB6248" w:rsidRDefault="00960A92" w:rsidP="00252A0F">
            <w:pPr>
              <w:pStyle w:val="Tabletext"/>
              <w:rPr>
                <w:i/>
                <w:szCs w:val="18"/>
                <w:lang w:val="en-US"/>
              </w:rPr>
            </w:pPr>
            <w:r w:rsidRPr="00B351C2">
              <w:rPr>
                <w:i/>
                <w:iCs/>
                <w:szCs w:val="18"/>
                <w:lang w:val="en-US"/>
              </w:rPr>
              <w:t>Diabetes Obes Metab</w:t>
            </w:r>
            <w:r w:rsidRPr="00B351C2">
              <w:rPr>
                <w:szCs w:val="18"/>
                <w:lang w:val="en-US"/>
              </w:rPr>
              <w:t xml:space="preserve"> 2021; 23 (10): 2242-2250.</w:t>
            </w:r>
          </w:p>
        </w:tc>
      </w:tr>
      <w:tr w:rsidR="00960A92" w:rsidRPr="00CB38A8" w14:paraId="563E6226" w14:textId="77777777" w:rsidTr="00252A0F">
        <w:tc>
          <w:tcPr>
            <w:tcW w:w="796" w:type="pct"/>
            <w:tcBorders>
              <w:top w:val="nil"/>
              <w:bottom w:val="nil"/>
            </w:tcBorders>
            <w:vAlign w:val="center"/>
          </w:tcPr>
          <w:p w14:paraId="543A2D4C" w14:textId="77777777" w:rsidR="00960A92" w:rsidRPr="00CB38A8" w:rsidRDefault="00960A92" w:rsidP="00252A0F">
            <w:pPr>
              <w:pStyle w:val="Tabletext"/>
            </w:pPr>
          </w:p>
        </w:tc>
        <w:tc>
          <w:tcPr>
            <w:tcW w:w="3027" w:type="pct"/>
            <w:tcBorders>
              <w:top w:val="nil"/>
              <w:bottom w:val="nil"/>
            </w:tcBorders>
            <w:vAlign w:val="center"/>
          </w:tcPr>
          <w:p w14:paraId="56E890FA" w14:textId="77777777" w:rsidR="00960A92" w:rsidRDefault="00960A92" w:rsidP="00252A0F">
            <w:pPr>
              <w:pStyle w:val="Tabletext"/>
              <w:rPr>
                <w:szCs w:val="18"/>
                <w:lang w:val="en-US"/>
              </w:rPr>
            </w:pPr>
          </w:p>
        </w:tc>
        <w:tc>
          <w:tcPr>
            <w:tcW w:w="1177" w:type="pct"/>
            <w:tcBorders>
              <w:top w:val="nil"/>
              <w:bottom w:val="nil"/>
            </w:tcBorders>
            <w:vAlign w:val="center"/>
          </w:tcPr>
          <w:p w14:paraId="330EB4E4" w14:textId="77777777" w:rsidR="00960A92" w:rsidRPr="00B351C2" w:rsidRDefault="00960A92" w:rsidP="00252A0F">
            <w:pPr>
              <w:pStyle w:val="Tabletext"/>
              <w:rPr>
                <w:i/>
                <w:iCs/>
                <w:szCs w:val="18"/>
                <w:lang w:val="en-US"/>
              </w:rPr>
            </w:pPr>
          </w:p>
        </w:tc>
      </w:tr>
      <w:tr w:rsidR="00960A92" w:rsidRPr="00CB38A8" w14:paraId="579B5E33" w14:textId="77777777" w:rsidTr="00252A0F">
        <w:tc>
          <w:tcPr>
            <w:tcW w:w="796" w:type="pct"/>
            <w:tcBorders>
              <w:top w:val="nil"/>
              <w:bottom w:val="single" w:sz="4" w:space="0" w:color="auto"/>
            </w:tcBorders>
            <w:vAlign w:val="center"/>
          </w:tcPr>
          <w:p w14:paraId="3248250C" w14:textId="77777777" w:rsidR="00960A92" w:rsidRPr="00CB38A8" w:rsidRDefault="00960A92" w:rsidP="00252A0F">
            <w:pPr>
              <w:pStyle w:val="Tabletext"/>
            </w:pPr>
          </w:p>
        </w:tc>
        <w:tc>
          <w:tcPr>
            <w:tcW w:w="3027" w:type="pct"/>
            <w:tcBorders>
              <w:top w:val="nil"/>
              <w:bottom w:val="single" w:sz="4" w:space="0" w:color="auto"/>
            </w:tcBorders>
            <w:vAlign w:val="center"/>
          </w:tcPr>
          <w:p w14:paraId="14C1FDA7" w14:textId="77777777" w:rsidR="00960A92" w:rsidRDefault="00960A92" w:rsidP="00252A0F">
            <w:pPr>
              <w:pStyle w:val="Tabletext"/>
              <w:rPr>
                <w:szCs w:val="18"/>
                <w:lang w:val="en-US"/>
              </w:rPr>
            </w:pPr>
            <w:r w:rsidRPr="00B351C2">
              <w:rPr>
                <w:szCs w:val="18"/>
                <w:lang w:val="en-US"/>
              </w:rPr>
              <w:t xml:space="preserve">Van, Frias et al. Gastrointestinal Tolerability of Once-Weekly Dulaglutide 3.0 mg and 4.5 mg: A Post Hoc Analysis of the Incidence and Prevalence of Nausea, Vomiting, and Diarrhea in AWARD-11. </w:t>
            </w:r>
          </w:p>
        </w:tc>
        <w:tc>
          <w:tcPr>
            <w:tcW w:w="1177" w:type="pct"/>
            <w:tcBorders>
              <w:top w:val="nil"/>
              <w:bottom w:val="single" w:sz="4" w:space="0" w:color="auto"/>
            </w:tcBorders>
            <w:vAlign w:val="center"/>
          </w:tcPr>
          <w:p w14:paraId="712C9D4C" w14:textId="77777777" w:rsidR="00960A92" w:rsidRPr="00B351C2" w:rsidRDefault="00960A92" w:rsidP="00252A0F">
            <w:pPr>
              <w:pStyle w:val="Tabletext"/>
              <w:rPr>
                <w:i/>
                <w:iCs/>
                <w:szCs w:val="18"/>
                <w:lang w:val="en-US"/>
              </w:rPr>
            </w:pPr>
            <w:r w:rsidRPr="00B351C2">
              <w:rPr>
                <w:i/>
                <w:iCs/>
                <w:szCs w:val="18"/>
                <w:lang w:val="en-US"/>
              </w:rPr>
              <w:t>Diabetes Ther</w:t>
            </w:r>
            <w:r w:rsidRPr="00B351C2">
              <w:rPr>
                <w:szCs w:val="18"/>
                <w:lang w:val="en-US"/>
              </w:rPr>
              <w:t xml:space="preserve"> 2021; 12: 2783-2794.</w:t>
            </w:r>
          </w:p>
        </w:tc>
      </w:tr>
      <w:tr w:rsidR="00960A92" w:rsidRPr="00CB38A8" w14:paraId="2481874D" w14:textId="77777777" w:rsidTr="00252A0F">
        <w:tc>
          <w:tcPr>
            <w:tcW w:w="796" w:type="pct"/>
            <w:tcBorders>
              <w:bottom w:val="nil"/>
            </w:tcBorders>
            <w:vAlign w:val="center"/>
          </w:tcPr>
          <w:p w14:paraId="7E79B273" w14:textId="77777777" w:rsidR="00960A92" w:rsidRPr="00CB38A8" w:rsidRDefault="00960A92" w:rsidP="00252A0F">
            <w:pPr>
              <w:pStyle w:val="Tabletext"/>
            </w:pPr>
          </w:p>
        </w:tc>
        <w:tc>
          <w:tcPr>
            <w:tcW w:w="3027" w:type="pct"/>
            <w:tcBorders>
              <w:bottom w:val="nil"/>
            </w:tcBorders>
            <w:vAlign w:val="center"/>
          </w:tcPr>
          <w:p w14:paraId="1DBFE382" w14:textId="77777777" w:rsidR="00960A92" w:rsidRPr="0064758A" w:rsidRDefault="00960A92" w:rsidP="00252A0F">
            <w:pPr>
              <w:pStyle w:val="Tabletext"/>
            </w:pPr>
            <w:r w:rsidRPr="0064758A">
              <w:rPr>
                <w:rFonts w:eastAsiaTheme="majorEastAsia" w:cstheme="majorBidi"/>
                <w:bCs/>
              </w:rPr>
              <w:t>Efficacy and Safety of Semaglutide Versus Dulaglutide as add-on to Metformin in Subjects With Type 2 Diabetes. (SUSTAIN 7)</w:t>
            </w:r>
            <w:r>
              <w:t xml:space="preserve"> </w:t>
            </w:r>
            <w:r>
              <w:tab/>
            </w:r>
          </w:p>
        </w:tc>
        <w:tc>
          <w:tcPr>
            <w:tcW w:w="1177" w:type="pct"/>
            <w:tcBorders>
              <w:bottom w:val="nil"/>
            </w:tcBorders>
            <w:vAlign w:val="center"/>
          </w:tcPr>
          <w:p w14:paraId="6587C445" w14:textId="77777777" w:rsidR="00960A92" w:rsidRPr="00CB38A8" w:rsidRDefault="00960A92" w:rsidP="00252A0F">
            <w:pPr>
              <w:pStyle w:val="Tabletext"/>
            </w:pPr>
            <w:r>
              <w:t>NCT02648204</w:t>
            </w:r>
          </w:p>
        </w:tc>
      </w:tr>
      <w:tr w:rsidR="00960A92" w:rsidRPr="00CB38A8" w14:paraId="30F32E79" w14:textId="77777777" w:rsidTr="00252A0F">
        <w:tc>
          <w:tcPr>
            <w:tcW w:w="796" w:type="pct"/>
            <w:tcBorders>
              <w:top w:val="nil"/>
              <w:bottom w:val="nil"/>
            </w:tcBorders>
            <w:vAlign w:val="center"/>
          </w:tcPr>
          <w:p w14:paraId="18304E98" w14:textId="77777777" w:rsidR="00960A92" w:rsidRDefault="00960A92" w:rsidP="00252A0F">
            <w:pPr>
              <w:pStyle w:val="Tabletext"/>
            </w:pPr>
            <w:r>
              <w:t>SUSTAIN 7</w:t>
            </w:r>
          </w:p>
        </w:tc>
        <w:tc>
          <w:tcPr>
            <w:tcW w:w="3027" w:type="pct"/>
            <w:tcBorders>
              <w:top w:val="nil"/>
              <w:bottom w:val="nil"/>
            </w:tcBorders>
            <w:vAlign w:val="center"/>
          </w:tcPr>
          <w:p w14:paraId="1043EAD9" w14:textId="77777777" w:rsidR="00960A92" w:rsidRPr="0064758A" w:rsidRDefault="00960A92" w:rsidP="00252A0F">
            <w:pPr>
              <w:pStyle w:val="Tabletext"/>
              <w:rPr>
                <w:bCs/>
              </w:rPr>
            </w:pPr>
            <w:r>
              <w:t xml:space="preserve">Pratley, Aroda et al. Semaglutide versus dulaglutide once weekly in patients with type 2 diabetes (SUSTAIN 7): a randomised, open-label, phase 3b trial. </w:t>
            </w:r>
          </w:p>
        </w:tc>
        <w:tc>
          <w:tcPr>
            <w:tcW w:w="1177" w:type="pct"/>
            <w:tcBorders>
              <w:top w:val="nil"/>
              <w:bottom w:val="nil"/>
            </w:tcBorders>
            <w:vAlign w:val="center"/>
          </w:tcPr>
          <w:p w14:paraId="18954134" w14:textId="77777777" w:rsidR="00960A92" w:rsidRDefault="00960A92" w:rsidP="00252A0F">
            <w:pPr>
              <w:pStyle w:val="Tabletext"/>
            </w:pPr>
            <w:r w:rsidRPr="0064758A">
              <w:rPr>
                <w:i/>
                <w:iCs/>
              </w:rPr>
              <w:t>Lancet Diabetes Endocrinol</w:t>
            </w:r>
            <w:r>
              <w:t xml:space="preserve"> 2018; 6: 275-86</w:t>
            </w:r>
          </w:p>
        </w:tc>
      </w:tr>
      <w:tr w:rsidR="00960A92" w:rsidRPr="00CB38A8" w14:paraId="4C45F852" w14:textId="77777777" w:rsidTr="00252A0F">
        <w:tc>
          <w:tcPr>
            <w:tcW w:w="796" w:type="pct"/>
            <w:tcBorders>
              <w:top w:val="nil"/>
              <w:bottom w:val="single" w:sz="4" w:space="0" w:color="auto"/>
            </w:tcBorders>
            <w:vAlign w:val="center"/>
          </w:tcPr>
          <w:p w14:paraId="7C4AB5D7" w14:textId="77777777" w:rsidR="00960A92" w:rsidRPr="00CB38A8" w:rsidRDefault="00960A92" w:rsidP="00252A0F">
            <w:pPr>
              <w:pStyle w:val="Tabletext"/>
            </w:pPr>
          </w:p>
        </w:tc>
        <w:tc>
          <w:tcPr>
            <w:tcW w:w="3027" w:type="pct"/>
            <w:tcBorders>
              <w:top w:val="nil"/>
              <w:bottom w:val="single" w:sz="4" w:space="0" w:color="auto"/>
            </w:tcBorders>
            <w:vAlign w:val="center"/>
          </w:tcPr>
          <w:p w14:paraId="592EE9CC" w14:textId="77777777" w:rsidR="00960A92" w:rsidRDefault="00960A92" w:rsidP="00252A0F">
            <w:pPr>
              <w:pStyle w:val="Tabletext"/>
            </w:pPr>
            <w:r>
              <w:t xml:space="preserve">Pratley, Aroda et al. Impact of patient characteristics on efficacy and safety of once-weekly semaglutide versus dulaglutide: SUSTAIN 7 post hoc analyses. </w:t>
            </w:r>
          </w:p>
          <w:p w14:paraId="77CC1823" w14:textId="77777777" w:rsidR="00960A92" w:rsidRPr="00AC45E8" w:rsidRDefault="00960A92" w:rsidP="00252A0F">
            <w:pPr>
              <w:pStyle w:val="Tabletext"/>
              <w:rPr>
                <w:szCs w:val="18"/>
              </w:rPr>
            </w:pPr>
          </w:p>
        </w:tc>
        <w:tc>
          <w:tcPr>
            <w:tcW w:w="1177" w:type="pct"/>
            <w:tcBorders>
              <w:top w:val="nil"/>
              <w:bottom w:val="single" w:sz="4" w:space="0" w:color="auto"/>
            </w:tcBorders>
            <w:vAlign w:val="center"/>
          </w:tcPr>
          <w:p w14:paraId="6BC6FF88" w14:textId="77777777" w:rsidR="00960A92" w:rsidRPr="00AC45E8" w:rsidRDefault="00960A92" w:rsidP="00252A0F">
            <w:pPr>
              <w:pStyle w:val="Tabletext"/>
            </w:pPr>
            <w:r w:rsidRPr="0064758A">
              <w:rPr>
                <w:i/>
                <w:iCs/>
              </w:rPr>
              <w:t>BMJ Open</w:t>
            </w:r>
            <w:r>
              <w:t xml:space="preserve"> 2020;10:e037883. doi:10.1136/bmjopen-2020-037883</w:t>
            </w:r>
          </w:p>
        </w:tc>
      </w:tr>
      <w:tr w:rsidR="00960A92" w:rsidRPr="00CB38A8" w14:paraId="571B2DBE" w14:textId="77777777" w:rsidTr="00252A0F">
        <w:tc>
          <w:tcPr>
            <w:tcW w:w="796" w:type="pct"/>
            <w:tcBorders>
              <w:top w:val="single" w:sz="4" w:space="0" w:color="auto"/>
              <w:bottom w:val="single" w:sz="4" w:space="0" w:color="auto"/>
            </w:tcBorders>
            <w:vAlign w:val="center"/>
          </w:tcPr>
          <w:p w14:paraId="33543BA1" w14:textId="77777777" w:rsidR="00960A92" w:rsidRPr="00CB38A8" w:rsidRDefault="00960A92" w:rsidP="00252A0F">
            <w:pPr>
              <w:pStyle w:val="Tabletext"/>
            </w:pPr>
            <w:r>
              <w:t>AWARD-11 and SUSTAIN 7</w:t>
            </w:r>
          </w:p>
        </w:tc>
        <w:tc>
          <w:tcPr>
            <w:tcW w:w="3027" w:type="pct"/>
            <w:tcBorders>
              <w:top w:val="single" w:sz="4" w:space="0" w:color="auto"/>
              <w:bottom w:val="single" w:sz="4" w:space="0" w:color="auto"/>
            </w:tcBorders>
            <w:vAlign w:val="center"/>
          </w:tcPr>
          <w:p w14:paraId="41806129" w14:textId="2D522A2A" w:rsidR="00960A92" w:rsidRDefault="00960A92" w:rsidP="00252A0F">
            <w:pPr>
              <w:pStyle w:val="Tabletext"/>
            </w:pPr>
            <w:r w:rsidRPr="00960A92">
              <w:t xml:space="preserve">Pratley, Catarig et al. (2021) An indirect treatment comparison of the efficacy of semaglutide 1.0 mg versus dulaglutide 3.0 </w:t>
            </w:r>
            <w:r w:rsidR="00CF6D7E">
              <w:t xml:space="preserve">mg </w:t>
            </w:r>
            <w:r w:rsidRPr="00960A92">
              <w:t xml:space="preserve">and 4.5 mg </w:t>
            </w:r>
          </w:p>
        </w:tc>
        <w:tc>
          <w:tcPr>
            <w:tcW w:w="1177" w:type="pct"/>
            <w:tcBorders>
              <w:top w:val="single" w:sz="4" w:space="0" w:color="auto"/>
              <w:bottom w:val="single" w:sz="4" w:space="0" w:color="auto"/>
            </w:tcBorders>
            <w:vAlign w:val="center"/>
          </w:tcPr>
          <w:p w14:paraId="751C3B48" w14:textId="77777777" w:rsidR="00960A92" w:rsidRPr="0064758A" w:rsidRDefault="00960A92" w:rsidP="00252A0F">
            <w:pPr>
              <w:pStyle w:val="Tabletext"/>
              <w:rPr>
                <w:i/>
                <w:iCs/>
              </w:rPr>
            </w:pPr>
            <w:r w:rsidRPr="00960A92">
              <w:rPr>
                <w:i/>
                <w:iCs/>
              </w:rPr>
              <w:t>Diabetes Obes Metab</w:t>
            </w:r>
            <w:r w:rsidRPr="00960A92">
              <w:t xml:space="preserve"> 2021; 23 (11): 2513-2520</w:t>
            </w:r>
          </w:p>
        </w:tc>
      </w:tr>
    </w:tbl>
    <w:p w14:paraId="48B6C424" w14:textId="77777777" w:rsidR="00960A92" w:rsidRPr="00B1011F" w:rsidRDefault="00960A92" w:rsidP="00960A92">
      <w:pPr>
        <w:pStyle w:val="TableFigureFooter"/>
        <w:rPr>
          <w:sz w:val="20"/>
        </w:rPr>
      </w:pPr>
      <w:r>
        <w:t xml:space="preserve">Source: Table 2.2.1, p38 </w:t>
      </w:r>
      <w:r w:rsidRPr="00D13A3E">
        <w:t xml:space="preserve">of the </w:t>
      </w:r>
      <w:r>
        <w:t>submission and Table 2.2.1, p8 Appendix 1 of the submission.</w:t>
      </w:r>
    </w:p>
    <w:p w14:paraId="268F650F" w14:textId="77777777" w:rsidR="00960A92" w:rsidRDefault="00960A92" w:rsidP="00960A92">
      <w:pPr>
        <w:rPr>
          <w:color w:val="3366FF"/>
        </w:rPr>
      </w:pPr>
    </w:p>
    <w:p w14:paraId="7A5D904F" w14:textId="73008746" w:rsidR="00932F45" w:rsidRPr="005A2858" w:rsidRDefault="008F120A" w:rsidP="00252A0F">
      <w:pPr>
        <w:pStyle w:val="3-BodyText"/>
        <w:rPr>
          <w:rFonts w:ascii="Arial Narrow" w:hAnsi="Arial Narrow"/>
          <w:b/>
          <w:sz w:val="20"/>
        </w:rPr>
      </w:pPr>
      <w:r w:rsidRPr="00B50DB8">
        <w:t>The key features of the randomised trials are summarised in the table below.</w:t>
      </w:r>
      <w:r w:rsidR="00BC591F">
        <w:t xml:space="preserve"> </w:t>
      </w:r>
      <w:r w:rsidR="003779A4">
        <w:t xml:space="preserve">The </w:t>
      </w:r>
      <w:r w:rsidR="00521689">
        <w:t>PBAC previously</w:t>
      </w:r>
      <w:r w:rsidR="003779A4">
        <w:t xml:space="preserve"> assessed SUSTAIN 7 as having a high risk of bias</w:t>
      </w:r>
      <w:r w:rsidR="006D5590">
        <w:t xml:space="preserve"> at its November 2019 meeting</w:t>
      </w:r>
      <w:r w:rsidR="003779A4">
        <w:t>.</w:t>
      </w:r>
    </w:p>
    <w:p w14:paraId="51F8E96D" w14:textId="1A83EE6C" w:rsidR="005A2858" w:rsidRDefault="005A2858">
      <w:pPr>
        <w:jc w:val="left"/>
        <w:rPr>
          <w:rFonts w:asciiTheme="minorHAnsi" w:hAnsiTheme="minorHAnsi"/>
          <w:snapToGrid w:val="0"/>
        </w:rPr>
      </w:pPr>
      <w:r>
        <w:br w:type="page"/>
      </w:r>
    </w:p>
    <w:p w14:paraId="355E2F15" w14:textId="60918DE3" w:rsidR="007F1017" w:rsidRPr="00932F45" w:rsidRDefault="007F1017" w:rsidP="00932F45">
      <w:pPr>
        <w:pStyle w:val="3-BodyText"/>
        <w:numPr>
          <w:ilvl w:val="0"/>
          <w:numId w:val="0"/>
        </w:numPr>
        <w:rPr>
          <w:rStyle w:val="CommentReference"/>
          <w:szCs w:val="24"/>
        </w:rPr>
      </w:pPr>
      <w:r w:rsidRPr="00932F45">
        <w:rPr>
          <w:rStyle w:val="CommentReference"/>
          <w:szCs w:val="24"/>
        </w:rPr>
        <w:lastRenderedPageBreak/>
        <w:t xml:space="preserve">Table </w:t>
      </w:r>
      <w:r w:rsidR="00252A0F">
        <w:rPr>
          <w:rStyle w:val="CommentReference"/>
          <w:szCs w:val="24"/>
        </w:rPr>
        <w:t>3</w:t>
      </w:r>
      <w:r w:rsidRPr="00932F45">
        <w:rPr>
          <w:rStyle w:val="CommentReference"/>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583"/>
        <w:gridCol w:w="1033"/>
        <w:gridCol w:w="1737"/>
        <w:gridCol w:w="1380"/>
        <w:gridCol w:w="1903"/>
        <w:gridCol w:w="1381"/>
      </w:tblGrid>
      <w:tr w:rsidR="00E13F40" w:rsidRPr="00B41614" w14:paraId="53DD7CC6" w14:textId="77777777" w:rsidTr="00CB29FC">
        <w:trPr>
          <w:cantSplit/>
          <w:tblHeader/>
        </w:trPr>
        <w:tc>
          <w:tcPr>
            <w:tcW w:w="878" w:type="pct"/>
            <w:shd w:val="clear" w:color="auto" w:fill="auto"/>
            <w:vAlign w:val="center"/>
          </w:tcPr>
          <w:p w14:paraId="794116BC" w14:textId="77777777" w:rsidR="00E13F40" w:rsidRPr="00B41614" w:rsidRDefault="00E13F40" w:rsidP="001E34DF">
            <w:pPr>
              <w:pStyle w:val="In-tableHeading"/>
            </w:pPr>
            <w:r w:rsidRPr="00B41614">
              <w:t>Trial</w:t>
            </w:r>
          </w:p>
        </w:tc>
        <w:tc>
          <w:tcPr>
            <w:tcW w:w="573" w:type="pct"/>
            <w:shd w:val="clear" w:color="auto" w:fill="auto"/>
            <w:vAlign w:val="center"/>
          </w:tcPr>
          <w:p w14:paraId="51122FE5" w14:textId="77777777" w:rsidR="00E13F40" w:rsidRPr="00B41614" w:rsidRDefault="00E13F40" w:rsidP="00EC5836">
            <w:pPr>
              <w:pStyle w:val="In-tableHeading"/>
              <w:jc w:val="center"/>
            </w:pPr>
            <w:r w:rsidRPr="00B41614">
              <w:t>N</w:t>
            </w:r>
          </w:p>
        </w:tc>
        <w:tc>
          <w:tcPr>
            <w:tcW w:w="963" w:type="pct"/>
            <w:shd w:val="clear" w:color="auto" w:fill="auto"/>
            <w:vAlign w:val="center"/>
          </w:tcPr>
          <w:p w14:paraId="41C438EF" w14:textId="77777777" w:rsidR="00E13F40" w:rsidRPr="00B41614" w:rsidRDefault="00E13F40" w:rsidP="00EC5836">
            <w:pPr>
              <w:pStyle w:val="In-tableHeading"/>
              <w:jc w:val="center"/>
            </w:pPr>
            <w:r w:rsidRPr="00B41614">
              <w:t>Design/ duration</w:t>
            </w:r>
          </w:p>
        </w:tc>
        <w:tc>
          <w:tcPr>
            <w:tcW w:w="765" w:type="pct"/>
            <w:shd w:val="clear" w:color="auto" w:fill="auto"/>
            <w:vAlign w:val="center"/>
          </w:tcPr>
          <w:p w14:paraId="1FC91360" w14:textId="77777777" w:rsidR="00E13F40" w:rsidRPr="00B41614" w:rsidRDefault="00E13F40" w:rsidP="00EC5836">
            <w:pPr>
              <w:pStyle w:val="In-tableHeading"/>
              <w:jc w:val="center"/>
            </w:pPr>
            <w:r w:rsidRPr="00B41614">
              <w:t>Risk of bias</w:t>
            </w:r>
          </w:p>
        </w:tc>
        <w:tc>
          <w:tcPr>
            <w:tcW w:w="1055" w:type="pct"/>
            <w:shd w:val="clear" w:color="auto" w:fill="auto"/>
            <w:vAlign w:val="center"/>
          </w:tcPr>
          <w:p w14:paraId="7FF90896" w14:textId="77777777" w:rsidR="00E13F40" w:rsidRPr="00B41614" w:rsidRDefault="00E13F40" w:rsidP="00EC5836">
            <w:pPr>
              <w:pStyle w:val="In-tableHeading"/>
              <w:jc w:val="center"/>
            </w:pPr>
            <w:r w:rsidRPr="00B41614">
              <w:t>Patient population</w:t>
            </w:r>
          </w:p>
        </w:tc>
        <w:tc>
          <w:tcPr>
            <w:tcW w:w="766" w:type="pct"/>
            <w:shd w:val="clear" w:color="auto" w:fill="auto"/>
            <w:vAlign w:val="center"/>
          </w:tcPr>
          <w:p w14:paraId="0FCB63F9" w14:textId="77777777" w:rsidR="00E13F40" w:rsidRPr="00B41614" w:rsidRDefault="00E13F40" w:rsidP="00EC5836">
            <w:pPr>
              <w:pStyle w:val="In-tableHeading"/>
              <w:jc w:val="center"/>
            </w:pPr>
            <w:r w:rsidRPr="00B41614">
              <w:t>Outcome(s)</w:t>
            </w:r>
          </w:p>
        </w:tc>
      </w:tr>
      <w:tr w:rsidR="00E13F40" w:rsidRPr="00E2771E" w14:paraId="4EE88DCB" w14:textId="77777777" w:rsidTr="00CB29FC">
        <w:trPr>
          <w:cantSplit/>
        </w:trPr>
        <w:tc>
          <w:tcPr>
            <w:tcW w:w="878" w:type="pct"/>
            <w:shd w:val="clear" w:color="auto" w:fill="auto"/>
            <w:vAlign w:val="center"/>
          </w:tcPr>
          <w:p w14:paraId="6EE77D33" w14:textId="17D7EA13" w:rsidR="00E13F40" w:rsidRPr="00E2771E" w:rsidRDefault="00E13F40" w:rsidP="00EC5836">
            <w:pPr>
              <w:pStyle w:val="TableText0"/>
              <w:rPr>
                <w:lang w:val="en-US"/>
              </w:rPr>
            </w:pPr>
            <w:r>
              <w:rPr>
                <w:lang w:val="en-US"/>
              </w:rPr>
              <w:t>AWARD 11</w:t>
            </w:r>
          </w:p>
        </w:tc>
        <w:tc>
          <w:tcPr>
            <w:tcW w:w="573" w:type="pct"/>
            <w:shd w:val="clear" w:color="auto" w:fill="auto"/>
            <w:vAlign w:val="center"/>
          </w:tcPr>
          <w:p w14:paraId="41BB0E41" w14:textId="5C63271A" w:rsidR="00E13F40" w:rsidRPr="00E2771E" w:rsidRDefault="00E13F40" w:rsidP="00EC5836">
            <w:pPr>
              <w:pStyle w:val="TableText0"/>
              <w:jc w:val="center"/>
              <w:rPr>
                <w:lang w:val="en-US"/>
              </w:rPr>
            </w:pPr>
            <w:r>
              <w:rPr>
                <w:lang w:val="en-US"/>
              </w:rPr>
              <w:t>1842</w:t>
            </w:r>
          </w:p>
        </w:tc>
        <w:tc>
          <w:tcPr>
            <w:tcW w:w="963" w:type="pct"/>
            <w:shd w:val="clear" w:color="auto" w:fill="auto"/>
            <w:vAlign w:val="center"/>
          </w:tcPr>
          <w:p w14:paraId="401EAFDA" w14:textId="77777777" w:rsidR="00E13F40" w:rsidRPr="00E2771E" w:rsidRDefault="00E13F40" w:rsidP="00EC5836">
            <w:pPr>
              <w:pStyle w:val="TableText0"/>
              <w:jc w:val="center"/>
              <w:rPr>
                <w:lang w:val="en-US"/>
              </w:rPr>
            </w:pPr>
            <w:r w:rsidRPr="00E2771E">
              <w:rPr>
                <w:lang w:val="en-US"/>
              </w:rPr>
              <w:t>R, DB</w:t>
            </w:r>
          </w:p>
          <w:p w14:paraId="744D08AC" w14:textId="21033D5D" w:rsidR="00E13F40" w:rsidRPr="00E2771E" w:rsidRDefault="00E13F40" w:rsidP="00EC5836">
            <w:pPr>
              <w:pStyle w:val="TableText0"/>
              <w:jc w:val="center"/>
              <w:rPr>
                <w:lang w:val="en-US"/>
              </w:rPr>
            </w:pPr>
            <w:r>
              <w:rPr>
                <w:lang w:val="en-US"/>
              </w:rPr>
              <w:t>52 weeks</w:t>
            </w:r>
          </w:p>
        </w:tc>
        <w:tc>
          <w:tcPr>
            <w:tcW w:w="765" w:type="pct"/>
            <w:shd w:val="clear" w:color="auto" w:fill="auto"/>
            <w:vAlign w:val="center"/>
          </w:tcPr>
          <w:p w14:paraId="4A529D74" w14:textId="77777777" w:rsidR="00E13F40" w:rsidRPr="00606615" w:rsidRDefault="00E13F40" w:rsidP="00EC5836">
            <w:pPr>
              <w:pStyle w:val="TableText0"/>
              <w:jc w:val="center"/>
              <w:rPr>
                <w:iCs/>
                <w:lang w:val="en-US"/>
              </w:rPr>
            </w:pPr>
            <w:r w:rsidRPr="00606615">
              <w:rPr>
                <w:iCs/>
                <w:lang w:val="en-US"/>
              </w:rPr>
              <w:t>Low</w:t>
            </w:r>
          </w:p>
        </w:tc>
        <w:tc>
          <w:tcPr>
            <w:tcW w:w="1055" w:type="pct"/>
            <w:shd w:val="clear" w:color="auto" w:fill="auto"/>
            <w:vAlign w:val="center"/>
          </w:tcPr>
          <w:p w14:paraId="72A42746" w14:textId="77777777" w:rsidR="00E13F40" w:rsidRPr="00E13F40" w:rsidRDefault="00E13F40" w:rsidP="00E13F40">
            <w:pPr>
              <w:pStyle w:val="TableText0"/>
            </w:pPr>
            <w:r w:rsidRPr="00E13F40">
              <w:t xml:space="preserve">Age ≥ 18 years </w:t>
            </w:r>
          </w:p>
          <w:p w14:paraId="1E83ADF4" w14:textId="77777777" w:rsidR="00E13F40" w:rsidRPr="00E13F40" w:rsidRDefault="00E13F40" w:rsidP="00E13F40">
            <w:pPr>
              <w:pStyle w:val="TableText0"/>
            </w:pPr>
            <w:r w:rsidRPr="00E13F40">
              <w:t>T2DM diagnosis ≥ 6 months</w:t>
            </w:r>
          </w:p>
          <w:p w14:paraId="5E6F456D" w14:textId="1455D435" w:rsidR="00E13F40" w:rsidRPr="00E2771E" w:rsidRDefault="00E13F40" w:rsidP="00EC5836">
            <w:pPr>
              <w:pStyle w:val="TableText0"/>
              <w:jc w:val="center"/>
              <w:rPr>
                <w:lang w:val="en-US"/>
              </w:rPr>
            </w:pPr>
          </w:p>
        </w:tc>
        <w:tc>
          <w:tcPr>
            <w:tcW w:w="766" w:type="pct"/>
            <w:shd w:val="clear" w:color="auto" w:fill="auto"/>
            <w:vAlign w:val="center"/>
          </w:tcPr>
          <w:p w14:paraId="6DC76214" w14:textId="32C741F4" w:rsidR="00E13F40" w:rsidRPr="00E2771E" w:rsidRDefault="00E13F40" w:rsidP="00E13F40">
            <w:pPr>
              <w:pStyle w:val="TableText0"/>
              <w:rPr>
                <w:lang w:val="en-US"/>
              </w:rPr>
            </w:pPr>
            <w:r>
              <w:rPr>
                <w:lang w:val="en-US"/>
              </w:rPr>
              <w:t>Change in HbA1c</w:t>
            </w:r>
            <w:r w:rsidR="003779A4">
              <w:rPr>
                <w:lang w:val="en-US"/>
              </w:rPr>
              <w:t xml:space="preserve"> </w:t>
            </w:r>
            <w:r>
              <w:rPr>
                <w:lang w:val="en-US"/>
              </w:rPr>
              <w:t>at 36 weeks</w:t>
            </w:r>
          </w:p>
        </w:tc>
      </w:tr>
      <w:tr w:rsidR="00E13F40" w:rsidRPr="00E2771E" w14:paraId="13A6895C" w14:textId="77777777" w:rsidTr="00CB29FC">
        <w:trPr>
          <w:cantSplit/>
        </w:trPr>
        <w:tc>
          <w:tcPr>
            <w:tcW w:w="878" w:type="pct"/>
            <w:shd w:val="clear" w:color="auto" w:fill="auto"/>
            <w:vAlign w:val="center"/>
          </w:tcPr>
          <w:p w14:paraId="4A9488B3" w14:textId="7A67464C" w:rsidR="00E13F40" w:rsidRPr="00E2771E" w:rsidRDefault="003779A4" w:rsidP="00EC5836">
            <w:pPr>
              <w:pStyle w:val="TableText0"/>
              <w:rPr>
                <w:lang w:val="en-US"/>
              </w:rPr>
            </w:pPr>
            <w:r>
              <w:rPr>
                <w:lang w:val="en-US"/>
              </w:rPr>
              <w:t>SUSTAIN 7</w:t>
            </w:r>
          </w:p>
        </w:tc>
        <w:tc>
          <w:tcPr>
            <w:tcW w:w="573" w:type="pct"/>
            <w:shd w:val="clear" w:color="auto" w:fill="auto"/>
            <w:vAlign w:val="center"/>
          </w:tcPr>
          <w:p w14:paraId="3F4D20B5" w14:textId="2027765B" w:rsidR="00E13F40" w:rsidRPr="00E2771E" w:rsidRDefault="003779A4" w:rsidP="00EC5836">
            <w:pPr>
              <w:pStyle w:val="TableText0"/>
              <w:jc w:val="center"/>
              <w:rPr>
                <w:lang w:val="en-US"/>
              </w:rPr>
            </w:pPr>
            <w:r>
              <w:rPr>
                <w:lang w:val="en-US"/>
              </w:rPr>
              <w:t>1201</w:t>
            </w:r>
          </w:p>
        </w:tc>
        <w:tc>
          <w:tcPr>
            <w:tcW w:w="963" w:type="pct"/>
            <w:shd w:val="clear" w:color="auto" w:fill="auto"/>
            <w:vAlign w:val="center"/>
          </w:tcPr>
          <w:p w14:paraId="68D92FE7" w14:textId="375FC825" w:rsidR="00E13F40" w:rsidRPr="00E2771E" w:rsidRDefault="00E13F40" w:rsidP="003779A4">
            <w:pPr>
              <w:pStyle w:val="TableText0"/>
              <w:jc w:val="center"/>
              <w:rPr>
                <w:lang w:val="en-US"/>
              </w:rPr>
            </w:pPr>
            <w:r w:rsidRPr="00E2771E">
              <w:rPr>
                <w:lang w:val="en-US"/>
              </w:rPr>
              <w:t>R,</w:t>
            </w:r>
            <w:r w:rsidR="003779A4">
              <w:rPr>
                <w:lang w:val="en-US"/>
              </w:rPr>
              <w:t>OL, 40 we</w:t>
            </w:r>
            <w:r w:rsidR="005A641A">
              <w:rPr>
                <w:lang w:val="en-US"/>
              </w:rPr>
              <w:t>e</w:t>
            </w:r>
            <w:r w:rsidR="003779A4">
              <w:rPr>
                <w:lang w:val="en-US"/>
              </w:rPr>
              <w:t>ks</w:t>
            </w:r>
          </w:p>
        </w:tc>
        <w:tc>
          <w:tcPr>
            <w:tcW w:w="765" w:type="pct"/>
            <w:shd w:val="clear" w:color="auto" w:fill="auto"/>
            <w:vAlign w:val="center"/>
          </w:tcPr>
          <w:p w14:paraId="6F0F93F8" w14:textId="77777777" w:rsidR="00E13F40" w:rsidRPr="00606615" w:rsidRDefault="00E13F40" w:rsidP="00EC5836">
            <w:pPr>
              <w:pStyle w:val="TableText0"/>
              <w:jc w:val="center"/>
              <w:rPr>
                <w:iCs/>
                <w:lang w:val="en-US"/>
              </w:rPr>
            </w:pPr>
            <w:r w:rsidRPr="00606615">
              <w:rPr>
                <w:iCs/>
                <w:lang w:val="en-US"/>
              </w:rPr>
              <w:t>High</w:t>
            </w:r>
          </w:p>
        </w:tc>
        <w:tc>
          <w:tcPr>
            <w:tcW w:w="1055" w:type="pct"/>
            <w:shd w:val="clear" w:color="auto" w:fill="auto"/>
            <w:vAlign w:val="center"/>
          </w:tcPr>
          <w:p w14:paraId="51D38849" w14:textId="77777777" w:rsidR="003779A4" w:rsidRPr="00E13F40" w:rsidRDefault="003779A4" w:rsidP="003779A4">
            <w:pPr>
              <w:pStyle w:val="TableText0"/>
            </w:pPr>
            <w:r w:rsidRPr="00E13F40">
              <w:t xml:space="preserve">Age ≥ 18 years </w:t>
            </w:r>
          </w:p>
          <w:p w14:paraId="3B203069" w14:textId="77777777" w:rsidR="003779A4" w:rsidRPr="00E13F40" w:rsidRDefault="003779A4" w:rsidP="003779A4">
            <w:pPr>
              <w:pStyle w:val="TableText0"/>
            </w:pPr>
            <w:r w:rsidRPr="00E13F40">
              <w:t>T2DM diagnosis ≥ 6 months</w:t>
            </w:r>
          </w:p>
          <w:p w14:paraId="43AC963E" w14:textId="64013367" w:rsidR="00E13F40" w:rsidRPr="00E2771E" w:rsidRDefault="00E13F40" w:rsidP="00EC5836">
            <w:pPr>
              <w:pStyle w:val="TableText0"/>
              <w:jc w:val="center"/>
              <w:rPr>
                <w:lang w:val="en-US"/>
              </w:rPr>
            </w:pPr>
          </w:p>
        </w:tc>
        <w:tc>
          <w:tcPr>
            <w:tcW w:w="766" w:type="pct"/>
            <w:shd w:val="clear" w:color="auto" w:fill="auto"/>
            <w:vAlign w:val="center"/>
          </w:tcPr>
          <w:p w14:paraId="4F0C99D2" w14:textId="5CC313ED" w:rsidR="00E13F40" w:rsidRPr="00E2771E" w:rsidRDefault="003779A4" w:rsidP="00A161B3">
            <w:pPr>
              <w:pStyle w:val="TableText0"/>
              <w:rPr>
                <w:lang w:val="en-US"/>
              </w:rPr>
            </w:pPr>
            <w:r>
              <w:rPr>
                <w:lang w:val="en-US"/>
              </w:rPr>
              <w:t>Change in HbA1c at 40 weeks</w:t>
            </w:r>
          </w:p>
        </w:tc>
      </w:tr>
    </w:tbl>
    <w:p w14:paraId="560080D2" w14:textId="3C88E1FA" w:rsidR="00045017" w:rsidRDefault="00045017" w:rsidP="00EC5836">
      <w:pPr>
        <w:pStyle w:val="TableFigureFooter"/>
      </w:pPr>
      <w:r>
        <w:t>Source: Table</w:t>
      </w:r>
      <w:r w:rsidR="003779A4">
        <w:t xml:space="preserve"> 2.3.1, p 40 and Table 2.3.1, p11, Appendix 1 of the submissio</w:t>
      </w:r>
      <w:r w:rsidR="00CB29FC">
        <w:t>n</w:t>
      </w:r>
      <w:r w:rsidR="003779A4">
        <w:t>.</w:t>
      </w:r>
    </w:p>
    <w:p w14:paraId="1095487C" w14:textId="0E78479B" w:rsidR="00620C25" w:rsidRPr="00B1011F" w:rsidRDefault="005A641A" w:rsidP="00EC5836">
      <w:pPr>
        <w:pStyle w:val="TableFigureFooter"/>
        <w:rPr>
          <w:sz w:val="20"/>
        </w:rPr>
      </w:pPr>
      <w:r>
        <w:t xml:space="preserve">Abbreviations: </w:t>
      </w:r>
      <w:r w:rsidR="00620C25" w:rsidRPr="0072416F">
        <w:t>DB</w:t>
      </w:r>
      <w:r w:rsidR="00620C25">
        <w:t xml:space="preserve"> </w:t>
      </w:r>
      <w:r w:rsidR="00620C25" w:rsidRPr="0072416F">
        <w:t>=</w:t>
      </w:r>
      <w:r w:rsidR="00620C25">
        <w:t xml:space="preserve"> </w:t>
      </w:r>
      <w:r w:rsidR="00620C25" w:rsidRPr="0072416F">
        <w:t>double blind; OL</w:t>
      </w:r>
      <w:r w:rsidR="00620C25">
        <w:t xml:space="preserve"> </w:t>
      </w:r>
      <w:r w:rsidR="00620C25" w:rsidRPr="0072416F">
        <w:t>=</w:t>
      </w:r>
      <w:r w:rsidR="00620C25">
        <w:t xml:space="preserve"> </w:t>
      </w:r>
      <w:r w:rsidR="00620C25" w:rsidRPr="0072416F">
        <w:t>open label; R</w:t>
      </w:r>
      <w:r w:rsidR="00620C25">
        <w:t xml:space="preserve"> </w:t>
      </w:r>
      <w:r w:rsidR="00620C25" w:rsidRPr="0072416F">
        <w:t>=</w:t>
      </w:r>
      <w:r w:rsidR="00620C25">
        <w:t xml:space="preserve"> </w:t>
      </w:r>
      <w:r w:rsidR="00620C25" w:rsidRPr="0072416F">
        <w:t>randomised</w:t>
      </w:r>
      <w:r w:rsidR="003779A4">
        <w:t>,</w:t>
      </w:r>
      <w:r w:rsidR="00C20672">
        <w:t xml:space="preserve"> </w:t>
      </w:r>
      <w:r w:rsidR="003779A4">
        <w:t>T2DM=Type 2 diabetes mellitus</w:t>
      </w:r>
      <w:r w:rsidR="00620C25" w:rsidRPr="0072416F">
        <w:t>.</w:t>
      </w:r>
    </w:p>
    <w:p w14:paraId="28593FB8" w14:textId="537583CA" w:rsidR="002C2775" w:rsidRPr="00521689" w:rsidRDefault="00B60939" w:rsidP="00521689">
      <w:pPr>
        <w:pStyle w:val="4-SubsectionHeading"/>
      </w:pPr>
      <w:bookmarkStart w:id="22" w:name="_Toc22897641"/>
      <w:bookmarkStart w:id="23" w:name="_Toc93496342"/>
      <w:r w:rsidRPr="00C9624D">
        <w:t>Comparative effectiveness</w:t>
      </w:r>
      <w:bookmarkEnd w:id="22"/>
      <w:bookmarkEnd w:id="23"/>
    </w:p>
    <w:p w14:paraId="718C5CE7" w14:textId="5A3E57AD" w:rsidR="00932F45" w:rsidRPr="004A13A7" w:rsidRDefault="0034750F" w:rsidP="00252A0F">
      <w:pPr>
        <w:pStyle w:val="3-BodyText"/>
      </w:pPr>
      <w:bookmarkStart w:id="24" w:name="_Hlk100486893"/>
      <w:r w:rsidRPr="004A13A7">
        <w:rPr>
          <w:snapToGrid/>
          <w:lang w:val="en-US"/>
        </w:rPr>
        <w:t xml:space="preserve">The results for the AWARD 11 trial </w:t>
      </w:r>
      <w:r w:rsidR="00932F45" w:rsidRPr="004A13A7">
        <w:rPr>
          <w:snapToGrid/>
          <w:lang w:val="en-US"/>
        </w:rPr>
        <w:t>are presented in the Table below.</w:t>
      </w:r>
      <w:r w:rsidR="004A13A7">
        <w:rPr>
          <w:snapToGrid/>
          <w:lang w:val="en-US"/>
        </w:rPr>
        <w:t xml:space="preserve"> </w:t>
      </w:r>
      <w:r w:rsidR="00932F45" w:rsidRPr="004A13A7">
        <w:rPr>
          <w:snapToGrid/>
        </w:rPr>
        <w:t>Treatment with both dulaglutide 3.0 mg and 4.</w:t>
      </w:r>
      <w:r w:rsidR="004A7527" w:rsidRPr="004A13A7">
        <w:rPr>
          <w:snapToGrid/>
        </w:rPr>
        <w:t>5</w:t>
      </w:r>
      <w:r w:rsidR="004A7527">
        <w:rPr>
          <w:snapToGrid/>
        </w:rPr>
        <w:t> </w:t>
      </w:r>
      <w:r w:rsidR="00932F45" w:rsidRPr="004A13A7">
        <w:rPr>
          <w:snapToGrid/>
        </w:rPr>
        <w:t>mg resulted in greater HbA1c reductions from baseline to Week 36</w:t>
      </w:r>
      <w:r w:rsidR="00EA590F" w:rsidRPr="004A13A7">
        <w:rPr>
          <w:snapToGrid/>
        </w:rPr>
        <w:t xml:space="preserve"> compared with dulaglutide 1.</w:t>
      </w:r>
      <w:r w:rsidR="004A7527" w:rsidRPr="004A13A7">
        <w:rPr>
          <w:snapToGrid/>
        </w:rPr>
        <w:t>5</w:t>
      </w:r>
      <w:r w:rsidR="004A7527">
        <w:rPr>
          <w:snapToGrid/>
        </w:rPr>
        <w:t> </w:t>
      </w:r>
      <w:r w:rsidR="00EA590F" w:rsidRPr="004A13A7">
        <w:rPr>
          <w:snapToGrid/>
        </w:rPr>
        <w:t>mg</w:t>
      </w:r>
      <w:r w:rsidR="00932F45" w:rsidRPr="004A13A7">
        <w:rPr>
          <w:snapToGrid/>
        </w:rPr>
        <w:t>. Significantly greater proportions of patients on dulaglutide 3.</w:t>
      </w:r>
      <w:r w:rsidR="004A7527" w:rsidRPr="004A13A7">
        <w:rPr>
          <w:snapToGrid/>
        </w:rPr>
        <w:t>0</w:t>
      </w:r>
      <w:r w:rsidR="004A7527">
        <w:rPr>
          <w:snapToGrid/>
        </w:rPr>
        <w:t> </w:t>
      </w:r>
      <w:r w:rsidR="00932F45" w:rsidRPr="004A13A7">
        <w:rPr>
          <w:snapToGrid/>
        </w:rPr>
        <w:t>mg and 4.</w:t>
      </w:r>
      <w:r w:rsidR="004A7527" w:rsidRPr="004A13A7">
        <w:rPr>
          <w:snapToGrid/>
        </w:rPr>
        <w:t>5</w:t>
      </w:r>
      <w:r w:rsidR="004A7527">
        <w:rPr>
          <w:snapToGrid/>
        </w:rPr>
        <w:t> </w:t>
      </w:r>
      <w:r w:rsidR="00932F45" w:rsidRPr="004A13A7">
        <w:rPr>
          <w:snapToGrid/>
        </w:rPr>
        <w:t>mg achiev</w:t>
      </w:r>
      <w:r w:rsidR="005A641A" w:rsidRPr="004A13A7">
        <w:rPr>
          <w:snapToGrid/>
        </w:rPr>
        <w:t>ed</w:t>
      </w:r>
      <w:r w:rsidR="00932F45" w:rsidRPr="004A13A7">
        <w:rPr>
          <w:snapToGrid/>
        </w:rPr>
        <w:t xml:space="preserve"> the HbA1c target of &lt; 7.0% and the more stringent target of ≤ 6.5% compared with those on dulaglutide 1.</w:t>
      </w:r>
      <w:r w:rsidR="004A7527" w:rsidRPr="004A13A7">
        <w:rPr>
          <w:snapToGrid/>
        </w:rPr>
        <w:t>5</w:t>
      </w:r>
      <w:r w:rsidR="004A7527">
        <w:rPr>
          <w:snapToGrid/>
        </w:rPr>
        <w:t> </w:t>
      </w:r>
      <w:r w:rsidR="00932F45" w:rsidRPr="004A13A7">
        <w:rPr>
          <w:snapToGrid/>
        </w:rPr>
        <w:t>mg, and significantly greater proportions of patients on dulaglutide 3.0</w:t>
      </w:r>
      <w:r w:rsidR="00F34B0B" w:rsidRPr="004A13A7">
        <w:rPr>
          <w:snapToGrid/>
        </w:rPr>
        <w:t> </w:t>
      </w:r>
      <w:r w:rsidR="00932F45" w:rsidRPr="004A13A7">
        <w:rPr>
          <w:snapToGrid/>
        </w:rPr>
        <w:t>mg and 4.</w:t>
      </w:r>
      <w:r w:rsidR="004A7527" w:rsidRPr="004A13A7">
        <w:rPr>
          <w:snapToGrid/>
        </w:rPr>
        <w:t>5</w:t>
      </w:r>
      <w:r w:rsidR="004A7527">
        <w:rPr>
          <w:snapToGrid/>
        </w:rPr>
        <w:t> </w:t>
      </w:r>
      <w:r w:rsidR="00932F45" w:rsidRPr="004A13A7">
        <w:rPr>
          <w:snapToGrid/>
        </w:rPr>
        <w:t>mg compared with 1.</w:t>
      </w:r>
      <w:r w:rsidR="004A7527" w:rsidRPr="004A13A7">
        <w:rPr>
          <w:snapToGrid/>
        </w:rPr>
        <w:t>5</w:t>
      </w:r>
      <w:r w:rsidR="004A7527">
        <w:rPr>
          <w:snapToGrid/>
        </w:rPr>
        <w:t> </w:t>
      </w:r>
      <w:r w:rsidR="00932F45" w:rsidRPr="004A13A7">
        <w:rPr>
          <w:snapToGrid/>
        </w:rPr>
        <w:t xml:space="preserve">mg achieved both weight loss targets of </w:t>
      </w:r>
      <w:r w:rsidR="004A7527" w:rsidRPr="004A13A7">
        <w:rPr>
          <w:snapToGrid/>
        </w:rPr>
        <w:t>≥</w:t>
      </w:r>
      <w:r w:rsidR="004A7527">
        <w:rPr>
          <w:snapToGrid/>
        </w:rPr>
        <w:t> </w:t>
      </w:r>
      <w:r w:rsidR="00932F45" w:rsidRPr="004A13A7">
        <w:rPr>
          <w:snapToGrid/>
        </w:rPr>
        <w:t xml:space="preserve">5% and </w:t>
      </w:r>
      <w:r w:rsidR="004A7527" w:rsidRPr="004A13A7">
        <w:rPr>
          <w:snapToGrid/>
        </w:rPr>
        <w:t>≥</w:t>
      </w:r>
      <w:r w:rsidR="004A7527">
        <w:rPr>
          <w:snapToGrid/>
        </w:rPr>
        <w:t> </w:t>
      </w:r>
      <w:r w:rsidR="00932F45" w:rsidRPr="004A13A7">
        <w:rPr>
          <w:snapToGrid/>
        </w:rPr>
        <w:t>10% weight loss from baseline.</w:t>
      </w:r>
    </w:p>
    <w:bookmarkEnd w:id="24"/>
    <w:p w14:paraId="4476B6C4" w14:textId="280AA8DD" w:rsidR="002177D8" w:rsidRDefault="00173565" w:rsidP="004359C9">
      <w:pPr>
        <w:pStyle w:val="3-BodyText"/>
        <w:numPr>
          <w:ilvl w:val="0"/>
          <w:numId w:val="0"/>
        </w:numPr>
        <w:spacing w:after="0"/>
      </w:pPr>
      <w:r w:rsidRPr="00932F45">
        <w:rPr>
          <w:rStyle w:val="CommentReference"/>
          <w:szCs w:val="24"/>
        </w:rPr>
        <w:t xml:space="preserve">Table </w:t>
      </w:r>
      <w:r w:rsidR="00252A0F">
        <w:rPr>
          <w:rStyle w:val="CommentReference"/>
          <w:szCs w:val="24"/>
        </w:rPr>
        <w:t>4</w:t>
      </w:r>
      <w:r w:rsidR="005D26B4" w:rsidRPr="00932F45">
        <w:rPr>
          <w:rStyle w:val="CommentReference"/>
          <w:szCs w:val="24"/>
        </w:rPr>
        <w:t xml:space="preserve">: Results </w:t>
      </w:r>
      <w:r w:rsidR="002177D8" w:rsidRPr="00932F45">
        <w:rPr>
          <w:rStyle w:val="CommentReference"/>
          <w:szCs w:val="24"/>
        </w:rPr>
        <w:t>- AWARD 11.</w:t>
      </w:r>
    </w:p>
    <w:tbl>
      <w:tblPr>
        <w:tblStyle w:val="TableGrid"/>
        <w:tblW w:w="5000" w:type="pct"/>
        <w:tblLook w:val="04A0" w:firstRow="1" w:lastRow="0" w:firstColumn="1" w:lastColumn="0" w:noHBand="0" w:noVBand="1"/>
        <w:tblCaption w:val="Table 4: Results - AWARD 11."/>
      </w:tblPr>
      <w:tblGrid>
        <w:gridCol w:w="1398"/>
        <w:gridCol w:w="1387"/>
        <w:gridCol w:w="1385"/>
        <w:gridCol w:w="1481"/>
        <w:gridCol w:w="1683"/>
        <w:gridCol w:w="1683"/>
      </w:tblGrid>
      <w:tr w:rsidR="002177D8" w14:paraId="0708EA65" w14:textId="77777777" w:rsidTr="005A641A">
        <w:tc>
          <w:tcPr>
            <w:tcW w:w="776" w:type="pct"/>
          </w:tcPr>
          <w:p w14:paraId="4184467D" w14:textId="77777777" w:rsidR="002177D8" w:rsidRPr="000E449D" w:rsidRDefault="002177D8" w:rsidP="00252A0F">
            <w:pPr>
              <w:pStyle w:val="In-tableHeading"/>
            </w:pPr>
            <w:r w:rsidRPr="000E449D">
              <w:t>Outcome at week 36</w:t>
            </w:r>
          </w:p>
        </w:tc>
        <w:tc>
          <w:tcPr>
            <w:tcW w:w="769" w:type="pct"/>
          </w:tcPr>
          <w:p w14:paraId="0A910A12" w14:textId="77777777" w:rsidR="002177D8" w:rsidRPr="000E449D" w:rsidRDefault="002177D8" w:rsidP="00252A0F">
            <w:pPr>
              <w:pStyle w:val="In-tableHeading"/>
            </w:pPr>
            <w:r w:rsidRPr="000E449D">
              <w:t>Dulaglutide 1.5mg</w:t>
            </w:r>
          </w:p>
          <w:p w14:paraId="793C1426" w14:textId="77777777" w:rsidR="002177D8" w:rsidRPr="000E449D" w:rsidRDefault="002177D8" w:rsidP="00252A0F">
            <w:pPr>
              <w:pStyle w:val="In-tableHeading"/>
            </w:pPr>
            <w:r w:rsidRPr="000E449D">
              <w:t>n/N (%)</w:t>
            </w:r>
          </w:p>
        </w:tc>
        <w:tc>
          <w:tcPr>
            <w:tcW w:w="768" w:type="pct"/>
          </w:tcPr>
          <w:p w14:paraId="10DDFE2D" w14:textId="77777777" w:rsidR="002177D8" w:rsidRPr="000E449D" w:rsidRDefault="002177D8" w:rsidP="00252A0F">
            <w:pPr>
              <w:pStyle w:val="In-tableHeading"/>
            </w:pPr>
            <w:r w:rsidRPr="000E449D">
              <w:t>Dulaglutide 3mg</w:t>
            </w:r>
          </w:p>
          <w:p w14:paraId="2F6CCE4E" w14:textId="77777777" w:rsidR="002177D8" w:rsidRPr="000E449D" w:rsidRDefault="002177D8" w:rsidP="00252A0F">
            <w:pPr>
              <w:pStyle w:val="In-tableHeading"/>
            </w:pPr>
            <w:r w:rsidRPr="000E449D">
              <w:t>n/N (%)</w:t>
            </w:r>
          </w:p>
        </w:tc>
        <w:tc>
          <w:tcPr>
            <w:tcW w:w="821" w:type="pct"/>
          </w:tcPr>
          <w:p w14:paraId="7C334486" w14:textId="77777777" w:rsidR="002177D8" w:rsidRPr="000E449D" w:rsidRDefault="002177D8" w:rsidP="00252A0F">
            <w:pPr>
              <w:pStyle w:val="In-tableHeading"/>
            </w:pPr>
            <w:r w:rsidRPr="000E449D">
              <w:t>Dulaglutide 4.5mg</w:t>
            </w:r>
          </w:p>
          <w:p w14:paraId="55D8BFBD" w14:textId="77777777" w:rsidR="002177D8" w:rsidRPr="000E449D" w:rsidRDefault="002177D8" w:rsidP="00252A0F">
            <w:pPr>
              <w:pStyle w:val="In-tableHeading"/>
            </w:pPr>
            <w:r w:rsidRPr="000E449D">
              <w:t>n/N (%)</w:t>
            </w:r>
          </w:p>
        </w:tc>
        <w:tc>
          <w:tcPr>
            <w:tcW w:w="933" w:type="pct"/>
          </w:tcPr>
          <w:p w14:paraId="7740A79F" w14:textId="77777777" w:rsidR="002177D8" w:rsidRPr="000E449D" w:rsidRDefault="002177D8" w:rsidP="00252A0F">
            <w:pPr>
              <w:pStyle w:val="In-tableHeading"/>
            </w:pPr>
            <w:r w:rsidRPr="000E449D">
              <w:t>Dulaglutide 3mg vs 1.5mg OR (95% CI)</w:t>
            </w:r>
          </w:p>
        </w:tc>
        <w:tc>
          <w:tcPr>
            <w:tcW w:w="933" w:type="pct"/>
          </w:tcPr>
          <w:p w14:paraId="066B8988" w14:textId="77777777" w:rsidR="002177D8" w:rsidRPr="000E449D" w:rsidRDefault="002177D8" w:rsidP="00252A0F">
            <w:pPr>
              <w:pStyle w:val="In-tableHeading"/>
            </w:pPr>
            <w:r w:rsidRPr="000E449D">
              <w:t>Dulaglutide 4.5mg vs 3mg</w:t>
            </w:r>
          </w:p>
          <w:p w14:paraId="6687E92A" w14:textId="77777777" w:rsidR="002177D8" w:rsidRPr="000E449D" w:rsidRDefault="002177D8" w:rsidP="00252A0F">
            <w:pPr>
              <w:pStyle w:val="In-tableHeading"/>
            </w:pPr>
            <w:r w:rsidRPr="000E449D">
              <w:t>OR (95% CI)</w:t>
            </w:r>
          </w:p>
        </w:tc>
      </w:tr>
      <w:tr w:rsidR="002177D8" w14:paraId="07481BCA" w14:textId="77777777" w:rsidTr="005A641A">
        <w:tc>
          <w:tcPr>
            <w:tcW w:w="776" w:type="pct"/>
          </w:tcPr>
          <w:p w14:paraId="7C14DB03" w14:textId="77777777" w:rsidR="002177D8" w:rsidRPr="000E449D" w:rsidRDefault="002177D8" w:rsidP="00252A0F">
            <w:pPr>
              <w:pStyle w:val="Tabletext"/>
            </w:pPr>
            <w:bookmarkStart w:id="25" w:name="_Hlk100489448"/>
            <w:r w:rsidRPr="000E449D">
              <w:t>HbA1C &lt; 7%</w:t>
            </w:r>
            <w:bookmarkEnd w:id="25"/>
          </w:p>
        </w:tc>
        <w:tc>
          <w:tcPr>
            <w:tcW w:w="769" w:type="pct"/>
          </w:tcPr>
          <w:p w14:paraId="4722F661" w14:textId="77777777" w:rsidR="002177D8" w:rsidRDefault="002177D8" w:rsidP="00252A0F">
            <w:pPr>
              <w:pStyle w:val="Tabletext"/>
            </w:pPr>
            <w:r>
              <w:t>298/523 (57%)</w:t>
            </w:r>
          </w:p>
        </w:tc>
        <w:tc>
          <w:tcPr>
            <w:tcW w:w="768" w:type="pct"/>
          </w:tcPr>
          <w:p w14:paraId="2352BD7C" w14:textId="77777777" w:rsidR="002177D8" w:rsidRDefault="002177D8" w:rsidP="00252A0F">
            <w:pPr>
              <w:pStyle w:val="Tabletext"/>
            </w:pPr>
            <w:r>
              <w:t>337/521 (64.7%)</w:t>
            </w:r>
          </w:p>
        </w:tc>
        <w:tc>
          <w:tcPr>
            <w:tcW w:w="821" w:type="pct"/>
          </w:tcPr>
          <w:p w14:paraId="383BF425" w14:textId="77777777" w:rsidR="002177D8" w:rsidRDefault="002177D8" w:rsidP="00252A0F">
            <w:pPr>
              <w:pStyle w:val="Tabletext"/>
            </w:pPr>
            <w:r>
              <w:t>376/526 (71.5%)</w:t>
            </w:r>
          </w:p>
        </w:tc>
        <w:tc>
          <w:tcPr>
            <w:tcW w:w="933" w:type="pct"/>
          </w:tcPr>
          <w:p w14:paraId="6F120ED3" w14:textId="77777777" w:rsidR="002177D8" w:rsidRPr="00752828" w:rsidRDefault="002177D8" w:rsidP="00252A0F">
            <w:pPr>
              <w:pStyle w:val="Tabletext"/>
              <w:rPr>
                <w:b/>
                <w:bCs/>
              </w:rPr>
            </w:pPr>
            <w:r w:rsidRPr="00752828">
              <w:rPr>
                <w:b/>
                <w:bCs/>
              </w:rPr>
              <w:t>1.49 (1.12, 1.98)</w:t>
            </w:r>
          </w:p>
          <w:p w14:paraId="22CF9743" w14:textId="77777777" w:rsidR="002177D8" w:rsidRPr="00752828" w:rsidRDefault="002177D8" w:rsidP="00252A0F">
            <w:pPr>
              <w:pStyle w:val="Tabletext"/>
              <w:rPr>
                <w:b/>
                <w:bCs/>
              </w:rPr>
            </w:pPr>
            <w:r w:rsidRPr="00752828">
              <w:rPr>
                <w:b/>
                <w:bCs/>
              </w:rPr>
              <w:t>P = 0.06</w:t>
            </w:r>
          </w:p>
        </w:tc>
        <w:tc>
          <w:tcPr>
            <w:tcW w:w="933" w:type="pct"/>
          </w:tcPr>
          <w:p w14:paraId="10EA9A51" w14:textId="77777777" w:rsidR="002177D8" w:rsidRPr="00752828" w:rsidRDefault="002177D8" w:rsidP="00252A0F">
            <w:pPr>
              <w:pStyle w:val="Tabletext"/>
              <w:rPr>
                <w:b/>
                <w:bCs/>
              </w:rPr>
            </w:pPr>
            <w:r w:rsidRPr="00752828">
              <w:rPr>
                <w:b/>
                <w:bCs/>
              </w:rPr>
              <w:t>1.49 (1.10, 2.03)</w:t>
            </w:r>
          </w:p>
          <w:p w14:paraId="132ED904" w14:textId="77777777" w:rsidR="002177D8" w:rsidRPr="00752828" w:rsidRDefault="002177D8" w:rsidP="00252A0F">
            <w:pPr>
              <w:pStyle w:val="Tabletext"/>
              <w:rPr>
                <w:b/>
                <w:bCs/>
              </w:rPr>
            </w:pPr>
            <w:r w:rsidRPr="00752828">
              <w:rPr>
                <w:b/>
                <w:bCs/>
              </w:rPr>
              <w:t>P = 0.011</w:t>
            </w:r>
          </w:p>
        </w:tc>
      </w:tr>
      <w:tr w:rsidR="002177D8" w14:paraId="43E25A5F" w14:textId="77777777" w:rsidTr="005A641A">
        <w:tc>
          <w:tcPr>
            <w:tcW w:w="776" w:type="pct"/>
          </w:tcPr>
          <w:p w14:paraId="745EC3BC" w14:textId="77777777" w:rsidR="002177D8" w:rsidRPr="000E449D" w:rsidRDefault="002177D8" w:rsidP="00252A0F">
            <w:pPr>
              <w:pStyle w:val="Tabletext"/>
            </w:pPr>
            <w:r w:rsidRPr="000E449D">
              <w:t xml:space="preserve">HbA1C </w:t>
            </w:r>
            <w:r w:rsidRPr="000E449D">
              <w:sym w:font="Symbol" w:char="F0A3"/>
            </w:r>
            <w:r w:rsidRPr="000E449D">
              <w:t xml:space="preserve"> 6.5%</w:t>
            </w:r>
          </w:p>
        </w:tc>
        <w:tc>
          <w:tcPr>
            <w:tcW w:w="769" w:type="pct"/>
          </w:tcPr>
          <w:p w14:paraId="7287FBB4" w14:textId="77777777" w:rsidR="002177D8" w:rsidRDefault="002177D8" w:rsidP="00252A0F">
            <w:pPr>
              <w:pStyle w:val="Tabletext"/>
            </w:pPr>
            <w:r>
              <w:t>199/523 (38.0%)</w:t>
            </w:r>
          </w:p>
        </w:tc>
        <w:tc>
          <w:tcPr>
            <w:tcW w:w="768" w:type="pct"/>
          </w:tcPr>
          <w:p w14:paraId="65D024B2" w14:textId="77777777" w:rsidR="002177D8" w:rsidRDefault="002177D8" w:rsidP="00252A0F">
            <w:pPr>
              <w:pStyle w:val="Tabletext"/>
            </w:pPr>
            <w:r>
              <w:t>252/521 (48.4%)</w:t>
            </w:r>
          </w:p>
        </w:tc>
        <w:tc>
          <w:tcPr>
            <w:tcW w:w="821" w:type="pct"/>
          </w:tcPr>
          <w:p w14:paraId="7D1CA7B0" w14:textId="77777777" w:rsidR="002177D8" w:rsidRDefault="002177D8" w:rsidP="00252A0F">
            <w:pPr>
              <w:pStyle w:val="Tabletext"/>
            </w:pPr>
            <w:r>
              <w:t>272/526 (51.7%)</w:t>
            </w:r>
          </w:p>
        </w:tc>
        <w:tc>
          <w:tcPr>
            <w:tcW w:w="933" w:type="pct"/>
          </w:tcPr>
          <w:p w14:paraId="4F5A01C6" w14:textId="77777777" w:rsidR="002177D8" w:rsidRPr="00752828" w:rsidRDefault="002177D8" w:rsidP="00252A0F">
            <w:pPr>
              <w:pStyle w:val="Tabletext"/>
              <w:rPr>
                <w:b/>
                <w:bCs/>
              </w:rPr>
            </w:pPr>
            <w:r w:rsidRPr="00752828">
              <w:rPr>
                <w:b/>
                <w:bCs/>
              </w:rPr>
              <w:t>1.62 (1.24, 2.13)</w:t>
            </w:r>
          </w:p>
          <w:p w14:paraId="4B02E611" w14:textId="77777777" w:rsidR="002177D8" w:rsidRPr="00752828" w:rsidRDefault="002177D8" w:rsidP="00252A0F">
            <w:pPr>
              <w:pStyle w:val="Tabletext"/>
              <w:rPr>
                <w:b/>
                <w:bCs/>
              </w:rPr>
            </w:pPr>
            <w:r w:rsidRPr="00752828">
              <w:rPr>
                <w:b/>
                <w:bCs/>
              </w:rPr>
              <w:t>P&lt;0.001</w:t>
            </w:r>
          </w:p>
        </w:tc>
        <w:tc>
          <w:tcPr>
            <w:tcW w:w="933" w:type="pct"/>
          </w:tcPr>
          <w:p w14:paraId="4940EB8C" w14:textId="77777777" w:rsidR="002177D8" w:rsidRPr="00752828" w:rsidRDefault="002177D8" w:rsidP="00252A0F">
            <w:pPr>
              <w:pStyle w:val="Tabletext"/>
              <w:rPr>
                <w:b/>
                <w:bCs/>
              </w:rPr>
            </w:pPr>
            <w:r w:rsidRPr="00752828">
              <w:rPr>
                <w:b/>
                <w:bCs/>
              </w:rPr>
              <w:t>1.20 (0.91, 1.58)</w:t>
            </w:r>
          </w:p>
          <w:p w14:paraId="5A993DBD" w14:textId="77777777" w:rsidR="002177D8" w:rsidRPr="00752828" w:rsidRDefault="002177D8" w:rsidP="00252A0F">
            <w:pPr>
              <w:pStyle w:val="Tabletext"/>
              <w:rPr>
                <w:b/>
                <w:bCs/>
              </w:rPr>
            </w:pPr>
            <w:r w:rsidRPr="00752828">
              <w:rPr>
                <w:b/>
                <w:bCs/>
              </w:rPr>
              <w:t>P=0.194</w:t>
            </w:r>
          </w:p>
        </w:tc>
      </w:tr>
      <w:tr w:rsidR="002177D8" w14:paraId="7A41D2DB" w14:textId="77777777" w:rsidTr="005A641A">
        <w:tc>
          <w:tcPr>
            <w:tcW w:w="776" w:type="pct"/>
          </w:tcPr>
          <w:p w14:paraId="5DB1B8C4" w14:textId="77777777" w:rsidR="002177D8" w:rsidRPr="000E449D" w:rsidRDefault="002177D8" w:rsidP="00252A0F">
            <w:pPr>
              <w:pStyle w:val="Tabletext"/>
            </w:pPr>
            <w:r w:rsidRPr="000E449D">
              <w:t xml:space="preserve">Body Weight Loss </w:t>
            </w:r>
            <w:r w:rsidRPr="000E449D">
              <w:sym w:font="Symbol" w:char="F0B3"/>
            </w:r>
            <w:r w:rsidRPr="000E449D">
              <w:t xml:space="preserve"> 5%</w:t>
            </w:r>
          </w:p>
        </w:tc>
        <w:tc>
          <w:tcPr>
            <w:tcW w:w="769" w:type="pct"/>
          </w:tcPr>
          <w:p w14:paraId="060A1145" w14:textId="77777777" w:rsidR="002177D8" w:rsidRDefault="002177D8" w:rsidP="00252A0F">
            <w:pPr>
              <w:pStyle w:val="Tabletext"/>
            </w:pPr>
            <w:r>
              <w:t>162/522 (31.0%)</w:t>
            </w:r>
          </w:p>
        </w:tc>
        <w:tc>
          <w:tcPr>
            <w:tcW w:w="768" w:type="pct"/>
          </w:tcPr>
          <w:p w14:paraId="4B454448" w14:textId="77777777" w:rsidR="002177D8" w:rsidRDefault="002177D8" w:rsidP="00252A0F">
            <w:pPr>
              <w:pStyle w:val="Tabletext"/>
            </w:pPr>
            <w:r>
              <w:t>209/520 (40.2%)</w:t>
            </w:r>
          </w:p>
        </w:tc>
        <w:tc>
          <w:tcPr>
            <w:tcW w:w="821" w:type="pct"/>
          </w:tcPr>
          <w:p w14:paraId="3B594B2F" w14:textId="77777777" w:rsidR="002177D8" w:rsidRDefault="002177D8" w:rsidP="00252A0F">
            <w:pPr>
              <w:pStyle w:val="Tabletext"/>
            </w:pPr>
            <w:r>
              <w:t>260/526 (49.4%)</w:t>
            </w:r>
          </w:p>
        </w:tc>
        <w:tc>
          <w:tcPr>
            <w:tcW w:w="933" w:type="pct"/>
          </w:tcPr>
          <w:p w14:paraId="6BA6196C" w14:textId="77777777" w:rsidR="002177D8" w:rsidRPr="00752828" w:rsidRDefault="002177D8" w:rsidP="00252A0F">
            <w:pPr>
              <w:pStyle w:val="Tabletext"/>
              <w:rPr>
                <w:b/>
                <w:bCs/>
              </w:rPr>
            </w:pPr>
            <w:r w:rsidRPr="00752828">
              <w:rPr>
                <w:b/>
                <w:bCs/>
              </w:rPr>
              <w:t>1.49 (1.16, 1.93)</w:t>
            </w:r>
          </w:p>
          <w:p w14:paraId="5E2A2BC9" w14:textId="77777777" w:rsidR="002177D8" w:rsidRPr="00752828" w:rsidRDefault="002177D8" w:rsidP="00252A0F">
            <w:pPr>
              <w:pStyle w:val="Tabletext"/>
              <w:rPr>
                <w:b/>
                <w:bCs/>
              </w:rPr>
            </w:pPr>
            <w:r w:rsidRPr="00752828">
              <w:rPr>
                <w:b/>
                <w:bCs/>
              </w:rPr>
              <w:t>P = 0.002</w:t>
            </w:r>
          </w:p>
        </w:tc>
        <w:tc>
          <w:tcPr>
            <w:tcW w:w="933" w:type="pct"/>
          </w:tcPr>
          <w:p w14:paraId="12DE990F" w14:textId="77777777" w:rsidR="002177D8" w:rsidRPr="00752828" w:rsidRDefault="002177D8" w:rsidP="00252A0F">
            <w:pPr>
              <w:pStyle w:val="Tabletext"/>
              <w:rPr>
                <w:b/>
                <w:bCs/>
              </w:rPr>
            </w:pPr>
            <w:r w:rsidRPr="00752828">
              <w:rPr>
                <w:b/>
                <w:bCs/>
              </w:rPr>
              <w:t>1.46 (1.14, 1.86)</w:t>
            </w:r>
          </w:p>
          <w:p w14:paraId="00A2A287" w14:textId="77777777" w:rsidR="002177D8" w:rsidRPr="00752828" w:rsidRDefault="002177D8" w:rsidP="00252A0F">
            <w:pPr>
              <w:pStyle w:val="Tabletext"/>
              <w:rPr>
                <w:b/>
                <w:bCs/>
              </w:rPr>
            </w:pPr>
            <w:r w:rsidRPr="00752828">
              <w:rPr>
                <w:b/>
                <w:bCs/>
              </w:rPr>
              <w:t>P = 0.002</w:t>
            </w:r>
          </w:p>
        </w:tc>
      </w:tr>
      <w:tr w:rsidR="002177D8" w14:paraId="77F3DF45" w14:textId="77777777" w:rsidTr="005A641A">
        <w:tc>
          <w:tcPr>
            <w:tcW w:w="776" w:type="pct"/>
          </w:tcPr>
          <w:p w14:paraId="4A431624" w14:textId="77777777" w:rsidR="002177D8" w:rsidRPr="000E449D" w:rsidRDefault="002177D8" w:rsidP="00252A0F">
            <w:pPr>
              <w:pStyle w:val="Tabletext"/>
            </w:pPr>
            <w:r w:rsidRPr="000E449D">
              <w:t xml:space="preserve">Body Weight Loss </w:t>
            </w:r>
            <w:r w:rsidRPr="000E449D">
              <w:sym w:font="Symbol" w:char="F0B3"/>
            </w:r>
            <w:r w:rsidRPr="000E449D">
              <w:t xml:space="preserve"> 10% </w:t>
            </w:r>
          </w:p>
        </w:tc>
        <w:tc>
          <w:tcPr>
            <w:tcW w:w="769" w:type="pct"/>
          </w:tcPr>
          <w:p w14:paraId="0AB54EC1" w14:textId="77777777" w:rsidR="002177D8" w:rsidRDefault="002177D8" w:rsidP="00252A0F">
            <w:pPr>
              <w:pStyle w:val="Tabletext"/>
            </w:pPr>
            <w:r>
              <w:t>32/522 (6.1%</w:t>
            </w:r>
          </w:p>
        </w:tc>
        <w:tc>
          <w:tcPr>
            <w:tcW w:w="768" w:type="pct"/>
          </w:tcPr>
          <w:p w14:paraId="689AF643" w14:textId="77777777" w:rsidR="002177D8" w:rsidRDefault="002177D8" w:rsidP="00252A0F">
            <w:pPr>
              <w:pStyle w:val="Tabletext"/>
            </w:pPr>
            <w:r>
              <w:t>62/520 (11.9%)</w:t>
            </w:r>
          </w:p>
        </w:tc>
        <w:tc>
          <w:tcPr>
            <w:tcW w:w="821" w:type="pct"/>
          </w:tcPr>
          <w:p w14:paraId="1BE6525E" w14:textId="77777777" w:rsidR="002177D8" w:rsidRDefault="002177D8" w:rsidP="00252A0F">
            <w:pPr>
              <w:pStyle w:val="Tabletext"/>
            </w:pPr>
            <w:r>
              <w:t>71/526 (13.5%)</w:t>
            </w:r>
          </w:p>
        </w:tc>
        <w:tc>
          <w:tcPr>
            <w:tcW w:w="933" w:type="pct"/>
          </w:tcPr>
          <w:p w14:paraId="6DF29472" w14:textId="77777777" w:rsidR="002177D8" w:rsidRPr="00752828" w:rsidRDefault="002177D8" w:rsidP="00252A0F">
            <w:pPr>
              <w:pStyle w:val="Tabletext"/>
              <w:rPr>
                <w:b/>
                <w:bCs/>
              </w:rPr>
            </w:pPr>
            <w:r w:rsidRPr="00752828">
              <w:rPr>
                <w:b/>
                <w:bCs/>
              </w:rPr>
              <w:t>2.11 (1.35, 3.29)</w:t>
            </w:r>
          </w:p>
          <w:p w14:paraId="0E35D161" w14:textId="77777777" w:rsidR="002177D8" w:rsidRPr="00752828" w:rsidRDefault="002177D8" w:rsidP="00252A0F">
            <w:pPr>
              <w:pStyle w:val="Tabletext"/>
              <w:rPr>
                <w:b/>
                <w:bCs/>
              </w:rPr>
            </w:pPr>
            <w:r w:rsidRPr="00752828">
              <w:rPr>
                <w:b/>
                <w:bCs/>
              </w:rPr>
              <w:t>P = 0.001</w:t>
            </w:r>
          </w:p>
        </w:tc>
        <w:tc>
          <w:tcPr>
            <w:tcW w:w="933" w:type="pct"/>
          </w:tcPr>
          <w:p w14:paraId="41AE225F" w14:textId="77777777" w:rsidR="002177D8" w:rsidRPr="00752828" w:rsidRDefault="002177D8" w:rsidP="00252A0F">
            <w:pPr>
              <w:pStyle w:val="Tabletext"/>
              <w:rPr>
                <w:b/>
                <w:bCs/>
              </w:rPr>
            </w:pPr>
            <w:r w:rsidRPr="00752828">
              <w:rPr>
                <w:b/>
                <w:bCs/>
              </w:rPr>
              <w:t>1.12 (0.78, 1.62)</w:t>
            </w:r>
          </w:p>
          <w:p w14:paraId="50696FD3" w14:textId="77777777" w:rsidR="002177D8" w:rsidRPr="00752828" w:rsidRDefault="002177D8" w:rsidP="00252A0F">
            <w:pPr>
              <w:pStyle w:val="Tabletext"/>
              <w:rPr>
                <w:b/>
                <w:bCs/>
              </w:rPr>
            </w:pPr>
            <w:r w:rsidRPr="00752828">
              <w:rPr>
                <w:b/>
                <w:bCs/>
              </w:rPr>
              <w:t>P = 0.527</w:t>
            </w:r>
          </w:p>
        </w:tc>
      </w:tr>
      <w:tr w:rsidR="002177D8" w14:paraId="4C1ED29E" w14:textId="77777777" w:rsidTr="005A641A">
        <w:tc>
          <w:tcPr>
            <w:tcW w:w="776" w:type="pct"/>
          </w:tcPr>
          <w:p w14:paraId="2B6A41A7" w14:textId="5A48AA11" w:rsidR="002177D8" w:rsidRDefault="002177D8" w:rsidP="00252A0F">
            <w:pPr>
              <w:pStyle w:val="Tabletext"/>
            </w:pPr>
            <w:r w:rsidRPr="000E449D">
              <w:t xml:space="preserve">HbA1C &lt; 7% and Body Weight Loss </w:t>
            </w:r>
            <w:r w:rsidRPr="000E449D">
              <w:sym w:font="Symbol" w:char="F0B3"/>
            </w:r>
            <w:r w:rsidRPr="000E449D">
              <w:t xml:space="preserve"> 5% and no documented symptomatic or severe </w:t>
            </w:r>
            <w:r w:rsidR="00470891" w:rsidRPr="000E449D">
              <w:t>hypoglycaemia</w:t>
            </w:r>
          </w:p>
          <w:p w14:paraId="61C9504D" w14:textId="41C7DCB1" w:rsidR="00252A0F" w:rsidRPr="000E449D" w:rsidRDefault="00252A0F" w:rsidP="00252A0F">
            <w:pPr>
              <w:pStyle w:val="Tabletext"/>
            </w:pPr>
          </w:p>
        </w:tc>
        <w:tc>
          <w:tcPr>
            <w:tcW w:w="769" w:type="pct"/>
          </w:tcPr>
          <w:p w14:paraId="031A8C18" w14:textId="77777777" w:rsidR="002177D8" w:rsidRDefault="002177D8" w:rsidP="00252A0F">
            <w:pPr>
              <w:pStyle w:val="Tabletext"/>
            </w:pPr>
            <w:r>
              <w:t>112/591 (19%)</w:t>
            </w:r>
          </w:p>
        </w:tc>
        <w:tc>
          <w:tcPr>
            <w:tcW w:w="768" w:type="pct"/>
          </w:tcPr>
          <w:p w14:paraId="2C7D1A56" w14:textId="77777777" w:rsidR="002177D8" w:rsidRDefault="002177D8" w:rsidP="00252A0F">
            <w:pPr>
              <w:pStyle w:val="Tabletext"/>
            </w:pPr>
            <w:r>
              <w:t>169/595 (29.4%)</w:t>
            </w:r>
          </w:p>
        </w:tc>
        <w:tc>
          <w:tcPr>
            <w:tcW w:w="821" w:type="pct"/>
          </w:tcPr>
          <w:p w14:paraId="56680FC3" w14:textId="77777777" w:rsidR="002177D8" w:rsidRDefault="002177D8" w:rsidP="00252A0F">
            <w:pPr>
              <w:pStyle w:val="Tabletext"/>
            </w:pPr>
            <w:r>
              <w:t>219/594 (36.9%)</w:t>
            </w:r>
          </w:p>
        </w:tc>
        <w:tc>
          <w:tcPr>
            <w:tcW w:w="933" w:type="pct"/>
          </w:tcPr>
          <w:p w14:paraId="7131975C" w14:textId="77777777" w:rsidR="002177D8" w:rsidRPr="00752828" w:rsidRDefault="002177D8" w:rsidP="00252A0F">
            <w:pPr>
              <w:pStyle w:val="Tabletext"/>
              <w:rPr>
                <w:b/>
                <w:bCs/>
              </w:rPr>
            </w:pPr>
            <w:r w:rsidRPr="00752828">
              <w:rPr>
                <w:b/>
                <w:bCs/>
              </w:rPr>
              <w:t>1.71 (1.30, 2.27)</w:t>
            </w:r>
          </w:p>
          <w:p w14:paraId="1688975D" w14:textId="77777777" w:rsidR="002177D8" w:rsidRPr="00752828" w:rsidRDefault="002177D8" w:rsidP="00252A0F">
            <w:pPr>
              <w:pStyle w:val="Tabletext"/>
              <w:rPr>
                <w:b/>
                <w:bCs/>
              </w:rPr>
            </w:pPr>
            <w:r w:rsidRPr="00752828">
              <w:rPr>
                <w:b/>
                <w:bCs/>
              </w:rPr>
              <w:t>P&lt;0.001</w:t>
            </w:r>
          </w:p>
        </w:tc>
        <w:tc>
          <w:tcPr>
            <w:tcW w:w="933" w:type="pct"/>
          </w:tcPr>
          <w:p w14:paraId="112396D7" w14:textId="77777777" w:rsidR="002177D8" w:rsidRPr="00752828" w:rsidRDefault="002177D8" w:rsidP="00252A0F">
            <w:pPr>
              <w:pStyle w:val="Tabletext"/>
              <w:rPr>
                <w:b/>
                <w:bCs/>
              </w:rPr>
            </w:pPr>
            <w:r w:rsidRPr="00752828">
              <w:rPr>
                <w:b/>
                <w:bCs/>
              </w:rPr>
              <w:t>1.51 (1.17, 1.95)</w:t>
            </w:r>
          </w:p>
          <w:p w14:paraId="1D5E7798" w14:textId="77777777" w:rsidR="002177D8" w:rsidRPr="00752828" w:rsidRDefault="002177D8" w:rsidP="00252A0F">
            <w:pPr>
              <w:pStyle w:val="Tabletext"/>
              <w:rPr>
                <w:b/>
                <w:bCs/>
              </w:rPr>
            </w:pPr>
            <w:r w:rsidRPr="00752828">
              <w:rPr>
                <w:b/>
                <w:bCs/>
              </w:rPr>
              <w:t>P = 0.001</w:t>
            </w:r>
          </w:p>
        </w:tc>
      </w:tr>
    </w:tbl>
    <w:p w14:paraId="027F6E24" w14:textId="77777777" w:rsidR="005A641A" w:rsidRDefault="002177D8" w:rsidP="002177D8">
      <w:pPr>
        <w:pStyle w:val="TableFigureFooter"/>
      </w:pPr>
      <w:r>
        <w:t xml:space="preserve">Source: CSR p462, p468, p548, p554, p557. </w:t>
      </w:r>
    </w:p>
    <w:p w14:paraId="3DD2C063" w14:textId="77777777" w:rsidR="005A641A" w:rsidRDefault="002177D8" w:rsidP="002177D8">
      <w:pPr>
        <w:pStyle w:val="TableFigureFooter"/>
        <w:rPr>
          <w:rFonts w:eastAsia="Calibri"/>
        </w:rPr>
      </w:pPr>
      <w:bookmarkStart w:id="26" w:name="_Hlk100492113"/>
      <w:r>
        <w:t>Abbreviations: CI=confidence interval;</w:t>
      </w:r>
      <w:r w:rsidRPr="00B40358">
        <w:rPr>
          <w:rFonts w:eastAsia="Calibri"/>
        </w:rPr>
        <w:t xml:space="preserve"> n = number of participants with event; N = total participants in group</w:t>
      </w:r>
      <w:r>
        <w:rPr>
          <w:rFonts w:eastAsia="Calibri"/>
        </w:rPr>
        <w:t>;</w:t>
      </w:r>
      <w:r w:rsidRPr="00752828">
        <w:t xml:space="preserve"> </w:t>
      </w:r>
      <w:r>
        <w:t>OR=odds ratio</w:t>
      </w:r>
      <w:r>
        <w:rPr>
          <w:rFonts w:eastAsia="Calibri"/>
        </w:rPr>
        <w:t xml:space="preserve">. </w:t>
      </w:r>
    </w:p>
    <w:bookmarkEnd w:id="26"/>
    <w:p w14:paraId="5582CD6A" w14:textId="6DB1172B" w:rsidR="002177D8" w:rsidRDefault="002177D8" w:rsidP="002177D8">
      <w:pPr>
        <w:pStyle w:val="TableFigureFooter"/>
        <w:rPr>
          <w:rFonts w:eastAsia="Calibri"/>
        </w:rPr>
      </w:pPr>
      <w:r w:rsidRPr="00760F9E">
        <w:rPr>
          <w:rFonts w:eastAsia="Calibri"/>
          <w:b/>
        </w:rPr>
        <w:t>Bold</w:t>
      </w:r>
      <w:r>
        <w:rPr>
          <w:rFonts w:eastAsia="Calibri"/>
        </w:rPr>
        <w:t xml:space="preserve"> indicates statistically significant results</w:t>
      </w:r>
    </w:p>
    <w:p w14:paraId="64E76ACD" w14:textId="2DD74851" w:rsidR="00521689" w:rsidRDefault="00521689" w:rsidP="002177D8">
      <w:pPr>
        <w:pStyle w:val="TableFigureFooter"/>
      </w:pPr>
    </w:p>
    <w:p w14:paraId="304285EF" w14:textId="2C090B39" w:rsidR="007616C9" w:rsidRPr="004A13A7" w:rsidRDefault="007616C9" w:rsidP="007616C9">
      <w:pPr>
        <w:pStyle w:val="3-BodyText"/>
      </w:pPr>
      <w:r>
        <w:t xml:space="preserve">At 36 weeks </w:t>
      </w:r>
      <w:r w:rsidRPr="007616C9">
        <w:t>the decrease in mean HbA1c was significantly greater with dulaglutide 3.</w:t>
      </w:r>
      <w:r w:rsidR="004A7527" w:rsidRPr="007616C9">
        <w:t>0</w:t>
      </w:r>
      <w:r w:rsidR="004A7527">
        <w:t> </w:t>
      </w:r>
      <w:r w:rsidRPr="007616C9">
        <w:t>mg (</w:t>
      </w:r>
      <w:r>
        <w:t>least square mean</w:t>
      </w:r>
      <w:r w:rsidRPr="007616C9">
        <w:t xml:space="preserve"> difference: 0.17; 95% CI: 0.29, 0.06; p = 0.003) and 4.</w:t>
      </w:r>
      <w:r w:rsidR="005A2858" w:rsidRPr="007616C9">
        <w:t>5</w:t>
      </w:r>
      <w:r w:rsidR="005A2858">
        <w:t> </w:t>
      </w:r>
      <w:r w:rsidRPr="007616C9">
        <w:t xml:space="preserve">mg </w:t>
      </w:r>
      <w:r w:rsidRPr="007616C9">
        <w:lastRenderedPageBreak/>
        <w:t>(</w:t>
      </w:r>
      <w:r>
        <w:t>least square mean</w:t>
      </w:r>
      <w:r w:rsidRPr="007616C9">
        <w:t xml:space="preserve"> difference: 0.34; 95% CI: 0.45, 0.22; p &lt; 0.001) compared with dulaglutide 1.</w:t>
      </w:r>
      <w:r w:rsidR="004A7527" w:rsidRPr="007616C9">
        <w:t>5</w:t>
      </w:r>
      <w:r w:rsidR="004A7527">
        <w:t> </w:t>
      </w:r>
      <w:r w:rsidRPr="007616C9">
        <w:t>mg.</w:t>
      </w:r>
    </w:p>
    <w:p w14:paraId="36FE1827" w14:textId="77777777" w:rsidR="007616C9" w:rsidRDefault="007616C9" w:rsidP="002177D8">
      <w:pPr>
        <w:pStyle w:val="TableFigureFooter"/>
      </w:pPr>
    </w:p>
    <w:p w14:paraId="1452C351" w14:textId="0D19F1B0" w:rsidR="00B60939" w:rsidRPr="00C9624D" w:rsidRDefault="00B60939" w:rsidP="00D86231">
      <w:pPr>
        <w:pStyle w:val="4-SubsectionHeading"/>
      </w:pPr>
      <w:bookmarkStart w:id="27" w:name="_Toc22897642"/>
      <w:bookmarkStart w:id="28" w:name="_Toc93496343"/>
      <w:r w:rsidRPr="00C9624D">
        <w:t>Comparative harms</w:t>
      </w:r>
      <w:bookmarkEnd w:id="27"/>
      <w:bookmarkEnd w:id="28"/>
    </w:p>
    <w:p w14:paraId="6B56FEDF" w14:textId="69591B7E" w:rsidR="00D741DC" w:rsidRPr="00DB34D9" w:rsidRDefault="002177D8" w:rsidP="00252A0F">
      <w:pPr>
        <w:pStyle w:val="3-BodyText"/>
      </w:pPr>
      <w:r w:rsidRPr="00D741DC">
        <w:t>Adverse events as reported in the AWARD</w:t>
      </w:r>
      <w:r w:rsidR="00D741DC" w:rsidRPr="00D741DC">
        <w:t xml:space="preserve">-11 trial are summarised in </w:t>
      </w:r>
      <w:r w:rsidR="001C227C">
        <w:t xml:space="preserve">the table </w:t>
      </w:r>
      <w:r w:rsidR="00D741DC" w:rsidRPr="00D741DC">
        <w:t xml:space="preserve">below. There was no relationship between the proportion of patients who reported events and the different dulaglutide doses except for diarrhoea </w:t>
      </w:r>
      <w:r w:rsidR="001C227C">
        <w:t>a</w:t>
      </w:r>
      <w:r w:rsidR="00D741DC" w:rsidRPr="00D741DC">
        <w:t>nd vomiting (which occurred in a higher proportion of patients on the high dulaglutide doses than dulaglutide 1.5</w:t>
      </w:r>
      <w:r w:rsidR="00F34B0B">
        <w:t> </w:t>
      </w:r>
      <w:r w:rsidR="00D741DC" w:rsidRPr="00D741DC">
        <w:t>m</w:t>
      </w:r>
      <w:r w:rsidR="00D741DC" w:rsidRPr="00761943">
        <w:t>g</w:t>
      </w:r>
      <w:r w:rsidR="00DB34D9" w:rsidRPr="00761943">
        <w:t xml:space="preserve">. </w:t>
      </w:r>
    </w:p>
    <w:p w14:paraId="13302C7C" w14:textId="7D63BC56" w:rsidR="00DB34D9" w:rsidRPr="00D741DC" w:rsidRDefault="00DB34D9" w:rsidP="001C227C">
      <w:pPr>
        <w:pStyle w:val="3-BodyText"/>
      </w:pPr>
      <w:r>
        <w:t>Dulaglutide 1.</w:t>
      </w:r>
      <w:r w:rsidR="004A7527">
        <w:t>5 </w:t>
      </w:r>
      <w:r>
        <w:t xml:space="preserve">mg was </w:t>
      </w:r>
      <w:r w:rsidR="00C9759F">
        <w:t xml:space="preserve">initially </w:t>
      </w:r>
      <w:r>
        <w:t xml:space="preserve">chosen </w:t>
      </w:r>
      <w:r w:rsidR="00F75F87">
        <w:t xml:space="preserve">by the manufacturer </w:t>
      </w:r>
      <w:r>
        <w:t xml:space="preserve">as the </w:t>
      </w:r>
      <w:r w:rsidR="00F75F87">
        <w:t xml:space="preserve">optimal </w:t>
      </w:r>
      <w:r>
        <w:t>dose because of concern arising in early studies that higher doses might be associated with adverse cardiovascular effects and with elevated pancreatic enzymes.</w:t>
      </w:r>
    </w:p>
    <w:p w14:paraId="3FBF5416" w14:textId="4C038DC1" w:rsidR="002177D8" w:rsidRPr="000C71A6" w:rsidRDefault="00173565" w:rsidP="00815A02">
      <w:pPr>
        <w:pStyle w:val="3-BodyText"/>
        <w:numPr>
          <w:ilvl w:val="0"/>
          <w:numId w:val="0"/>
        </w:numPr>
        <w:spacing w:after="0"/>
      </w:pPr>
      <w:r w:rsidRPr="00D741DC">
        <w:rPr>
          <w:rStyle w:val="CommentReference"/>
          <w:szCs w:val="24"/>
        </w:rPr>
        <w:t xml:space="preserve">Table </w:t>
      </w:r>
      <w:r w:rsidR="00DB34D9">
        <w:rPr>
          <w:rStyle w:val="CommentReference"/>
          <w:szCs w:val="24"/>
        </w:rPr>
        <w:t>5</w:t>
      </w:r>
      <w:r w:rsidR="005D26B4" w:rsidRPr="00D741DC">
        <w:rPr>
          <w:rStyle w:val="CommentReference"/>
          <w:szCs w:val="24"/>
        </w:rPr>
        <w:t>:</w:t>
      </w:r>
      <w:r w:rsidR="00BC591F" w:rsidRPr="00D741DC">
        <w:rPr>
          <w:rStyle w:val="CommentReference"/>
          <w:szCs w:val="24"/>
        </w:rPr>
        <w:t xml:space="preserve"> </w:t>
      </w:r>
      <w:r w:rsidR="005D26B4" w:rsidRPr="00D741DC">
        <w:rPr>
          <w:rStyle w:val="CommentReference"/>
          <w:szCs w:val="24"/>
        </w:rPr>
        <w:t xml:space="preserve">Summary of key adverse events in </w:t>
      </w:r>
      <w:r w:rsidR="002177D8" w:rsidRPr="00D741DC">
        <w:rPr>
          <w:rStyle w:val="CommentReference"/>
          <w:szCs w:val="24"/>
        </w:rPr>
        <w:t>AWARD-11</w:t>
      </w:r>
    </w:p>
    <w:tbl>
      <w:tblPr>
        <w:tblStyle w:val="TableGrid"/>
        <w:tblW w:w="0" w:type="auto"/>
        <w:tblLook w:val="04A0" w:firstRow="1" w:lastRow="0" w:firstColumn="1" w:lastColumn="0" w:noHBand="0" w:noVBand="1"/>
        <w:tblCaption w:val="Table 5: Summary of key adverse events in AWARD-11"/>
      </w:tblPr>
      <w:tblGrid>
        <w:gridCol w:w="2252"/>
        <w:gridCol w:w="2252"/>
        <w:gridCol w:w="2253"/>
        <w:gridCol w:w="2253"/>
      </w:tblGrid>
      <w:tr w:rsidR="002177D8" w:rsidRPr="000C71A6" w14:paraId="35F72D6C" w14:textId="77777777" w:rsidTr="00252A0F">
        <w:tc>
          <w:tcPr>
            <w:tcW w:w="2252" w:type="dxa"/>
          </w:tcPr>
          <w:p w14:paraId="2A09AA82" w14:textId="77777777" w:rsidR="002177D8" w:rsidRPr="000C71A6" w:rsidRDefault="002177D8" w:rsidP="00252A0F">
            <w:pPr>
              <w:pStyle w:val="In-tableHeading"/>
            </w:pPr>
          </w:p>
        </w:tc>
        <w:tc>
          <w:tcPr>
            <w:tcW w:w="2252" w:type="dxa"/>
          </w:tcPr>
          <w:p w14:paraId="4FDF00E3" w14:textId="77777777" w:rsidR="002177D8" w:rsidRPr="000C71A6" w:rsidRDefault="002177D8" w:rsidP="00252A0F">
            <w:pPr>
              <w:pStyle w:val="In-tableHeading"/>
            </w:pPr>
            <w:r w:rsidRPr="000C71A6">
              <w:t>Dulaglutide 1.5mg</w:t>
            </w:r>
          </w:p>
          <w:p w14:paraId="3931DF21" w14:textId="77777777" w:rsidR="002177D8" w:rsidRPr="000C71A6" w:rsidRDefault="002177D8" w:rsidP="00252A0F">
            <w:pPr>
              <w:pStyle w:val="In-tableHeading"/>
            </w:pPr>
            <w:r w:rsidRPr="000C71A6">
              <w:t>N = 612</w:t>
            </w:r>
          </w:p>
          <w:p w14:paraId="4949C696" w14:textId="77777777" w:rsidR="002177D8" w:rsidRPr="000C71A6" w:rsidRDefault="002177D8" w:rsidP="00252A0F">
            <w:pPr>
              <w:pStyle w:val="In-tableHeading"/>
            </w:pPr>
            <w:r w:rsidRPr="000C71A6">
              <w:t>n (%)</w:t>
            </w:r>
          </w:p>
        </w:tc>
        <w:tc>
          <w:tcPr>
            <w:tcW w:w="2253" w:type="dxa"/>
          </w:tcPr>
          <w:p w14:paraId="2E543AEA" w14:textId="77777777" w:rsidR="002177D8" w:rsidRPr="000C71A6" w:rsidRDefault="002177D8" w:rsidP="00252A0F">
            <w:pPr>
              <w:pStyle w:val="In-tableHeading"/>
            </w:pPr>
            <w:r w:rsidRPr="000C71A6">
              <w:t>Dulaglutide 3mg</w:t>
            </w:r>
          </w:p>
          <w:p w14:paraId="7064F55A" w14:textId="77777777" w:rsidR="002177D8" w:rsidRPr="000C71A6" w:rsidRDefault="002177D8" w:rsidP="00252A0F">
            <w:pPr>
              <w:pStyle w:val="In-tableHeading"/>
            </w:pPr>
            <w:r w:rsidRPr="000C71A6">
              <w:t>N = 616</w:t>
            </w:r>
          </w:p>
          <w:p w14:paraId="6C256F6F" w14:textId="77777777" w:rsidR="002177D8" w:rsidRPr="000C71A6" w:rsidRDefault="002177D8" w:rsidP="00252A0F">
            <w:pPr>
              <w:pStyle w:val="In-tableHeading"/>
            </w:pPr>
            <w:r w:rsidRPr="000C71A6">
              <w:t>n (%)</w:t>
            </w:r>
          </w:p>
        </w:tc>
        <w:tc>
          <w:tcPr>
            <w:tcW w:w="2253" w:type="dxa"/>
          </w:tcPr>
          <w:p w14:paraId="7330EB55" w14:textId="77777777" w:rsidR="002177D8" w:rsidRPr="000C71A6" w:rsidRDefault="002177D8" w:rsidP="00252A0F">
            <w:pPr>
              <w:pStyle w:val="In-tableHeading"/>
            </w:pPr>
            <w:r w:rsidRPr="000C71A6">
              <w:t>Dulaglutide 4.5 mg</w:t>
            </w:r>
          </w:p>
          <w:p w14:paraId="36C11F61" w14:textId="77777777" w:rsidR="002177D8" w:rsidRPr="000C71A6" w:rsidRDefault="002177D8" w:rsidP="00252A0F">
            <w:pPr>
              <w:pStyle w:val="In-tableHeading"/>
            </w:pPr>
            <w:r w:rsidRPr="000C71A6">
              <w:t>N = 614</w:t>
            </w:r>
          </w:p>
          <w:p w14:paraId="29DD9DB0" w14:textId="77777777" w:rsidR="002177D8" w:rsidRPr="000C71A6" w:rsidRDefault="002177D8" w:rsidP="00252A0F">
            <w:pPr>
              <w:pStyle w:val="In-tableHeading"/>
            </w:pPr>
            <w:r w:rsidRPr="000C71A6">
              <w:t>n (%)</w:t>
            </w:r>
          </w:p>
        </w:tc>
      </w:tr>
      <w:tr w:rsidR="002177D8" w:rsidRPr="000C71A6" w14:paraId="38B86EE6" w14:textId="77777777" w:rsidTr="00252A0F">
        <w:tc>
          <w:tcPr>
            <w:tcW w:w="2252" w:type="dxa"/>
          </w:tcPr>
          <w:p w14:paraId="669662D2" w14:textId="77777777" w:rsidR="002177D8" w:rsidRPr="000C71A6" w:rsidRDefault="002177D8" w:rsidP="00252A0F">
            <w:pPr>
              <w:pStyle w:val="Tabletext"/>
              <w:rPr>
                <w:rFonts w:eastAsiaTheme="majorEastAsia"/>
                <w:lang w:val="en-GB"/>
              </w:rPr>
            </w:pPr>
            <w:r w:rsidRPr="000C71A6">
              <w:rPr>
                <w:rFonts w:eastAsiaTheme="majorEastAsia"/>
                <w:lang w:val="en-GB"/>
              </w:rPr>
              <w:t>All TEAE</w:t>
            </w:r>
          </w:p>
        </w:tc>
        <w:tc>
          <w:tcPr>
            <w:tcW w:w="2252" w:type="dxa"/>
          </w:tcPr>
          <w:p w14:paraId="325A0348" w14:textId="77777777" w:rsidR="002177D8" w:rsidRPr="000C71A6" w:rsidRDefault="002177D8" w:rsidP="00DB34D9">
            <w:pPr>
              <w:pStyle w:val="Tabletext"/>
              <w:jc w:val="center"/>
              <w:rPr>
                <w:rFonts w:eastAsiaTheme="majorEastAsia"/>
                <w:lang w:val="en-GB"/>
              </w:rPr>
            </w:pPr>
            <w:r w:rsidRPr="000C71A6">
              <w:rPr>
                <w:rFonts w:eastAsiaTheme="majorEastAsia"/>
                <w:lang w:val="en-GB"/>
              </w:rPr>
              <w:t>346 (55.6%)</w:t>
            </w:r>
          </w:p>
        </w:tc>
        <w:tc>
          <w:tcPr>
            <w:tcW w:w="2253" w:type="dxa"/>
          </w:tcPr>
          <w:p w14:paraId="423CB7B3" w14:textId="77777777" w:rsidR="002177D8" w:rsidRPr="000C71A6" w:rsidRDefault="002177D8" w:rsidP="00DB34D9">
            <w:pPr>
              <w:pStyle w:val="Tabletext"/>
              <w:jc w:val="center"/>
              <w:rPr>
                <w:rFonts w:eastAsiaTheme="majorEastAsia"/>
                <w:lang w:val="en-GB"/>
              </w:rPr>
            </w:pPr>
            <w:r w:rsidRPr="000C71A6">
              <w:rPr>
                <w:rFonts w:eastAsiaTheme="majorEastAsia"/>
                <w:lang w:val="en-GB"/>
              </w:rPr>
              <w:t>351 (57%)</w:t>
            </w:r>
          </w:p>
        </w:tc>
        <w:tc>
          <w:tcPr>
            <w:tcW w:w="2253" w:type="dxa"/>
          </w:tcPr>
          <w:p w14:paraId="2E602000" w14:textId="77777777" w:rsidR="002177D8" w:rsidRPr="000C71A6" w:rsidRDefault="002177D8" w:rsidP="00DB34D9">
            <w:pPr>
              <w:pStyle w:val="Tabletext"/>
              <w:jc w:val="center"/>
              <w:rPr>
                <w:rFonts w:eastAsiaTheme="majorEastAsia"/>
                <w:lang w:val="en-GB"/>
              </w:rPr>
            </w:pPr>
            <w:r w:rsidRPr="000C71A6">
              <w:rPr>
                <w:rFonts w:eastAsiaTheme="majorEastAsia"/>
                <w:lang w:val="en-GB"/>
              </w:rPr>
              <w:t>378 (62%)</w:t>
            </w:r>
          </w:p>
        </w:tc>
      </w:tr>
      <w:tr w:rsidR="002177D8" w:rsidRPr="000C71A6" w14:paraId="766E7CB4" w14:textId="77777777" w:rsidTr="00252A0F">
        <w:tc>
          <w:tcPr>
            <w:tcW w:w="2252" w:type="dxa"/>
          </w:tcPr>
          <w:p w14:paraId="168351A9" w14:textId="77777777" w:rsidR="002177D8" w:rsidRPr="000C71A6" w:rsidRDefault="002177D8" w:rsidP="00252A0F">
            <w:pPr>
              <w:pStyle w:val="Tabletext"/>
              <w:rPr>
                <w:rFonts w:eastAsiaTheme="majorEastAsia"/>
                <w:lang w:val="en-GB"/>
              </w:rPr>
            </w:pPr>
            <w:r w:rsidRPr="000C71A6">
              <w:rPr>
                <w:rFonts w:eastAsiaTheme="majorEastAsia"/>
                <w:lang w:val="en-GB"/>
              </w:rPr>
              <w:t xml:space="preserve">Treatment-related TEAE* </w:t>
            </w:r>
          </w:p>
        </w:tc>
        <w:tc>
          <w:tcPr>
            <w:tcW w:w="2252" w:type="dxa"/>
          </w:tcPr>
          <w:p w14:paraId="46E08DA5" w14:textId="77777777" w:rsidR="002177D8" w:rsidRPr="000C71A6" w:rsidRDefault="002177D8" w:rsidP="00DB34D9">
            <w:pPr>
              <w:pStyle w:val="Tabletext"/>
              <w:jc w:val="center"/>
              <w:rPr>
                <w:rFonts w:eastAsiaTheme="majorEastAsia"/>
                <w:lang w:val="en-GB"/>
              </w:rPr>
            </w:pPr>
            <w:r w:rsidRPr="000C71A6">
              <w:rPr>
                <w:rFonts w:eastAsiaTheme="majorEastAsia"/>
                <w:lang w:val="en-GB"/>
              </w:rPr>
              <w:t>145 (23.7%)</w:t>
            </w:r>
          </w:p>
        </w:tc>
        <w:tc>
          <w:tcPr>
            <w:tcW w:w="2253" w:type="dxa"/>
          </w:tcPr>
          <w:p w14:paraId="2FA6D732" w14:textId="77777777" w:rsidR="002177D8" w:rsidRPr="000C71A6" w:rsidRDefault="002177D8" w:rsidP="00DB34D9">
            <w:pPr>
              <w:pStyle w:val="Tabletext"/>
              <w:jc w:val="center"/>
              <w:rPr>
                <w:rFonts w:eastAsiaTheme="majorEastAsia"/>
                <w:lang w:val="en-GB"/>
              </w:rPr>
            </w:pPr>
            <w:r w:rsidRPr="000C71A6">
              <w:rPr>
                <w:rFonts w:eastAsiaTheme="majorEastAsia"/>
                <w:lang w:val="en-GB"/>
              </w:rPr>
              <w:t>184 (29.9%)</w:t>
            </w:r>
          </w:p>
        </w:tc>
        <w:tc>
          <w:tcPr>
            <w:tcW w:w="2253" w:type="dxa"/>
          </w:tcPr>
          <w:p w14:paraId="2E9A745A" w14:textId="77777777" w:rsidR="002177D8" w:rsidRPr="000C71A6" w:rsidRDefault="002177D8" w:rsidP="00DB34D9">
            <w:pPr>
              <w:pStyle w:val="Tabletext"/>
              <w:jc w:val="center"/>
              <w:rPr>
                <w:rFonts w:eastAsiaTheme="majorEastAsia"/>
                <w:lang w:val="en-GB"/>
              </w:rPr>
            </w:pPr>
            <w:r w:rsidRPr="000C71A6">
              <w:rPr>
                <w:rFonts w:eastAsiaTheme="majorEastAsia"/>
                <w:lang w:val="en-GB"/>
              </w:rPr>
              <w:t>190 (30.9%)</w:t>
            </w:r>
          </w:p>
        </w:tc>
      </w:tr>
      <w:tr w:rsidR="002177D8" w:rsidRPr="000C71A6" w14:paraId="6CA5A611" w14:textId="77777777" w:rsidTr="00252A0F">
        <w:tc>
          <w:tcPr>
            <w:tcW w:w="2252" w:type="dxa"/>
          </w:tcPr>
          <w:p w14:paraId="07B307B2" w14:textId="77777777" w:rsidR="002177D8" w:rsidRPr="000C71A6" w:rsidRDefault="002177D8" w:rsidP="00252A0F">
            <w:pPr>
              <w:pStyle w:val="Tabletext"/>
              <w:rPr>
                <w:rFonts w:eastAsiaTheme="majorEastAsia"/>
                <w:lang w:val="en-GB"/>
              </w:rPr>
            </w:pPr>
            <w:r w:rsidRPr="000C71A6">
              <w:rPr>
                <w:rFonts w:eastAsiaTheme="majorEastAsia"/>
                <w:lang w:val="en-GB"/>
              </w:rPr>
              <w:t>All SAE</w:t>
            </w:r>
            <w:r w:rsidRPr="000C71A6">
              <w:rPr>
                <w:rFonts w:eastAsiaTheme="majorEastAsia"/>
                <w:vertAlign w:val="superscript"/>
                <w:lang w:val="en-GB"/>
              </w:rPr>
              <w:t>#</w:t>
            </w:r>
          </w:p>
        </w:tc>
        <w:tc>
          <w:tcPr>
            <w:tcW w:w="2252" w:type="dxa"/>
          </w:tcPr>
          <w:p w14:paraId="7A3AE657" w14:textId="77777777" w:rsidR="002177D8" w:rsidRPr="000C71A6" w:rsidRDefault="002177D8" w:rsidP="00DB34D9">
            <w:pPr>
              <w:pStyle w:val="Tabletext"/>
              <w:jc w:val="center"/>
              <w:rPr>
                <w:rFonts w:eastAsiaTheme="majorEastAsia"/>
                <w:lang w:val="en-GB"/>
              </w:rPr>
            </w:pPr>
            <w:r w:rsidRPr="000C71A6">
              <w:rPr>
                <w:rFonts w:eastAsiaTheme="majorEastAsia"/>
                <w:lang w:val="en-GB"/>
              </w:rPr>
              <w:t>39 (6.4%)</w:t>
            </w:r>
          </w:p>
        </w:tc>
        <w:tc>
          <w:tcPr>
            <w:tcW w:w="2253" w:type="dxa"/>
          </w:tcPr>
          <w:p w14:paraId="40A39E07" w14:textId="77777777" w:rsidR="002177D8" w:rsidRPr="000C71A6" w:rsidRDefault="002177D8" w:rsidP="00DB34D9">
            <w:pPr>
              <w:pStyle w:val="Tabletext"/>
              <w:jc w:val="center"/>
              <w:rPr>
                <w:rFonts w:eastAsiaTheme="majorEastAsia"/>
                <w:lang w:val="en-GB"/>
              </w:rPr>
            </w:pPr>
            <w:r w:rsidRPr="000C71A6">
              <w:rPr>
                <w:rFonts w:eastAsiaTheme="majorEastAsia"/>
                <w:lang w:val="en-GB"/>
              </w:rPr>
              <w:t>30 (4.9%)</w:t>
            </w:r>
          </w:p>
        </w:tc>
        <w:tc>
          <w:tcPr>
            <w:tcW w:w="2253" w:type="dxa"/>
          </w:tcPr>
          <w:p w14:paraId="5FF24749" w14:textId="77777777" w:rsidR="002177D8" w:rsidRPr="000C71A6" w:rsidRDefault="002177D8" w:rsidP="00DB34D9">
            <w:pPr>
              <w:pStyle w:val="Tabletext"/>
              <w:jc w:val="center"/>
              <w:rPr>
                <w:rFonts w:eastAsiaTheme="majorEastAsia"/>
                <w:lang w:val="en-GB"/>
              </w:rPr>
            </w:pPr>
            <w:r w:rsidRPr="000C71A6">
              <w:rPr>
                <w:rFonts w:eastAsiaTheme="majorEastAsia"/>
                <w:lang w:val="en-GB"/>
              </w:rPr>
              <w:t>26 (4.2%)</w:t>
            </w:r>
          </w:p>
        </w:tc>
      </w:tr>
      <w:tr w:rsidR="002177D8" w:rsidRPr="000C71A6" w14:paraId="013F6385" w14:textId="77777777" w:rsidTr="00252A0F">
        <w:tc>
          <w:tcPr>
            <w:tcW w:w="2252" w:type="dxa"/>
          </w:tcPr>
          <w:p w14:paraId="29E0BF41" w14:textId="77777777" w:rsidR="002177D8" w:rsidRPr="000C71A6" w:rsidRDefault="002177D8" w:rsidP="00252A0F">
            <w:pPr>
              <w:pStyle w:val="Tabletext"/>
              <w:rPr>
                <w:rFonts w:eastAsiaTheme="majorEastAsia"/>
                <w:lang w:val="en-GB"/>
              </w:rPr>
            </w:pPr>
            <w:r w:rsidRPr="000C71A6">
              <w:rPr>
                <w:rFonts w:eastAsiaTheme="majorEastAsia"/>
                <w:lang w:val="en-GB"/>
              </w:rPr>
              <w:t>Withdrawal due to AE</w:t>
            </w:r>
            <w:r w:rsidRPr="000C71A6">
              <w:rPr>
                <w:rFonts w:eastAsiaTheme="majorEastAsia"/>
                <w:vertAlign w:val="superscript"/>
                <w:lang w:val="en-GB"/>
              </w:rPr>
              <w:t>#</w:t>
            </w:r>
          </w:p>
        </w:tc>
        <w:tc>
          <w:tcPr>
            <w:tcW w:w="2252" w:type="dxa"/>
          </w:tcPr>
          <w:p w14:paraId="2E15FBCD" w14:textId="77777777" w:rsidR="002177D8" w:rsidRPr="000C71A6" w:rsidRDefault="002177D8" w:rsidP="00DB34D9">
            <w:pPr>
              <w:pStyle w:val="Tabletext"/>
              <w:jc w:val="center"/>
              <w:rPr>
                <w:rFonts w:eastAsiaTheme="majorEastAsia"/>
                <w:lang w:val="en-GB"/>
              </w:rPr>
            </w:pPr>
            <w:r w:rsidRPr="000C71A6">
              <w:rPr>
                <w:rFonts w:eastAsiaTheme="majorEastAsia"/>
                <w:lang w:val="en-GB"/>
              </w:rPr>
              <w:t>6 (1.0%)</w:t>
            </w:r>
          </w:p>
        </w:tc>
        <w:tc>
          <w:tcPr>
            <w:tcW w:w="2253" w:type="dxa"/>
          </w:tcPr>
          <w:p w14:paraId="1C69C37D" w14:textId="77777777" w:rsidR="002177D8" w:rsidRPr="000C71A6" w:rsidRDefault="002177D8" w:rsidP="00DB34D9">
            <w:pPr>
              <w:pStyle w:val="Tabletext"/>
              <w:jc w:val="center"/>
              <w:rPr>
                <w:rFonts w:eastAsiaTheme="majorEastAsia"/>
                <w:lang w:val="en-GB"/>
              </w:rPr>
            </w:pPr>
            <w:r w:rsidRPr="000C71A6">
              <w:rPr>
                <w:rFonts w:eastAsiaTheme="majorEastAsia"/>
                <w:lang w:val="en-GB"/>
              </w:rPr>
              <w:t>8 (1.3%)</w:t>
            </w:r>
          </w:p>
        </w:tc>
        <w:tc>
          <w:tcPr>
            <w:tcW w:w="2253" w:type="dxa"/>
          </w:tcPr>
          <w:p w14:paraId="207D47FC" w14:textId="77777777" w:rsidR="002177D8" w:rsidRPr="000C71A6" w:rsidRDefault="002177D8" w:rsidP="00DB34D9">
            <w:pPr>
              <w:pStyle w:val="Tabletext"/>
              <w:jc w:val="center"/>
              <w:rPr>
                <w:rFonts w:eastAsiaTheme="majorEastAsia"/>
                <w:lang w:val="en-GB"/>
              </w:rPr>
            </w:pPr>
            <w:r w:rsidRPr="000C71A6">
              <w:rPr>
                <w:rFonts w:eastAsiaTheme="majorEastAsia"/>
                <w:lang w:val="en-GB"/>
              </w:rPr>
              <w:t>11 (1.8%)</w:t>
            </w:r>
          </w:p>
        </w:tc>
      </w:tr>
      <w:tr w:rsidR="002177D8" w:rsidRPr="000C71A6" w14:paraId="2069E2C6" w14:textId="77777777" w:rsidTr="00252A0F">
        <w:tc>
          <w:tcPr>
            <w:tcW w:w="2252" w:type="dxa"/>
          </w:tcPr>
          <w:p w14:paraId="77D9980A" w14:textId="77777777" w:rsidR="002177D8" w:rsidRPr="000C71A6" w:rsidRDefault="002177D8" w:rsidP="00252A0F">
            <w:pPr>
              <w:pStyle w:val="Tabletext"/>
              <w:rPr>
                <w:rFonts w:eastAsiaTheme="majorEastAsia"/>
                <w:lang w:val="en-GB"/>
              </w:rPr>
            </w:pPr>
            <w:r w:rsidRPr="000C71A6">
              <w:rPr>
                <w:rFonts w:eastAsiaTheme="majorEastAsia"/>
                <w:lang w:val="en-GB"/>
              </w:rPr>
              <w:t>Discontinuation of study treatment due to AE</w:t>
            </w:r>
            <w:r w:rsidRPr="000C71A6">
              <w:rPr>
                <w:rFonts w:eastAsiaTheme="majorEastAsia"/>
                <w:vertAlign w:val="superscript"/>
                <w:lang w:val="en-GB"/>
              </w:rPr>
              <w:t>#</w:t>
            </w:r>
          </w:p>
        </w:tc>
        <w:tc>
          <w:tcPr>
            <w:tcW w:w="2252" w:type="dxa"/>
          </w:tcPr>
          <w:p w14:paraId="71AAB6B6" w14:textId="77777777" w:rsidR="002177D8" w:rsidRPr="000C71A6" w:rsidRDefault="002177D8" w:rsidP="00DB34D9">
            <w:pPr>
              <w:pStyle w:val="Tabletext"/>
              <w:jc w:val="center"/>
              <w:rPr>
                <w:rFonts w:eastAsiaTheme="majorEastAsia"/>
                <w:lang w:val="en-GB"/>
              </w:rPr>
            </w:pPr>
            <w:r w:rsidRPr="000C71A6">
              <w:rPr>
                <w:rFonts w:eastAsiaTheme="majorEastAsia"/>
                <w:lang w:val="en-GB"/>
              </w:rPr>
              <w:t>28 (4.6%)</w:t>
            </w:r>
          </w:p>
        </w:tc>
        <w:tc>
          <w:tcPr>
            <w:tcW w:w="2253" w:type="dxa"/>
          </w:tcPr>
          <w:p w14:paraId="3D304BE5" w14:textId="77777777" w:rsidR="002177D8" w:rsidRPr="000C71A6" w:rsidRDefault="002177D8" w:rsidP="00DB34D9">
            <w:pPr>
              <w:pStyle w:val="Tabletext"/>
              <w:jc w:val="center"/>
              <w:rPr>
                <w:rFonts w:eastAsiaTheme="majorEastAsia"/>
                <w:lang w:val="en-GB"/>
              </w:rPr>
            </w:pPr>
            <w:r w:rsidRPr="000C71A6">
              <w:rPr>
                <w:rFonts w:eastAsiaTheme="majorEastAsia"/>
                <w:lang w:val="en-GB"/>
              </w:rPr>
              <w:t>36 (5.8%)</w:t>
            </w:r>
          </w:p>
        </w:tc>
        <w:tc>
          <w:tcPr>
            <w:tcW w:w="2253" w:type="dxa"/>
          </w:tcPr>
          <w:p w14:paraId="00DC59B3" w14:textId="77777777" w:rsidR="002177D8" w:rsidRPr="000C71A6" w:rsidRDefault="002177D8" w:rsidP="00DB34D9">
            <w:pPr>
              <w:pStyle w:val="Tabletext"/>
              <w:jc w:val="center"/>
              <w:rPr>
                <w:rFonts w:eastAsiaTheme="majorEastAsia"/>
                <w:lang w:val="en-GB"/>
              </w:rPr>
            </w:pPr>
            <w:r w:rsidRPr="000C71A6">
              <w:rPr>
                <w:rFonts w:eastAsiaTheme="majorEastAsia"/>
                <w:lang w:val="en-GB"/>
              </w:rPr>
              <w:t>32 (5.2%)</w:t>
            </w:r>
          </w:p>
        </w:tc>
      </w:tr>
      <w:tr w:rsidR="002177D8" w:rsidRPr="000C71A6" w14:paraId="383E6F72" w14:textId="77777777" w:rsidTr="00252A0F">
        <w:tc>
          <w:tcPr>
            <w:tcW w:w="2252" w:type="dxa"/>
          </w:tcPr>
          <w:p w14:paraId="192D88FF" w14:textId="77777777" w:rsidR="002177D8" w:rsidRPr="000C71A6" w:rsidRDefault="002177D8" w:rsidP="00252A0F">
            <w:pPr>
              <w:pStyle w:val="Tabletext"/>
              <w:rPr>
                <w:rFonts w:eastAsiaTheme="majorEastAsia"/>
                <w:lang w:val="en-GB"/>
              </w:rPr>
            </w:pPr>
            <w:r w:rsidRPr="000C71A6">
              <w:rPr>
                <w:rFonts w:eastAsiaTheme="majorEastAsia"/>
                <w:lang w:val="en-GB"/>
              </w:rPr>
              <w:t>Deaths</w:t>
            </w:r>
          </w:p>
        </w:tc>
        <w:tc>
          <w:tcPr>
            <w:tcW w:w="2252" w:type="dxa"/>
          </w:tcPr>
          <w:p w14:paraId="02ED4D0F" w14:textId="77777777" w:rsidR="002177D8" w:rsidRPr="000C71A6" w:rsidRDefault="002177D8" w:rsidP="00DB34D9">
            <w:pPr>
              <w:pStyle w:val="Tabletext"/>
              <w:jc w:val="center"/>
              <w:rPr>
                <w:rFonts w:eastAsiaTheme="majorEastAsia"/>
                <w:lang w:val="en-GB"/>
              </w:rPr>
            </w:pPr>
            <w:r w:rsidRPr="000C71A6">
              <w:rPr>
                <w:rFonts w:eastAsiaTheme="majorEastAsia"/>
                <w:lang w:val="en-GB"/>
              </w:rPr>
              <w:t>2 (0.3%)</w:t>
            </w:r>
          </w:p>
        </w:tc>
        <w:tc>
          <w:tcPr>
            <w:tcW w:w="2253" w:type="dxa"/>
          </w:tcPr>
          <w:p w14:paraId="64B1ECEF" w14:textId="77777777" w:rsidR="002177D8" w:rsidRPr="000C71A6" w:rsidRDefault="002177D8" w:rsidP="00DB34D9">
            <w:pPr>
              <w:pStyle w:val="Tabletext"/>
              <w:jc w:val="center"/>
              <w:rPr>
                <w:rFonts w:eastAsiaTheme="majorEastAsia"/>
                <w:lang w:val="en-GB"/>
              </w:rPr>
            </w:pPr>
            <w:r w:rsidRPr="000C71A6">
              <w:rPr>
                <w:rFonts w:eastAsiaTheme="majorEastAsia"/>
                <w:lang w:val="en-GB"/>
              </w:rPr>
              <w:t>2 (0.3%)</w:t>
            </w:r>
          </w:p>
        </w:tc>
        <w:tc>
          <w:tcPr>
            <w:tcW w:w="2253" w:type="dxa"/>
          </w:tcPr>
          <w:p w14:paraId="18DB8307" w14:textId="77777777" w:rsidR="002177D8" w:rsidRPr="000C71A6" w:rsidRDefault="002177D8" w:rsidP="00DB34D9">
            <w:pPr>
              <w:pStyle w:val="Tabletext"/>
              <w:jc w:val="center"/>
              <w:rPr>
                <w:rFonts w:eastAsiaTheme="majorEastAsia"/>
                <w:lang w:val="en-GB"/>
              </w:rPr>
            </w:pPr>
            <w:r w:rsidRPr="000C71A6">
              <w:rPr>
                <w:rFonts w:eastAsiaTheme="majorEastAsia"/>
                <w:lang w:val="en-GB"/>
              </w:rPr>
              <w:t>2 (0.3%)</w:t>
            </w:r>
          </w:p>
        </w:tc>
      </w:tr>
      <w:tr w:rsidR="002177D8" w:rsidRPr="000C71A6" w14:paraId="539F23E0" w14:textId="77777777" w:rsidTr="00252A0F">
        <w:tc>
          <w:tcPr>
            <w:tcW w:w="2252" w:type="dxa"/>
          </w:tcPr>
          <w:p w14:paraId="4E464254" w14:textId="77777777" w:rsidR="002177D8" w:rsidRPr="000C71A6" w:rsidRDefault="002177D8" w:rsidP="00252A0F">
            <w:pPr>
              <w:pStyle w:val="Tabletext"/>
              <w:rPr>
                <w:rFonts w:eastAsiaTheme="majorEastAsia"/>
                <w:lang w:val="en-GB"/>
              </w:rPr>
            </w:pPr>
            <w:r w:rsidRPr="000C71A6">
              <w:rPr>
                <w:rFonts w:eastAsiaTheme="majorEastAsia"/>
                <w:lang w:val="en-GB"/>
              </w:rPr>
              <w:t>Nausea</w:t>
            </w:r>
          </w:p>
        </w:tc>
        <w:tc>
          <w:tcPr>
            <w:tcW w:w="2252" w:type="dxa"/>
          </w:tcPr>
          <w:p w14:paraId="786B6927" w14:textId="77777777" w:rsidR="002177D8" w:rsidRPr="000C71A6" w:rsidRDefault="002177D8" w:rsidP="00DB34D9">
            <w:pPr>
              <w:pStyle w:val="Tabletext"/>
              <w:jc w:val="center"/>
              <w:rPr>
                <w:rFonts w:eastAsiaTheme="majorEastAsia"/>
                <w:lang w:val="en-GB"/>
              </w:rPr>
            </w:pPr>
            <w:r w:rsidRPr="000C71A6">
              <w:rPr>
                <w:rFonts w:eastAsiaTheme="majorEastAsia"/>
                <w:lang w:val="en-GB"/>
              </w:rPr>
              <w:t>82 (13.4%)</w:t>
            </w:r>
          </w:p>
        </w:tc>
        <w:tc>
          <w:tcPr>
            <w:tcW w:w="2253" w:type="dxa"/>
          </w:tcPr>
          <w:p w14:paraId="4BADF8CD" w14:textId="77777777" w:rsidR="002177D8" w:rsidRPr="000C71A6" w:rsidRDefault="002177D8" w:rsidP="00DB34D9">
            <w:pPr>
              <w:pStyle w:val="Tabletext"/>
              <w:jc w:val="center"/>
              <w:rPr>
                <w:rFonts w:eastAsiaTheme="majorEastAsia"/>
                <w:lang w:val="en-GB"/>
              </w:rPr>
            </w:pPr>
            <w:r w:rsidRPr="000C71A6">
              <w:rPr>
                <w:rFonts w:eastAsiaTheme="majorEastAsia"/>
                <w:lang w:val="en-GB"/>
              </w:rPr>
              <w:t>96 (15.6%)</w:t>
            </w:r>
          </w:p>
        </w:tc>
        <w:tc>
          <w:tcPr>
            <w:tcW w:w="2253" w:type="dxa"/>
          </w:tcPr>
          <w:p w14:paraId="6C2E9F38" w14:textId="77777777" w:rsidR="002177D8" w:rsidRPr="000C71A6" w:rsidRDefault="002177D8" w:rsidP="00DB34D9">
            <w:pPr>
              <w:pStyle w:val="Tabletext"/>
              <w:jc w:val="center"/>
              <w:rPr>
                <w:rFonts w:eastAsiaTheme="majorEastAsia"/>
                <w:lang w:val="en-GB"/>
              </w:rPr>
            </w:pPr>
            <w:r w:rsidRPr="000C71A6">
              <w:rPr>
                <w:rFonts w:eastAsiaTheme="majorEastAsia"/>
                <w:lang w:val="en-GB"/>
              </w:rPr>
              <w:t>101 (16.4%)</w:t>
            </w:r>
          </w:p>
        </w:tc>
      </w:tr>
      <w:tr w:rsidR="002177D8" w:rsidRPr="000C71A6" w14:paraId="479541F0" w14:textId="77777777" w:rsidTr="00252A0F">
        <w:tc>
          <w:tcPr>
            <w:tcW w:w="2252" w:type="dxa"/>
          </w:tcPr>
          <w:p w14:paraId="1B301E05" w14:textId="77777777" w:rsidR="002177D8" w:rsidRPr="000C71A6" w:rsidRDefault="002177D8" w:rsidP="00252A0F">
            <w:pPr>
              <w:pStyle w:val="Tabletext"/>
              <w:rPr>
                <w:rFonts w:eastAsiaTheme="majorEastAsia"/>
                <w:lang w:val="en-GB"/>
              </w:rPr>
            </w:pPr>
            <w:r w:rsidRPr="000C71A6">
              <w:rPr>
                <w:rFonts w:eastAsiaTheme="majorEastAsia"/>
                <w:lang w:val="en-GB"/>
              </w:rPr>
              <w:t>Diarrhoea</w:t>
            </w:r>
          </w:p>
        </w:tc>
        <w:tc>
          <w:tcPr>
            <w:tcW w:w="2252" w:type="dxa"/>
          </w:tcPr>
          <w:p w14:paraId="1FFC70E6" w14:textId="77777777" w:rsidR="002177D8" w:rsidRPr="000C71A6" w:rsidRDefault="002177D8" w:rsidP="00DB34D9">
            <w:pPr>
              <w:pStyle w:val="Tabletext"/>
              <w:jc w:val="center"/>
              <w:rPr>
                <w:rFonts w:eastAsiaTheme="majorEastAsia"/>
                <w:lang w:val="en-GB"/>
              </w:rPr>
            </w:pPr>
            <w:r w:rsidRPr="000C71A6">
              <w:rPr>
                <w:rFonts w:eastAsiaTheme="majorEastAsia"/>
                <w:lang w:val="en-GB"/>
              </w:rPr>
              <w:t>43 (7.0%)</w:t>
            </w:r>
          </w:p>
        </w:tc>
        <w:tc>
          <w:tcPr>
            <w:tcW w:w="2253" w:type="dxa"/>
          </w:tcPr>
          <w:p w14:paraId="3283DB2E" w14:textId="77777777" w:rsidR="002177D8" w:rsidRPr="000C71A6" w:rsidRDefault="002177D8" w:rsidP="00DB34D9">
            <w:pPr>
              <w:pStyle w:val="Tabletext"/>
              <w:jc w:val="center"/>
              <w:rPr>
                <w:rFonts w:eastAsiaTheme="majorEastAsia"/>
                <w:lang w:val="en-GB"/>
              </w:rPr>
            </w:pPr>
            <w:r w:rsidRPr="000C71A6">
              <w:rPr>
                <w:rFonts w:eastAsiaTheme="majorEastAsia"/>
                <w:lang w:val="en-GB"/>
              </w:rPr>
              <w:t>70 (11.4%)</w:t>
            </w:r>
          </w:p>
        </w:tc>
        <w:tc>
          <w:tcPr>
            <w:tcW w:w="2253" w:type="dxa"/>
          </w:tcPr>
          <w:p w14:paraId="077C5353" w14:textId="77777777" w:rsidR="002177D8" w:rsidRPr="000C71A6" w:rsidRDefault="002177D8" w:rsidP="00DB34D9">
            <w:pPr>
              <w:pStyle w:val="Tabletext"/>
              <w:jc w:val="center"/>
              <w:rPr>
                <w:rFonts w:eastAsiaTheme="majorEastAsia"/>
                <w:lang w:val="en-GB"/>
              </w:rPr>
            </w:pPr>
            <w:r w:rsidRPr="000C71A6">
              <w:rPr>
                <w:rFonts w:eastAsiaTheme="majorEastAsia"/>
                <w:lang w:val="en-GB"/>
              </w:rPr>
              <w:t>66 (10.7%)</w:t>
            </w:r>
          </w:p>
        </w:tc>
      </w:tr>
      <w:tr w:rsidR="002177D8" w:rsidRPr="000C71A6" w14:paraId="1177F6FD" w14:textId="77777777" w:rsidTr="00252A0F">
        <w:tc>
          <w:tcPr>
            <w:tcW w:w="2252" w:type="dxa"/>
          </w:tcPr>
          <w:p w14:paraId="440F6329" w14:textId="77777777" w:rsidR="002177D8" w:rsidRPr="000C71A6" w:rsidRDefault="002177D8" w:rsidP="00252A0F">
            <w:pPr>
              <w:pStyle w:val="Tabletext"/>
              <w:rPr>
                <w:rFonts w:eastAsiaTheme="majorEastAsia"/>
                <w:lang w:val="en-GB"/>
              </w:rPr>
            </w:pPr>
            <w:r w:rsidRPr="000C71A6">
              <w:rPr>
                <w:rFonts w:eastAsiaTheme="majorEastAsia"/>
                <w:lang w:val="en-GB"/>
              </w:rPr>
              <w:t>Vomiting</w:t>
            </w:r>
          </w:p>
        </w:tc>
        <w:tc>
          <w:tcPr>
            <w:tcW w:w="2252" w:type="dxa"/>
          </w:tcPr>
          <w:p w14:paraId="1D5C06F8" w14:textId="77777777" w:rsidR="002177D8" w:rsidRPr="000C71A6" w:rsidRDefault="002177D8" w:rsidP="00DB34D9">
            <w:pPr>
              <w:pStyle w:val="Tabletext"/>
              <w:jc w:val="center"/>
              <w:rPr>
                <w:rFonts w:eastAsiaTheme="majorEastAsia"/>
                <w:lang w:val="en-GB"/>
              </w:rPr>
            </w:pPr>
            <w:r w:rsidRPr="000C71A6">
              <w:rPr>
                <w:rFonts w:eastAsiaTheme="majorEastAsia"/>
                <w:lang w:val="en-GB"/>
              </w:rPr>
              <w:t>34 (5.6%)</w:t>
            </w:r>
          </w:p>
        </w:tc>
        <w:tc>
          <w:tcPr>
            <w:tcW w:w="2253" w:type="dxa"/>
          </w:tcPr>
          <w:p w14:paraId="6E842139" w14:textId="77777777" w:rsidR="002177D8" w:rsidRPr="000C71A6" w:rsidRDefault="002177D8" w:rsidP="00DB34D9">
            <w:pPr>
              <w:pStyle w:val="Tabletext"/>
              <w:jc w:val="center"/>
              <w:rPr>
                <w:rFonts w:eastAsiaTheme="majorEastAsia"/>
                <w:lang w:val="en-GB"/>
              </w:rPr>
            </w:pPr>
            <w:r w:rsidRPr="000C71A6">
              <w:rPr>
                <w:rFonts w:eastAsiaTheme="majorEastAsia"/>
                <w:lang w:val="en-GB"/>
              </w:rPr>
              <w:t>51 (8.3%)</w:t>
            </w:r>
          </w:p>
        </w:tc>
        <w:tc>
          <w:tcPr>
            <w:tcW w:w="2253" w:type="dxa"/>
          </w:tcPr>
          <w:p w14:paraId="5DFB6C56" w14:textId="77777777" w:rsidR="002177D8" w:rsidRPr="000C71A6" w:rsidRDefault="002177D8" w:rsidP="00DB34D9">
            <w:pPr>
              <w:pStyle w:val="Tabletext"/>
              <w:jc w:val="center"/>
              <w:rPr>
                <w:rFonts w:eastAsiaTheme="majorEastAsia"/>
                <w:lang w:val="en-GB"/>
              </w:rPr>
            </w:pPr>
            <w:r w:rsidRPr="000C71A6">
              <w:rPr>
                <w:rFonts w:eastAsiaTheme="majorEastAsia"/>
                <w:lang w:val="en-GB"/>
              </w:rPr>
              <w:t>57 (9.3%)</w:t>
            </w:r>
          </w:p>
        </w:tc>
      </w:tr>
      <w:tr w:rsidR="002177D8" w:rsidRPr="000C71A6" w14:paraId="5A6FA810" w14:textId="77777777" w:rsidTr="00252A0F">
        <w:tc>
          <w:tcPr>
            <w:tcW w:w="2252" w:type="dxa"/>
          </w:tcPr>
          <w:p w14:paraId="424AEFEC" w14:textId="77777777" w:rsidR="002177D8" w:rsidRPr="000C71A6" w:rsidRDefault="002177D8" w:rsidP="00252A0F">
            <w:pPr>
              <w:pStyle w:val="Tabletext"/>
              <w:rPr>
                <w:rFonts w:eastAsiaTheme="majorEastAsia"/>
                <w:lang w:val="en-GB"/>
              </w:rPr>
            </w:pPr>
            <w:r w:rsidRPr="000C71A6">
              <w:rPr>
                <w:rFonts w:eastAsiaTheme="majorEastAsia"/>
                <w:lang w:val="en-GB"/>
              </w:rPr>
              <w:t>Discontinuations due to N,V and/or D</w:t>
            </w:r>
          </w:p>
        </w:tc>
        <w:tc>
          <w:tcPr>
            <w:tcW w:w="2252" w:type="dxa"/>
          </w:tcPr>
          <w:p w14:paraId="4FE30A6C" w14:textId="77777777" w:rsidR="002177D8" w:rsidRPr="000C71A6" w:rsidRDefault="002177D8" w:rsidP="00DB34D9">
            <w:pPr>
              <w:pStyle w:val="Tabletext"/>
              <w:jc w:val="center"/>
              <w:rPr>
                <w:rFonts w:eastAsiaTheme="majorEastAsia"/>
                <w:lang w:val="en-GB"/>
              </w:rPr>
            </w:pPr>
            <w:r w:rsidRPr="000C71A6">
              <w:rPr>
                <w:rFonts w:eastAsiaTheme="majorEastAsia"/>
                <w:lang w:val="en-GB"/>
              </w:rPr>
              <w:t>1 (0.2%)</w:t>
            </w:r>
          </w:p>
        </w:tc>
        <w:tc>
          <w:tcPr>
            <w:tcW w:w="2253" w:type="dxa"/>
          </w:tcPr>
          <w:p w14:paraId="5413BB55" w14:textId="77777777" w:rsidR="002177D8" w:rsidRPr="000C71A6" w:rsidRDefault="002177D8" w:rsidP="00DB34D9">
            <w:pPr>
              <w:pStyle w:val="Tabletext"/>
              <w:jc w:val="center"/>
              <w:rPr>
                <w:rFonts w:eastAsiaTheme="majorEastAsia"/>
                <w:lang w:val="en-GB"/>
              </w:rPr>
            </w:pPr>
            <w:r w:rsidRPr="000C71A6">
              <w:rPr>
                <w:rFonts w:eastAsiaTheme="majorEastAsia"/>
                <w:lang w:val="en-GB"/>
              </w:rPr>
              <w:t>11 (1.7%)</w:t>
            </w:r>
          </w:p>
        </w:tc>
        <w:tc>
          <w:tcPr>
            <w:tcW w:w="2253" w:type="dxa"/>
          </w:tcPr>
          <w:p w14:paraId="14068D83" w14:textId="77777777" w:rsidR="002177D8" w:rsidRPr="000C71A6" w:rsidRDefault="002177D8" w:rsidP="00DB34D9">
            <w:pPr>
              <w:pStyle w:val="Tabletext"/>
              <w:jc w:val="center"/>
              <w:rPr>
                <w:rFonts w:eastAsiaTheme="majorEastAsia"/>
                <w:lang w:val="en-GB"/>
              </w:rPr>
            </w:pPr>
            <w:r w:rsidRPr="000C71A6">
              <w:rPr>
                <w:rFonts w:eastAsiaTheme="majorEastAsia"/>
                <w:lang w:val="en-GB"/>
              </w:rPr>
              <w:t>13 (2.1%)</w:t>
            </w:r>
          </w:p>
        </w:tc>
      </w:tr>
      <w:tr w:rsidR="002177D8" w:rsidRPr="000C71A6" w14:paraId="0621B2C8" w14:textId="77777777" w:rsidTr="00252A0F">
        <w:tc>
          <w:tcPr>
            <w:tcW w:w="2252" w:type="dxa"/>
          </w:tcPr>
          <w:p w14:paraId="088F66FA" w14:textId="50F54419" w:rsidR="002177D8" w:rsidRPr="000C71A6" w:rsidRDefault="00F75F87" w:rsidP="00252A0F">
            <w:pPr>
              <w:pStyle w:val="Tabletext"/>
              <w:rPr>
                <w:rFonts w:eastAsiaTheme="majorEastAsia"/>
                <w:lang w:val="en-GB"/>
              </w:rPr>
            </w:pPr>
            <w:r>
              <w:rPr>
                <w:rFonts w:eastAsiaTheme="majorEastAsia"/>
                <w:lang w:val="en-GB"/>
              </w:rPr>
              <w:t>Any n</w:t>
            </w:r>
            <w:r w:rsidR="002177D8" w:rsidRPr="000C71A6">
              <w:rPr>
                <w:rFonts w:eastAsiaTheme="majorEastAsia"/>
                <w:lang w:val="en-GB"/>
              </w:rPr>
              <w:t>on-fatal Cardiovascular Event</w:t>
            </w:r>
          </w:p>
        </w:tc>
        <w:tc>
          <w:tcPr>
            <w:tcW w:w="2252" w:type="dxa"/>
          </w:tcPr>
          <w:p w14:paraId="006E2D49" w14:textId="77777777" w:rsidR="002177D8" w:rsidRPr="000C71A6" w:rsidRDefault="002177D8" w:rsidP="00DB34D9">
            <w:pPr>
              <w:pStyle w:val="Tabletext"/>
              <w:jc w:val="center"/>
              <w:rPr>
                <w:rFonts w:eastAsiaTheme="majorEastAsia"/>
                <w:lang w:val="en-GB"/>
              </w:rPr>
            </w:pPr>
            <w:r w:rsidRPr="000C71A6">
              <w:rPr>
                <w:rFonts w:eastAsiaTheme="majorEastAsia"/>
                <w:lang w:val="en-GB"/>
              </w:rPr>
              <w:t>0</w:t>
            </w:r>
          </w:p>
        </w:tc>
        <w:tc>
          <w:tcPr>
            <w:tcW w:w="2253" w:type="dxa"/>
          </w:tcPr>
          <w:p w14:paraId="1DCC004B" w14:textId="77777777" w:rsidR="002177D8" w:rsidRPr="000C71A6" w:rsidRDefault="002177D8" w:rsidP="00DB34D9">
            <w:pPr>
              <w:pStyle w:val="Tabletext"/>
              <w:jc w:val="center"/>
              <w:rPr>
                <w:rFonts w:eastAsiaTheme="majorEastAsia"/>
                <w:lang w:val="en-GB"/>
              </w:rPr>
            </w:pPr>
            <w:r w:rsidRPr="000C71A6">
              <w:rPr>
                <w:rFonts w:eastAsiaTheme="majorEastAsia"/>
                <w:lang w:val="en-GB"/>
              </w:rPr>
              <w:t>5 (0.8%)</w:t>
            </w:r>
          </w:p>
        </w:tc>
        <w:tc>
          <w:tcPr>
            <w:tcW w:w="2253" w:type="dxa"/>
          </w:tcPr>
          <w:p w14:paraId="36340E9F" w14:textId="77777777" w:rsidR="002177D8" w:rsidRPr="000C71A6" w:rsidRDefault="002177D8" w:rsidP="00DB34D9">
            <w:pPr>
              <w:pStyle w:val="Tabletext"/>
              <w:jc w:val="center"/>
              <w:rPr>
                <w:rFonts w:eastAsiaTheme="majorEastAsia"/>
                <w:lang w:val="en-GB"/>
              </w:rPr>
            </w:pPr>
            <w:r w:rsidRPr="000C71A6">
              <w:rPr>
                <w:rFonts w:eastAsiaTheme="majorEastAsia"/>
                <w:lang w:val="en-GB"/>
              </w:rPr>
              <w:t>2 (0.3%)</w:t>
            </w:r>
          </w:p>
        </w:tc>
      </w:tr>
      <w:tr w:rsidR="002177D8" w:rsidRPr="000C71A6" w14:paraId="6891E1C3" w14:textId="77777777" w:rsidTr="00252A0F">
        <w:tc>
          <w:tcPr>
            <w:tcW w:w="2252" w:type="dxa"/>
          </w:tcPr>
          <w:p w14:paraId="55D469B0" w14:textId="77777777" w:rsidR="002177D8" w:rsidRPr="000C71A6" w:rsidRDefault="002177D8" w:rsidP="00252A0F">
            <w:pPr>
              <w:pStyle w:val="Tabletext"/>
              <w:rPr>
                <w:rFonts w:eastAsiaTheme="majorEastAsia"/>
                <w:lang w:val="en-GB"/>
              </w:rPr>
            </w:pPr>
            <w:r w:rsidRPr="000C71A6">
              <w:rPr>
                <w:rFonts w:eastAsiaTheme="majorEastAsia"/>
                <w:lang w:val="en-GB"/>
              </w:rPr>
              <w:t>Abnormal Pancreatic Enzymes</w:t>
            </w:r>
          </w:p>
        </w:tc>
        <w:tc>
          <w:tcPr>
            <w:tcW w:w="2252" w:type="dxa"/>
          </w:tcPr>
          <w:p w14:paraId="50E76645" w14:textId="77777777" w:rsidR="002177D8" w:rsidRPr="000C71A6" w:rsidRDefault="002177D8" w:rsidP="00DB34D9">
            <w:pPr>
              <w:pStyle w:val="Tabletext"/>
              <w:jc w:val="center"/>
              <w:rPr>
                <w:rFonts w:eastAsiaTheme="majorEastAsia"/>
                <w:lang w:val="en-GB"/>
              </w:rPr>
            </w:pPr>
            <w:r w:rsidRPr="000C71A6">
              <w:rPr>
                <w:rFonts w:eastAsiaTheme="majorEastAsia"/>
                <w:lang w:val="en-GB"/>
              </w:rPr>
              <w:t>10 (1.6%)</w:t>
            </w:r>
          </w:p>
        </w:tc>
        <w:tc>
          <w:tcPr>
            <w:tcW w:w="2253" w:type="dxa"/>
          </w:tcPr>
          <w:p w14:paraId="584B3D08" w14:textId="77777777" w:rsidR="002177D8" w:rsidRPr="000C71A6" w:rsidRDefault="002177D8" w:rsidP="00DB34D9">
            <w:pPr>
              <w:pStyle w:val="Tabletext"/>
              <w:jc w:val="center"/>
              <w:rPr>
                <w:rFonts w:eastAsiaTheme="majorEastAsia"/>
                <w:lang w:val="en-GB"/>
              </w:rPr>
            </w:pPr>
            <w:r w:rsidRPr="000C71A6">
              <w:rPr>
                <w:rFonts w:eastAsiaTheme="majorEastAsia"/>
                <w:lang w:val="en-GB"/>
              </w:rPr>
              <w:t>9 (1.5%)</w:t>
            </w:r>
          </w:p>
        </w:tc>
        <w:tc>
          <w:tcPr>
            <w:tcW w:w="2253" w:type="dxa"/>
          </w:tcPr>
          <w:p w14:paraId="59713F2F" w14:textId="77777777" w:rsidR="002177D8" w:rsidRPr="000C71A6" w:rsidRDefault="002177D8" w:rsidP="00DB34D9">
            <w:pPr>
              <w:pStyle w:val="Tabletext"/>
              <w:jc w:val="center"/>
              <w:rPr>
                <w:rFonts w:eastAsiaTheme="majorEastAsia"/>
                <w:lang w:val="en-GB"/>
              </w:rPr>
            </w:pPr>
            <w:r w:rsidRPr="000C71A6">
              <w:rPr>
                <w:rFonts w:eastAsiaTheme="majorEastAsia"/>
                <w:lang w:val="en-GB"/>
              </w:rPr>
              <w:t>11 (1.8%)</w:t>
            </w:r>
          </w:p>
        </w:tc>
      </w:tr>
      <w:tr w:rsidR="002177D8" w:rsidRPr="000C71A6" w14:paraId="17FE0B5D" w14:textId="77777777" w:rsidTr="00252A0F">
        <w:tc>
          <w:tcPr>
            <w:tcW w:w="2252" w:type="dxa"/>
          </w:tcPr>
          <w:p w14:paraId="3F8EE110" w14:textId="77777777" w:rsidR="002177D8" w:rsidRPr="000C71A6" w:rsidRDefault="002177D8" w:rsidP="00252A0F">
            <w:pPr>
              <w:pStyle w:val="Tabletext"/>
              <w:rPr>
                <w:rFonts w:eastAsiaTheme="majorEastAsia"/>
                <w:lang w:val="en-GB"/>
              </w:rPr>
            </w:pPr>
            <w:r w:rsidRPr="000C71A6">
              <w:rPr>
                <w:rFonts w:eastAsiaTheme="majorEastAsia"/>
                <w:lang w:val="en-GB"/>
              </w:rPr>
              <w:t>Injection Site Reactions</w:t>
            </w:r>
          </w:p>
        </w:tc>
        <w:tc>
          <w:tcPr>
            <w:tcW w:w="2252" w:type="dxa"/>
          </w:tcPr>
          <w:p w14:paraId="675CF9E1" w14:textId="77777777" w:rsidR="002177D8" w:rsidRPr="000C71A6" w:rsidRDefault="002177D8" w:rsidP="00DB34D9">
            <w:pPr>
              <w:pStyle w:val="Tabletext"/>
              <w:jc w:val="center"/>
              <w:rPr>
                <w:rFonts w:eastAsiaTheme="majorEastAsia"/>
                <w:lang w:val="en-GB"/>
              </w:rPr>
            </w:pPr>
            <w:r w:rsidRPr="000C71A6">
              <w:rPr>
                <w:rFonts w:eastAsiaTheme="majorEastAsia"/>
                <w:lang w:val="en-GB"/>
              </w:rPr>
              <w:t>1 (0.2%)</w:t>
            </w:r>
          </w:p>
        </w:tc>
        <w:tc>
          <w:tcPr>
            <w:tcW w:w="2253" w:type="dxa"/>
          </w:tcPr>
          <w:p w14:paraId="74EB091F" w14:textId="77777777" w:rsidR="002177D8" w:rsidRPr="000C71A6" w:rsidRDefault="002177D8" w:rsidP="00DB34D9">
            <w:pPr>
              <w:pStyle w:val="Tabletext"/>
              <w:jc w:val="center"/>
              <w:rPr>
                <w:rFonts w:eastAsiaTheme="majorEastAsia"/>
                <w:lang w:val="en-GB"/>
              </w:rPr>
            </w:pPr>
            <w:r w:rsidRPr="000C71A6">
              <w:rPr>
                <w:rFonts w:eastAsiaTheme="majorEastAsia"/>
                <w:lang w:val="en-GB"/>
              </w:rPr>
              <w:t>2 (0.3%)</w:t>
            </w:r>
          </w:p>
        </w:tc>
        <w:tc>
          <w:tcPr>
            <w:tcW w:w="2253" w:type="dxa"/>
          </w:tcPr>
          <w:p w14:paraId="77C9E90A" w14:textId="77777777" w:rsidR="002177D8" w:rsidRPr="000C71A6" w:rsidRDefault="002177D8" w:rsidP="00DB34D9">
            <w:pPr>
              <w:pStyle w:val="Tabletext"/>
              <w:jc w:val="center"/>
              <w:rPr>
                <w:rFonts w:eastAsiaTheme="majorEastAsia"/>
                <w:lang w:val="en-GB"/>
              </w:rPr>
            </w:pPr>
            <w:r w:rsidRPr="000C71A6">
              <w:rPr>
                <w:rFonts w:eastAsiaTheme="majorEastAsia"/>
                <w:lang w:val="en-GB"/>
              </w:rPr>
              <w:t>7 (1.1%)</w:t>
            </w:r>
          </w:p>
        </w:tc>
      </w:tr>
    </w:tbl>
    <w:p w14:paraId="0806A377" w14:textId="367B6132" w:rsidR="002177D8" w:rsidRDefault="002177D8" w:rsidP="002177D8">
      <w:pPr>
        <w:pStyle w:val="TableFigureFooter"/>
        <w:rPr>
          <w:rFonts w:eastAsiaTheme="majorEastAsia"/>
          <w:lang w:val="en-GB"/>
        </w:rPr>
      </w:pPr>
      <w:r w:rsidRPr="000C71A6">
        <w:rPr>
          <w:rFonts w:eastAsiaTheme="majorEastAsia"/>
          <w:lang w:val="en-GB"/>
        </w:rPr>
        <w:t>Source: Table 12.2, CSR p177, Table 12.3, CSR p179, CSR p180</w:t>
      </w:r>
      <w:r>
        <w:rPr>
          <w:rFonts w:eastAsiaTheme="majorEastAsia"/>
          <w:lang w:val="en-GB"/>
        </w:rPr>
        <w:t>.</w:t>
      </w:r>
    </w:p>
    <w:p w14:paraId="364C78D5" w14:textId="4A731DB8" w:rsidR="00815A02" w:rsidRPr="000C71A6" w:rsidRDefault="00815A02" w:rsidP="002177D8">
      <w:pPr>
        <w:pStyle w:val="TableFigureFooter"/>
        <w:rPr>
          <w:rFonts w:eastAsiaTheme="majorEastAsia"/>
          <w:lang w:val="en-GB"/>
        </w:rPr>
      </w:pPr>
      <w:r w:rsidRPr="00815A02">
        <w:rPr>
          <w:rFonts w:eastAsiaTheme="majorEastAsia"/>
          <w:lang w:val="en-GB"/>
        </w:rPr>
        <w:t xml:space="preserve">Abbreviations: </w:t>
      </w:r>
      <w:r>
        <w:rPr>
          <w:rFonts w:eastAsiaTheme="majorEastAsia"/>
          <w:lang w:val="en-GB"/>
        </w:rPr>
        <w:t>D</w:t>
      </w:r>
      <w:r w:rsidRPr="00815A02">
        <w:rPr>
          <w:rFonts w:eastAsiaTheme="majorEastAsia"/>
          <w:lang w:val="en-GB"/>
        </w:rPr>
        <w:t>=</w:t>
      </w:r>
      <w:r>
        <w:rPr>
          <w:rFonts w:eastAsiaTheme="majorEastAsia"/>
          <w:lang w:val="en-GB"/>
        </w:rPr>
        <w:t xml:space="preserve">diarrhoea; N=nausea; V=vomiting. </w:t>
      </w:r>
    </w:p>
    <w:p w14:paraId="01B9B3F2" w14:textId="77777777" w:rsidR="002177D8" w:rsidRPr="000C71A6" w:rsidRDefault="002177D8" w:rsidP="002177D8">
      <w:pPr>
        <w:pStyle w:val="TableFigureFooter"/>
        <w:rPr>
          <w:rFonts w:eastAsiaTheme="majorEastAsia"/>
          <w:lang w:val="en-GB"/>
        </w:rPr>
      </w:pPr>
      <w:r w:rsidRPr="000C71A6">
        <w:rPr>
          <w:rFonts w:eastAsiaTheme="majorEastAsia"/>
          <w:lang w:val="en-GB"/>
        </w:rPr>
        <w:t>* As judged by investigator</w:t>
      </w:r>
    </w:p>
    <w:p w14:paraId="4C3908BB" w14:textId="77777777" w:rsidR="002177D8" w:rsidRPr="000C71A6" w:rsidRDefault="002177D8" w:rsidP="002177D8">
      <w:pPr>
        <w:pStyle w:val="TableFigureFooter"/>
        <w:rPr>
          <w:rFonts w:eastAsiaTheme="majorEastAsia"/>
          <w:lang w:val="en-GB"/>
        </w:rPr>
      </w:pPr>
      <w:r w:rsidRPr="00C42263">
        <w:rPr>
          <w:rFonts w:eastAsiaTheme="majorEastAsia"/>
          <w:vertAlign w:val="superscript"/>
          <w:lang w:val="en-GB"/>
        </w:rPr>
        <w:t>#</w:t>
      </w:r>
      <w:r w:rsidRPr="000C71A6">
        <w:rPr>
          <w:rFonts w:eastAsiaTheme="majorEastAsia"/>
          <w:lang w:val="en-GB"/>
        </w:rPr>
        <w:t xml:space="preserve"> Deaths are included</w:t>
      </w:r>
    </w:p>
    <w:p w14:paraId="04908C7F" w14:textId="415B9B7D" w:rsidR="007F1017" w:rsidRPr="00C9624D" w:rsidRDefault="007F1017" w:rsidP="00D86231">
      <w:pPr>
        <w:pStyle w:val="4-SubsectionHeading"/>
      </w:pPr>
      <w:bookmarkStart w:id="29" w:name="_Toc22897643"/>
      <w:bookmarkStart w:id="30" w:name="_Toc93496344"/>
      <w:r w:rsidRPr="00C9624D">
        <w:t>Benefits/harms</w:t>
      </w:r>
      <w:bookmarkEnd w:id="29"/>
      <w:bookmarkEnd w:id="30"/>
    </w:p>
    <w:p w14:paraId="02B9BDE3" w14:textId="23FBEA65" w:rsidR="007A1345" w:rsidRPr="002E1071" w:rsidRDefault="00927A08" w:rsidP="00927A08">
      <w:pPr>
        <w:pStyle w:val="3-BodyText"/>
      </w:pPr>
      <w:r w:rsidRPr="001B5155">
        <w:rPr>
          <w:snapToGrid/>
          <w:lang w:val="en-US"/>
        </w:rPr>
        <w:t>As the claim was non-inferiority, information for benefits and harms is not presented.</w:t>
      </w:r>
    </w:p>
    <w:p w14:paraId="7A1772B6" w14:textId="23BB3145" w:rsidR="00B60939" w:rsidRPr="00C9624D" w:rsidRDefault="00B60939" w:rsidP="00E9094A">
      <w:pPr>
        <w:pStyle w:val="4-SubsectionHeading"/>
      </w:pPr>
      <w:bookmarkStart w:id="31" w:name="_Toc22897644"/>
      <w:bookmarkStart w:id="32" w:name="_Toc93496345"/>
      <w:r w:rsidRPr="00C9624D">
        <w:t>Clinical claim</w:t>
      </w:r>
      <w:bookmarkEnd w:id="31"/>
      <w:bookmarkEnd w:id="32"/>
    </w:p>
    <w:p w14:paraId="25071658" w14:textId="19402387" w:rsidR="00C169D6" w:rsidRPr="00C42263" w:rsidRDefault="005F7588" w:rsidP="00E9094A">
      <w:pPr>
        <w:pStyle w:val="3-BodyText"/>
        <w:rPr>
          <w:rFonts w:eastAsia="Calibri"/>
        </w:rPr>
      </w:pPr>
      <w:r w:rsidRPr="005D6F6E">
        <w:rPr>
          <w:rFonts w:eastAsia="Calibri"/>
        </w:rPr>
        <w:t xml:space="preserve">The submission described </w:t>
      </w:r>
      <w:r w:rsidR="00C169D6" w:rsidRPr="00C169D6">
        <w:rPr>
          <w:rFonts w:eastAsia="Calibri"/>
        </w:rPr>
        <w:t>dulaglutide 3.</w:t>
      </w:r>
      <w:r w:rsidR="004A7527" w:rsidRPr="00C169D6">
        <w:rPr>
          <w:rFonts w:eastAsia="Calibri"/>
        </w:rPr>
        <w:t>0</w:t>
      </w:r>
      <w:r w:rsidR="004A7527">
        <w:rPr>
          <w:rFonts w:eastAsia="Calibri"/>
        </w:rPr>
        <w:t> </w:t>
      </w:r>
      <w:r w:rsidR="00C169D6" w:rsidRPr="00C169D6">
        <w:rPr>
          <w:rFonts w:eastAsia="Calibri"/>
        </w:rPr>
        <w:t>mg and 4.</w:t>
      </w:r>
      <w:r w:rsidR="004A7527" w:rsidRPr="00C169D6">
        <w:rPr>
          <w:rFonts w:eastAsia="Calibri"/>
        </w:rPr>
        <w:t>5</w:t>
      </w:r>
      <w:r w:rsidR="004A7527">
        <w:rPr>
          <w:rFonts w:eastAsia="Calibri"/>
        </w:rPr>
        <w:t> </w:t>
      </w:r>
      <w:r w:rsidR="00C169D6" w:rsidRPr="00C169D6">
        <w:rPr>
          <w:rFonts w:eastAsia="Calibri"/>
        </w:rPr>
        <w:t xml:space="preserve">mg </w:t>
      </w:r>
      <w:r w:rsidRPr="005D6F6E">
        <w:rPr>
          <w:rFonts w:eastAsia="Calibri"/>
        </w:rPr>
        <w:t>as</w:t>
      </w:r>
      <w:r w:rsidR="00C169D6">
        <w:rPr>
          <w:rFonts w:eastAsia="Calibri"/>
        </w:rPr>
        <w:t xml:space="preserve"> </w:t>
      </w:r>
      <w:r w:rsidRPr="00C42263">
        <w:rPr>
          <w:rFonts w:eastAsia="Calibri"/>
        </w:rPr>
        <w:t>non-inferior</w:t>
      </w:r>
      <w:r w:rsidR="00C169D6" w:rsidRPr="00C42263">
        <w:rPr>
          <w:rFonts w:eastAsia="Calibri"/>
        </w:rPr>
        <w:t xml:space="preserve"> </w:t>
      </w:r>
      <w:r w:rsidRPr="00C42263">
        <w:rPr>
          <w:rFonts w:eastAsia="Calibri"/>
        </w:rPr>
        <w:t xml:space="preserve">in terms of effectiveness compared to </w:t>
      </w:r>
      <w:r w:rsidR="00C169D6" w:rsidRPr="00C42263">
        <w:t>dulaglutide 1.</w:t>
      </w:r>
      <w:r w:rsidR="004A7527" w:rsidRPr="00C42263">
        <w:t>5</w:t>
      </w:r>
      <w:r w:rsidR="004A7527">
        <w:t> </w:t>
      </w:r>
      <w:r w:rsidR="00C169D6" w:rsidRPr="00C42263">
        <w:t>mg</w:t>
      </w:r>
      <w:r w:rsidRPr="00C42263">
        <w:rPr>
          <w:rFonts w:eastAsia="Calibri"/>
        </w:rPr>
        <w:t xml:space="preserve">. </w:t>
      </w:r>
      <w:r w:rsidR="00CF5C52">
        <w:rPr>
          <w:rFonts w:eastAsia="Calibri"/>
        </w:rPr>
        <w:t>The PBAC considered t</w:t>
      </w:r>
      <w:r w:rsidRPr="00C42263">
        <w:rPr>
          <w:rFonts w:eastAsia="Calibri"/>
        </w:rPr>
        <w:t xml:space="preserve">his claim was </w:t>
      </w:r>
      <w:r w:rsidR="007C70FF" w:rsidRPr="00C42263">
        <w:rPr>
          <w:rFonts w:eastAsia="Calibri"/>
        </w:rPr>
        <w:t>adequately supported</w:t>
      </w:r>
      <w:r w:rsidRPr="00C42263">
        <w:rPr>
          <w:rFonts w:eastAsia="Calibri"/>
        </w:rPr>
        <w:t>.</w:t>
      </w:r>
      <w:r w:rsidR="007C70FF" w:rsidRPr="00C42263">
        <w:rPr>
          <w:rFonts w:eastAsia="Calibri"/>
        </w:rPr>
        <w:t xml:space="preserve"> </w:t>
      </w:r>
    </w:p>
    <w:p w14:paraId="7F613CD1" w14:textId="095350BF" w:rsidR="005F7588" w:rsidRPr="004A13A7" w:rsidRDefault="005F7588" w:rsidP="006D660E">
      <w:pPr>
        <w:pStyle w:val="3-BodyText"/>
        <w:rPr>
          <w:rFonts w:eastAsia="Calibri"/>
        </w:rPr>
      </w:pPr>
      <w:r w:rsidRPr="004A13A7">
        <w:rPr>
          <w:rFonts w:eastAsia="Calibri"/>
        </w:rPr>
        <w:lastRenderedPageBreak/>
        <w:t xml:space="preserve">The submission described </w:t>
      </w:r>
      <w:r w:rsidR="006D660E" w:rsidRPr="004A13A7">
        <w:rPr>
          <w:rFonts w:eastAsia="Calibri"/>
        </w:rPr>
        <w:t>dulaglutide 3.</w:t>
      </w:r>
      <w:r w:rsidR="004A7527" w:rsidRPr="004A13A7">
        <w:rPr>
          <w:rFonts w:eastAsia="Calibri"/>
        </w:rPr>
        <w:t>0</w:t>
      </w:r>
      <w:r w:rsidR="004A7527">
        <w:rPr>
          <w:rFonts w:eastAsia="Calibri"/>
        </w:rPr>
        <w:t> </w:t>
      </w:r>
      <w:r w:rsidR="006D660E" w:rsidRPr="004A13A7">
        <w:rPr>
          <w:rFonts w:eastAsia="Calibri"/>
        </w:rPr>
        <w:t>mg and 4.</w:t>
      </w:r>
      <w:r w:rsidR="004A7527" w:rsidRPr="004A13A7">
        <w:rPr>
          <w:rFonts w:eastAsia="Calibri"/>
        </w:rPr>
        <w:t>5</w:t>
      </w:r>
      <w:r w:rsidR="004A7527">
        <w:rPr>
          <w:rFonts w:eastAsia="Calibri"/>
        </w:rPr>
        <w:t> </w:t>
      </w:r>
      <w:r w:rsidR="006D660E" w:rsidRPr="004A13A7">
        <w:rPr>
          <w:rFonts w:eastAsia="Calibri"/>
        </w:rPr>
        <w:t>mg</w:t>
      </w:r>
      <w:r w:rsidRPr="004A13A7">
        <w:rPr>
          <w:rFonts w:eastAsia="Calibri"/>
        </w:rPr>
        <w:t xml:space="preserve"> </w:t>
      </w:r>
      <w:r w:rsidR="006D660E" w:rsidRPr="004A13A7">
        <w:rPr>
          <w:rFonts w:eastAsia="Calibri"/>
        </w:rPr>
        <w:t xml:space="preserve">as </w:t>
      </w:r>
      <w:r w:rsidRPr="004A13A7">
        <w:rPr>
          <w:rFonts w:eastAsia="Calibri"/>
        </w:rPr>
        <w:t>non-inferior in term</w:t>
      </w:r>
      <w:r w:rsidR="00156F8F" w:rsidRPr="004A13A7">
        <w:rPr>
          <w:rFonts w:eastAsia="Calibri"/>
        </w:rPr>
        <w:t>s</w:t>
      </w:r>
      <w:r w:rsidRPr="004A13A7">
        <w:rPr>
          <w:rFonts w:eastAsia="Calibri"/>
        </w:rPr>
        <w:t xml:space="preserve"> of safety compared to </w:t>
      </w:r>
      <w:r w:rsidR="006D660E" w:rsidRPr="004A13A7">
        <w:t>dulaglutide 1.</w:t>
      </w:r>
      <w:r w:rsidR="009C66EB" w:rsidRPr="004A13A7">
        <w:t>5</w:t>
      </w:r>
      <w:r w:rsidR="009C66EB">
        <w:t> </w:t>
      </w:r>
      <w:r w:rsidR="006D660E" w:rsidRPr="004A13A7">
        <w:t xml:space="preserve">mg. </w:t>
      </w:r>
      <w:r w:rsidR="00CF5C52">
        <w:t>The PBAC considered</w:t>
      </w:r>
      <w:r w:rsidR="006D660E" w:rsidRPr="004A13A7">
        <w:rPr>
          <w:rFonts w:eastAsia="Calibri"/>
        </w:rPr>
        <w:t xml:space="preserve"> </w:t>
      </w:r>
      <w:r w:rsidR="00CF5C52">
        <w:rPr>
          <w:rFonts w:eastAsia="Calibri"/>
        </w:rPr>
        <w:t>t</w:t>
      </w:r>
      <w:r w:rsidRPr="004A13A7">
        <w:rPr>
          <w:rFonts w:eastAsia="Calibri"/>
        </w:rPr>
        <w:t xml:space="preserve">his claim </w:t>
      </w:r>
      <w:r w:rsidR="00A25636" w:rsidRPr="004A13A7">
        <w:rPr>
          <w:rFonts w:eastAsia="Calibri"/>
        </w:rPr>
        <w:t>was adequately</w:t>
      </w:r>
      <w:r w:rsidRPr="004A13A7">
        <w:rPr>
          <w:rFonts w:eastAsia="Calibri"/>
        </w:rPr>
        <w:t xml:space="preserve"> supported</w:t>
      </w:r>
      <w:r w:rsidR="00A90998" w:rsidRPr="004A13A7">
        <w:rPr>
          <w:rFonts w:eastAsia="Calibri"/>
        </w:rPr>
        <w:t>, as there were no significant differences in the adverse events</w:t>
      </w:r>
      <w:r w:rsidR="007C70FF" w:rsidRPr="004A13A7">
        <w:rPr>
          <w:rFonts w:eastAsia="Calibri"/>
        </w:rPr>
        <w:t>.</w:t>
      </w:r>
    </w:p>
    <w:p w14:paraId="74A1172E" w14:textId="128C170E" w:rsidR="00B60939" w:rsidRPr="00C9624D" w:rsidRDefault="00B60939" w:rsidP="00E9094A">
      <w:pPr>
        <w:pStyle w:val="4-SubsectionHeading"/>
      </w:pPr>
      <w:bookmarkStart w:id="33" w:name="_Toc22897645"/>
      <w:bookmarkStart w:id="34" w:name="_Toc93496346"/>
      <w:r w:rsidRPr="00C9624D">
        <w:t>Economic analysis</w:t>
      </w:r>
      <w:bookmarkEnd w:id="33"/>
      <w:bookmarkEnd w:id="34"/>
      <w:r w:rsidR="00491B3A" w:rsidRPr="00C9624D">
        <w:t xml:space="preserve"> </w:t>
      </w:r>
    </w:p>
    <w:p w14:paraId="14C1E8F9" w14:textId="4411FA13" w:rsidR="00275C5A" w:rsidRPr="008C5739" w:rsidRDefault="006D660E" w:rsidP="00641FB3">
      <w:pPr>
        <w:pStyle w:val="3-BodyText"/>
        <w:rPr>
          <w:b/>
          <w:bCs/>
          <w:color w:val="0066FF"/>
          <w:lang w:val="en-US"/>
        </w:rPr>
      </w:pPr>
      <w:r w:rsidRPr="006D660E">
        <w:t>The submission presented a cost-minimisation analysis</w:t>
      </w:r>
      <w:r>
        <w:rPr>
          <w:color w:val="0066FF"/>
        </w:rPr>
        <w:t>.</w:t>
      </w:r>
    </w:p>
    <w:p w14:paraId="4A11C8F6" w14:textId="6AA3EB59" w:rsidR="00A86E8B" w:rsidRPr="00A86E8B" w:rsidRDefault="00012F6B" w:rsidP="00BB732D">
      <w:pPr>
        <w:pStyle w:val="3-BodyText"/>
      </w:pPr>
      <w:r>
        <w:t>Although the clinical data from the AWARD-11</w:t>
      </w:r>
      <w:r w:rsidR="005471C2">
        <w:t xml:space="preserve"> trial</w:t>
      </w:r>
      <w:r>
        <w:t xml:space="preserve"> </w:t>
      </w:r>
      <w:r w:rsidR="00BA0B21">
        <w:t>indicated</w:t>
      </w:r>
      <w:r>
        <w:t xml:space="preserve"> a dose response </w:t>
      </w:r>
      <w:r w:rsidR="00BA0B21">
        <w:t>relationship to</w:t>
      </w:r>
      <w:r>
        <w:t xml:space="preserve"> efficacy</w:t>
      </w:r>
      <w:r w:rsidR="00A90998">
        <w:t xml:space="preserve"> (based on reduction in HbA1c)</w:t>
      </w:r>
      <w:r>
        <w:t xml:space="preserve"> for dulaglutide 1.</w:t>
      </w:r>
      <w:r w:rsidR="009C66EB">
        <w:t>5 </w:t>
      </w:r>
      <w:r>
        <w:t>mg vs</w:t>
      </w:r>
      <w:r w:rsidR="00BA0B21">
        <w:t xml:space="preserve"> dulaglutide</w:t>
      </w:r>
      <w:r>
        <w:t xml:space="preserve"> 3.</w:t>
      </w:r>
      <w:r w:rsidR="009C66EB">
        <w:t>0 </w:t>
      </w:r>
      <w:r>
        <w:t xml:space="preserve">mg vs </w:t>
      </w:r>
      <w:r w:rsidR="00BA0B21">
        <w:t xml:space="preserve">dulaglutide </w:t>
      </w:r>
      <w:r>
        <w:t>4.</w:t>
      </w:r>
      <w:r w:rsidR="009C66EB">
        <w:t>5 </w:t>
      </w:r>
      <w:r>
        <w:t>mg, the submission proposed that for pricing purposes</w:t>
      </w:r>
      <w:r w:rsidR="00A90998">
        <w:t>,</w:t>
      </w:r>
      <w:r>
        <w:t xml:space="preserve"> these doses be considered equi-effective.</w:t>
      </w:r>
    </w:p>
    <w:p w14:paraId="7C1D0A0D" w14:textId="2D88A487" w:rsidR="00C25D9C" w:rsidRPr="00C42263" w:rsidRDefault="00A90998" w:rsidP="00BB732D">
      <w:pPr>
        <w:pStyle w:val="3-BodyText"/>
        <w:rPr>
          <w:color w:val="0066FF"/>
        </w:rPr>
      </w:pPr>
      <w:r w:rsidRPr="00C42263">
        <w:t>The submission appropriately did not include additional cost or cost-offsets for adverse events</w:t>
      </w:r>
      <w:r w:rsidRPr="00C42263">
        <w:rPr>
          <w:color w:val="0066FF"/>
        </w:rPr>
        <w:t>.</w:t>
      </w:r>
    </w:p>
    <w:p w14:paraId="7E2E5FBB" w14:textId="6E1C97CC" w:rsidR="0026453C" w:rsidRDefault="0026453C" w:rsidP="00BB732D">
      <w:pPr>
        <w:pStyle w:val="3-BodyText"/>
      </w:pPr>
      <w:r w:rsidRPr="00F747D2">
        <w:t xml:space="preserve">The prices proposed were therefore flat-priced, </w:t>
      </w:r>
      <w:r w:rsidR="007A6FF6" w:rsidRPr="00F747D2">
        <w:t>i.e.,</w:t>
      </w:r>
      <w:r w:rsidRPr="00F747D2">
        <w:t xml:space="preserve"> the same as for the currently listed 1.</w:t>
      </w:r>
      <w:r w:rsidR="009C66EB" w:rsidRPr="00F747D2">
        <w:t>5</w:t>
      </w:r>
      <w:r w:rsidR="009C66EB">
        <w:t> </w:t>
      </w:r>
      <w:r w:rsidRPr="00F747D2">
        <w:t xml:space="preserve">mg form. </w:t>
      </w:r>
    </w:p>
    <w:p w14:paraId="3497F5A5" w14:textId="77777777" w:rsidR="003C1F40" w:rsidRDefault="003C1F40" w:rsidP="003C1F40">
      <w:pPr>
        <w:pStyle w:val="3-BodyText"/>
      </w:pPr>
      <w:r>
        <w:t xml:space="preserve">The results of the cost-minimisation analysis are shown below. </w:t>
      </w:r>
    </w:p>
    <w:p w14:paraId="44B78C3D" w14:textId="77777777" w:rsidR="003C1F40" w:rsidRDefault="003C1F40" w:rsidP="003C1F40"/>
    <w:p w14:paraId="508BDD12" w14:textId="145068C1" w:rsidR="003C1F40" w:rsidRDefault="003C1F40" w:rsidP="003C1F40">
      <w:pPr>
        <w:pStyle w:val="TableFigureHeading"/>
        <w:rPr>
          <w:rStyle w:val="CommentReference"/>
          <w:b/>
          <w:szCs w:val="24"/>
        </w:rPr>
      </w:pPr>
      <w:r w:rsidRPr="00656188">
        <w:rPr>
          <w:rStyle w:val="CommentReference"/>
          <w:b/>
          <w:szCs w:val="24"/>
        </w:rPr>
        <w:t xml:space="preserve">Table </w:t>
      </w:r>
      <w:r>
        <w:rPr>
          <w:rStyle w:val="CommentReference"/>
          <w:b/>
          <w:szCs w:val="24"/>
        </w:rPr>
        <w:t>6</w:t>
      </w:r>
      <w:r w:rsidRPr="00656188">
        <w:rPr>
          <w:rStyle w:val="CommentReference"/>
          <w:b/>
          <w:szCs w:val="24"/>
        </w:rPr>
        <w:t>: Results of the cost-minimisation analysis</w:t>
      </w:r>
    </w:p>
    <w:tbl>
      <w:tblPr>
        <w:tblStyle w:val="TableGrid"/>
        <w:tblW w:w="0" w:type="auto"/>
        <w:tblLook w:val="04A0" w:firstRow="1" w:lastRow="0" w:firstColumn="1" w:lastColumn="0" w:noHBand="0" w:noVBand="1"/>
        <w:tblCaption w:val="Table 6: Result of the cost minimisation analysis"/>
      </w:tblPr>
      <w:tblGrid>
        <w:gridCol w:w="2111"/>
        <w:gridCol w:w="1098"/>
        <w:gridCol w:w="1545"/>
        <w:gridCol w:w="1948"/>
        <w:gridCol w:w="2314"/>
      </w:tblGrid>
      <w:tr w:rsidR="003C1F40" w:rsidRPr="00A52A6C" w14:paraId="22EE18A8" w14:textId="77777777" w:rsidTr="002C59A0">
        <w:trPr>
          <w:trHeight w:val="804"/>
        </w:trPr>
        <w:tc>
          <w:tcPr>
            <w:tcW w:w="2111" w:type="dxa"/>
          </w:tcPr>
          <w:p w14:paraId="20ACDE5F" w14:textId="77777777" w:rsidR="003C1F40" w:rsidRPr="00B1763D" w:rsidRDefault="003C1F40" w:rsidP="002C59A0">
            <w:pPr>
              <w:pStyle w:val="In-tableHeading"/>
            </w:pPr>
            <w:r w:rsidRPr="00B1763D">
              <w:t>Medicine</w:t>
            </w:r>
          </w:p>
        </w:tc>
        <w:tc>
          <w:tcPr>
            <w:tcW w:w="1098" w:type="dxa"/>
          </w:tcPr>
          <w:p w14:paraId="22DBAC65" w14:textId="5C1C9BDE" w:rsidR="003C1F40" w:rsidRPr="00B1763D" w:rsidRDefault="003C1F40" w:rsidP="002C59A0">
            <w:pPr>
              <w:pStyle w:val="In-tableHeading"/>
            </w:pPr>
            <w:r>
              <w:t>Cost</w:t>
            </w:r>
            <w:r w:rsidRPr="00B1763D">
              <w:t xml:space="preserve"> per dose</w:t>
            </w:r>
            <w:r w:rsidR="009C66EB">
              <w:t xml:space="preserve"> ($)</w:t>
            </w:r>
          </w:p>
        </w:tc>
        <w:tc>
          <w:tcPr>
            <w:tcW w:w="1545" w:type="dxa"/>
          </w:tcPr>
          <w:p w14:paraId="607155E9" w14:textId="77777777" w:rsidR="003C1F40" w:rsidRPr="00B1763D" w:rsidRDefault="003C1F40" w:rsidP="002C59A0">
            <w:pPr>
              <w:pStyle w:val="In-tableHeading"/>
            </w:pPr>
            <w:r w:rsidRPr="00B1763D">
              <w:t>Administrations per week</w:t>
            </w:r>
          </w:p>
        </w:tc>
        <w:tc>
          <w:tcPr>
            <w:tcW w:w="1948" w:type="dxa"/>
          </w:tcPr>
          <w:p w14:paraId="76F9C6D3" w14:textId="2F74EAAD" w:rsidR="003C1F40" w:rsidRPr="00B1763D" w:rsidRDefault="003C1F40" w:rsidP="002C59A0">
            <w:pPr>
              <w:pStyle w:val="In-tableHeading"/>
            </w:pPr>
            <w:r w:rsidRPr="00B1763D">
              <w:t>Total medicine cost per week</w:t>
            </w:r>
            <w:r w:rsidR="009C66EB">
              <w:t xml:space="preserve"> ($)</w:t>
            </w:r>
          </w:p>
        </w:tc>
        <w:tc>
          <w:tcPr>
            <w:tcW w:w="2314" w:type="dxa"/>
          </w:tcPr>
          <w:p w14:paraId="674D7E2B" w14:textId="77777777" w:rsidR="003C1F40" w:rsidRPr="00B1763D" w:rsidRDefault="003C1F40" w:rsidP="002C59A0">
            <w:pPr>
              <w:pStyle w:val="In-tableHeading"/>
            </w:pPr>
            <w:r w:rsidRPr="00B1763D">
              <w:t xml:space="preserve">Difference in medicine cost per week vs dulaglutide 1.5 mg </w:t>
            </w:r>
          </w:p>
        </w:tc>
      </w:tr>
      <w:tr w:rsidR="003C1F40" w:rsidRPr="00A52A6C" w14:paraId="35161607" w14:textId="77777777" w:rsidTr="002C59A0">
        <w:tc>
          <w:tcPr>
            <w:tcW w:w="9016" w:type="dxa"/>
            <w:gridSpan w:val="5"/>
            <w:shd w:val="clear" w:color="auto" w:fill="auto"/>
          </w:tcPr>
          <w:p w14:paraId="2334A120" w14:textId="77777777" w:rsidR="003C1F40" w:rsidRPr="00A52A6C" w:rsidRDefault="003C1F40" w:rsidP="002C59A0">
            <w:pPr>
              <w:pStyle w:val="Tabletext"/>
            </w:pPr>
            <w:r>
              <w:t>Cost-minimisation analysis: AEMP (effective)</w:t>
            </w:r>
          </w:p>
        </w:tc>
      </w:tr>
      <w:tr w:rsidR="003C1F40" w:rsidRPr="00A52A6C" w14:paraId="435B933B" w14:textId="77777777" w:rsidTr="002C59A0">
        <w:tc>
          <w:tcPr>
            <w:tcW w:w="2111" w:type="dxa"/>
          </w:tcPr>
          <w:p w14:paraId="2B57D65F" w14:textId="77777777" w:rsidR="003C1F40" w:rsidRPr="00A52A6C" w:rsidRDefault="003C1F40" w:rsidP="002C59A0">
            <w:pPr>
              <w:pStyle w:val="Tabletext"/>
            </w:pPr>
            <w:r>
              <w:t>Dulaglutide 4.5 mg</w:t>
            </w:r>
          </w:p>
        </w:tc>
        <w:tc>
          <w:tcPr>
            <w:tcW w:w="1098" w:type="dxa"/>
          </w:tcPr>
          <w:p w14:paraId="63C7CD75" w14:textId="59AC7BCB" w:rsidR="003C1F40" w:rsidRPr="00F66AF9" w:rsidRDefault="00F66AF9" w:rsidP="002C59A0">
            <w:pPr>
              <w:pStyle w:val="Tabletext"/>
            </w:pPr>
            <w:r w:rsidRPr="00F66AF9">
              <w:rPr>
                <w:rFonts w:cs="Calibri"/>
                <w:color w:val="000000"/>
              </w:rPr>
              <w:t>$</w:t>
            </w:r>
            <w:r w:rsidRPr="005D792F">
              <w:rPr>
                <w:rFonts w:cs="Calibri"/>
                <w:color w:val="000000"/>
                <w:spacing w:val="36"/>
                <w:shd w:val="solid" w:color="000000" w:fill="000000"/>
                <w:fitText w:val="440" w:id="-1510248703"/>
                <w14:textFill>
                  <w14:solidFill>
                    <w14:srgbClr w14:val="000000">
                      <w14:alpha w14:val="100000"/>
                    </w14:srgbClr>
                  </w14:solidFill>
                </w14:textFill>
              </w:rPr>
              <w:t>|||||</w:t>
            </w:r>
            <w:r w:rsidRPr="005D792F">
              <w:rPr>
                <w:rFonts w:cs="Calibri"/>
                <w:color w:val="000000"/>
                <w:spacing w:val="5"/>
                <w:shd w:val="solid" w:color="000000" w:fill="000000"/>
                <w:fitText w:val="440" w:id="-1510248703"/>
                <w14:textFill>
                  <w14:solidFill>
                    <w14:srgbClr w14:val="000000">
                      <w14:alpha w14:val="100000"/>
                    </w14:srgbClr>
                  </w14:solidFill>
                </w14:textFill>
              </w:rPr>
              <w:t>|</w:t>
            </w:r>
          </w:p>
        </w:tc>
        <w:tc>
          <w:tcPr>
            <w:tcW w:w="1545" w:type="dxa"/>
          </w:tcPr>
          <w:p w14:paraId="0321DE45" w14:textId="77777777" w:rsidR="003C1F40" w:rsidRPr="005230CE" w:rsidRDefault="003C1F40" w:rsidP="002C59A0">
            <w:pPr>
              <w:pStyle w:val="Tabletext"/>
            </w:pPr>
            <w:r w:rsidRPr="005230CE">
              <w:t>1</w:t>
            </w:r>
          </w:p>
        </w:tc>
        <w:tc>
          <w:tcPr>
            <w:tcW w:w="1948" w:type="dxa"/>
          </w:tcPr>
          <w:p w14:paraId="4558AB99" w14:textId="607FA426" w:rsidR="003C1F40" w:rsidRPr="00F66AF9" w:rsidRDefault="00F66AF9" w:rsidP="002C59A0">
            <w:pPr>
              <w:pStyle w:val="Tabletext"/>
            </w:pPr>
            <w:r w:rsidRPr="00F66AF9">
              <w:rPr>
                <w:rFonts w:cs="Calibri"/>
                <w:color w:val="000000"/>
              </w:rPr>
              <w:t>$</w:t>
            </w:r>
            <w:r w:rsidRPr="005D792F">
              <w:rPr>
                <w:rFonts w:cs="Calibri"/>
                <w:color w:val="000000"/>
                <w:spacing w:val="36"/>
                <w:shd w:val="solid" w:color="000000" w:fill="000000"/>
                <w:fitText w:val="440" w:id="-1510248702"/>
                <w14:textFill>
                  <w14:solidFill>
                    <w14:srgbClr w14:val="000000">
                      <w14:alpha w14:val="100000"/>
                    </w14:srgbClr>
                  </w14:solidFill>
                </w14:textFill>
              </w:rPr>
              <w:t>|||||</w:t>
            </w:r>
            <w:r w:rsidRPr="005D792F">
              <w:rPr>
                <w:rFonts w:cs="Calibri"/>
                <w:color w:val="000000"/>
                <w:spacing w:val="5"/>
                <w:shd w:val="solid" w:color="000000" w:fill="000000"/>
                <w:fitText w:val="440" w:id="-1510248702"/>
                <w14:textFill>
                  <w14:solidFill>
                    <w14:srgbClr w14:val="000000">
                      <w14:alpha w14:val="100000"/>
                    </w14:srgbClr>
                  </w14:solidFill>
                </w14:textFill>
              </w:rPr>
              <w:t>|</w:t>
            </w:r>
          </w:p>
        </w:tc>
        <w:tc>
          <w:tcPr>
            <w:tcW w:w="2314" w:type="dxa"/>
          </w:tcPr>
          <w:p w14:paraId="75BBDEB4" w14:textId="77777777" w:rsidR="003C1F40" w:rsidRPr="005230CE" w:rsidRDefault="003C1F40" w:rsidP="002C59A0">
            <w:pPr>
              <w:pStyle w:val="Tabletext"/>
            </w:pPr>
            <w:r>
              <w:t>$0.00</w:t>
            </w:r>
          </w:p>
        </w:tc>
      </w:tr>
      <w:tr w:rsidR="003C1F40" w:rsidRPr="00A52A6C" w14:paraId="77D5CA6A" w14:textId="77777777" w:rsidTr="002C59A0">
        <w:tc>
          <w:tcPr>
            <w:tcW w:w="2111" w:type="dxa"/>
          </w:tcPr>
          <w:p w14:paraId="2B2C1161" w14:textId="77777777" w:rsidR="003C1F40" w:rsidRPr="00A52A6C" w:rsidRDefault="003C1F40" w:rsidP="002C59A0">
            <w:pPr>
              <w:pStyle w:val="Tabletext"/>
            </w:pPr>
            <w:r>
              <w:t xml:space="preserve">Dulaglutide 3.0 mg </w:t>
            </w:r>
          </w:p>
        </w:tc>
        <w:tc>
          <w:tcPr>
            <w:tcW w:w="1098" w:type="dxa"/>
          </w:tcPr>
          <w:p w14:paraId="54A39300" w14:textId="021BE3DE" w:rsidR="003C1F40" w:rsidRPr="00F66AF9" w:rsidRDefault="00F66AF9" w:rsidP="002C59A0">
            <w:pPr>
              <w:pStyle w:val="Tabletext"/>
            </w:pPr>
            <w:r w:rsidRPr="00F66AF9">
              <w:rPr>
                <w:rFonts w:cs="Calibri"/>
                <w:color w:val="000000"/>
              </w:rPr>
              <w:t>$</w:t>
            </w:r>
            <w:r w:rsidRPr="005D792F">
              <w:rPr>
                <w:rFonts w:cs="Calibri"/>
                <w:color w:val="000000"/>
                <w:spacing w:val="36"/>
                <w:shd w:val="solid" w:color="000000" w:fill="000000"/>
                <w:fitText w:val="440" w:id="-1510248701"/>
                <w14:textFill>
                  <w14:solidFill>
                    <w14:srgbClr w14:val="000000">
                      <w14:alpha w14:val="100000"/>
                    </w14:srgbClr>
                  </w14:solidFill>
                </w14:textFill>
              </w:rPr>
              <w:t>|||||</w:t>
            </w:r>
            <w:r w:rsidRPr="005D792F">
              <w:rPr>
                <w:rFonts w:cs="Calibri"/>
                <w:color w:val="000000"/>
                <w:spacing w:val="5"/>
                <w:shd w:val="solid" w:color="000000" w:fill="000000"/>
                <w:fitText w:val="440" w:id="-1510248701"/>
                <w14:textFill>
                  <w14:solidFill>
                    <w14:srgbClr w14:val="000000">
                      <w14:alpha w14:val="100000"/>
                    </w14:srgbClr>
                  </w14:solidFill>
                </w14:textFill>
              </w:rPr>
              <w:t>|</w:t>
            </w:r>
          </w:p>
        </w:tc>
        <w:tc>
          <w:tcPr>
            <w:tcW w:w="1545" w:type="dxa"/>
          </w:tcPr>
          <w:p w14:paraId="224B3BE5" w14:textId="77777777" w:rsidR="003C1F40" w:rsidRPr="005230CE" w:rsidRDefault="003C1F40" w:rsidP="002C59A0">
            <w:pPr>
              <w:pStyle w:val="Tabletext"/>
            </w:pPr>
            <w:r w:rsidRPr="005230CE">
              <w:t>1</w:t>
            </w:r>
          </w:p>
        </w:tc>
        <w:tc>
          <w:tcPr>
            <w:tcW w:w="1948" w:type="dxa"/>
          </w:tcPr>
          <w:p w14:paraId="3B459250" w14:textId="6FCE4D91" w:rsidR="003C1F40" w:rsidRPr="00F66AF9" w:rsidRDefault="00F66AF9" w:rsidP="002C59A0">
            <w:pPr>
              <w:pStyle w:val="Tabletext"/>
            </w:pPr>
            <w:r w:rsidRPr="00F66AF9">
              <w:rPr>
                <w:rFonts w:cs="Calibri"/>
                <w:color w:val="000000"/>
              </w:rPr>
              <w:t>$</w:t>
            </w:r>
            <w:r w:rsidRPr="005D792F">
              <w:rPr>
                <w:rFonts w:cs="Calibri"/>
                <w:color w:val="000000"/>
                <w:spacing w:val="36"/>
                <w:shd w:val="solid" w:color="000000" w:fill="000000"/>
                <w:fitText w:val="440" w:id="-1510248700"/>
                <w14:textFill>
                  <w14:solidFill>
                    <w14:srgbClr w14:val="000000">
                      <w14:alpha w14:val="100000"/>
                    </w14:srgbClr>
                  </w14:solidFill>
                </w14:textFill>
              </w:rPr>
              <w:t>|||||</w:t>
            </w:r>
            <w:r w:rsidRPr="005D792F">
              <w:rPr>
                <w:rFonts w:cs="Calibri"/>
                <w:color w:val="000000"/>
                <w:spacing w:val="5"/>
                <w:shd w:val="solid" w:color="000000" w:fill="000000"/>
                <w:fitText w:val="440" w:id="-1510248700"/>
                <w14:textFill>
                  <w14:solidFill>
                    <w14:srgbClr w14:val="000000">
                      <w14:alpha w14:val="100000"/>
                    </w14:srgbClr>
                  </w14:solidFill>
                </w14:textFill>
              </w:rPr>
              <w:t>|</w:t>
            </w:r>
          </w:p>
        </w:tc>
        <w:tc>
          <w:tcPr>
            <w:tcW w:w="2314" w:type="dxa"/>
          </w:tcPr>
          <w:p w14:paraId="770AE3E5" w14:textId="77777777" w:rsidR="003C1F40" w:rsidRPr="005230CE" w:rsidRDefault="003C1F40" w:rsidP="002C59A0">
            <w:pPr>
              <w:pStyle w:val="Tabletext"/>
            </w:pPr>
            <w:r>
              <w:t>$0.00</w:t>
            </w:r>
          </w:p>
        </w:tc>
      </w:tr>
      <w:tr w:rsidR="003C1F40" w:rsidRPr="00A52A6C" w14:paraId="3D9C4B76" w14:textId="77777777" w:rsidTr="002C59A0">
        <w:tc>
          <w:tcPr>
            <w:tcW w:w="2111" w:type="dxa"/>
          </w:tcPr>
          <w:p w14:paraId="5FC33905" w14:textId="77777777" w:rsidR="003C1F40" w:rsidRPr="00A52A6C" w:rsidRDefault="003C1F40" w:rsidP="002C59A0">
            <w:pPr>
              <w:pStyle w:val="Tabletext"/>
            </w:pPr>
            <w:r>
              <w:t>Dulaglutide 1.5 mg</w:t>
            </w:r>
          </w:p>
        </w:tc>
        <w:tc>
          <w:tcPr>
            <w:tcW w:w="1098" w:type="dxa"/>
          </w:tcPr>
          <w:p w14:paraId="5F6F600A" w14:textId="4EC1A7A0" w:rsidR="003C1F40" w:rsidRPr="00F66AF9" w:rsidRDefault="00F66AF9" w:rsidP="002C59A0">
            <w:pPr>
              <w:pStyle w:val="Tabletext"/>
            </w:pPr>
            <w:r w:rsidRPr="00F66AF9">
              <w:rPr>
                <w:rFonts w:cs="Calibri"/>
                <w:color w:val="000000"/>
              </w:rPr>
              <w:t>$</w:t>
            </w:r>
            <w:r w:rsidRPr="005D792F">
              <w:rPr>
                <w:rFonts w:cs="Calibri"/>
                <w:color w:val="000000"/>
                <w:spacing w:val="36"/>
                <w:shd w:val="solid" w:color="000000" w:fill="000000"/>
                <w:fitText w:val="440" w:id="-1510248699"/>
                <w14:textFill>
                  <w14:solidFill>
                    <w14:srgbClr w14:val="000000">
                      <w14:alpha w14:val="100000"/>
                    </w14:srgbClr>
                  </w14:solidFill>
                </w14:textFill>
              </w:rPr>
              <w:t>|||||</w:t>
            </w:r>
            <w:r w:rsidRPr="005D792F">
              <w:rPr>
                <w:rFonts w:cs="Calibri"/>
                <w:color w:val="000000"/>
                <w:spacing w:val="5"/>
                <w:shd w:val="solid" w:color="000000" w:fill="000000"/>
                <w:fitText w:val="440" w:id="-1510248699"/>
                <w14:textFill>
                  <w14:solidFill>
                    <w14:srgbClr w14:val="000000">
                      <w14:alpha w14:val="100000"/>
                    </w14:srgbClr>
                  </w14:solidFill>
                </w14:textFill>
              </w:rPr>
              <w:t>|</w:t>
            </w:r>
          </w:p>
        </w:tc>
        <w:tc>
          <w:tcPr>
            <w:tcW w:w="1545" w:type="dxa"/>
          </w:tcPr>
          <w:p w14:paraId="4EC436B3" w14:textId="77777777" w:rsidR="003C1F40" w:rsidRPr="005230CE" w:rsidRDefault="003C1F40" w:rsidP="002C59A0">
            <w:pPr>
              <w:pStyle w:val="Tabletext"/>
            </w:pPr>
            <w:r w:rsidRPr="005230CE">
              <w:t>1</w:t>
            </w:r>
          </w:p>
        </w:tc>
        <w:tc>
          <w:tcPr>
            <w:tcW w:w="1948" w:type="dxa"/>
          </w:tcPr>
          <w:p w14:paraId="58734D6A" w14:textId="57DACDEF" w:rsidR="003C1F40" w:rsidRPr="00F66AF9" w:rsidRDefault="00F66AF9" w:rsidP="002C59A0">
            <w:pPr>
              <w:pStyle w:val="Tabletext"/>
            </w:pPr>
            <w:r w:rsidRPr="00F66AF9">
              <w:rPr>
                <w:rFonts w:cs="Calibri"/>
                <w:color w:val="000000"/>
              </w:rPr>
              <w:t>$</w:t>
            </w:r>
            <w:r w:rsidRPr="005D792F">
              <w:rPr>
                <w:rFonts w:cs="Calibri"/>
                <w:color w:val="000000"/>
                <w:spacing w:val="36"/>
                <w:shd w:val="solid" w:color="000000" w:fill="000000"/>
                <w:fitText w:val="440" w:id="-1510248698"/>
                <w14:textFill>
                  <w14:solidFill>
                    <w14:srgbClr w14:val="000000">
                      <w14:alpha w14:val="100000"/>
                    </w14:srgbClr>
                  </w14:solidFill>
                </w14:textFill>
              </w:rPr>
              <w:t>|||||</w:t>
            </w:r>
            <w:r w:rsidRPr="005D792F">
              <w:rPr>
                <w:rFonts w:cs="Calibri"/>
                <w:color w:val="000000"/>
                <w:spacing w:val="5"/>
                <w:shd w:val="solid" w:color="000000" w:fill="000000"/>
                <w:fitText w:val="440" w:id="-1510248698"/>
                <w14:textFill>
                  <w14:solidFill>
                    <w14:srgbClr w14:val="000000">
                      <w14:alpha w14:val="100000"/>
                    </w14:srgbClr>
                  </w14:solidFill>
                </w14:textFill>
              </w:rPr>
              <w:t>|</w:t>
            </w:r>
          </w:p>
        </w:tc>
        <w:tc>
          <w:tcPr>
            <w:tcW w:w="2314" w:type="dxa"/>
          </w:tcPr>
          <w:p w14:paraId="5A6DB3EC" w14:textId="77777777" w:rsidR="003C1F40" w:rsidRPr="005230CE" w:rsidRDefault="003C1F40" w:rsidP="002C59A0">
            <w:pPr>
              <w:pStyle w:val="Tabletext"/>
            </w:pPr>
            <w:r>
              <w:t>-</w:t>
            </w:r>
          </w:p>
        </w:tc>
      </w:tr>
      <w:tr w:rsidR="003C1F40" w:rsidRPr="00A52A6C" w14:paraId="35B05A7D" w14:textId="77777777" w:rsidTr="002C59A0">
        <w:tc>
          <w:tcPr>
            <w:tcW w:w="9016" w:type="dxa"/>
            <w:gridSpan w:val="5"/>
            <w:shd w:val="clear" w:color="auto" w:fill="auto"/>
          </w:tcPr>
          <w:p w14:paraId="3007C8D5" w14:textId="77777777" w:rsidR="003C1F40" w:rsidRPr="00A52A6C" w:rsidRDefault="003C1F40" w:rsidP="002C59A0">
            <w:pPr>
              <w:pStyle w:val="Tabletext"/>
            </w:pPr>
            <w:r>
              <w:t>Cost minimisation analysis: DPMQ</w:t>
            </w:r>
          </w:p>
        </w:tc>
      </w:tr>
      <w:tr w:rsidR="003C1F40" w:rsidRPr="00A52A6C" w14:paraId="6E9F8C19" w14:textId="77777777" w:rsidTr="002C59A0">
        <w:tc>
          <w:tcPr>
            <w:tcW w:w="2111" w:type="dxa"/>
          </w:tcPr>
          <w:p w14:paraId="498C2F59" w14:textId="77777777" w:rsidR="003C1F40" w:rsidRPr="00A52A6C" w:rsidRDefault="003C1F40" w:rsidP="002C59A0">
            <w:pPr>
              <w:pStyle w:val="Tabletext"/>
            </w:pPr>
            <w:r>
              <w:t>Dulaglutide 4.5 mg</w:t>
            </w:r>
          </w:p>
        </w:tc>
        <w:tc>
          <w:tcPr>
            <w:tcW w:w="1098" w:type="dxa"/>
          </w:tcPr>
          <w:p w14:paraId="22013D2E" w14:textId="77777777" w:rsidR="003C1F40" w:rsidRPr="00035B33" w:rsidRDefault="003C1F40" w:rsidP="002C59A0">
            <w:pPr>
              <w:pStyle w:val="Tabletext"/>
            </w:pPr>
            <w:r w:rsidRPr="00035B33">
              <w:t>$33.22</w:t>
            </w:r>
          </w:p>
        </w:tc>
        <w:tc>
          <w:tcPr>
            <w:tcW w:w="1545" w:type="dxa"/>
          </w:tcPr>
          <w:p w14:paraId="2494CB01" w14:textId="77777777" w:rsidR="003C1F40" w:rsidRPr="00B1763D" w:rsidRDefault="003C1F40" w:rsidP="002C59A0">
            <w:pPr>
              <w:pStyle w:val="Tabletext"/>
            </w:pPr>
            <w:r w:rsidRPr="00B1763D">
              <w:t>1</w:t>
            </w:r>
          </w:p>
        </w:tc>
        <w:tc>
          <w:tcPr>
            <w:tcW w:w="1948" w:type="dxa"/>
          </w:tcPr>
          <w:p w14:paraId="7B3CAF2A" w14:textId="77777777" w:rsidR="003C1F40" w:rsidRPr="00035B33" w:rsidRDefault="003C1F40" w:rsidP="002C59A0">
            <w:pPr>
              <w:pStyle w:val="Tabletext"/>
            </w:pPr>
            <w:r w:rsidRPr="00035B33">
              <w:t>$33.22</w:t>
            </w:r>
          </w:p>
        </w:tc>
        <w:tc>
          <w:tcPr>
            <w:tcW w:w="2314" w:type="dxa"/>
          </w:tcPr>
          <w:p w14:paraId="6218DB3D" w14:textId="77777777" w:rsidR="003C1F40" w:rsidRPr="005230CE" w:rsidRDefault="003C1F40" w:rsidP="002C59A0">
            <w:pPr>
              <w:pStyle w:val="Tabletext"/>
            </w:pPr>
            <w:r>
              <w:t>$0.00</w:t>
            </w:r>
          </w:p>
        </w:tc>
      </w:tr>
      <w:tr w:rsidR="003C1F40" w:rsidRPr="00A52A6C" w14:paraId="288CCA56" w14:textId="77777777" w:rsidTr="002C59A0">
        <w:tc>
          <w:tcPr>
            <w:tcW w:w="2111" w:type="dxa"/>
          </w:tcPr>
          <w:p w14:paraId="79CE8C38" w14:textId="77777777" w:rsidR="003C1F40" w:rsidRPr="00A52A6C" w:rsidRDefault="003C1F40" w:rsidP="002C59A0">
            <w:pPr>
              <w:pStyle w:val="Tabletext"/>
            </w:pPr>
            <w:r>
              <w:t xml:space="preserve">Dulaglutide 3.0 mg </w:t>
            </w:r>
          </w:p>
        </w:tc>
        <w:tc>
          <w:tcPr>
            <w:tcW w:w="1098" w:type="dxa"/>
          </w:tcPr>
          <w:p w14:paraId="03E64B57" w14:textId="77777777" w:rsidR="003C1F40" w:rsidRPr="00035B33" w:rsidRDefault="003C1F40" w:rsidP="002C59A0">
            <w:pPr>
              <w:pStyle w:val="Tabletext"/>
            </w:pPr>
            <w:r w:rsidRPr="00035B33">
              <w:t>$33.22</w:t>
            </w:r>
          </w:p>
        </w:tc>
        <w:tc>
          <w:tcPr>
            <w:tcW w:w="1545" w:type="dxa"/>
          </w:tcPr>
          <w:p w14:paraId="34E4F9FC" w14:textId="77777777" w:rsidR="003C1F40" w:rsidRPr="00B1763D" w:rsidRDefault="003C1F40" w:rsidP="002C59A0">
            <w:pPr>
              <w:pStyle w:val="Tabletext"/>
            </w:pPr>
            <w:r w:rsidRPr="00B1763D">
              <w:t>1</w:t>
            </w:r>
          </w:p>
        </w:tc>
        <w:tc>
          <w:tcPr>
            <w:tcW w:w="1948" w:type="dxa"/>
          </w:tcPr>
          <w:p w14:paraId="4F5706EC" w14:textId="77777777" w:rsidR="003C1F40" w:rsidRPr="00035B33" w:rsidRDefault="003C1F40" w:rsidP="002C59A0">
            <w:pPr>
              <w:pStyle w:val="Tabletext"/>
            </w:pPr>
            <w:r w:rsidRPr="00035B33">
              <w:t>$33.22</w:t>
            </w:r>
          </w:p>
        </w:tc>
        <w:tc>
          <w:tcPr>
            <w:tcW w:w="2314" w:type="dxa"/>
          </w:tcPr>
          <w:p w14:paraId="58B1656C" w14:textId="77777777" w:rsidR="003C1F40" w:rsidRPr="005230CE" w:rsidRDefault="003C1F40" w:rsidP="002C59A0">
            <w:pPr>
              <w:pStyle w:val="Tabletext"/>
            </w:pPr>
            <w:r>
              <w:t>$0.00</w:t>
            </w:r>
          </w:p>
        </w:tc>
      </w:tr>
      <w:tr w:rsidR="003C1F40" w:rsidRPr="00A52A6C" w14:paraId="1D36859F" w14:textId="77777777" w:rsidTr="002C59A0">
        <w:tc>
          <w:tcPr>
            <w:tcW w:w="2111" w:type="dxa"/>
          </w:tcPr>
          <w:p w14:paraId="3C3B0083" w14:textId="77777777" w:rsidR="003C1F40" w:rsidRPr="00A52A6C" w:rsidRDefault="003C1F40" w:rsidP="002C59A0">
            <w:pPr>
              <w:pStyle w:val="Tabletext"/>
            </w:pPr>
            <w:r>
              <w:t>Dulaglutide 1.5 mg</w:t>
            </w:r>
          </w:p>
        </w:tc>
        <w:tc>
          <w:tcPr>
            <w:tcW w:w="1098" w:type="dxa"/>
          </w:tcPr>
          <w:p w14:paraId="3E8F6F11" w14:textId="77777777" w:rsidR="003C1F40" w:rsidRPr="00035B33" w:rsidRDefault="003C1F40" w:rsidP="002C59A0">
            <w:pPr>
              <w:pStyle w:val="Tabletext"/>
            </w:pPr>
            <w:r w:rsidRPr="00035B33">
              <w:t>$33.22</w:t>
            </w:r>
          </w:p>
        </w:tc>
        <w:tc>
          <w:tcPr>
            <w:tcW w:w="1545" w:type="dxa"/>
          </w:tcPr>
          <w:p w14:paraId="1FA4B1F9" w14:textId="77777777" w:rsidR="003C1F40" w:rsidRPr="00B1763D" w:rsidRDefault="003C1F40" w:rsidP="002C59A0">
            <w:pPr>
              <w:pStyle w:val="Tabletext"/>
            </w:pPr>
            <w:r w:rsidRPr="00B1763D">
              <w:t>1</w:t>
            </w:r>
          </w:p>
        </w:tc>
        <w:tc>
          <w:tcPr>
            <w:tcW w:w="1948" w:type="dxa"/>
          </w:tcPr>
          <w:p w14:paraId="0C4C6C49" w14:textId="77777777" w:rsidR="003C1F40" w:rsidRPr="00035B33" w:rsidRDefault="003C1F40" w:rsidP="002C59A0">
            <w:pPr>
              <w:pStyle w:val="Tabletext"/>
            </w:pPr>
            <w:r w:rsidRPr="00035B33">
              <w:t>$33.22</w:t>
            </w:r>
          </w:p>
        </w:tc>
        <w:tc>
          <w:tcPr>
            <w:tcW w:w="2314" w:type="dxa"/>
          </w:tcPr>
          <w:p w14:paraId="6AE2E34A" w14:textId="77777777" w:rsidR="003C1F40" w:rsidRPr="005230CE" w:rsidRDefault="003C1F40" w:rsidP="002C59A0">
            <w:pPr>
              <w:pStyle w:val="Tabletext"/>
            </w:pPr>
            <w:r>
              <w:t>-</w:t>
            </w:r>
          </w:p>
        </w:tc>
      </w:tr>
    </w:tbl>
    <w:p w14:paraId="77A2CCB2" w14:textId="60843990" w:rsidR="003C1F40" w:rsidRPr="00F747D2" w:rsidRDefault="003C1F40" w:rsidP="00252A86">
      <w:pPr>
        <w:pStyle w:val="TableFigureFooter"/>
      </w:pPr>
      <w:r>
        <w:t>Source: Table 3.4.2, , p84 of the submission.</w:t>
      </w:r>
    </w:p>
    <w:p w14:paraId="28932A9F" w14:textId="6FC7D6B1" w:rsidR="009776ED" w:rsidRDefault="00C25D9C" w:rsidP="00252A86">
      <w:pPr>
        <w:pStyle w:val="4-SubsectionHeading"/>
      </w:pPr>
      <w:bookmarkStart w:id="35" w:name="_Toc22897646"/>
      <w:bookmarkStart w:id="36" w:name="_Toc93496347"/>
      <w:r w:rsidRPr="002C2775">
        <w:t>Drug cost/patient/year</w:t>
      </w:r>
      <w:bookmarkEnd w:id="35"/>
      <w:bookmarkEnd w:id="36"/>
    </w:p>
    <w:p w14:paraId="108B7EE4" w14:textId="204C16F2" w:rsidR="00494207" w:rsidRPr="00252A86" w:rsidRDefault="009776ED" w:rsidP="00252A86">
      <w:pPr>
        <w:pStyle w:val="3-BodyText"/>
        <w:rPr>
          <w:rFonts w:ascii="Arial Narrow" w:hAnsi="Arial Narrow"/>
          <w:sz w:val="20"/>
        </w:rPr>
      </w:pPr>
      <w:r>
        <w:t>The cost per patient per year using the effective DPMQ of $</w:t>
      </w:r>
      <w:r w:rsidR="00F66AF9" w:rsidRPr="005D792F">
        <w:rPr>
          <w:color w:val="000000"/>
          <w:w w:val="52"/>
          <w:shd w:val="solid" w:color="000000" w:fill="000000"/>
          <w:fitText w:val="640" w:id="-1510248697"/>
          <w14:textFill>
            <w14:solidFill>
              <w14:srgbClr w14:val="000000">
                <w14:alpha w14:val="100000"/>
              </w14:srgbClr>
            </w14:solidFill>
          </w14:textFill>
        </w:rPr>
        <w:t>|||||  |||||</w:t>
      </w:r>
      <w:r w:rsidR="00C0469E">
        <w:t>, assuming 2 scripts per patient per year, is $</w:t>
      </w:r>
      <w:r w:rsidR="00F66AF9" w:rsidRPr="005D792F">
        <w:rPr>
          <w:color w:val="000000"/>
          <w:w w:val="15"/>
          <w:shd w:val="solid" w:color="000000" w:fill="000000"/>
          <w:fitText w:val="-20" w:id="-1510248696"/>
          <w14:textFill>
            <w14:solidFill>
              <w14:srgbClr w14:val="000000">
                <w14:alpha w14:val="100000"/>
              </w14:srgbClr>
            </w14:solidFill>
          </w14:textFill>
        </w:rPr>
        <w:t xml:space="preserve">|  </w:t>
      </w:r>
      <w:r w:rsidR="00F66AF9" w:rsidRPr="005D792F">
        <w:rPr>
          <w:color w:val="000000"/>
          <w:spacing w:val="-69"/>
          <w:w w:val="15"/>
          <w:shd w:val="solid" w:color="000000" w:fill="000000"/>
          <w:fitText w:val="-20" w:id="-1510248696"/>
          <w14:textFill>
            <w14:solidFill>
              <w14:srgbClr w14:val="000000">
                <w14:alpha w14:val="100000"/>
              </w14:srgbClr>
            </w14:solidFill>
          </w14:textFill>
        </w:rPr>
        <w:t>|</w:t>
      </w:r>
    </w:p>
    <w:p w14:paraId="268768EF" w14:textId="241CA4F8" w:rsidR="00B60939" w:rsidRPr="00C9624D" w:rsidRDefault="00B60939" w:rsidP="00042926">
      <w:pPr>
        <w:pStyle w:val="4-SubsectionHeading"/>
      </w:pPr>
      <w:bookmarkStart w:id="37" w:name="_Toc22897647"/>
      <w:bookmarkStart w:id="38" w:name="_Toc93496348"/>
      <w:r w:rsidRPr="00C9624D">
        <w:t>Estimated PBS usage &amp; financial implications</w:t>
      </w:r>
      <w:bookmarkEnd w:id="37"/>
      <w:bookmarkEnd w:id="38"/>
    </w:p>
    <w:p w14:paraId="25404645" w14:textId="6775FD50" w:rsidR="00042926" w:rsidRPr="00042926" w:rsidRDefault="00C25D9C" w:rsidP="002B05A1">
      <w:pPr>
        <w:pStyle w:val="3-BodyText"/>
        <w:rPr>
          <w:color w:val="0066FF"/>
        </w:rPr>
      </w:pPr>
      <w:r>
        <w:t xml:space="preserve">This submission </w:t>
      </w:r>
      <w:r w:rsidR="004A13A7">
        <w:t xml:space="preserve">was not </w:t>
      </w:r>
      <w:r>
        <w:t xml:space="preserve">considered by </w:t>
      </w:r>
      <w:r w:rsidRPr="00D51C1A">
        <w:t>DUSC.</w:t>
      </w:r>
      <w:r w:rsidR="00BC591F" w:rsidRPr="00D51C1A">
        <w:t xml:space="preserve"> </w:t>
      </w:r>
      <w:r w:rsidR="004D74EC" w:rsidRPr="004D74EC">
        <w:t xml:space="preserve">The </w:t>
      </w:r>
      <w:r w:rsidR="004D74EC">
        <w:t>submission</w:t>
      </w:r>
      <w:r w:rsidR="004D74EC" w:rsidRPr="004D74EC">
        <w:t xml:space="preserve"> </w:t>
      </w:r>
      <w:r w:rsidR="004D74EC">
        <w:t>presented a market share approach to estimating likely use of du</w:t>
      </w:r>
      <w:r w:rsidR="00DB34D9">
        <w:t>l</w:t>
      </w:r>
      <w:r w:rsidR="004D74EC">
        <w:t>aglutide 3.</w:t>
      </w:r>
      <w:r w:rsidR="00035B33">
        <w:t>0 </w:t>
      </w:r>
      <w:r w:rsidR="00CF6D7E">
        <w:t>mg</w:t>
      </w:r>
      <w:r w:rsidR="004D74EC">
        <w:t xml:space="preserve"> and 4.</w:t>
      </w:r>
      <w:r w:rsidR="00035B33">
        <w:t>5 </w:t>
      </w:r>
      <w:r w:rsidR="004D74EC">
        <w:t>mg injections, based on an extrapolation of the use of the 1.</w:t>
      </w:r>
      <w:r w:rsidR="00035B33">
        <w:t>5 </w:t>
      </w:r>
      <w:r w:rsidR="004D74EC">
        <w:t xml:space="preserve">mg strength for the period from </w:t>
      </w:r>
      <w:r w:rsidR="004D74EC" w:rsidRPr="004D74EC">
        <w:t>June 2018 to February 2021</w:t>
      </w:r>
      <w:r w:rsidR="004D74EC">
        <w:t>. This is the period when dulaglutide was not listed for use in combination with in</w:t>
      </w:r>
      <w:r w:rsidR="00042926">
        <w:t>sulin, which commenced in March 2021.</w:t>
      </w:r>
      <w:r w:rsidR="004D74EC">
        <w:t xml:space="preserve"> </w:t>
      </w:r>
    </w:p>
    <w:p w14:paraId="392EC206" w14:textId="77777777" w:rsidR="00470891" w:rsidRDefault="00470891">
      <w:pPr>
        <w:jc w:val="left"/>
        <w:rPr>
          <w:rStyle w:val="CommentReference"/>
          <w:rFonts w:eastAsiaTheme="majorEastAsia" w:cstheme="majorBidi"/>
          <w:bCs/>
          <w:szCs w:val="24"/>
        </w:rPr>
      </w:pPr>
      <w:r>
        <w:rPr>
          <w:rStyle w:val="CommentReference"/>
          <w:b w:val="0"/>
          <w:szCs w:val="24"/>
        </w:rPr>
        <w:br w:type="page"/>
      </w:r>
    </w:p>
    <w:p w14:paraId="52D17141" w14:textId="66392434" w:rsidR="00042926" w:rsidRDefault="00E42F73" w:rsidP="00042926">
      <w:pPr>
        <w:pStyle w:val="TableFigureHeading"/>
      </w:pPr>
      <w:r w:rsidRPr="007925DF">
        <w:rPr>
          <w:rStyle w:val="CommentReference"/>
          <w:b/>
          <w:szCs w:val="24"/>
        </w:rPr>
        <w:lastRenderedPageBreak/>
        <w:t xml:space="preserve">Table </w:t>
      </w:r>
      <w:r w:rsidR="003C1F40">
        <w:rPr>
          <w:rStyle w:val="CommentReference"/>
          <w:b/>
          <w:szCs w:val="24"/>
        </w:rPr>
        <w:t>7</w:t>
      </w:r>
      <w:r w:rsidRPr="007925DF">
        <w:rPr>
          <w:rStyle w:val="CommentReference"/>
          <w:b/>
          <w:szCs w:val="24"/>
        </w:rPr>
        <w:t>: Key inputs for financial estimates</w:t>
      </w:r>
    </w:p>
    <w:tbl>
      <w:tblPr>
        <w:tblStyle w:val="TableGrid"/>
        <w:tblW w:w="0" w:type="auto"/>
        <w:tblLook w:val="04A0" w:firstRow="1" w:lastRow="0" w:firstColumn="1" w:lastColumn="0" w:noHBand="0" w:noVBand="1"/>
        <w:tblCaption w:val="Table 7: Key inputs for financial estimates"/>
      </w:tblPr>
      <w:tblGrid>
        <w:gridCol w:w="2290"/>
        <w:gridCol w:w="2426"/>
        <w:gridCol w:w="2367"/>
        <w:gridCol w:w="1934"/>
      </w:tblGrid>
      <w:tr w:rsidR="00042926" w:rsidRPr="00675B78" w14:paraId="3998E39F" w14:textId="77777777" w:rsidTr="00252A0F">
        <w:tc>
          <w:tcPr>
            <w:tcW w:w="2290" w:type="dxa"/>
          </w:tcPr>
          <w:p w14:paraId="1FF79CAF" w14:textId="77777777" w:rsidR="00042926" w:rsidRPr="00675B78" w:rsidRDefault="00042926" w:rsidP="00252A0F">
            <w:pPr>
              <w:pStyle w:val="Tabletext"/>
              <w:rPr>
                <w:rFonts w:eastAsiaTheme="majorEastAsia"/>
              </w:rPr>
            </w:pPr>
          </w:p>
        </w:tc>
        <w:tc>
          <w:tcPr>
            <w:tcW w:w="2426" w:type="dxa"/>
          </w:tcPr>
          <w:p w14:paraId="7942ABDB" w14:textId="77777777" w:rsidR="00042926" w:rsidRPr="00675B78" w:rsidRDefault="00042926" w:rsidP="00252A0F">
            <w:pPr>
              <w:pStyle w:val="In-tableHeading"/>
            </w:pPr>
            <w:r w:rsidRPr="00675B78">
              <w:t>Value</w:t>
            </w:r>
          </w:p>
        </w:tc>
        <w:tc>
          <w:tcPr>
            <w:tcW w:w="2367" w:type="dxa"/>
          </w:tcPr>
          <w:p w14:paraId="0DC7D8F0" w14:textId="77777777" w:rsidR="00042926" w:rsidRPr="00675B78" w:rsidRDefault="00042926" w:rsidP="00252A0F">
            <w:pPr>
              <w:pStyle w:val="In-tableHeading"/>
            </w:pPr>
            <w:r w:rsidRPr="00675B78">
              <w:t>Source</w:t>
            </w:r>
          </w:p>
        </w:tc>
        <w:tc>
          <w:tcPr>
            <w:tcW w:w="1934" w:type="dxa"/>
          </w:tcPr>
          <w:p w14:paraId="46DA23B6" w14:textId="77777777" w:rsidR="00042926" w:rsidRPr="00675B78" w:rsidRDefault="00042926" w:rsidP="00252A0F">
            <w:pPr>
              <w:pStyle w:val="In-tableHeading"/>
            </w:pPr>
            <w:r>
              <w:t>comments</w:t>
            </w:r>
          </w:p>
        </w:tc>
      </w:tr>
      <w:tr w:rsidR="008023F7" w:rsidRPr="00675B78" w14:paraId="3368C8A7" w14:textId="77777777" w:rsidTr="00252A0F">
        <w:tc>
          <w:tcPr>
            <w:tcW w:w="7083" w:type="dxa"/>
            <w:gridSpan w:val="3"/>
            <w:shd w:val="clear" w:color="auto" w:fill="auto"/>
          </w:tcPr>
          <w:p w14:paraId="396110D2" w14:textId="77777777" w:rsidR="008023F7" w:rsidRPr="00675B78" w:rsidRDefault="008023F7" w:rsidP="00252A0F">
            <w:pPr>
              <w:pStyle w:val="Tabletext"/>
              <w:rPr>
                <w:rFonts w:eastAsiaTheme="majorEastAsia"/>
                <w:bCs/>
              </w:rPr>
            </w:pPr>
            <w:r w:rsidRPr="00675B78">
              <w:rPr>
                <w:rFonts w:eastAsiaTheme="majorEastAsia"/>
                <w:bCs/>
              </w:rPr>
              <w:t>Number of dulaglutide 1.5 mg prescriptions</w:t>
            </w:r>
          </w:p>
        </w:tc>
        <w:tc>
          <w:tcPr>
            <w:tcW w:w="1934" w:type="dxa"/>
            <w:shd w:val="clear" w:color="auto" w:fill="auto"/>
          </w:tcPr>
          <w:p w14:paraId="5BCF1BC2" w14:textId="77777777" w:rsidR="008023F7" w:rsidRPr="00675B78" w:rsidRDefault="008023F7" w:rsidP="00252A0F">
            <w:pPr>
              <w:pStyle w:val="Tabletext"/>
              <w:rPr>
                <w:rFonts w:eastAsiaTheme="majorEastAsia"/>
                <w:bCs/>
              </w:rPr>
            </w:pPr>
          </w:p>
        </w:tc>
      </w:tr>
      <w:tr w:rsidR="00042926" w:rsidRPr="00675B78" w14:paraId="18096058" w14:textId="77777777" w:rsidTr="00252A0F">
        <w:tc>
          <w:tcPr>
            <w:tcW w:w="2290" w:type="dxa"/>
          </w:tcPr>
          <w:p w14:paraId="55E68D14" w14:textId="77777777" w:rsidR="00042926" w:rsidRPr="00675B78" w:rsidRDefault="00042926" w:rsidP="00252A0F">
            <w:pPr>
              <w:pStyle w:val="Tabletext"/>
              <w:rPr>
                <w:rFonts w:eastAsiaTheme="majorEastAsia"/>
              </w:rPr>
            </w:pPr>
            <w:r w:rsidRPr="00675B78">
              <w:rPr>
                <w:rFonts w:eastAsiaTheme="majorEastAsia"/>
              </w:rPr>
              <w:t xml:space="preserve">Dulaglutide 1.5 mg </w:t>
            </w:r>
          </w:p>
        </w:tc>
        <w:tc>
          <w:tcPr>
            <w:tcW w:w="2426" w:type="dxa"/>
          </w:tcPr>
          <w:p w14:paraId="08BF0D03" w14:textId="77777777" w:rsidR="00042926" w:rsidRPr="00675B78" w:rsidRDefault="00042926" w:rsidP="00252A0F">
            <w:pPr>
              <w:pStyle w:val="Tabletext"/>
              <w:rPr>
                <w:rFonts w:eastAsiaTheme="majorEastAsia"/>
              </w:rPr>
            </w:pPr>
            <w:r w:rsidRPr="00675B78">
              <w:rPr>
                <w:rFonts w:eastAsiaTheme="majorEastAsia"/>
              </w:rPr>
              <w:t>Refer to worksheet ’13. Actual dula services’ in spreadsheet ‘A7.1_Dulaglutide Section 4 Model.xlsx’</w:t>
            </w:r>
          </w:p>
        </w:tc>
        <w:tc>
          <w:tcPr>
            <w:tcW w:w="2367" w:type="dxa"/>
          </w:tcPr>
          <w:p w14:paraId="2462F047" w14:textId="77777777" w:rsidR="00042926" w:rsidRPr="00675B78" w:rsidRDefault="00042926" w:rsidP="00252A0F">
            <w:pPr>
              <w:pStyle w:val="Tabletext"/>
              <w:rPr>
                <w:rFonts w:eastAsiaTheme="majorEastAsia"/>
              </w:rPr>
            </w:pPr>
            <w:r w:rsidRPr="00675B78">
              <w:rPr>
                <w:rFonts w:eastAsiaTheme="majorEastAsia"/>
              </w:rPr>
              <w:t xml:space="preserve">Services Australia Pharmaceutical Benefits Schedule Item Reports </w:t>
            </w:r>
          </w:p>
        </w:tc>
        <w:tc>
          <w:tcPr>
            <w:tcW w:w="1934" w:type="dxa"/>
            <w:shd w:val="clear" w:color="auto" w:fill="auto"/>
          </w:tcPr>
          <w:p w14:paraId="02A89283" w14:textId="77777777" w:rsidR="00042926" w:rsidRPr="00675B78" w:rsidRDefault="00042926" w:rsidP="00252A0F">
            <w:pPr>
              <w:pStyle w:val="Tabletext"/>
              <w:rPr>
                <w:rFonts w:eastAsiaTheme="majorEastAsia"/>
              </w:rPr>
            </w:pPr>
          </w:p>
        </w:tc>
      </w:tr>
      <w:tr w:rsidR="00042926" w:rsidRPr="00675B78" w14:paraId="03282AAE" w14:textId="77777777" w:rsidTr="00252A0F">
        <w:tc>
          <w:tcPr>
            <w:tcW w:w="7083" w:type="dxa"/>
            <w:gridSpan w:val="3"/>
            <w:shd w:val="clear" w:color="auto" w:fill="auto"/>
          </w:tcPr>
          <w:p w14:paraId="3AC1BEA7" w14:textId="77777777" w:rsidR="00042926" w:rsidRPr="00675B78" w:rsidRDefault="00042926" w:rsidP="00252A0F">
            <w:pPr>
              <w:pStyle w:val="Tabletext"/>
              <w:rPr>
                <w:rFonts w:eastAsiaTheme="majorEastAsia"/>
                <w:bCs/>
              </w:rPr>
            </w:pPr>
            <w:r w:rsidRPr="00675B78">
              <w:rPr>
                <w:rFonts w:eastAsiaTheme="majorEastAsia"/>
                <w:bCs/>
              </w:rPr>
              <w:t>Extrapolation of dulaglutide 1.5 mg prescriptions</w:t>
            </w:r>
          </w:p>
        </w:tc>
        <w:tc>
          <w:tcPr>
            <w:tcW w:w="1934" w:type="dxa"/>
            <w:shd w:val="clear" w:color="auto" w:fill="auto"/>
          </w:tcPr>
          <w:p w14:paraId="35BBDD5E" w14:textId="77777777" w:rsidR="00042926" w:rsidRPr="00675B78" w:rsidRDefault="00042926" w:rsidP="00252A0F">
            <w:pPr>
              <w:pStyle w:val="Tabletext"/>
              <w:rPr>
                <w:rFonts w:eastAsiaTheme="majorEastAsia"/>
                <w:bCs/>
              </w:rPr>
            </w:pPr>
          </w:p>
        </w:tc>
      </w:tr>
      <w:tr w:rsidR="00042926" w:rsidRPr="00675B78" w14:paraId="068D9489" w14:textId="77777777" w:rsidTr="00252A0F">
        <w:tc>
          <w:tcPr>
            <w:tcW w:w="2290" w:type="dxa"/>
          </w:tcPr>
          <w:p w14:paraId="36FA0C49" w14:textId="77777777" w:rsidR="00042926" w:rsidRPr="00675B78" w:rsidRDefault="00042926" w:rsidP="00252A0F">
            <w:pPr>
              <w:pStyle w:val="Tabletext"/>
              <w:rPr>
                <w:rFonts w:eastAsiaTheme="majorEastAsia"/>
              </w:rPr>
            </w:pPr>
            <w:r w:rsidRPr="00675B78">
              <w:rPr>
                <w:rFonts w:eastAsiaTheme="majorEastAsia"/>
              </w:rPr>
              <w:t>Projected dulaglutide 1.5 mg prescriptions</w:t>
            </w:r>
          </w:p>
        </w:tc>
        <w:tc>
          <w:tcPr>
            <w:tcW w:w="2426" w:type="dxa"/>
          </w:tcPr>
          <w:p w14:paraId="31B61368" w14:textId="77777777" w:rsidR="00042926" w:rsidRPr="00675B78" w:rsidRDefault="00042926" w:rsidP="00252A0F">
            <w:pPr>
              <w:pStyle w:val="Tabletext"/>
              <w:rPr>
                <w:rFonts w:eastAsiaTheme="majorEastAsia"/>
              </w:rPr>
            </w:pPr>
            <w:r w:rsidRPr="00675B78">
              <w:rPr>
                <w:rFonts w:eastAsiaTheme="majorEastAsia"/>
              </w:rPr>
              <w:t>Refer to worksheet ’14.Forecasted dula services’ in spreadsheet ‘A7.1_Dulaglutide Section 4 Model.xlsx’</w:t>
            </w:r>
          </w:p>
        </w:tc>
        <w:tc>
          <w:tcPr>
            <w:tcW w:w="2367" w:type="dxa"/>
          </w:tcPr>
          <w:p w14:paraId="311340D1" w14:textId="77777777" w:rsidR="00042926" w:rsidRPr="00675B78" w:rsidRDefault="00042926" w:rsidP="00252A0F">
            <w:pPr>
              <w:pStyle w:val="Tabletext"/>
              <w:rPr>
                <w:rFonts w:eastAsiaTheme="majorEastAsia"/>
              </w:rPr>
            </w:pPr>
            <w:r w:rsidRPr="00675B78">
              <w:rPr>
                <w:rFonts w:eastAsiaTheme="majorEastAsia"/>
              </w:rPr>
              <w:t>Triple exponential smoothing analysis using MS excel built-it function</w:t>
            </w:r>
          </w:p>
        </w:tc>
        <w:tc>
          <w:tcPr>
            <w:tcW w:w="1934" w:type="dxa"/>
            <w:shd w:val="clear" w:color="auto" w:fill="auto"/>
          </w:tcPr>
          <w:p w14:paraId="4AAA6911" w14:textId="22848D5C" w:rsidR="00042926" w:rsidRPr="0034379F" w:rsidRDefault="00042926" w:rsidP="00252A0F">
            <w:pPr>
              <w:pStyle w:val="Tabletext"/>
              <w:rPr>
                <w:rFonts w:eastAsiaTheme="majorEastAsia"/>
              </w:rPr>
            </w:pPr>
            <w:r w:rsidRPr="0034379F">
              <w:rPr>
                <w:rFonts w:eastAsiaTheme="majorEastAsia"/>
              </w:rPr>
              <w:t>May be an underestimate</w:t>
            </w:r>
            <w:r w:rsidR="00F34B0B" w:rsidRPr="0034379F">
              <w:rPr>
                <w:rFonts w:eastAsiaTheme="majorEastAsia"/>
              </w:rPr>
              <w:t xml:space="preserve"> – observed growth since initial listing for dual therapy only may not reflect current market</w:t>
            </w:r>
          </w:p>
        </w:tc>
      </w:tr>
      <w:tr w:rsidR="00042926" w:rsidRPr="00675B78" w14:paraId="72B3DC6E" w14:textId="77777777" w:rsidTr="00252A0F">
        <w:tc>
          <w:tcPr>
            <w:tcW w:w="7083" w:type="dxa"/>
            <w:gridSpan w:val="3"/>
            <w:shd w:val="clear" w:color="auto" w:fill="auto"/>
          </w:tcPr>
          <w:p w14:paraId="0087F9B4" w14:textId="77777777" w:rsidR="00042926" w:rsidRPr="00675B78" w:rsidRDefault="00042926" w:rsidP="00252A0F">
            <w:pPr>
              <w:pStyle w:val="Tabletext"/>
              <w:rPr>
                <w:rFonts w:eastAsiaTheme="majorEastAsia"/>
              </w:rPr>
            </w:pPr>
            <w:r w:rsidRPr="00675B78">
              <w:rPr>
                <w:rFonts w:eastAsiaTheme="majorEastAsia"/>
                <w:bCs/>
              </w:rPr>
              <w:t xml:space="preserve">Changes in utilisation </w:t>
            </w:r>
          </w:p>
        </w:tc>
        <w:tc>
          <w:tcPr>
            <w:tcW w:w="1934" w:type="dxa"/>
            <w:shd w:val="clear" w:color="auto" w:fill="auto"/>
          </w:tcPr>
          <w:p w14:paraId="7B832F20" w14:textId="77777777" w:rsidR="00042926" w:rsidRPr="00675B78" w:rsidRDefault="00042926" w:rsidP="00252A0F">
            <w:pPr>
              <w:pStyle w:val="Tabletext"/>
              <w:rPr>
                <w:rFonts w:eastAsiaTheme="majorEastAsia"/>
                <w:bCs/>
              </w:rPr>
            </w:pPr>
          </w:p>
        </w:tc>
      </w:tr>
      <w:tr w:rsidR="00042926" w:rsidRPr="00675B78" w14:paraId="31E32C01" w14:textId="77777777" w:rsidTr="00252A0F">
        <w:tc>
          <w:tcPr>
            <w:tcW w:w="2290" w:type="dxa"/>
          </w:tcPr>
          <w:p w14:paraId="791C4C70" w14:textId="77777777" w:rsidR="00042926" w:rsidRPr="00675B78" w:rsidRDefault="00042926" w:rsidP="00252A0F">
            <w:pPr>
              <w:pStyle w:val="Tabletext"/>
              <w:rPr>
                <w:rFonts w:eastAsiaTheme="majorEastAsia"/>
              </w:rPr>
            </w:pPr>
            <w:r w:rsidRPr="00675B78">
              <w:rPr>
                <w:rFonts w:eastAsiaTheme="majorEastAsia"/>
              </w:rPr>
              <w:t>Market share of dulaglutide 3.0 mg and 4.5 mg (combined)</w:t>
            </w:r>
          </w:p>
        </w:tc>
        <w:tc>
          <w:tcPr>
            <w:tcW w:w="2426" w:type="dxa"/>
          </w:tcPr>
          <w:p w14:paraId="4DAD54DB" w14:textId="77777777" w:rsidR="00042926" w:rsidRPr="00675B78" w:rsidRDefault="00042926" w:rsidP="00252A0F">
            <w:pPr>
              <w:pStyle w:val="Tabletext"/>
              <w:rPr>
                <w:rFonts w:eastAsiaTheme="majorEastAsia"/>
              </w:rPr>
            </w:pPr>
            <w:r w:rsidRPr="00675B78">
              <w:rPr>
                <w:rFonts w:eastAsiaTheme="majorEastAsia"/>
              </w:rPr>
              <w:t>Year 1 (2022): 7%</w:t>
            </w:r>
          </w:p>
          <w:p w14:paraId="0D9D2C41" w14:textId="77777777" w:rsidR="00042926" w:rsidRPr="00675B78" w:rsidRDefault="00042926" w:rsidP="00252A0F">
            <w:pPr>
              <w:pStyle w:val="Tabletext"/>
              <w:rPr>
                <w:rFonts w:eastAsiaTheme="majorEastAsia"/>
              </w:rPr>
            </w:pPr>
            <w:r w:rsidRPr="00675B78">
              <w:rPr>
                <w:rFonts w:eastAsiaTheme="majorEastAsia"/>
              </w:rPr>
              <w:t>Year 2 (2023): 12%</w:t>
            </w:r>
          </w:p>
          <w:p w14:paraId="61B77328" w14:textId="77777777" w:rsidR="00042926" w:rsidRPr="00675B78" w:rsidRDefault="00042926" w:rsidP="00252A0F">
            <w:pPr>
              <w:pStyle w:val="Tabletext"/>
              <w:rPr>
                <w:rFonts w:eastAsiaTheme="majorEastAsia"/>
              </w:rPr>
            </w:pPr>
            <w:r w:rsidRPr="00675B78">
              <w:rPr>
                <w:rFonts w:eastAsiaTheme="majorEastAsia"/>
              </w:rPr>
              <w:t>Year 3 (2024): 18%</w:t>
            </w:r>
          </w:p>
          <w:p w14:paraId="55C9B28D" w14:textId="77777777" w:rsidR="00042926" w:rsidRPr="00675B78" w:rsidRDefault="00042926" w:rsidP="00252A0F">
            <w:pPr>
              <w:pStyle w:val="Tabletext"/>
              <w:rPr>
                <w:rFonts w:eastAsiaTheme="majorEastAsia"/>
              </w:rPr>
            </w:pPr>
            <w:r w:rsidRPr="00675B78">
              <w:rPr>
                <w:rFonts w:eastAsiaTheme="majorEastAsia"/>
              </w:rPr>
              <w:t>Year 4 (2025): 19%</w:t>
            </w:r>
          </w:p>
          <w:p w14:paraId="35D3B014" w14:textId="77777777" w:rsidR="00042926" w:rsidRPr="00675B78" w:rsidRDefault="00042926" w:rsidP="00252A0F">
            <w:pPr>
              <w:pStyle w:val="Tabletext"/>
              <w:rPr>
                <w:rFonts w:eastAsiaTheme="majorEastAsia"/>
              </w:rPr>
            </w:pPr>
            <w:r w:rsidRPr="00675B78">
              <w:rPr>
                <w:rFonts w:eastAsiaTheme="majorEastAsia"/>
              </w:rPr>
              <w:t>Year 5 (2026): 20%</w:t>
            </w:r>
          </w:p>
          <w:p w14:paraId="1516B57A" w14:textId="77777777" w:rsidR="00042926" w:rsidRPr="00675B78" w:rsidRDefault="00042926" w:rsidP="00252A0F">
            <w:pPr>
              <w:pStyle w:val="Tabletext"/>
              <w:rPr>
                <w:rFonts w:eastAsiaTheme="majorEastAsia"/>
              </w:rPr>
            </w:pPr>
            <w:r w:rsidRPr="00675B78">
              <w:rPr>
                <w:rFonts w:eastAsiaTheme="majorEastAsia"/>
              </w:rPr>
              <w:t>Year 6 (2027): 20%</w:t>
            </w:r>
          </w:p>
        </w:tc>
        <w:tc>
          <w:tcPr>
            <w:tcW w:w="2367" w:type="dxa"/>
          </w:tcPr>
          <w:p w14:paraId="233CC45E" w14:textId="77777777" w:rsidR="00042926" w:rsidRPr="00675B78" w:rsidRDefault="00042926" w:rsidP="00252A0F">
            <w:pPr>
              <w:pStyle w:val="Tabletext"/>
              <w:rPr>
                <w:rFonts w:eastAsiaTheme="majorEastAsia"/>
              </w:rPr>
            </w:pPr>
            <w:r w:rsidRPr="00675B78">
              <w:rPr>
                <w:rFonts w:eastAsiaTheme="majorEastAsia"/>
              </w:rPr>
              <w:t>Eli Lilly</w:t>
            </w:r>
          </w:p>
        </w:tc>
        <w:tc>
          <w:tcPr>
            <w:tcW w:w="1934" w:type="dxa"/>
            <w:shd w:val="clear" w:color="auto" w:fill="auto"/>
          </w:tcPr>
          <w:p w14:paraId="6D4602B8" w14:textId="6C42510A" w:rsidR="00042926" w:rsidRPr="0034379F" w:rsidRDefault="00042926" w:rsidP="00252A0F">
            <w:pPr>
              <w:pStyle w:val="Tabletext"/>
              <w:rPr>
                <w:rFonts w:eastAsiaTheme="majorEastAsia"/>
              </w:rPr>
            </w:pPr>
            <w:r w:rsidRPr="0034379F">
              <w:rPr>
                <w:rFonts w:eastAsiaTheme="majorEastAsia"/>
              </w:rPr>
              <w:t>May be an underestimate – does not include use with insulin</w:t>
            </w:r>
          </w:p>
        </w:tc>
      </w:tr>
      <w:tr w:rsidR="00042926" w:rsidRPr="00675B78" w14:paraId="61817085" w14:textId="77777777" w:rsidTr="00252A0F">
        <w:tc>
          <w:tcPr>
            <w:tcW w:w="2290" w:type="dxa"/>
          </w:tcPr>
          <w:p w14:paraId="731BF036" w14:textId="3E51A10D" w:rsidR="00042926" w:rsidRPr="00675B78" w:rsidRDefault="00042926" w:rsidP="00252A0F">
            <w:pPr>
              <w:pStyle w:val="Tabletext"/>
              <w:rPr>
                <w:rFonts w:eastAsiaTheme="majorEastAsia"/>
              </w:rPr>
            </w:pPr>
            <w:r w:rsidRPr="00675B78">
              <w:rPr>
                <w:rFonts w:eastAsiaTheme="majorEastAsia"/>
              </w:rPr>
              <w:t>Substitution rate</w:t>
            </w:r>
          </w:p>
        </w:tc>
        <w:tc>
          <w:tcPr>
            <w:tcW w:w="2426" w:type="dxa"/>
          </w:tcPr>
          <w:p w14:paraId="11DB3D42" w14:textId="77777777" w:rsidR="00042926" w:rsidRPr="00675B78" w:rsidRDefault="00042926" w:rsidP="00252A0F">
            <w:pPr>
              <w:pStyle w:val="Tabletext"/>
              <w:rPr>
                <w:rFonts w:eastAsiaTheme="majorEastAsia"/>
              </w:rPr>
            </w:pPr>
            <w:r w:rsidRPr="00675B78">
              <w:rPr>
                <w:rFonts w:eastAsiaTheme="majorEastAsia"/>
              </w:rPr>
              <w:t>Across all years of analysis: Dulaglutide 3.0 mg: 50%</w:t>
            </w:r>
          </w:p>
          <w:p w14:paraId="22C9C759" w14:textId="77777777" w:rsidR="00042926" w:rsidRPr="00675B78" w:rsidRDefault="00042926" w:rsidP="00252A0F">
            <w:pPr>
              <w:pStyle w:val="Tabletext"/>
              <w:rPr>
                <w:rFonts w:eastAsiaTheme="majorEastAsia"/>
              </w:rPr>
            </w:pPr>
            <w:r w:rsidRPr="00675B78">
              <w:rPr>
                <w:rFonts w:eastAsiaTheme="majorEastAsia"/>
              </w:rPr>
              <w:t xml:space="preserve">Dulaglutide 4.5 mg: 50% </w:t>
            </w:r>
          </w:p>
        </w:tc>
        <w:tc>
          <w:tcPr>
            <w:tcW w:w="2367" w:type="dxa"/>
          </w:tcPr>
          <w:p w14:paraId="31F167EA" w14:textId="77777777" w:rsidR="00042926" w:rsidRPr="00675B78" w:rsidRDefault="00042926" w:rsidP="00252A0F">
            <w:pPr>
              <w:pStyle w:val="Tabletext"/>
              <w:rPr>
                <w:rFonts w:eastAsiaTheme="majorEastAsia"/>
              </w:rPr>
            </w:pPr>
            <w:r w:rsidRPr="00675B78">
              <w:rPr>
                <w:rFonts w:eastAsiaTheme="majorEastAsia"/>
              </w:rPr>
              <w:t>Eli Lilly</w:t>
            </w:r>
          </w:p>
        </w:tc>
        <w:tc>
          <w:tcPr>
            <w:tcW w:w="1934" w:type="dxa"/>
            <w:shd w:val="clear" w:color="auto" w:fill="auto"/>
          </w:tcPr>
          <w:p w14:paraId="152C59E5" w14:textId="732FED4E" w:rsidR="00042926" w:rsidRPr="0034379F" w:rsidRDefault="00042926" w:rsidP="00252A0F">
            <w:pPr>
              <w:pStyle w:val="Tabletext"/>
              <w:rPr>
                <w:rFonts w:eastAsiaTheme="majorEastAsia"/>
              </w:rPr>
            </w:pPr>
            <w:r w:rsidRPr="0034379F">
              <w:rPr>
                <w:rFonts w:eastAsiaTheme="majorEastAsia"/>
              </w:rPr>
              <w:t>May be an underestimate</w:t>
            </w:r>
            <w:r w:rsidR="003B6012" w:rsidRPr="0034379F">
              <w:rPr>
                <w:rFonts w:eastAsiaTheme="majorEastAsia"/>
              </w:rPr>
              <w:t xml:space="preserve"> – may be preference for higher dose particularly with respect to weight management</w:t>
            </w:r>
          </w:p>
        </w:tc>
      </w:tr>
      <w:tr w:rsidR="00042926" w:rsidRPr="00675B78" w14:paraId="259E21C9" w14:textId="77777777" w:rsidTr="00252A0F">
        <w:tc>
          <w:tcPr>
            <w:tcW w:w="7083" w:type="dxa"/>
            <w:gridSpan w:val="3"/>
            <w:shd w:val="clear" w:color="auto" w:fill="auto"/>
          </w:tcPr>
          <w:p w14:paraId="3DC67F59" w14:textId="77777777" w:rsidR="00042926" w:rsidRPr="00675B78" w:rsidRDefault="00042926" w:rsidP="00252A0F">
            <w:pPr>
              <w:pStyle w:val="Tabletext"/>
              <w:rPr>
                <w:rFonts w:eastAsiaTheme="majorEastAsia"/>
                <w:bCs/>
              </w:rPr>
            </w:pPr>
            <w:r w:rsidRPr="00675B78">
              <w:rPr>
                <w:rFonts w:eastAsiaTheme="majorEastAsia"/>
                <w:bCs/>
              </w:rPr>
              <w:t>Cost of medicines (Published DPMQ)</w:t>
            </w:r>
          </w:p>
        </w:tc>
        <w:tc>
          <w:tcPr>
            <w:tcW w:w="1934" w:type="dxa"/>
            <w:shd w:val="clear" w:color="auto" w:fill="auto"/>
          </w:tcPr>
          <w:p w14:paraId="03105BCB" w14:textId="77777777" w:rsidR="00042926" w:rsidRPr="00675B78" w:rsidRDefault="00042926" w:rsidP="00252A0F">
            <w:pPr>
              <w:pStyle w:val="Tabletext"/>
              <w:rPr>
                <w:rFonts w:eastAsiaTheme="majorEastAsia"/>
                <w:bCs/>
              </w:rPr>
            </w:pPr>
          </w:p>
        </w:tc>
      </w:tr>
      <w:tr w:rsidR="00042926" w:rsidRPr="00675B78" w14:paraId="40B1678E" w14:textId="77777777" w:rsidTr="00252A0F">
        <w:tc>
          <w:tcPr>
            <w:tcW w:w="2290" w:type="dxa"/>
          </w:tcPr>
          <w:p w14:paraId="3E82E7DA" w14:textId="77777777" w:rsidR="00042926" w:rsidRPr="00675B78" w:rsidRDefault="00042926" w:rsidP="00252A0F">
            <w:pPr>
              <w:pStyle w:val="Tabletext"/>
              <w:rPr>
                <w:rFonts w:eastAsiaTheme="majorEastAsia"/>
              </w:rPr>
            </w:pPr>
            <w:r w:rsidRPr="00675B78">
              <w:rPr>
                <w:rFonts w:eastAsiaTheme="majorEastAsia"/>
              </w:rPr>
              <w:t xml:space="preserve">Dulaglutide 1.5 mg </w:t>
            </w:r>
          </w:p>
        </w:tc>
        <w:tc>
          <w:tcPr>
            <w:tcW w:w="2426" w:type="dxa"/>
          </w:tcPr>
          <w:p w14:paraId="3F0559C8" w14:textId="77777777" w:rsidR="00042926" w:rsidRPr="00675B78" w:rsidRDefault="00042926" w:rsidP="00252A0F">
            <w:pPr>
              <w:pStyle w:val="Tabletext"/>
              <w:rPr>
                <w:rFonts w:eastAsiaTheme="majorEastAsia"/>
              </w:rPr>
            </w:pPr>
            <w:r w:rsidRPr="00675B78">
              <w:rPr>
                <w:rFonts w:eastAsiaTheme="majorEastAsia"/>
              </w:rPr>
              <w:t>$132.89</w:t>
            </w:r>
          </w:p>
        </w:tc>
        <w:tc>
          <w:tcPr>
            <w:tcW w:w="2367" w:type="dxa"/>
          </w:tcPr>
          <w:p w14:paraId="4B52215A" w14:textId="77777777" w:rsidR="00042926" w:rsidRPr="00675B78" w:rsidRDefault="00042926" w:rsidP="00252A0F">
            <w:pPr>
              <w:pStyle w:val="Tabletext"/>
              <w:rPr>
                <w:rFonts w:eastAsiaTheme="majorEastAsia"/>
              </w:rPr>
            </w:pPr>
            <w:r w:rsidRPr="00675B78">
              <w:rPr>
                <w:rFonts w:eastAsiaTheme="majorEastAsia"/>
              </w:rPr>
              <w:t>PBS item 11364D</w:t>
            </w:r>
          </w:p>
        </w:tc>
        <w:tc>
          <w:tcPr>
            <w:tcW w:w="1934" w:type="dxa"/>
            <w:shd w:val="clear" w:color="auto" w:fill="auto"/>
          </w:tcPr>
          <w:p w14:paraId="28D64F6A" w14:textId="77777777" w:rsidR="00042926" w:rsidRPr="00675B78" w:rsidRDefault="00042926" w:rsidP="00252A0F">
            <w:pPr>
              <w:pStyle w:val="Tabletext"/>
              <w:rPr>
                <w:rFonts w:eastAsiaTheme="majorEastAsia"/>
              </w:rPr>
            </w:pPr>
          </w:p>
        </w:tc>
      </w:tr>
      <w:tr w:rsidR="00042926" w:rsidRPr="00675B78" w14:paraId="5B9EA205" w14:textId="77777777" w:rsidTr="00252A0F">
        <w:tc>
          <w:tcPr>
            <w:tcW w:w="2290" w:type="dxa"/>
          </w:tcPr>
          <w:p w14:paraId="70DE8873" w14:textId="77777777" w:rsidR="00042926" w:rsidRPr="00675B78" w:rsidRDefault="00042926" w:rsidP="00252A0F">
            <w:pPr>
              <w:pStyle w:val="Tabletext"/>
              <w:rPr>
                <w:rFonts w:eastAsiaTheme="majorEastAsia"/>
              </w:rPr>
            </w:pPr>
            <w:r w:rsidRPr="00675B78">
              <w:rPr>
                <w:rFonts w:eastAsiaTheme="majorEastAsia"/>
              </w:rPr>
              <w:t>Dulaglutide 3.0 mg</w:t>
            </w:r>
          </w:p>
        </w:tc>
        <w:tc>
          <w:tcPr>
            <w:tcW w:w="2426" w:type="dxa"/>
          </w:tcPr>
          <w:p w14:paraId="2425AA20" w14:textId="77777777" w:rsidR="00042926" w:rsidRPr="00675B78" w:rsidRDefault="00042926" w:rsidP="00252A0F">
            <w:pPr>
              <w:pStyle w:val="Tabletext"/>
              <w:rPr>
                <w:rFonts w:eastAsiaTheme="majorEastAsia"/>
              </w:rPr>
            </w:pPr>
            <w:r w:rsidRPr="00675B78">
              <w:rPr>
                <w:rFonts w:eastAsiaTheme="majorEastAsia"/>
              </w:rPr>
              <w:t>$132.89</w:t>
            </w:r>
          </w:p>
        </w:tc>
        <w:tc>
          <w:tcPr>
            <w:tcW w:w="2367" w:type="dxa"/>
          </w:tcPr>
          <w:p w14:paraId="53FC5B53" w14:textId="77777777" w:rsidR="00042926" w:rsidRPr="00675B78" w:rsidRDefault="00042926" w:rsidP="00252A0F">
            <w:pPr>
              <w:pStyle w:val="Tabletext"/>
              <w:rPr>
                <w:rFonts w:eastAsiaTheme="majorEastAsia"/>
              </w:rPr>
            </w:pPr>
            <w:r w:rsidRPr="00675B78">
              <w:rPr>
                <w:rFonts w:eastAsiaTheme="majorEastAsia"/>
              </w:rPr>
              <w:t>Eli Lilly proposed</w:t>
            </w:r>
          </w:p>
        </w:tc>
        <w:tc>
          <w:tcPr>
            <w:tcW w:w="1934" w:type="dxa"/>
            <w:shd w:val="clear" w:color="auto" w:fill="auto"/>
          </w:tcPr>
          <w:p w14:paraId="134866DB" w14:textId="77777777" w:rsidR="00042926" w:rsidRPr="00675B78" w:rsidRDefault="00042926" w:rsidP="00252A0F">
            <w:pPr>
              <w:pStyle w:val="Tabletext"/>
              <w:rPr>
                <w:rFonts w:eastAsiaTheme="majorEastAsia"/>
              </w:rPr>
            </w:pPr>
          </w:p>
        </w:tc>
      </w:tr>
      <w:tr w:rsidR="00042926" w:rsidRPr="00675B78" w14:paraId="5A6D5F84" w14:textId="77777777" w:rsidTr="00252A0F">
        <w:tc>
          <w:tcPr>
            <w:tcW w:w="2290" w:type="dxa"/>
          </w:tcPr>
          <w:p w14:paraId="6FBA7813" w14:textId="77777777" w:rsidR="00042926" w:rsidRPr="00675B78" w:rsidRDefault="00042926" w:rsidP="00252A0F">
            <w:pPr>
              <w:pStyle w:val="Tabletext"/>
              <w:rPr>
                <w:rFonts w:eastAsiaTheme="majorEastAsia"/>
              </w:rPr>
            </w:pPr>
            <w:r w:rsidRPr="00675B78">
              <w:rPr>
                <w:rFonts w:eastAsiaTheme="majorEastAsia"/>
              </w:rPr>
              <w:t xml:space="preserve">Dulaglutide 4.5 mg </w:t>
            </w:r>
          </w:p>
        </w:tc>
        <w:tc>
          <w:tcPr>
            <w:tcW w:w="2426" w:type="dxa"/>
          </w:tcPr>
          <w:p w14:paraId="5F9D5E12" w14:textId="77777777" w:rsidR="00042926" w:rsidRPr="00675B78" w:rsidRDefault="00042926" w:rsidP="00252A0F">
            <w:pPr>
              <w:pStyle w:val="Tabletext"/>
              <w:rPr>
                <w:rFonts w:eastAsiaTheme="majorEastAsia"/>
              </w:rPr>
            </w:pPr>
            <w:r w:rsidRPr="00675B78">
              <w:rPr>
                <w:rFonts w:eastAsiaTheme="majorEastAsia"/>
              </w:rPr>
              <w:t>$132.89</w:t>
            </w:r>
          </w:p>
        </w:tc>
        <w:tc>
          <w:tcPr>
            <w:tcW w:w="2367" w:type="dxa"/>
          </w:tcPr>
          <w:p w14:paraId="332ECB68" w14:textId="77777777" w:rsidR="00042926" w:rsidRPr="00675B78" w:rsidRDefault="00042926" w:rsidP="00252A0F">
            <w:pPr>
              <w:pStyle w:val="Tabletext"/>
              <w:rPr>
                <w:rFonts w:eastAsiaTheme="majorEastAsia"/>
              </w:rPr>
            </w:pPr>
            <w:r w:rsidRPr="00675B78">
              <w:rPr>
                <w:rFonts w:eastAsiaTheme="majorEastAsia"/>
              </w:rPr>
              <w:t>Eli Lilly proposed</w:t>
            </w:r>
          </w:p>
        </w:tc>
        <w:tc>
          <w:tcPr>
            <w:tcW w:w="1934" w:type="dxa"/>
            <w:shd w:val="clear" w:color="auto" w:fill="auto"/>
          </w:tcPr>
          <w:p w14:paraId="253E19B8" w14:textId="77777777" w:rsidR="00042926" w:rsidRPr="00675B78" w:rsidRDefault="00042926" w:rsidP="00252A0F">
            <w:pPr>
              <w:pStyle w:val="Tabletext"/>
              <w:rPr>
                <w:rFonts w:eastAsiaTheme="majorEastAsia"/>
              </w:rPr>
            </w:pPr>
          </w:p>
        </w:tc>
      </w:tr>
      <w:tr w:rsidR="00042926" w:rsidRPr="00675B78" w14:paraId="5EEF9F8E" w14:textId="77777777" w:rsidTr="00252A0F">
        <w:tc>
          <w:tcPr>
            <w:tcW w:w="7083" w:type="dxa"/>
            <w:gridSpan w:val="3"/>
            <w:shd w:val="clear" w:color="auto" w:fill="auto"/>
          </w:tcPr>
          <w:p w14:paraId="30F62338" w14:textId="77777777" w:rsidR="00042926" w:rsidRPr="00675B78" w:rsidRDefault="00042926" w:rsidP="00252A0F">
            <w:pPr>
              <w:pStyle w:val="Tabletext"/>
              <w:rPr>
                <w:rFonts w:eastAsiaTheme="majorEastAsia"/>
                <w:bCs/>
              </w:rPr>
            </w:pPr>
            <w:r w:rsidRPr="00675B78">
              <w:rPr>
                <w:rFonts w:eastAsiaTheme="majorEastAsia"/>
                <w:bCs/>
              </w:rPr>
              <w:t>Cost of medicines (Effective AEMP)</w:t>
            </w:r>
          </w:p>
        </w:tc>
        <w:tc>
          <w:tcPr>
            <w:tcW w:w="1934" w:type="dxa"/>
            <w:shd w:val="clear" w:color="auto" w:fill="auto"/>
          </w:tcPr>
          <w:p w14:paraId="6DB1F422" w14:textId="77777777" w:rsidR="00042926" w:rsidRPr="00675B78" w:rsidRDefault="00042926" w:rsidP="00252A0F">
            <w:pPr>
              <w:pStyle w:val="Tabletext"/>
              <w:rPr>
                <w:rFonts w:eastAsiaTheme="majorEastAsia"/>
                <w:bCs/>
              </w:rPr>
            </w:pPr>
          </w:p>
        </w:tc>
      </w:tr>
      <w:tr w:rsidR="00042926" w:rsidRPr="00675B78" w14:paraId="13B2A7AD" w14:textId="77777777" w:rsidTr="00252A0F">
        <w:tc>
          <w:tcPr>
            <w:tcW w:w="2290" w:type="dxa"/>
          </w:tcPr>
          <w:p w14:paraId="29C8F74F" w14:textId="77777777" w:rsidR="00042926" w:rsidRPr="00675B78" w:rsidRDefault="00042926" w:rsidP="00252A0F">
            <w:pPr>
              <w:pStyle w:val="Tabletext"/>
              <w:rPr>
                <w:rFonts w:eastAsiaTheme="majorEastAsia"/>
              </w:rPr>
            </w:pPr>
            <w:r w:rsidRPr="00675B78">
              <w:rPr>
                <w:rFonts w:eastAsiaTheme="majorEastAsia"/>
              </w:rPr>
              <w:t xml:space="preserve">Dulaglutide 1.5 mg </w:t>
            </w:r>
          </w:p>
        </w:tc>
        <w:tc>
          <w:tcPr>
            <w:tcW w:w="2426" w:type="dxa"/>
          </w:tcPr>
          <w:p w14:paraId="1DC45AAF" w14:textId="341E6C29" w:rsidR="00042926" w:rsidRPr="00F66AF9" w:rsidRDefault="00042926" w:rsidP="00252A0F">
            <w:pPr>
              <w:pStyle w:val="Tabletext"/>
              <w:rPr>
                <w:rFonts w:eastAsiaTheme="majorEastAsia"/>
              </w:rPr>
            </w:pPr>
            <w:r w:rsidRPr="00F66AF9">
              <w:rPr>
                <w:rFonts w:eastAsiaTheme="majorEastAsia"/>
              </w:rPr>
              <w:t>$</w:t>
            </w:r>
            <w:r w:rsidR="00F66AF9" w:rsidRPr="005D792F">
              <w:rPr>
                <w:rFonts w:eastAsiaTheme="majorEastAsia"/>
                <w:color w:val="000000"/>
                <w:spacing w:val="36"/>
                <w:shd w:val="solid" w:color="000000" w:fill="000000"/>
                <w:fitText w:val="440" w:id="-1510248695"/>
                <w14:textFill>
                  <w14:solidFill>
                    <w14:srgbClr w14:val="000000">
                      <w14:alpha w14:val="100000"/>
                    </w14:srgbClr>
                  </w14:solidFill>
                </w14:textFill>
              </w:rPr>
              <w:t>|||||</w:t>
            </w:r>
            <w:r w:rsidR="00F66AF9" w:rsidRPr="005D792F">
              <w:rPr>
                <w:rFonts w:eastAsiaTheme="majorEastAsia"/>
                <w:color w:val="000000"/>
                <w:spacing w:val="5"/>
                <w:shd w:val="solid" w:color="000000" w:fill="000000"/>
                <w:fitText w:val="440" w:id="-1510248695"/>
                <w14:textFill>
                  <w14:solidFill>
                    <w14:srgbClr w14:val="000000">
                      <w14:alpha w14:val="100000"/>
                    </w14:srgbClr>
                  </w14:solidFill>
                </w14:textFill>
              </w:rPr>
              <w:t>|</w:t>
            </w:r>
          </w:p>
        </w:tc>
        <w:tc>
          <w:tcPr>
            <w:tcW w:w="2367" w:type="dxa"/>
          </w:tcPr>
          <w:p w14:paraId="10D79BE8" w14:textId="77777777" w:rsidR="00042926" w:rsidRPr="00675B78" w:rsidRDefault="00042926" w:rsidP="00252A0F">
            <w:pPr>
              <w:pStyle w:val="Tabletext"/>
              <w:rPr>
                <w:rFonts w:eastAsiaTheme="majorEastAsia"/>
              </w:rPr>
            </w:pPr>
            <w:r w:rsidRPr="00675B78">
              <w:rPr>
                <w:rFonts w:eastAsiaTheme="majorEastAsia"/>
              </w:rPr>
              <w:t>Confidential effective AEMP</w:t>
            </w:r>
          </w:p>
        </w:tc>
        <w:tc>
          <w:tcPr>
            <w:tcW w:w="1934" w:type="dxa"/>
            <w:shd w:val="clear" w:color="auto" w:fill="auto"/>
          </w:tcPr>
          <w:p w14:paraId="3A84CCD4" w14:textId="77777777" w:rsidR="00042926" w:rsidRPr="00675B78" w:rsidRDefault="00042926" w:rsidP="00252A0F">
            <w:pPr>
              <w:pStyle w:val="Tabletext"/>
              <w:rPr>
                <w:rFonts w:eastAsiaTheme="majorEastAsia"/>
              </w:rPr>
            </w:pPr>
          </w:p>
        </w:tc>
      </w:tr>
      <w:tr w:rsidR="00042926" w:rsidRPr="00675B78" w14:paraId="10A2DDB5" w14:textId="77777777" w:rsidTr="00252A0F">
        <w:tc>
          <w:tcPr>
            <w:tcW w:w="2290" w:type="dxa"/>
          </w:tcPr>
          <w:p w14:paraId="47D75656" w14:textId="77777777" w:rsidR="00042926" w:rsidRPr="00675B78" w:rsidRDefault="00042926" w:rsidP="00252A0F">
            <w:pPr>
              <w:pStyle w:val="Tabletext"/>
              <w:rPr>
                <w:rFonts w:eastAsiaTheme="majorEastAsia"/>
              </w:rPr>
            </w:pPr>
            <w:r w:rsidRPr="00675B78">
              <w:rPr>
                <w:rFonts w:eastAsiaTheme="majorEastAsia"/>
              </w:rPr>
              <w:t>Dulaglutide 3.0 mg</w:t>
            </w:r>
          </w:p>
        </w:tc>
        <w:tc>
          <w:tcPr>
            <w:tcW w:w="2426" w:type="dxa"/>
          </w:tcPr>
          <w:p w14:paraId="2B180DD1" w14:textId="41B17475" w:rsidR="00042926" w:rsidRPr="00F66AF9" w:rsidRDefault="00042926" w:rsidP="00252A0F">
            <w:pPr>
              <w:pStyle w:val="Tabletext"/>
              <w:rPr>
                <w:rFonts w:eastAsiaTheme="majorEastAsia"/>
              </w:rPr>
            </w:pPr>
            <w:r w:rsidRPr="00F66AF9">
              <w:rPr>
                <w:rFonts w:eastAsiaTheme="majorEastAsia"/>
              </w:rPr>
              <w:t>$</w:t>
            </w:r>
            <w:r w:rsidR="00F66AF9" w:rsidRPr="005D792F">
              <w:rPr>
                <w:rFonts w:eastAsiaTheme="majorEastAsia"/>
                <w:color w:val="000000"/>
                <w:spacing w:val="36"/>
                <w:shd w:val="solid" w:color="000000" w:fill="000000"/>
                <w:fitText w:val="440" w:id="-1510248694"/>
                <w14:textFill>
                  <w14:solidFill>
                    <w14:srgbClr w14:val="000000">
                      <w14:alpha w14:val="100000"/>
                    </w14:srgbClr>
                  </w14:solidFill>
                </w14:textFill>
              </w:rPr>
              <w:t>|||||</w:t>
            </w:r>
            <w:r w:rsidR="00F66AF9" w:rsidRPr="005D792F">
              <w:rPr>
                <w:rFonts w:eastAsiaTheme="majorEastAsia"/>
                <w:color w:val="000000"/>
                <w:spacing w:val="5"/>
                <w:shd w:val="solid" w:color="000000" w:fill="000000"/>
                <w:fitText w:val="440" w:id="-1510248694"/>
                <w14:textFill>
                  <w14:solidFill>
                    <w14:srgbClr w14:val="000000">
                      <w14:alpha w14:val="100000"/>
                    </w14:srgbClr>
                  </w14:solidFill>
                </w14:textFill>
              </w:rPr>
              <w:t>|</w:t>
            </w:r>
          </w:p>
        </w:tc>
        <w:tc>
          <w:tcPr>
            <w:tcW w:w="2367" w:type="dxa"/>
          </w:tcPr>
          <w:p w14:paraId="54D6C5F8" w14:textId="77777777" w:rsidR="00042926" w:rsidRPr="00675B78" w:rsidRDefault="00042926" w:rsidP="00252A0F">
            <w:pPr>
              <w:pStyle w:val="Tabletext"/>
              <w:rPr>
                <w:rFonts w:eastAsiaTheme="majorEastAsia"/>
              </w:rPr>
            </w:pPr>
            <w:r w:rsidRPr="00675B78">
              <w:rPr>
                <w:rFonts w:eastAsiaTheme="majorEastAsia"/>
              </w:rPr>
              <w:t>Eli Lilly proposed</w:t>
            </w:r>
          </w:p>
        </w:tc>
        <w:tc>
          <w:tcPr>
            <w:tcW w:w="1934" w:type="dxa"/>
            <w:shd w:val="clear" w:color="auto" w:fill="auto"/>
          </w:tcPr>
          <w:p w14:paraId="4E759A07" w14:textId="77777777" w:rsidR="00042926" w:rsidRPr="00675B78" w:rsidRDefault="00042926" w:rsidP="00252A0F">
            <w:pPr>
              <w:pStyle w:val="Tabletext"/>
              <w:rPr>
                <w:rFonts w:eastAsiaTheme="majorEastAsia"/>
              </w:rPr>
            </w:pPr>
          </w:p>
        </w:tc>
      </w:tr>
      <w:tr w:rsidR="00042926" w:rsidRPr="00675B78" w14:paraId="63FECE16" w14:textId="77777777" w:rsidTr="00252A0F">
        <w:tc>
          <w:tcPr>
            <w:tcW w:w="2290" w:type="dxa"/>
          </w:tcPr>
          <w:p w14:paraId="53201017" w14:textId="77777777" w:rsidR="00042926" w:rsidRPr="00675B78" w:rsidRDefault="00042926" w:rsidP="00252A0F">
            <w:pPr>
              <w:pStyle w:val="Tabletext"/>
              <w:rPr>
                <w:rFonts w:eastAsiaTheme="majorEastAsia"/>
              </w:rPr>
            </w:pPr>
            <w:r w:rsidRPr="00675B78">
              <w:rPr>
                <w:rFonts w:eastAsiaTheme="majorEastAsia"/>
              </w:rPr>
              <w:t xml:space="preserve">Dulaglutide 4.5 mg </w:t>
            </w:r>
          </w:p>
        </w:tc>
        <w:tc>
          <w:tcPr>
            <w:tcW w:w="2426" w:type="dxa"/>
          </w:tcPr>
          <w:p w14:paraId="10162A0F" w14:textId="5D6A0869" w:rsidR="00042926" w:rsidRPr="00F66AF9" w:rsidRDefault="00042926" w:rsidP="00252A0F">
            <w:pPr>
              <w:pStyle w:val="Tabletext"/>
              <w:rPr>
                <w:rFonts w:eastAsiaTheme="majorEastAsia"/>
              </w:rPr>
            </w:pPr>
            <w:r w:rsidRPr="00F66AF9">
              <w:rPr>
                <w:rFonts w:eastAsiaTheme="majorEastAsia"/>
              </w:rPr>
              <w:t>$</w:t>
            </w:r>
            <w:r w:rsidR="00F66AF9" w:rsidRPr="005D792F">
              <w:rPr>
                <w:rFonts w:eastAsiaTheme="majorEastAsia"/>
                <w:color w:val="000000"/>
                <w:spacing w:val="36"/>
                <w:shd w:val="solid" w:color="000000" w:fill="000000"/>
                <w:fitText w:val="440" w:id="-1510248693"/>
                <w14:textFill>
                  <w14:solidFill>
                    <w14:srgbClr w14:val="000000">
                      <w14:alpha w14:val="100000"/>
                    </w14:srgbClr>
                  </w14:solidFill>
                </w14:textFill>
              </w:rPr>
              <w:t>|||||</w:t>
            </w:r>
            <w:r w:rsidR="00F66AF9" w:rsidRPr="005D792F">
              <w:rPr>
                <w:rFonts w:eastAsiaTheme="majorEastAsia"/>
                <w:color w:val="000000"/>
                <w:spacing w:val="5"/>
                <w:shd w:val="solid" w:color="000000" w:fill="000000"/>
                <w:fitText w:val="440" w:id="-1510248693"/>
                <w14:textFill>
                  <w14:solidFill>
                    <w14:srgbClr w14:val="000000">
                      <w14:alpha w14:val="100000"/>
                    </w14:srgbClr>
                  </w14:solidFill>
                </w14:textFill>
              </w:rPr>
              <w:t>|</w:t>
            </w:r>
          </w:p>
        </w:tc>
        <w:tc>
          <w:tcPr>
            <w:tcW w:w="2367" w:type="dxa"/>
          </w:tcPr>
          <w:p w14:paraId="3D5843E9" w14:textId="77777777" w:rsidR="00042926" w:rsidRPr="00675B78" w:rsidRDefault="00042926" w:rsidP="00252A0F">
            <w:pPr>
              <w:pStyle w:val="Tabletext"/>
              <w:rPr>
                <w:rFonts w:eastAsiaTheme="majorEastAsia"/>
              </w:rPr>
            </w:pPr>
            <w:r w:rsidRPr="00675B78">
              <w:rPr>
                <w:rFonts w:eastAsiaTheme="majorEastAsia"/>
              </w:rPr>
              <w:t>Eli Lilly proposed</w:t>
            </w:r>
          </w:p>
        </w:tc>
        <w:tc>
          <w:tcPr>
            <w:tcW w:w="1934" w:type="dxa"/>
          </w:tcPr>
          <w:p w14:paraId="7E321FE7" w14:textId="77777777" w:rsidR="00042926" w:rsidRPr="00675B78" w:rsidRDefault="00042926" w:rsidP="00252A0F">
            <w:pPr>
              <w:pStyle w:val="Tabletext"/>
              <w:rPr>
                <w:rFonts w:eastAsiaTheme="majorEastAsia"/>
              </w:rPr>
            </w:pPr>
          </w:p>
        </w:tc>
      </w:tr>
    </w:tbl>
    <w:p w14:paraId="413514DC" w14:textId="3D5863A3" w:rsidR="00042926" w:rsidRDefault="00042926" w:rsidP="00042926">
      <w:pPr>
        <w:pStyle w:val="Tabletext"/>
        <w:rPr>
          <w:rFonts w:eastAsiaTheme="majorEastAsia"/>
        </w:rPr>
      </w:pPr>
      <w:r w:rsidRPr="0034379F">
        <w:rPr>
          <w:rFonts w:eastAsiaTheme="majorEastAsia"/>
          <w:sz w:val="18"/>
          <w:szCs w:val="18"/>
        </w:rPr>
        <w:t>Source: Table 4.1.1, p87 of the submission. Abbreviations: AEMP = Approved ex-manufacturer price; DPMQ = Dispensed Price Maximum Quantity; PBS= Pharmaceutical Benefits Scheme</w:t>
      </w:r>
      <w:r w:rsidRPr="00675B78">
        <w:rPr>
          <w:rFonts w:eastAsiaTheme="majorEastAsia"/>
        </w:rPr>
        <w:t xml:space="preserve">. </w:t>
      </w:r>
    </w:p>
    <w:p w14:paraId="02F32D33" w14:textId="77777777" w:rsidR="00042926" w:rsidRPr="00043397" w:rsidRDefault="00042926" w:rsidP="00042926">
      <w:pPr>
        <w:pStyle w:val="Tabletext"/>
        <w:rPr>
          <w:rFonts w:eastAsiaTheme="majorEastAsia"/>
        </w:rPr>
      </w:pPr>
    </w:p>
    <w:p w14:paraId="61660D70" w14:textId="77777777" w:rsidR="00043397" w:rsidRPr="00043397" w:rsidRDefault="00043397" w:rsidP="00252A0F">
      <w:pPr>
        <w:pStyle w:val="3-BodyText"/>
        <w:rPr>
          <w:rFonts w:ascii="Arial Narrow" w:hAnsi="Arial Narrow"/>
          <w:b/>
          <w:sz w:val="20"/>
        </w:rPr>
      </w:pPr>
      <w:r w:rsidRPr="00043397">
        <w:t xml:space="preserve">The estimated use and financial implications are shown below. </w:t>
      </w:r>
    </w:p>
    <w:p w14:paraId="1E85F125" w14:textId="77777777" w:rsidR="00470891" w:rsidRDefault="00470891">
      <w:pPr>
        <w:jc w:val="left"/>
        <w:rPr>
          <w:rStyle w:val="CommentReference"/>
          <w:snapToGrid w:val="0"/>
          <w:szCs w:val="24"/>
        </w:rPr>
      </w:pPr>
      <w:r>
        <w:rPr>
          <w:rStyle w:val="CommentReference"/>
          <w:szCs w:val="24"/>
        </w:rPr>
        <w:br w:type="page"/>
      </w:r>
    </w:p>
    <w:p w14:paraId="38EC053C" w14:textId="4E94AE1F" w:rsidR="00C25D9C" w:rsidRPr="00043397" w:rsidRDefault="002A2F50" w:rsidP="0034379F">
      <w:pPr>
        <w:pStyle w:val="3-BodyText"/>
        <w:numPr>
          <w:ilvl w:val="0"/>
          <w:numId w:val="0"/>
        </w:numPr>
        <w:spacing w:after="0"/>
        <w:rPr>
          <w:rStyle w:val="CommentReference"/>
          <w:szCs w:val="24"/>
        </w:rPr>
      </w:pPr>
      <w:r w:rsidRPr="00043397">
        <w:rPr>
          <w:rStyle w:val="CommentReference"/>
          <w:szCs w:val="24"/>
        </w:rPr>
        <w:lastRenderedPageBreak/>
        <w:t xml:space="preserve">Table </w:t>
      </w:r>
      <w:r w:rsidR="00470891">
        <w:rPr>
          <w:rStyle w:val="CommentReference"/>
          <w:szCs w:val="24"/>
        </w:rPr>
        <w:t>8</w:t>
      </w:r>
      <w:r w:rsidRPr="00043397">
        <w:rPr>
          <w:rStyle w:val="CommentReference"/>
          <w:szCs w:val="24"/>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8: Estimated use and financial implications"/>
      </w:tblPr>
      <w:tblGrid>
        <w:gridCol w:w="2013"/>
        <w:gridCol w:w="1167"/>
        <w:gridCol w:w="1167"/>
        <w:gridCol w:w="1167"/>
        <w:gridCol w:w="1167"/>
        <w:gridCol w:w="1167"/>
        <w:gridCol w:w="1169"/>
      </w:tblGrid>
      <w:tr w:rsidR="00043397" w:rsidRPr="00D1078F" w14:paraId="526851CF" w14:textId="77777777" w:rsidTr="00B518A6">
        <w:trPr>
          <w:tblHeader/>
        </w:trPr>
        <w:tc>
          <w:tcPr>
            <w:tcW w:w="1117" w:type="pct"/>
            <w:shd w:val="clear" w:color="auto" w:fill="auto"/>
            <w:vAlign w:val="center"/>
          </w:tcPr>
          <w:p w14:paraId="7D0E07EE" w14:textId="77777777" w:rsidR="00043397" w:rsidRPr="003639A6" w:rsidRDefault="00043397" w:rsidP="00252A0F">
            <w:pPr>
              <w:pStyle w:val="In-tableHeading"/>
              <w:jc w:val="center"/>
            </w:pPr>
          </w:p>
        </w:tc>
        <w:tc>
          <w:tcPr>
            <w:tcW w:w="647" w:type="pct"/>
            <w:shd w:val="clear" w:color="auto" w:fill="auto"/>
            <w:vAlign w:val="center"/>
          </w:tcPr>
          <w:p w14:paraId="1E5339DD" w14:textId="77777777" w:rsidR="00043397" w:rsidRPr="00D1078F" w:rsidRDefault="00043397" w:rsidP="00252A0F">
            <w:pPr>
              <w:pStyle w:val="In-tableHeading"/>
              <w:jc w:val="center"/>
            </w:pPr>
            <w:r w:rsidRPr="00D1078F">
              <w:t>Year 1</w:t>
            </w:r>
          </w:p>
        </w:tc>
        <w:tc>
          <w:tcPr>
            <w:tcW w:w="647" w:type="pct"/>
            <w:shd w:val="clear" w:color="auto" w:fill="auto"/>
            <w:vAlign w:val="center"/>
          </w:tcPr>
          <w:p w14:paraId="79DF8542" w14:textId="77777777" w:rsidR="00043397" w:rsidRPr="00D1078F" w:rsidRDefault="00043397" w:rsidP="00252A0F">
            <w:pPr>
              <w:pStyle w:val="In-tableHeading"/>
              <w:jc w:val="center"/>
            </w:pPr>
            <w:r w:rsidRPr="00D1078F">
              <w:t>Year 2</w:t>
            </w:r>
          </w:p>
        </w:tc>
        <w:tc>
          <w:tcPr>
            <w:tcW w:w="647" w:type="pct"/>
            <w:shd w:val="clear" w:color="auto" w:fill="auto"/>
            <w:vAlign w:val="center"/>
          </w:tcPr>
          <w:p w14:paraId="0F083B1A" w14:textId="77777777" w:rsidR="00043397" w:rsidRPr="00D1078F" w:rsidRDefault="00043397" w:rsidP="00252A0F">
            <w:pPr>
              <w:pStyle w:val="In-tableHeading"/>
              <w:jc w:val="center"/>
            </w:pPr>
            <w:r w:rsidRPr="00D1078F">
              <w:t>Year 3</w:t>
            </w:r>
          </w:p>
        </w:tc>
        <w:tc>
          <w:tcPr>
            <w:tcW w:w="647" w:type="pct"/>
            <w:shd w:val="clear" w:color="auto" w:fill="auto"/>
            <w:vAlign w:val="center"/>
          </w:tcPr>
          <w:p w14:paraId="49D00D51" w14:textId="77777777" w:rsidR="00043397" w:rsidRPr="00D1078F" w:rsidRDefault="00043397" w:rsidP="00252A0F">
            <w:pPr>
              <w:pStyle w:val="In-tableHeading"/>
              <w:jc w:val="center"/>
            </w:pPr>
            <w:r w:rsidRPr="00D1078F">
              <w:t>Year 4</w:t>
            </w:r>
          </w:p>
        </w:tc>
        <w:tc>
          <w:tcPr>
            <w:tcW w:w="647" w:type="pct"/>
            <w:shd w:val="clear" w:color="auto" w:fill="auto"/>
            <w:vAlign w:val="center"/>
          </w:tcPr>
          <w:p w14:paraId="4D9BB118" w14:textId="77777777" w:rsidR="00043397" w:rsidRPr="00D1078F" w:rsidRDefault="00043397" w:rsidP="00252A0F">
            <w:pPr>
              <w:pStyle w:val="In-tableHeading"/>
              <w:jc w:val="center"/>
            </w:pPr>
            <w:r w:rsidRPr="00D1078F">
              <w:t>Year 5</w:t>
            </w:r>
          </w:p>
        </w:tc>
        <w:tc>
          <w:tcPr>
            <w:tcW w:w="647" w:type="pct"/>
          </w:tcPr>
          <w:p w14:paraId="68E5C94C" w14:textId="77777777" w:rsidR="00043397" w:rsidRPr="00D1078F" w:rsidRDefault="00043397" w:rsidP="00252A0F">
            <w:pPr>
              <w:pStyle w:val="In-tableHeading"/>
              <w:jc w:val="center"/>
            </w:pPr>
            <w:r w:rsidRPr="00D1078F">
              <w:t>Year 6</w:t>
            </w:r>
          </w:p>
        </w:tc>
      </w:tr>
      <w:tr w:rsidR="00043397" w:rsidRPr="00D1078F" w14:paraId="23EF6BC1" w14:textId="77777777" w:rsidTr="00252A0F">
        <w:tc>
          <w:tcPr>
            <w:tcW w:w="5000" w:type="pct"/>
            <w:gridSpan w:val="7"/>
            <w:shd w:val="clear" w:color="auto" w:fill="auto"/>
            <w:vAlign w:val="center"/>
          </w:tcPr>
          <w:p w14:paraId="07174CF1" w14:textId="77777777" w:rsidR="00043397" w:rsidRPr="00D1078F" w:rsidRDefault="00043397" w:rsidP="00252A0F">
            <w:pPr>
              <w:pStyle w:val="In-tableHeading"/>
              <w:rPr>
                <w:bCs/>
                <w:color w:val="000000"/>
              </w:rPr>
            </w:pPr>
            <w:r w:rsidRPr="00D1078F">
              <w:rPr>
                <w:bCs/>
                <w:color w:val="000000"/>
              </w:rPr>
              <w:t>Estimated extent of use</w:t>
            </w:r>
          </w:p>
        </w:tc>
      </w:tr>
      <w:tr w:rsidR="00043397" w:rsidRPr="003639A6" w14:paraId="3480D2A2" w14:textId="77777777" w:rsidTr="00B518A6">
        <w:tc>
          <w:tcPr>
            <w:tcW w:w="1117" w:type="pct"/>
            <w:shd w:val="clear" w:color="auto" w:fill="auto"/>
            <w:vAlign w:val="center"/>
          </w:tcPr>
          <w:p w14:paraId="3305996A" w14:textId="77777777" w:rsidR="00043397" w:rsidRPr="003639A6" w:rsidRDefault="00043397" w:rsidP="00252A0F">
            <w:pPr>
              <w:pStyle w:val="TableText0"/>
              <w:rPr>
                <w:rFonts w:ascii="Times" w:hAnsi="Times"/>
              </w:rPr>
            </w:pPr>
            <w:r w:rsidRPr="003639A6">
              <w:t xml:space="preserve">Number of </w:t>
            </w:r>
            <w:r>
              <w:t>scripts</w:t>
            </w:r>
            <w:r w:rsidRPr="003639A6">
              <w:t xml:space="preserve"> dispensed</w:t>
            </w:r>
            <w:r w:rsidRPr="003639A6">
              <w:rPr>
                <w:vertAlign w:val="superscript"/>
              </w:rPr>
              <w:t>a</w:t>
            </w:r>
          </w:p>
        </w:tc>
        <w:tc>
          <w:tcPr>
            <w:tcW w:w="647" w:type="pct"/>
            <w:shd w:val="clear" w:color="auto" w:fill="auto"/>
            <w:vAlign w:val="center"/>
          </w:tcPr>
          <w:p w14:paraId="78DB4A3A" w14:textId="514AAA26" w:rsidR="00043397" w:rsidRPr="00F66AF9" w:rsidRDefault="00F66AF9" w:rsidP="00252A0F">
            <w:pPr>
              <w:pStyle w:val="TableText0"/>
              <w:jc w:val="center"/>
              <w:rPr>
                <w:color w:val="000000"/>
                <w:vertAlign w:val="superscript"/>
              </w:rPr>
            </w:pPr>
            <w:r w:rsidRPr="005D792F">
              <w:rPr>
                <w:color w:val="000000"/>
                <w:spacing w:val="104"/>
                <w:shd w:val="solid" w:color="000000" w:fill="000000"/>
                <w:fitText w:val="190" w:id="-1510248692"/>
                <w14:textFill>
                  <w14:solidFill>
                    <w14:srgbClr w14:val="000000">
                      <w14:alpha w14:val="100000"/>
                    </w14:srgbClr>
                  </w14:solidFill>
                </w14:textFill>
              </w:rPr>
              <w:t>|</w:t>
            </w:r>
            <w:r w:rsidRPr="005D792F">
              <w:rPr>
                <w:color w:val="000000"/>
                <w:shd w:val="solid" w:color="000000" w:fill="000000"/>
                <w:fitText w:val="190" w:id="-1510248692"/>
                <w14:textFill>
                  <w14:solidFill>
                    <w14:srgbClr w14:val="000000">
                      <w14:alpha w14:val="100000"/>
                    </w14:srgbClr>
                  </w14:solidFill>
                </w14:textFill>
              </w:rPr>
              <w:t>|</w:t>
            </w:r>
            <w:r w:rsidR="00035B33" w:rsidRPr="00F66AF9">
              <w:rPr>
                <w:vertAlign w:val="superscript"/>
              </w:rPr>
              <w:t>1</w:t>
            </w:r>
          </w:p>
        </w:tc>
        <w:tc>
          <w:tcPr>
            <w:tcW w:w="647" w:type="pct"/>
            <w:shd w:val="clear" w:color="auto" w:fill="auto"/>
            <w:vAlign w:val="center"/>
          </w:tcPr>
          <w:p w14:paraId="0FBB814B" w14:textId="0F84BB3F" w:rsidR="00043397" w:rsidRPr="00F66AF9" w:rsidRDefault="00F66AF9" w:rsidP="00252A0F">
            <w:pPr>
              <w:pStyle w:val="TableText0"/>
              <w:jc w:val="center"/>
              <w:rPr>
                <w:color w:val="000000"/>
              </w:rPr>
            </w:pPr>
            <w:r w:rsidRPr="005D792F">
              <w:rPr>
                <w:color w:val="000000"/>
                <w:spacing w:val="104"/>
                <w:shd w:val="solid" w:color="000000" w:fill="000000"/>
                <w:fitText w:val="190" w:id="-1510248691"/>
                <w14:textFill>
                  <w14:solidFill>
                    <w14:srgbClr w14:val="000000">
                      <w14:alpha w14:val="100000"/>
                    </w14:srgbClr>
                  </w14:solidFill>
                </w14:textFill>
              </w:rPr>
              <w:t>|</w:t>
            </w:r>
            <w:r w:rsidRPr="005D792F">
              <w:rPr>
                <w:color w:val="000000"/>
                <w:shd w:val="solid" w:color="000000" w:fill="000000"/>
                <w:fitText w:val="190" w:id="-1510248691"/>
                <w14:textFill>
                  <w14:solidFill>
                    <w14:srgbClr w14:val="000000">
                      <w14:alpha w14:val="100000"/>
                    </w14:srgbClr>
                  </w14:solidFill>
                </w14:textFill>
              </w:rPr>
              <w:t>|</w:t>
            </w:r>
            <w:r w:rsidR="00035B33" w:rsidRPr="00F66AF9">
              <w:rPr>
                <w:vertAlign w:val="superscript"/>
              </w:rPr>
              <w:t>3</w:t>
            </w:r>
          </w:p>
        </w:tc>
        <w:tc>
          <w:tcPr>
            <w:tcW w:w="647" w:type="pct"/>
            <w:shd w:val="clear" w:color="auto" w:fill="auto"/>
            <w:vAlign w:val="center"/>
          </w:tcPr>
          <w:p w14:paraId="275BD537" w14:textId="2D7476CA" w:rsidR="00043397" w:rsidRPr="00F66AF9" w:rsidRDefault="00F66AF9" w:rsidP="00252A0F">
            <w:pPr>
              <w:pStyle w:val="TableText0"/>
              <w:jc w:val="center"/>
              <w:rPr>
                <w:color w:val="000000"/>
              </w:rPr>
            </w:pPr>
            <w:r w:rsidRPr="005D792F">
              <w:rPr>
                <w:color w:val="000000"/>
                <w:spacing w:val="104"/>
                <w:shd w:val="solid" w:color="000000" w:fill="000000"/>
                <w:fitText w:val="190" w:id="-1510248690"/>
                <w14:textFill>
                  <w14:solidFill>
                    <w14:srgbClr w14:val="000000">
                      <w14:alpha w14:val="100000"/>
                    </w14:srgbClr>
                  </w14:solidFill>
                </w14:textFill>
              </w:rPr>
              <w:t>|</w:t>
            </w:r>
            <w:r w:rsidRPr="005D792F">
              <w:rPr>
                <w:color w:val="000000"/>
                <w:shd w:val="solid" w:color="000000" w:fill="000000"/>
                <w:fitText w:val="190" w:id="-1510248690"/>
                <w14:textFill>
                  <w14:solidFill>
                    <w14:srgbClr w14:val="000000">
                      <w14:alpha w14:val="100000"/>
                    </w14:srgbClr>
                  </w14:solidFill>
                </w14:textFill>
              </w:rPr>
              <w:t>|</w:t>
            </w:r>
            <w:r w:rsidR="00035B33" w:rsidRPr="00F66AF9">
              <w:rPr>
                <w:vertAlign w:val="superscript"/>
              </w:rPr>
              <w:t>4</w:t>
            </w:r>
          </w:p>
        </w:tc>
        <w:tc>
          <w:tcPr>
            <w:tcW w:w="647" w:type="pct"/>
            <w:shd w:val="clear" w:color="auto" w:fill="auto"/>
            <w:vAlign w:val="center"/>
          </w:tcPr>
          <w:p w14:paraId="090F76F3" w14:textId="4233C2AC" w:rsidR="00043397" w:rsidRPr="00F66AF9" w:rsidRDefault="00F66AF9" w:rsidP="00252A0F">
            <w:pPr>
              <w:pStyle w:val="TableText0"/>
              <w:jc w:val="center"/>
              <w:rPr>
                <w:color w:val="000000"/>
              </w:rPr>
            </w:pPr>
            <w:r w:rsidRPr="005D792F">
              <w:rPr>
                <w:color w:val="000000"/>
                <w:spacing w:val="104"/>
                <w:shd w:val="solid" w:color="000000" w:fill="000000"/>
                <w:fitText w:val="190" w:id="-1510248689"/>
                <w14:textFill>
                  <w14:solidFill>
                    <w14:srgbClr w14:val="000000">
                      <w14:alpha w14:val="100000"/>
                    </w14:srgbClr>
                  </w14:solidFill>
                </w14:textFill>
              </w:rPr>
              <w:t>|</w:t>
            </w:r>
            <w:r w:rsidRPr="005D792F">
              <w:rPr>
                <w:color w:val="000000"/>
                <w:shd w:val="solid" w:color="000000" w:fill="000000"/>
                <w:fitText w:val="190" w:id="-1510248689"/>
                <w14:textFill>
                  <w14:solidFill>
                    <w14:srgbClr w14:val="000000">
                      <w14:alpha w14:val="100000"/>
                    </w14:srgbClr>
                  </w14:solidFill>
                </w14:textFill>
              </w:rPr>
              <w:t>|</w:t>
            </w:r>
            <w:r w:rsidR="00035B33" w:rsidRPr="00F66AF9">
              <w:rPr>
                <w:vertAlign w:val="superscript"/>
              </w:rPr>
              <w:t>4</w:t>
            </w:r>
          </w:p>
        </w:tc>
        <w:tc>
          <w:tcPr>
            <w:tcW w:w="647" w:type="pct"/>
            <w:shd w:val="clear" w:color="auto" w:fill="auto"/>
            <w:vAlign w:val="center"/>
          </w:tcPr>
          <w:p w14:paraId="31530532" w14:textId="79F55C3F" w:rsidR="00043397" w:rsidRPr="00F66AF9" w:rsidRDefault="00F66AF9" w:rsidP="00252A0F">
            <w:pPr>
              <w:pStyle w:val="TableText0"/>
              <w:jc w:val="center"/>
              <w:rPr>
                <w:color w:val="000000"/>
              </w:rPr>
            </w:pPr>
            <w:r w:rsidRPr="005D792F">
              <w:rPr>
                <w:color w:val="000000"/>
                <w:spacing w:val="104"/>
                <w:shd w:val="solid" w:color="000000" w:fill="000000"/>
                <w:fitText w:val="190" w:id="-1510248688"/>
                <w14:textFill>
                  <w14:solidFill>
                    <w14:srgbClr w14:val="000000">
                      <w14:alpha w14:val="100000"/>
                    </w14:srgbClr>
                  </w14:solidFill>
                </w14:textFill>
              </w:rPr>
              <w:t>|</w:t>
            </w:r>
            <w:r w:rsidRPr="005D792F">
              <w:rPr>
                <w:color w:val="000000"/>
                <w:shd w:val="solid" w:color="000000" w:fill="000000"/>
                <w:fitText w:val="190" w:id="-1510248688"/>
                <w14:textFill>
                  <w14:solidFill>
                    <w14:srgbClr w14:val="000000">
                      <w14:alpha w14:val="100000"/>
                    </w14:srgbClr>
                  </w14:solidFill>
                </w14:textFill>
              </w:rPr>
              <w:t>|</w:t>
            </w:r>
            <w:r w:rsidR="00035B33" w:rsidRPr="00F66AF9">
              <w:rPr>
                <w:vertAlign w:val="superscript"/>
              </w:rPr>
              <w:t>4</w:t>
            </w:r>
          </w:p>
        </w:tc>
        <w:tc>
          <w:tcPr>
            <w:tcW w:w="647" w:type="pct"/>
            <w:vAlign w:val="center"/>
          </w:tcPr>
          <w:p w14:paraId="58FB1C7D" w14:textId="24EC8049" w:rsidR="00043397" w:rsidRPr="00F66AF9" w:rsidRDefault="00F66AF9" w:rsidP="00252A0F">
            <w:pPr>
              <w:pStyle w:val="TableText0"/>
              <w:jc w:val="center"/>
              <w:rPr>
                <w:color w:val="000000"/>
              </w:rPr>
            </w:pPr>
            <w:r w:rsidRPr="005D792F">
              <w:rPr>
                <w:color w:val="000000"/>
                <w:spacing w:val="104"/>
                <w:shd w:val="solid" w:color="000000" w:fill="000000"/>
                <w:fitText w:val="190" w:id="-1510248704"/>
                <w14:textFill>
                  <w14:solidFill>
                    <w14:srgbClr w14:val="000000">
                      <w14:alpha w14:val="100000"/>
                    </w14:srgbClr>
                  </w14:solidFill>
                </w14:textFill>
              </w:rPr>
              <w:t>|</w:t>
            </w:r>
            <w:r w:rsidRPr="005D792F">
              <w:rPr>
                <w:color w:val="000000"/>
                <w:shd w:val="solid" w:color="000000" w:fill="000000"/>
                <w:fitText w:val="190" w:id="-1510248704"/>
                <w14:textFill>
                  <w14:solidFill>
                    <w14:srgbClr w14:val="000000">
                      <w14:alpha w14:val="100000"/>
                    </w14:srgbClr>
                  </w14:solidFill>
                </w14:textFill>
              </w:rPr>
              <w:t>|</w:t>
            </w:r>
            <w:r w:rsidR="00035B33" w:rsidRPr="00F66AF9">
              <w:rPr>
                <w:vertAlign w:val="superscript"/>
              </w:rPr>
              <w:t>4</w:t>
            </w:r>
          </w:p>
        </w:tc>
      </w:tr>
      <w:tr w:rsidR="00043397" w:rsidRPr="00D1078F" w14:paraId="7C287EC1" w14:textId="77777777" w:rsidTr="00252A0F">
        <w:tc>
          <w:tcPr>
            <w:tcW w:w="5000" w:type="pct"/>
            <w:gridSpan w:val="7"/>
            <w:shd w:val="clear" w:color="auto" w:fill="auto"/>
            <w:vAlign w:val="center"/>
          </w:tcPr>
          <w:p w14:paraId="4D1D67EB" w14:textId="4FD93535" w:rsidR="00043397" w:rsidRPr="00F66AF9" w:rsidRDefault="00043397" w:rsidP="00252A0F">
            <w:pPr>
              <w:pStyle w:val="In-tableHeading"/>
            </w:pPr>
            <w:r w:rsidRPr="00F66AF9">
              <w:t>Estimated financial implications of</w:t>
            </w:r>
            <w:r w:rsidR="00CF6D7E" w:rsidRPr="00F66AF9">
              <w:t xml:space="preserve"> dulaglutide</w:t>
            </w:r>
            <w:r w:rsidRPr="00F66AF9">
              <w:t xml:space="preserve"> 3.0</w:t>
            </w:r>
            <w:r w:rsidR="00CF6D7E" w:rsidRPr="00F66AF9">
              <w:t xml:space="preserve"> mg</w:t>
            </w:r>
            <w:r w:rsidRPr="00F66AF9">
              <w:t xml:space="preserve"> and 4.5</w:t>
            </w:r>
            <w:r w:rsidR="004A6ED3" w:rsidRPr="00F66AF9">
              <w:t xml:space="preserve"> </w:t>
            </w:r>
            <w:r w:rsidRPr="00F66AF9">
              <w:t xml:space="preserve">mg </w:t>
            </w:r>
          </w:p>
        </w:tc>
      </w:tr>
      <w:tr w:rsidR="00B518A6" w:rsidRPr="003639A6" w14:paraId="216AF783" w14:textId="77777777" w:rsidTr="00035B33">
        <w:tc>
          <w:tcPr>
            <w:tcW w:w="1117" w:type="pct"/>
            <w:shd w:val="clear" w:color="auto" w:fill="auto"/>
            <w:vAlign w:val="center"/>
          </w:tcPr>
          <w:p w14:paraId="3893B0E5" w14:textId="7C1BE86E" w:rsidR="00B518A6" w:rsidRPr="00C946E9" w:rsidRDefault="00B518A6" w:rsidP="00B518A6">
            <w:pPr>
              <w:pStyle w:val="TableText0"/>
              <w:rPr>
                <w:sz w:val="19"/>
                <w:szCs w:val="19"/>
                <w:vertAlign w:val="superscript"/>
              </w:rPr>
            </w:pPr>
            <w:r>
              <w:rPr>
                <w:sz w:val="19"/>
                <w:szCs w:val="19"/>
              </w:rPr>
              <w:t>Cost to PBS/RPBS less copayments</w:t>
            </w:r>
            <w:r w:rsidR="00035B33">
              <w:rPr>
                <w:sz w:val="19"/>
                <w:szCs w:val="19"/>
              </w:rPr>
              <w:t xml:space="preserve"> ($)</w:t>
            </w:r>
          </w:p>
        </w:tc>
        <w:tc>
          <w:tcPr>
            <w:tcW w:w="647" w:type="pct"/>
            <w:shd w:val="clear" w:color="auto" w:fill="auto"/>
            <w:vAlign w:val="center"/>
          </w:tcPr>
          <w:p w14:paraId="14F6018F" w14:textId="28E545E4" w:rsidR="00B518A6" w:rsidRPr="00F66AF9" w:rsidRDefault="00F66AF9" w:rsidP="00035B33">
            <w:pPr>
              <w:pStyle w:val="TableText0"/>
              <w:jc w:val="center"/>
            </w:pPr>
            <w:r w:rsidRPr="005D792F">
              <w:rPr>
                <w:color w:val="000000"/>
                <w:spacing w:val="104"/>
                <w:shd w:val="solid" w:color="000000" w:fill="000000"/>
                <w:fitText w:val="190" w:id="-1510248703"/>
                <w14:textFill>
                  <w14:solidFill>
                    <w14:srgbClr w14:val="000000">
                      <w14:alpha w14:val="100000"/>
                    </w14:srgbClr>
                  </w14:solidFill>
                </w14:textFill>
              </w:rPr>
              <w:t>|</w:t>
            </w:r>
            <w:r w:rsidRPr="005D792F">
              <w:rPr>
                <w:color w:val="000000"/>
                <w:shd w:val="solid" w:color="000000" w:fill="000000"/>
                <w:fitText w:val="190" w:id="-1510248703"/>
                <w14:textFill>
                  <w14:solidFill>
                    <w14:srgbClr w14:val="000000">
                      <w14:alpha w14:val="100000"/>
                    </w14:srgbClr>
                  </w14:solidFill>
                </w14:textFill>
              </w:rPr>
              <w:t>|</w:t>
            </w:r>
            <w:r w:rsidR="00035B33" w:rsidRPr="00F66AF9">
              <w:rPr>
                <w:vertAlign w:val="superscript"/>
              </w:rPr>
              <w:t>2</w:t>
            </w:r>
          </w:p>
        </w:tc>
        <w:tc>
          <w:tcPr>
            <w:tcW w:w="647" w:type="pct"/>
            <w:shd w:val="clear" w:color="auto" w:fill="auto"/>
            <w:vAlign w:val="center"/>
          </w:tcPr>
          <w:p w14:paraId="3CA67F8D" w14:textId="19FD3561" w:rsidR="00B518A6" w:rsidRPr="00F66AF9" w:rsidRDefault="00F66AF9" w:rsidP="00035B33">
            <w:pPr>
              <w:pStyle w:val="TableText0"/>
              <w:jc w:val="center"/>
            </w:pPr>
            <w:r w:rsidRPr="005D792F">
              <w:rPr>
                <w:color w:val="000000"/>
                <w:spacing w:val="104"/>
                <w:shd w:val="solid" w:color="000000" w:fill="000000"/>
                <w:fitText w:val="190" w:id="-1510248702"/>
                <w14:textFill>
                  <w14:solidFill>
                    <w14:srgbClr w14:val="000000">
                      <w14:alpha w14:val="100000"/>
                    </w14:srgbClr>
                  </w14:solidFill>
                </w14:textFill>
              </w:rPr>
              <w:t>|</w:t>
            </w:r>
            <w:r w:rsidRPr="005D792F">
              <w:rPr>
                <w:color w:val="000000"/>
                <w:shd w:val="solid" w:color="000000" w:fill="000000"/>
                <w:fitText w:val="190" w:id="-1510248702"/>
                <w14:textFill>
                  <w14:solidFill>
                    <w14:srgbClr w14:val="000000">
                      <w14:alpha w14:val="100000"/>
                    </w14:srgbClr>
                  </w14:solidFill>
                </w14:textFill>
              </w:rPr>
              <w:t>|</w:t>
            </w:r>
            <w:r w:rsidR="00035B33" w:rsidRPr="00F66AF9">
              <w:rPr>
                <w:vertAlign w:val="superscript"/>
              </w:rPr>
              <w:t>2</w:t>
            </w:r>
          </w:p>
        </w:tc>
        <w:tc>
          <w:tcPr>
            <w:tcW w:w="647" w:type="pct"/>
            <w:shd w:val="clear" w:color="auto" w:fill="auto"/>
            <w:vAlign w:val="center"/>
          </w:tcPr>
          <w:p w14:paraId="5A780B54" w14:textId="48BFA33D" w:rsidR="00B518A6" w:rsidRPr="00F66AF9" w:rsidRDefault="00F66AF9" w:rsidP="00035B33">
            <w:pPr>
              <w:pStyle w:val="TableText0"/>
              <w:jc w:val="center"/>
            </w:pPr>
            <w:r w:rsidRPr="005D792F">
              <w:rPr>
                <w:color w:val="000000"/>
                <w:spacing w:val="104"/>
                <w:shd w:val="solid" w:color="000000" w:fill="000000"/>
                <w:fitText w:val="190" w:id="-1510248701"/>
                <w14:textFill>
                  <w14:solidFill>
                    <w14:srgbClr w14:val="000000">
                      <w14:alpha w14:val="100000"/>
                    </w14:srgbClr>
                  </w14:solidFill>
                </w14:textFill>
              </w:rPr>
              <w:t>|</w:t>
            </w:r>
            <w:r w:rsidRPr="005D792F">
              <w:rPr>
                <w:color w:val="000000"/>
                <w:shd w:val="solid" w:color="000000" w:fill="000000"/>
                <w:fitText w:val="190" w:id="-1510248701"/>
                <w14:textFill>
                  <w14:solidFill>
                    <w14:srgbClr w14:val="000000">
                      <w14:alpha w14:val="100000"/>
                    </w14:srgbClr>
                  </w14:solidFill>
                </w14:textFill>
              </w:rPr>
              <w:t>|</w:t>
            </w:r>
            <w:r w:rsidR="00035B33" w:rsidRPr="00F66AF9">
              <w:rPr>
                <w:vertAlign w:val="superscript"/>
              </w:rPr>
              <w:t>5</w:t>
            </w:r>
          </w:p>
        </w:tc>
        <w:tc>
          <w:tcPr>
            <w:tcW w:w="647" w:type="pct"/>
            <w:shd w:val="clear" w:color="auto" w:fill="auto"/>
            <w:vAlign w:val="center"/>
          </w:tcPr>
          <w:p w14:paraId="4A577DD1" w14:textId="53AED2D4" w:rsidR="00B518A6" w:rsidRPr="00F66AF9" w:rsidRDefault="00F66AF9" w:rsidP="00035B33">
            <w:pPr>
              <w:pStyle w:val="TableText0"/>
              <w:jc w:val="center"/>
            </w:pPr>
            <w:r w:rsidRPr="005D792F">
              <w:rPr>
                <w:color w:val="000000"/>
                <w:spacing w:val="104"/>
                <w:shd w:val="solid" w:color="000000" w:fill="000000"/>
                <w:fitText w:val="190" w:id="-1510248700"/>
                <w14:textFill>
                  <w14:solidFill>
                    <w14:srgbClr w14:val="000000">
                      <w14:alpha w14:val="100000"/>
                    </w14:srgbClr>
                  </w14:solidFill>
                </w14:textFill>
              </w:rPr>
              <w:t>|</w:t>
            </w:r>
            <w:r w:rsidRPr="005D792F">
              <w:rPr>
                <w:color w:val="000000"/>
                <w:shd w:val="solid" w:color="000000" w:fill="000000"/>
                <w:fitText w:val="190" w:id="-1510248700"/>
                <w14:textFill>
                  <w14:solidFill>
                    <w14:srgbClr w14:val="000000">
                      <w14:alpha w14:val="100000"/>
                    </w14:srgbClr>
                  </w14:solidFill>
                </w14:textFill>
              </w:rPr>
              <w:t>|</w:t>
            </w:r>
            <w:r w:rsidR="00035B33" w:rsidRPr="00F66AF9">
              <w:rPr>
                <w:vertAlign w:val="superscript"/>
              </w:rPr>
              <w:t>5</w:t>
            </w:r>
          </w:p>
        </w:tc>
        <w:tc>
          <w:tcPr>
            <w:tcW w:w="647" w:type="pct"/>
            <w:shd w:val="clear" w:color="auto" w:fill="auto"/>
            <w:vAlign w:val="center"/>
          </w:tcPr>
          <w:p w14:paraId="19828EC6" w14:textId="0F7AF7F6" w:rsidR="00B518A6" w:rsidRPr="00F66AF9" w:rsidRDefault="00F66AF9" w:rsidP="00035B33">
            <w:pPr>
              <w:pStyle w:val="TableText0"/>
              <w:jc w:val="center"/>
            </w:pPr>
            <w:r w:rsidRPr="005D792F">
              <w:rPr>
                <w:color w:val="000000"/>
                <w:spacing w:val="104"/>
                <w:shd w:val="solid" w:color="000000" w:fill="000000"/>
                <w:fitText w:val="190" w:id="-1510248699"/>
                <w14:textFill>
                  <w14:solidFill>
                    <w14:srgbClr w14:val="000000">
                      <w14:alpha w14:val="100000"/>
                    </w14:srgbClr>
                  </w14:solidFill>
                </w14:textFill>
              </w:rPr>
              <w:t>|</w:t>
            </w:r>
            <w:r w:rsidRPr="005D792F">
              <w:rPr>
                <w:color w:val="000000"/>
                <w:shd w:val="solid" w:color="000000" w:fill="000000"/>
                <w:fitText w:val="190" w:id="-1510248699"/>
                <w14:textFill>
                  <w14:solidFill>
                    <w14:srgbClr w14:val="000000">
                      <w14:alpha w14:val="100000"/>
                    </w14:srgbClr>
                  </w14:solidFill>
                </w14:textFill>
              </w:rPr>
              <w:t>|</w:t>
            </w:r>
            <w:r w:rsidR="00035B33" w:rsidRPr="00F66AF9">
              <w:rPr>
                <w:vertAlign w:val="superscript"/>
              </w:rPr>
              <w:t>5</w:t>
            </w:r>
          </w:p>
        </w:tc>
        <w:tc>
          <w:tcPr>
            <w:tcW w:w="647" w:type="pct"/>
            <w:vAlign w:val="center"/>
          </w:tcPr>
          <w:p w14:paraId="40ABFF39" w14:textId="6DCF9935" w:rsidR="00B518A6" w:rsidRPr="00F66AF9" w:rsidRDefault="00F66AF9" w:rsidP="00035B33">
            <w:pPr>
              <w:pStyle w:val="TableText0"/>
              <w:jc w:val="center"/>
            </w:pPr>
            <w:r w:rsidRPr="005D792F">
              <w:rPr>
                <w:color w:val="000000"/>
                <w:spacing w:val="104"/>
                <w:shd w:val="solid" w:color="000000" w:fill="000000"/>
                <w:fitText w:val="190" w:id="-1510248698"/>
                <w14:textFill>
                  <w14:solidFill>
                    <w14:srgbClr w14:val="000000">
                      <w14:alpha w14:val="100000"/>
                    </w14:srgbClr>
                  </w14:solidFill>
                </w14:textFill>
              </w:rPr>
              <w:t>|</w:t>
            </w:r>
            <w:r w:rsidRPr="005D792F">
              <w:rPr>
                <w:color w:val="000000"/>
                <w:shd w:val="solid" w:color="000000" w:fill="000000"/>
                <w:fitText w:val="190" w:id="-1510248698"/>
                <w14:textFill>
                  <w14:solidFill>
                    <w14:srgbClr w14:val="000000">
                      <w14:alpha w14:val="100000"/>
                    </w14:srgbClr>
                  </w14:solidFill>
                </w14:textFill>
              </w:rPr>
              <w:t>|</w:t>
            </w:r>
            <w:r w:rsidR="00035B33" w:rsidRPr="00F66AF9">
              <w:rPr>
                <w:vertAlign w:val="superscript"/>
              </w:rPr>
              <w:t>5</w:t>
            </w:r>
          </w:p>
        </w:tc>
      </w:tr>
      <w:tr w:rsidR="00B518A6" w:rsidRPr="003639A6" w14:paraId="46075132" w14:textId="77777777" w:rsidTr="00252A0F">
        <w:tc>
          <w:tcPr>
            <w:tcW w:w="5000" w:type="pct"/>
            <w:gridSpan w:val="7"/>
            <w:shd w:val="clear" w:color="auto" w:fill="auto"/>
            <w:vAlign w:val="center"/>
          </w:tcPr>
          <w:p w14:paraId="1FA63336" w14:textId="5ADB0ABE" w:rsidR="00B518A6" w:rsidRPr="00F66AF9" w:rsidRDefault="00B518A6" w:rsidP="00B518A6">
            <w:pPr>
              <w:pStyle w:val="TableText0"/>
            </w:pPr>
            <w:r w:rsidRPr="00F66AF9">
              <w:t xml:space="preserve">Estimated financial implications for dulaglutide 1.5 mg </w:t>
            </w:r>
          </w:p>
        </w:tc>
      </w:tr>
      <w:tr w:rsidR="00B518A6" w:rsidRPr="003639A6" w14:paraId="5073B3E0" w14:textId="77777777" w:rsidTr="00B518A6">
        <w:tc>
          <w:tcPr>
            <w:tcW w:w="1117" w:type="pct"/>
            <w:shd w:val="clear" w:color="auto" w:fill="auto"/>
            <w:vAlign w:val="center"/>
          </w:tcPr>
          <w:p w14:paraId="21C2B5F2" w14:textId="0A72F7B3" w:rsidR="00B518A6" w:rsidRDefault="00B518A6" w:rsidP="00B518A6">
            <w:pPr>
              <w:pStyle w:val="TableText0"/>
              <w:rPr>
                <w:sz w:val="19"/>
                <w:szCs w:val="19"/>
              </w:rPr>
            </w:pPr>
            <w:r>
              <w:rPr>
                <w:sz w:val="19"/>
                <w:szCs w:val="19"/>
              </w:rPr>
              <w:t>Cost to PBS/RPBS less copayments</w:t>
            </w:r>
            <w:r w:rsidR="00035B33">
              <w:rPr>
                <w:sz w:val="19"/>
                <w:szCs w:val="19"/>
              </w:rPr>
              <w:t xml:space="preserve"> ($)</w:t>
            </w:r>
          </w:p>
        </w:tc>
        <w:tc>
          <w:tcPr>
            <w:tcW w:w="647" w:type="pct"/>
            <w:shd w:val="clear" w:color="auto" w:fill="auto"/>
            <w:vAlign w:val="center"/>
          </w:tcPr>
          <w:p w14:paraId="45CAC308" w14:textId="04C5E115" w:rsidR="00B518A6" w:rsidRPr="00F66AF9" w:rsidRDefault="00B518A6" w:rsidP="00B518A6">
            <w:pPr>
              <w:pStyle w:val="TableText0"/>
              <w:jc w:val="center"/>
            </w:pPr>
            <w:r w:rsidRPr="00F66AF9">
              <w:t>-</w:t>
            </w:r>
            <w:r w:rsidR="00F66AF9" w:rsidRPr="005D792F">
              <w:rPr>
                <w:color w:val="000000"/>
                <w:spacing w:val="41"/>
                <w:shd w:val="solid" w:color="000000" w:fill="000000"/>
                <w:fitText w:val="210" w:id="-1510248697"/>
                <w14:textFill>
                  <w14:solidFill>
                    <w14:srgbClr w14:val="000000">
                      <w14:alpha w14:val="100000"/>
                    </w14:srgbClr>
                  </w14:solidFill>
                </w14:textFill>
              </w:rPr>
              <w:t>||</w:t>
            </w:r>
            <w:r w:rsidR="00F66AF9" w:rsidRPr="005D792F">
              <w:rPr>
                <w:color w:val="000000"/>
                <w:spacing w:val="1"/>
                <w:shd w:val="solid" w:color="000000" w:fill="000000"/>
                <w:fitText w:val="210" w:id="-1510248697"/>
                <w14:textFill>
                  <w14:solidFill>
                    <w14:srgbClr w14:val="000000">
                      <w14:alpha w14:val="100000"/>
                    </w14:srgbClr>
                  </w14:solidFill>
                </w14:textFill>
              </w:rPr>
              <w:t>|</w:t>
            </w:r>
            <w:r w:rsidR="00035B33" w:rsidRPr="00F66AF9">
              <w:rPr>
                <w:vertAlign w:val="superscript"/>
              </w:rPr>
              <w:t>2</w:t>
            </w:r>
          </w:p>
        </w:tc>
        <w:tc>
          <w:tcPr>
            <w:tcW w:w="647" w:type="pct"/>
            <w:shd w:val="clear" w:color="auto" w:fill="auto"/>
            <w:vAlign w:val="center"/>
          </w:tcPr>
          <w:p w14:paraId="0EA8D3A4" w14:textId="3E48E92D" w:rsidR="00B518A6" w:rsidRPr="00F66AF9" w:rsidRDefault="00B518A6" w:rsidP="00B518A6">
            <w:pPr>
              <w:pStyle w:val="TableText0"/>
              <w:jc w:val="center"/>
            </w:pPr>
            <w:r w:rsidRPr="00F66AF9">
              <w:t>-</w:t>
            </w:r>
            <w:r w:rsidR="00F66AF9" w:rsidRPr="005D792F">
              <w:rPr>
                <w:color w:val="000000"/>
                <w:spacing w:val="41"/>
                <w:shd w:val="solid" w:color="000000" w:fill="000000"/>
                <w:fitText w:val="210" w:id="-1510248696"/>
                <w14:textFill>
                  <w14:solidFill>
                    <w14:srgbClr w14:val="000000">
                      <w14:alpha w14:val="100000"/>
                    </w14:srgbClr>
                  </w14:solidFill>
                </w14:textFill>
              </w:rPr>
              <w:t>||</w:t>
            </w:r>
            <w:r w:rsidR="00F66AF9" w:rsidRPr="005D792F">
              <w:rPr>
                <w:color w:val="000000"/>
                <w:spacing w:val="1"/>
                <w:shd w:val="solid" w:color="000000" w:fill="000000"/>
                <w:fitText w:val="210" w:id="-1510248696"/>
                <w14:textFill>
                  <w14:solidFill>
                    <w14:srgbClr w14:val="000000">
                      <w14:alpha w14:val="100000"/>
                    </w14:srgbClr>
                  </w14:solidFill>
                </w14:textFill>
              </w:rPr>
              <w:t>|</w:t>
            </w:r>
            <w:r w:rsidR="00035B33" w:rsidRPr="00F66AF9">
              <w:rPr>
                <w:vertAlign w:val="superscript"/>
              </w:rPr>
              <w:t>2</w:t>
            </w:r>
          </w:p>
        </w:tc>
        <w:tc>
          <w:tcPr>
            <w:tcW w:w="647" w:type="pct"/>
            <w:shd w:val="clear" w:color="auto" w:fill="auto"/>
            <w:vAlign w:val="center"/>
          </w:tcPr>
          <w:p w14:paraId="7DCBE3DC" w14:textId="18105555" w:rsidR="00B518A6" w:rsidRPr="00F66AF9" w:rsidRDefault="00B518A6" w:rsidP="00B518A6">
            <w:pPr>
              <w:pStyle w:val="TableText0"/>
              <w:jc w:val="center"/>
            </w:pPr>
            <w:r w:rsidRPr="00F66AF9">
              <w:t>-</w:t>
            </w:r>
            <w:r w:rsidR="00F66AF9" w:rsidRPr="005D792F">
              <w:rPr>
                <w:color w:val="000000"/>
                <w:spacing w:val="41"/>
                <w:shd w:val="solid" w:color="000000" w:fill="000000"/>
                <w:fitText w:val="210" w:id="-1510248695"/>
                <w14:textFill>
                  <w14:solidFill>
                    <w14:srgbClr w14:val="000000">
                      <w14:alpha w14:val="100000"/>
                    </w14:srgbClr>
                  </w14:solidFill>
                </w14:textFill>
              </w:rPr>
              <w:t>||</w:t>
            </w:r>
            <w:r w:rsidR="00F66AF9" w:rsidRPr="005D792F">
              <w:rPr>
                <w:color w:val="000000"/>
                <w:spacing w:val="1"/>
                <w:shd w:val="solid" w:color="000000" w:fill="000000"/>
                <w:fitText w:val="210" w:id="-1510248695"/>
                <w14:textFill>
                  <w14:solidFill>
                    <w14:srgbClr w14:val="000000">
                      <w14:alpha w14:val="100000"/>
                    </w14:srgbClr>
                  </w14:solidFill>
                </w14:textFill>
              </w:rPr>
              <w:t>|</w:t>
            </w:r>
            <w:r w:rsidR="00035B33" w:rsidRPr="00F66AF9">
              <w:rPr>
                <w:vertAlign w:val="superscript"/>
              </w:rPr>
              <w:t>5</w:t>
            </w:r>
          </w:p>
        </w:tc>
        <w:tc>
          <w:tcPr>
            <w:tcW w:w="647" w:type="pct"/>
            <w:shd w:val="clear" w:color="auto" w:fill="auto"/>
            <w:vAlign w:val="center"/>
          </w:tcPr>
          <w:p w14:paraId="11F17259" w14:textId="2AE03CE5" w:rsidR="00B518A6" w:rsidRPr="00F66AF9" w:rsidRDefault="00B518A6" w:rsidP="00B518A6">
            <w:pPr>
              <w:pStyle w:val="TableText0"/>
              <w:jc w:val="center"/>
            </w:pPr>
            <w:r w:rsidRPr="00F66AF9">
              <w:t>-</w:t>
            </w:r>
            <w:r w:rsidR="00F66AF9" w:rsidRPr="005D792F">
              <w:rPr>
                <w:color w:val="000000"/>
                <w:spacing w:val="41"/>
                <w:shd w:val="solid" w:color="000000" w:fill="000000"/>
                <w:fitText w:val="210" w:id="-1510248694"/>
                <w14:textFill>
                  <w14:solidFill>
                    <w14:srgbClr w14:val="000000">
                      <w14:alpha w14:val="100000"/>
                    </w14:srgbClr>
                  </w14:solidFill>
                </w14:textFill>
              </w:rPr>
              <w:t>||</w:t>
            </w:r>
            <w:r w:rsidR="00F66AF9" w:rsidRPr="005D792F">
              <w:rPr>
                <w:color w:val="000000"/>
                <w:spacing w:val="1"/>
                <w:shd w:val="solid" w:color="000000" w:fill="000000"/>
                <w:fitText w:val="210" w:id="-1510248694"/>
                <w14:textFill>
                  <w14:solidFill>
                    <w14:srgbClr w14:val="000000">
                      <w14:alpha w14:val="100000"/>
                    </w14:srgbClr>
                  </w14:solidFill>
                </w14:textFill>
              </w:rPr>
              <w:t>|</w:t>
            </w:r>
            <w:r w:rsidR="00035B33" w:rsidRPr="00F66AF9">
              <w:rPr>
                <w:vertAlign w:val="superscript"/>
              </w:rPr>
              <w:t>5</w:t>
            </w:r>
          </w:p>
        </w:tc>
        <w:tc>
          <w:tcPr>
            <w:tcW w:w="647" w:type="pct"/>
            <w:shd w:val="clear" w:color="auto" w:fill="auto"/>
            <w:vAlign w:val="center"/>
          </w:tcPr>
          <w:p w14:paraId="76BC8AE2" w14:textId="0B91D420" w:rsidR="00B518A6" w:rsidRPr="00F66AF9" w:rsidRDefault="00B518A6" w:rsidP="00B518A6">
            <w:pPr>
              <w:pStyle w:val="TableText0"/>
              <w:jc w:val="center"/>
            </w:pPr>
            <w:r w:rsidRPr="00F66AF9">
              <w:t>-</w:t>
            </w:r>
            <w:r w:rsidR="00F66AF9" w:rsidRPr="005D792F">
              <w:rPr>
                <w:color w:val="000000"/>
                <w:spacing w:val="41"/>
                <w:shd w:val="solid" w:color="000000" w:fill="000000"/>
                <w:fitText w:val="210" w:id="-1510248693"/>
                <w14:textFill>
                  <w14:solidFill>
                    <w14:srgbClr w14:val="000000">
                      <w14:alpha w14:val="100000"/>
                    </w14:srgbClr>
                  </w14:solidFill>
                </w14:textFill>
              </w:rPr>
              <w:t>||</w:t>
            </w:r>
            <w:r w:rsidR="00F66AF9" w:rsidRPr="005D792F">
              <w:rPr>
                <w:color w:val="000000"/>
                <w:spacing w:val="1"/>
                <w:shd w:val="solid" w:color="000000" w:fill="000000"/>
                <w:fitText w:val="210" w:id="-1510248693"/>
                <w14:textFill>
                  <w14:solidFill>
                    <w14:srgbClr w14:val="000000">
                      <w14:alpha w14:val="100000"/>
                    </w14:srgbClr>
                  </w14:solidFill>
                </w14:textFill>
              </w:rPr>
              <w:t>|</w:t>
            </w:r>
            <w:r w:rsidR="00035B33" w:rsidRPr="00F66AF9">
              <w:rPr>
                <w:vertAlign w:val="superscript"/>
              </w:rPr>
              <w:t>5</w:t>
            </w:r>
          </w:p>
        </w:tc>
        <w:tc>
          <w:tcPr>
            <w:tcW w:w="647" w:type="pct"/>
            <w:vAlign w:val="center"/>
          </w:tcPr>
          <w:p w14:paraId="3A28F60A" w14:textId="05C67EE5" w:rsidR="00B518A6" w:rsidRPr="00F66AF9" w:rsidRDefault="00B518A6" w:rsidP="00B518A6">
            <w:pPr>
              <w:pStyle w:val="TableText0"/>
              <w:jc w:val="center"/>
            </w:pPr>
            <w:r w:rsidRPr="00F66AF9">
              <w:t>-</w:t>
            </w:r>
            <w:r w:rsidR="00F66AF9" w:rsidRPr="005D792F">
              <w:rPr>
                <w:color w:val="000000"/>
                <w:spacing w:val="41"/>
                <w:shd w:val="solid" w:color="000000" w:fill="000000"/>
                <w:fitText w:val="210" w:id="-1510248692"/>
                <w14:textFill>
                  <w14:solidFill>
                    <w14:srgbClr w14:val="000000">
                      <w14:alpha w14:val="100000"/>
                    </w14:srgbClr>
                  </w14:solidFill>
                </w14:textFill>
              </w:rPr>
              <w:t>||</w:t>
            </w:r>
            <w:r w:rsidR="00F66AF9" w:rsidRPr="005D792F">
              <w:rPr>
                <w:color w:val="000000"/>
                <w:spacing w:val="1"/>
                <w:shd w:val="solid" w:color="000000" w:fill="000000"/>
                <w:fitText w:val="210" w:id="-1510248692"/>
                <w14:textFill>
                  <w14:solidFill>
                    <w14:srgbClr w14:val="000000">
                      <w14:alpha w14:val="100000"/>
                    </w14:srgbClr>
                  </w14:solidFill>
                </w14:textFill>
              </w:rPr>
              <w:t>|</w:t>
            </w:r>
            <w:r w:rsidR="00035B33" w:rsidRPr="00F66AF9">
              <w:rPr>
                <w:vertAlign w:val="superscript"/>
              </w:rPr>
              <w:t>5</w:t>
            </w:r>
          </w:p>
        </w:tc>
      </w:tr>
      <w:tr w:rsidR="00B518A6" w:rsidRPr="00FC22AB" w14:paraId="02371521" w14:textId="77777777" w:rsidTr="00252A0F">
        <w:tc>
          <w:tcPr>
            <w:tcW w:w="5000" w:type="pct"/>
            <w:gridSpan w:val="7"/>
            <w:shd w:val="clear" w:color="auto" w:fill="auto"/>
            <w:vAlign w:val="center"/>
          </w:tcPr>
          <w:p w14:paraId="01C874D7" w14:textId="3D5D8D9B" w:rsidR="00B518A6" w:rsidRPr="00FC22AB" w:rsidRDefault="00B518A6" w:rsidP="00B518A6">
            <w:pPr>
              <w:pStyle w:val="In-tableHeading"/>
            </w:pPr>
            <w:r w:rsidRPr="00FC22AB">
              <w:t>Net financial implications</w:t>
            </w:r>
            <w:r w:rsidRPr="00FC22AB">
              <w:rPr>
                <w:color w:val="4BACC6" w:themeColor="accent5"/>
              </w:rPr>
              <w:t xml:space="preserve"> </w:t>
            </w:r>
          </w:p>
        </w:tc>
      </w:tr>
      <w:tr w:rsidR="00B518A6" w:rsidRPr="003639A6" w14:paraId="4D8807EB" w14:textId="77777777" w:rsidTr="00B518A6">
        <w:tc>
          <w:tcPr>
            <w:tcW w:w="1117" w:type="pct"/>
            <w:shd w:val="clear" w:color="auto" w:fill="auto"/>
            <w:vAlign w:val="center"/>
          </w:tcPr>
          <w:p w14:paraId="16324F3C" w14:textId="77777777" w:rsidR="00B518A6" w:rsidRDefault="00B518A6" w:rsidP="00B518A6">
            <w:pPr>
              <w:pStyle w:val="TableText0"/>
              <w:rPr>
                <w:sz w:val="19"/>
                <w:szCs w:val="19"/>
              </w:rPr>
            </w:pPr>
            <w:r>
              <w:rPr>
                <w:sz w:val="19"/>
                <w:szCs w:val="19"/>
              </w:rPr>
              <w:t>Net cost to PBS/RPBS</w:t>
            </w:r>
          </w:p>
        </w:tc>
        <w:tc>
          <w:tcPr>
            <w:tcW w:w="647" w:type="pct"/>
            <w:shd w:val="clear" w:color="auto" w:fill="auto"/>
            <w:vAlign w:val="center"/>
          </w:tcPr>
          <w:p w14:paraId="23167CC6" w14:textId="7B4268EA" w:rsidR="00B518A6" w:rsidRPr="00C80FFA" w:rsidRDefault="00B518A6" w:rsidP="00B518A6">
            <w:pPr>
              <w:pStyle w:val="TableText0"/>
              <w:jc w:val="center"/>
            </w:pPr>
            <w:r w:rsidRPr="00C80FFA">
              <w:rPr>
                <w:bCs w:val="0"/>
                <w:szCs w:val="16"/>
              </w:rPr>
              <w:t>$0</w:t>
            </w:r>
          </w:p>
        </w:tc>
        <w:tc>
          <w:tcPr>
            <w:tcW w:w="647" w:type="pct"/>
            <w:shd w:val="clear" w:color="auto" w:fill="auto"/>
            <w:vAlign w:val="center"/>
          </w:tcPr>
          <w:p w14:paraId="30BD6AD3" w14:textId="3DBFC4AE" w:rsidR="00B518A6" w:rsidRPr="00C80FFA" w:rsidRDefault="00B518A6" w:rsidP="00B518A6">
            <w:pPr>
              <w:pStyle w:val="TableText0"/>
              <w:jc w:val="center"/>
            </w:pPr>
            <w:r w:rsidRPr="00C80FFA">
              <w:rPr>
                <w:bCs w:val="0"/>
                <w:szCs w:val="16"/>
              </w:rPr>
              <w:t>$0</w:t>
            </w:r>
          </w:p>
        </w:tc>
        <w:tc>
          <w:tcPr>
            <w:tcW w:w="647" w:type="pct"/>
            <w:shd w:val="clear" w:color="auto" w:fill="auto"/>
            <w:vAlign w:val="center"/>
          </w:tcPr>
          <w:p w14:paraId="6DB7FF6F" w14:textId="00E921CE" w:rsidR="00B518A6" w:rsidRPr="00C80FFA" w:rsidRDefault="00B518A6" w:rsidP="00B518A6">
            <w:pPr>
              <w:pStyle w:val="TableText0"/>
              <w:jc w:val="center"/>
            </w:pPr>
            <w:r w:rsidRPr="00C80FFA">
              <w:rPr>
                <w:bCs w:val="0"/>
                <w:szCs w:val="16"/>
              </w:rPr>
              <w:t>$0</w:t>
            </w:r>
          </w:p>
        </w:tc>
        <w:tc>
          <w:tcPr>
            <w:tcW w:w="647" w:type="pct"/>
            <w:shd w:val="clear" w:color="auto" w:fill="auto"/>
            <w:vAlign w:val="center"/>
          </w:tcPr>
          <w:p w14:paraId="46CF3CE9" w14:textId="0AC2801B" w:rsidR="00B518A6" w:rsidRPr="00C80FFA" w:rsidRDefault="00B518A6" w:rsidP="00B518A6">
            <w:pPr>
              <w:pStyle w:val="TableText0"/>
              <w:jc w:val="center"/>
            </w:pPr>
            <w:r w:rsidRPr="00C80FFA">
              <w:rPr>
                <w:bCs w:val="0"/>
                <w:szCs w:val="16"/>
              </w:rPr>
              <w:t>$0</w:t>
            </w:r>
          </w:p>
        </w:tc>
        <w:tc>
          <w:tcPr>
            <w:tcW w:w="647" w:type="pct"/>
            <w:shd w:val="clear" w:color="auto" w:fill="auto"/>
            <w:vAlign w:val="center"/>
          </w:tcPr>
          <w:p w14:paraId="17608C97" w14:textId="62B93BFD" w:rsidR="00B518A6" w:rsidRPr="00C80FFA" w:rsidRDefault="00B518A6" w:rsidP="00B518A6">
            <w:pPr>
              <w:pStyle w:val="TableText0"/>
              <w:jc w:val="center"/>
            </w:pPr>
            <w:r w:rsidRPr="00C80FFA">
              <w:rPr>
                <w:bCs w:val="0"/>
                <w:szCs w:val="16"/>
              </w:rPr>
              <w:t>$0</w:t>
            </w:r>
          </w:p>
        </w:tc>
        <w:tc>
          <w:tcPr>
            <w:tcW w:w="647" w:type="pct"/>
            <w:vAlign w:val="center"/>
          </w:tcPr>
          <w:p w14:paraId="6DFE3D71" w14:textId="773F3661" w:rsidR="00B518A6" w:rsidRPr="00C80FFA" w:rsidRDefault="00B518A6" w:rsidP="00B518A6">
            <w:pPr>
              <w:pStyle w:val="TableText0"/>
              <w:jc w:val="center"/>
            </w:pPr>
            <w:r w:rsidRPr="00C80FFA">
              <w:rPr>
                <w:bCs w:val="0"/>
                <w:szCs w:val="16"/>
              </w:rPr>
              <w:t>$0</w:t>
            </w:r>
          </w:p>
        </w:tc>
      </w:tr>
      <w:tr w:rsidR="00B518A6" w:rsidRPr="003639A6" w14:paraId="5EA5DA4C" w14:textId="77777777" w:rsidTr="00B518A6">
        <w:tc>
          <w:tcPr>
            <w:tcW w:w="1117" w:type="pct"/>
            <w:shd w:val="clear" w:color="auto" w:fill="auto"/>
            <w:vAlign w:val="center"/>
          </w:tcPr>
          <w:p w14:paraId="76A4A38D" w14:textId="4187E0F2" w:rsidR="00B518A6" w:rsidRPr="003639A6" w:rsidRDefault="00B518A6" w:rsidP="00B518A6">
            <w:pPr>
              <w:pStyle w:val="TableText0"/>
              <w:rPr>
                <w:rFonts w:ascii="Times" w:hAnsi="Times"/>
              </w:rPr>
            </w:pPr>
            <w:r>
              <w:rPr>
                <w:sz w:val="19"/>
                <w:szCs w:val="19"/>
              </w:rPr>
              <w:t>Net cost to</w:t>
            </w:r>
            <w:r w:rsidRPr="003639A6">
              <w:rPr>
                <w:sz w:val="19"/>
                <w:szCs w:val="19"/>
              </w:rPr>
              <w:t xml:space="preserve"> MBS</w:t>
            </w:r>
            <w:r>
              <w:rPr>
                <w:sz w:val="19"/>
                <w:szCs w:val="19"/>
              </w:rPr>
              <w:t>/</w:t>
            </w:r>
            <w:r w:rsidDel="00D244B6">
              <w:rPr>
                <w:sz w:val="19"/>
                <w:szCs w:val="19"/>
              </w:rPr>
              <w:t xml:space="preserve"> </w:t>
            </w:r>
            <w:r>
              <w:rPr>
                <w:sz w:val="19"/>
                <w:szCs w:val="19"/>
              </w:rPr>
              <w:t>Services Australia/other</w:t>
            </w:r>
          </w:p>
        </w:tc>
        <w:tc>
          <w:tcPr>
            <w:tcW w:w="647" w:type="pct"/>
            <w:shd w:val="clear" w:color="auto" w:fill="auto"/>
            <w:vAlign w:val="center"/>
          </w:tcPr>
          <w:p w14:paraId="2523489E" w14:textId="4F162B1D" w:rsidR="00B518A6" w:rsidRPr="00C80FFA" w:rsidRDefault="00B518A6" w:rsidP="00B518A6">
            <w:pPr>
              <w:pStyle w:val="TableText0"/>
              <w:jc w:val="center"/>
            </w:pPr>
            <w:r w:rsidRPr="00C80FFA">
              <w:rPr>
                <w:bCs w:val="0"/>
                <w:szCs w:val="16"/>
              </w:rPr>
              <w:t>$0</w:t>
            </w:r>
          </w:p>
        </w:tc>
        <w:tc>
          <w:tcPr>
            <w:tcW w:w="647" w:type="pct"/>
            <w:shd w:val="clear" w:color="auto" w:fill="auto"/>
            <w:vAlign w:val="center"/>
          </w:tcPr>
          <w:p w14:paraId="55A59A8E" w14:textId="2080C563" w:rsidR="00B518A6" w:rsidRPr="00C80FFA" w:rsidRDefault="00B518A6" w:rsidP="00B518A6">
            <w:pPr>
              <w:pStyle w:val="TableText0"/>
              <w:jc w:val="center"/>
            </w:pPr>
            <w:r w:rsidRPr="00C80FFA">
              <w:rPr>
                <w:bCs w:val="0"/>
                <w:szCs w:val="16"/>
              </w:rPr>
              <w:t>$0</w:t>
            </w:r>
          </w:p>
        </w:tc>
        <w:tc>
          <w:tcPr>
            <w:tcW w:w="647" w:type="pct"/>
            <w:shd w:val="clear" w:color="auto" w:fill="auto"/>
            <w:vAlign w:val="center"/>
          </w:tcPr>
          <w:p w14:paraId="4D272C87" w14:textId="0721363E" w:rsidR="00B518A6" w:rsidRPr="00C80FFA" w:rsidRDefault="00B518A6" w:rsidP="00B518A6">
            <w:pPr>
              <w:pStyle w:val="TableText0"/>
              <w:jc w:val="center"/>
            </w:pPr>
            <w:r w:rsidRPr="00C80FFA">
              <w:rPr>
                <w:bCs w:val="0"/>
                <w:szCs w:val="16"/>
              </w:rPr>
              <w:t>$0</w:t>
            </w:r>
          </w:p>
        </w:tc>
        <w:tc>
          <w:tcPr>
            <w:tcW w:w="647" w:type="pct"/>
            <w:shd w:val="clear" w:color="auto" w:fill="auto"/>
            <w:vAlign w:val="center"/>
          </w:tcPr>
          <w:p w14:paraId="72E402F1" w14:textId="202AA2BF" w:rsidR="00B518A6" w:rsidRPr="00C80FFA" w:rsidRDefault="00B518A6" w:rsidP="00B518A6">
            <w:pPr>
              <w:pStyle w:val="TableText0"/>
              <w:jc w:val="center"/>
            </w:pPr>
            <w:r w:rsidRPr="00C80FFA">
              <w:rPr>
                <w:bCs w:val="0"/>
                <w:szCs w:val="16"/>
              </w:rPr>
              <w:t>$0</w:t>
            </w:r>
          </w:p>
        </w:tc>
        <w:tc>
          <w:tcPr>
            <w:tcW w:w="647" w:type="pct"/>
            <w:shd w:val="clear" w:color="auto" w:fill="auto"/>
            <w:vAlign w:val="center"/>
          </w:tcPr>
          <w:p w14:paraId="3051D7D4" w14:textId="1EB23209" w:rsidR="00B518A6" w:rsidRPr="00C80FFA" w:rsidRDefault="00B518A6" w:rsidP="00B518A6">
            <w:pPr>
              <w:pStyle w:val="TableText0"/>
              <w:jc w:val="center"/>
            </w:pPr>
            <w:r w:rsidRPr="00C80FFA">
              <w:rPr>
                <w:bCs w:val="0"/>
                <w:szCs w:val="16"/>
              </w:rPr>
              <w:t>$0</w:t>
            </w:r>
          </w:p>
        </w:tc>
        <w:tc>
          <w:tcPr>
            <w:tcW w:w="647" w:type="pct"/>
            <w:vAlign w:val="center"/>
          </w:tcPr>
          <w:p w14:paraId="4ED1B8A8" w14:textId="35364309" w:rsidR="00B518A6" w:rsidRPr="00C80FFA" w:rsidRDefault="00B518A6" w:rsidP="00B518A6">
            <w:pPr>
              <w:pStyle w:val="TableText0"/>
              <w:jc w:val="center"/>
            </w:pPr>
            <w:r w:rsidRPr="00C80FFA">
              <w:rPr>
                <w:bCs w:val="0"/>
                <w:szCs w:val="16"/>
              </w:rPr>
              <w:t>$0</w:t>
            </w:r>
          </w:p>
        </w:tc>
      </w:tr>
      <w:tr w:rsidR="00B518A6" w:rsidRPr="003639A6" w14:paraId="1D6D2C60" w14:textId="77777777" w:rsidTr="00B518A6">
        <w:tc>
          <w:tcPr>
            <w:tcW w:w="1117" w:type="pct"/>
            <w:shd w:val="clear" w:color="auto" w:fill="auto"/>
            <w:vAlign w:val="center"/>
          </w:tcPr>
          <w:p w14:paraId="1BB48A93" w14:textId="4D8A99F2" w:rsidR="00B518A6" w:rsidRPr="003639A6" w:rsidRDefault="00B518A6" w:rsidP="00B518A6">
            <w:pPr>
              <w:pStyle w:val="TableText0"/>
              <w:rPr>
                <w:sz w:val="19"/>
                <w:szCs w:val="19"/>
              </w:rPr>
            </w:pPr>
            <w:r>
              <w:rPr>
                <w:sz w:val="19"/>
                <w:szCs w:val="19"/>
              </w:rPr>
              <w:t>Net cost to PBS/RPBS</w:t>
            </w:r>
          </w:p>
        </w:tc>
        <w:tc>
          <w:tcPr>
            <w:tcW w:w="647" w:type="pct"/>
            <w:shd w:val="clear" w:color="auto" w:fill="auto"/>
            <w:vAlign w:val="center"/>
          </w:tcPr>
          <w:p w14:paraId="7834F1A1" w14:textId="7DB679D8" w:rsidR="00B518A6" w:rsidRPr="00C80FFA" w:rsidRDefault="00B518A6" w:rsidP="00B518A6">
            <w:pPr>
              <w:pStyle w:val="TableText0"/>
              <w:jc w:val="center"/>
            </w:pPr>
            <w:r w:rsidRPr="00C80FFA">
              <w:rPr>
                <w:bCs w:val="0"/>
                <w:szCs w:val="16"/>
              </w:rPr>
              <w:t>$0</w:t>
            </w:r>
          </w:p>
        </w:tc>
        <w:tc>
          <w:tcPr>
            <w:tcW w:w="647" w:type="pct"/>
            <w:shd w:val="clear" w:color="auto" w:fill="auto"/>
            <w:vAlign w:val="center"/>
          </w:tcPr>
          <w:p w14:paraId="2226B197" w14:textId="5C6D61E8" w:rsidR="00B518A6" w:rsidRPr="00C80FFA" w:rsidRDefault="00B518A6" w:rsidP="00B518A6">
            <w:pPr>
              <w:pStyle w:val="TableText0"/>
              <w:jc w:val="center"/>
            </w:pPr>
            <w:r w:rsidRPr="00C80FFA">
              <w:rPr>
                <w:bCs w:val="0"/>
                <w:szCs w:val="16"/>
              </w:rPr>
              <w:t>$0</w:t>
            </w:r>
          </w:p>
        </w:tc>
        <w:tc>
          <w:tcPr>
            <w:tcW w:w="647" w:type="pct"/>
            <w:shd w:val="clear" w:color="auto" w:fill="auto"/>
            <w:vAlign w:val="center"/>
          </w:tcPr>
          <w:p w14:paraId="4177AA53" w14:textId="6B51E6A8" w:rsidR="00B518A6" w:rsidRPr="00C80FFA" w:rsidRDefault="00B518A6" w:rsidP="00B518A6">
            <w:pPr>
              <w:pStyle w:val="TableText0"/>
              <w:jc w:val="center"/>
            </w:pPr>
            <w:r w:rsidRPr="00C80FFA">
              <w:rPr>
                <w:bCs w:val="0"/>
                <w:szCs w:val="16"/>
              </w:rPr>
              <w:t>$0</w:t>
            </w:r>
          </w:p>
        </w:tc>
        <w:tc>
          <w:tcPr>
            <w:tcW w:w="647" w:type="pct"/>
            <w:shd w:val="clear" w:color="auto" w:fill="auto"/>
            <w:vAlign w:val="center"/>
          </w:tcPr>
          <w:p w14:paraId="26CDFC09" w14:textId="400AB205" w:rsidR="00B518A6" w:rsidRPr="00C80FFA" w:rsidRDefault="00B518A6" w:rsidP="00B518A6">
            <w:pPr>
              <w:pStyle w:val="TableText0"/>
              <w:jc w:val="center"/>
            </w:pPr>
            <w:r w:rsidRPr="00C80FFA">
              <w:rPr>
                <w:bCs w:val="0"/>
                <w:szCs w:val="16"/>
              </w:rPr>
              <w:t>$0</w:t>
            </w:r>
          </w:p>
        </w:tc>
        <w:tc>
          <w:tcPr>
            <w:tcW w:w="647" w:type="pct"/>
            <w:shd w:val="clear" w:color="auto" w:fill="auto"/>
            <w:vAlign w:val="center"/>
          </w:tcPr>
          <w:p w14:paraId="474A9C7E" w14:textId="755C2E5F" w:rsidR="00B518A6" w:rsidRPr="00C80FFA" w:rsidRDefault="00B518A6" w:rsidP="00B518A6">
            <w:pPr>
              <w:pStyle w:val="TableText0"/>
              <w:jc w:val="center"/>
            </w:pPr>
            <w:r w:rsidRPr="00C80FFA">
              <w:rPr>
                <w:bCs w:val="0"/>
                <w:szCs w:val="16"/>
              </w:rPr>
              <w:t>$0</w:t>
            </w:r>
          </w:p>
        </w:tc>
        <w:tc>
          <w:tcPr>
            <w:tcW w:w="647" w:type="pct"/>
            <w:vAlign w:val="center"/>
          </w:tcPr>
          <w:p w14:paraId="14626298" w14:textId="6C6BFA6E" w:rsidR="00B518A6" w:rsidRPr="00C80FFA" w:rsidRDefault="00B518A6" w:rsidP="00B518A6">
            <w:pPr>
              <w:pStyle w:val="TableText0"/>
              <w:jc w:val="center"/>
            </w:pPr>
            <w:r w:rsidRPr="00C80FFA">
              <w:rPr>
                <w:bCs w:val="0"/>
                <w:szCs w:val="16"/>
              </w:rPr>
              <w:t>$0</w:t>
            </w:r>
          </w:p>
        </w:tc>
      </w:tr>
    </w:tbl>
    <w:p w14:paraId="004C1979" w14:textId="3DBCBE8E" w:rsidR="00043397" w:rsidRDefault="00043397" w:rsidP="00043397">
      <w:pPr>
        <w:pStyle w:val="TableFigureFooter"/>
        <w:rPr>
          <w:rStyle w:val="CommentReference"/>
        </w:rPr>
      </w:pPr>
      <w:r>
        <w:t xml:space="preserve">Source: </w:t>
      </w:r>
      <w:r w:rsidR="00B518A6">
        <w:t>Tables 4.2.5, 2.4.7 pp</w:t>
      </w:r>
      <w:r w:rsidR="009776ED">
        <w:t>100 – 102 of the submission.</w:t>
      </w:r>
    </w:p>
    <w:p w14:paraId="118B8033" w14:textId="3C0E8EB6" w:rsidR="00FF52BD" w:rsidRDefault="00043397" w:rsidP="00043397">
      <w:pPr>
        <w:pStyle w:val="TableFigureFooter"/>
      </w:pPr>
      <w:r w:rsidRPr="003639A6">
        <w:rPr>
          <w:vertAlign w:val="superscript"/>
        </w:rPr>
        <w:t>a</w:t>
      </w:r>
      <w:r>
        <w:t xml:space="preserve"> </w:t>
      </w:r>
      <w:r w:rsidRPr="003639A6">
        <w:t xml:space="preserve">Assuming </w:t>
      </w:r>
      <w:r>
        <w:t>2 scripts</w:t>
      </w:r>
      <w:r w:rsidRPr="003639A6">
        <w:t xml:space="preserve"> per </w:t>
      </w:r>
      <w:r>
        <w:t xml:space="preserve">patient </w:t>
      </w:r>
      <w:r w:rsidRPr="003639A6">
        <w:t>year as estimated by the submission.</w:t>
      </w:r>
    </w:p>
    <w:p w14:paraId="0299CB5D" w14:textId="77777777" w:rsidR="00035B33" w:rsidRPr="00A07B9D" w:rsidRDefault="00035B33" w:rsidP="00035B33">
      <w:pPr>
        <w:pStyle w:val="TableFigureFooter"/>
        <w:rPr>
          <w:iCs/>
        </w:rPr>
      </w:pPr>
      <w:r w:rsidRPr="00A07B9D">
        <w:rPr>
          <w:iCs/>
        </w:rPr>
        <w:t>The redacted values correspond to the following ranges:</w:t>
      </w:r>
    </w:p>
    <w:p w14:paraId="611B6974" w14:textId="611C24E2" w:rsidR="00035B33" w:rsidRPr="00A07B9D" w:rsidRDefault="00035B33" w:rsidP="00035B33">
      <w:pPr>
        <w:pStyle w:val="TableFigureFooter"/>
        <w:rPr>
          <w:iCs/>
        </w:rPr>
      </w:pPr>
      <w:r w:rsidRPr="00A07B9D">
        <w:rPr>
          <w:iCs/>
          <w:vertAlign w:val="superscript"/>
        </w:rPr>
        <w:t>1</w:t>
      </w:r>
      <w:r w:rsidRPr="00A07B9D">
        <w:rPr>
          <w:iCs/>
        </w:rPr>
        <w:t xml:space="preserve"> 40,000 to &lt; 50,000</w:t>
      </w:r>
    </w:p>
    <w:p w14:paraId="73A96999" w14:textId="6F95B153" w:rsidR="00035B33" w:rsidRPr="00A07B9D" w:rsidRDefault="00035B33" w:rsidP="00035B33">
      <w:pPr>
        <w:pStyle w:val="TableFigureFooter"/>
        <w:rPr>
          <w:iCs/>
        </w:rPr>
      </w:pPr>
      <w:r w:rsidRPr="00A07B9D">
        <w:rPr>
          <w:iCs/>
          <w:vertAlign w:val="superscript"/>
        </w:rPr>
        <w:t>2</w:t>
      </w:r>
      <w:r w:rsidRPr="00A07B9D">
        <w:rPr>
          <w:iCs/>
        </w:rPr>
        <w:t xml:space="preserve"> $0 to &lt;$10 million</w:t>
      </w:r>
    </w:p>
    <w:p w14:paraId="4544F6FC" w14:textId="7BFE41EB" w:rsidR="00035B33" w:rsidRPr="00A07B9D" w:rsidRDefault="00035B33" w:rsidP="00035B33">
      <w:pPr>
        <w:pStyle w:val="TableFigureFooter"/>
        <w:rPr>
          <w:iCs/>
        </w:rPr>
      </w:pPr>
      <w:r w:rsidRPr="00A07B9D">
        <w:rPr>
          <w:iCs/>
          <w:vertAlign w:val="superscript"/>
        </w:rPr>
        <w:t xml:space="preserve">3 </w:t>
      </w:r>
      <w:r w:rsidRPr="00A07B9D">
        <w:rPr>
          <w:iCs/>
        </w:rPr>
        <w:t>80,000 to &lt; 90,000</w:t>
      </w:r>
    </w:p>
    <w:p w14:paraId="33C147C3" w14:textId="77777777" w:rsidR="00035B33" w:rsidRPr="00A07B9D" w:rsidRDefault="00035B33" w:rsidP="00035B33">
      <w:pPr>
        <w:pStyle w:val="TableFigureFooter"/>
        <w:rPr>
          <w:iCs/>
        </w:rPr>
      </w:pPr>
      <w:r w:rsidRPr="00A07B9D">
        <w:rPr>
          <w:iCs/>
          <w:vertAlign w:val="superscript"/>
        </w:rPr>
        <w:t xml:space="preserve">4 </w:t>
      </w:r>
      <w:r w:rsidRPr="00A07B9D">
        <w:rPr>
          <w:iCs/>
        </w:rPr>
        <w:t>100,000 to &lt; 200,000</w:t>
      </w:r>
    </w:p>
    <w:p w14:paraId="72CF7CE6" w14:textId="2ABA708C" w:rsidR="00035B33" w:rsidRPr="00A07B9D" w:rsidRDefault="00035B33" w:rsidP="00035B33">
      <w:pPr>
        <w:pStyle w:val="TableFigureFooter"/>
        <w:rPr>
          <w:iCs/>
        </w:rPr>
      </w:pPr>
      <w:r w:rsidRPr="00A07B9D">
        <w:rPr>
          <w:iCs/>
          <w:vertAlign w:val="superscript"/>
        </w:rPr>
        <w:t>5</w:t>
      </w:r>
      <w:r w:rsidRPr="00A07B9D">
        <w:rPr>
          <w:iCs/>
        </w:rPr>
        <w:t xml:space="preserve"> $10 million to &lt;$20 million</w:t>
      </w:r>
    </w:p>
    <w:p w14:paraId="1585AACB" w14:textId="77777777" w:rsidR="00B518A6" w:rsidRDefault="00B518A6" w:rsidP="00043397">
      <w:pPr>
        <w:pStyle w:val="TableFigureFooter"/>
      </w:pPr>
    </w:p>
    <w:p w14:paraId="75586731" w14:textId="7B924F17" w:rsidR="000902D9" w:rsidRPr="004A13A7" w:rsidRDefault="000902D9" w:rsidP="00D244B6">
      <w:pPr>
        <w:pStyle w:val="3-BodyText"/>
      </w:pPr>
      <w:r w:rsidRPr="004A13A7">
        <w:t xml:space="preserve">The total cost to the PBS/RPBS of listing </w:t>
      </w:r>
      <w:r w:rsidR="004A6ED3" w:rsidRPr="004A13A7">
        <w:t xml:space="preserve">dulaglutide </w:t>
      </w:r>
      <w:r w:rsidR="001D3722" w:rsidRPr="004A13A7">
        <w:t>3</w:t>
      </w:r>
      <w:r w:rsidR="004A6ED3" w:rsidRPr="004A13A7">
        <w:t>.</w:t>
      </w:r>
      <w:r w:rsidR="001D3722" w:rsidRPr="004A13A7">
        <w:t>0</w:t>
      </w:r>
      <w:r w:rsidR="00035B33">
        <w:t> mg</w:t>
      </w:r>
      <w:r w:rsidR="001D3722" w:rsidRPr="004A13A7">
        <w:t xml:space="preserve"> and 4.</w:t>
      </w:r>
      <w:r w:rsidR="00035B33" w:rsidRPr="004A13A7">
        <w:t>5</w:t>
      </w:r>
      <w:r w:rsidR="00035B33">
        <w:t> </w:t>
      </w:r>
      <w:r w:rsidR="001D3722" w:rsidRPr="004A13A7">
        <w:t xml:space="preserve">mg </w:t>
      </w:r>
      <w:r w:rsidRPr="004A13A7">
        <w:t xml:space="preserve">was estimated </w:t>
      </w:r>
      <w:r w:rsidR="00A05C32" w:rsidRPr="004A13A7">
        <w:t>to be</w:t>
      </w:r>
      <w:r w:rsidRPr="004A13A7">
        <w:t xml:space="preserve"> </w:t>
      </w:r>
      <w:r w:rsidR="00035B33" w:rsidRPr="00035B33">
        <w:t>$10 million to &lt; $20 </w:t>
      </w:r>
      <w:r w:rsidRPr="004A13A7">
        <w:t>million</w:t>
      </w:r>
      <w:r w:rsidR="00B82A77">
        <w:t xml:space="preserve"> per year</w:t>
      </w:r>
      <w:r w:rsidRPr="004A13A7">
        <w:t xml:space="preserve"> in Year 6, and a total of </w:t>
      </w:r>
      <w:r w:rsidR="00B82A77" w:rsidRPr="00B82A77">
        <w:t>$60 million to &lt; $70 </w:t>
      </w:r>
      <w:r w:rsidRPr="004A13A7">
        <w:t>million in the first 6 years of listing</w:t>
      </w:r>
      <w:r w:rsidRPr="004A13A7">
        <w:rPr>
          <w:color w:val="3366FF"/>
        </w:rPr>
        <w:t xml:space="preserve">. </w:t>
      </w:r>
      <w:r w:rsidR="002068A0" w:rsidRPr="004A13A7">
        <w:t xml:space="preserve">The net cost to the PBS </w:t>
      </w:r>
      <w:r w:rsidR="00E04137">
        <w:t>was</w:t>
      </w:r>
      <w:r w:rsidR="001D3722" w:rsidRPr="004A13A7">
        <w:t xml:space="preserve"> proposed to be zero. </w:t>
      </w:r>
    </w:p>
    <w:p w14:paraId="778AC06F" w14:textId="7E3C8CDC" w:rsidR="00F03B45" w:rsidRPr="004A13A7" w:rsidRDefault="00F03B45" w:rsidP="00F03B45">
      <w:pPr>
        <w:pStyle w:val="3-BodyText"/>
        <w:rPr>
          <w:color w:val="3366FF"/>
        </w:rPr>
      </w:pPr>
      <w:r w:rsidRPr="004A13A7">
        <w:t xml:space="preserve">The submission assumed that there will be no changes to the overall market for GLP-1 RAs </w:t>
      </w:r>
      <w:r w:rsidR="00C6409E" w:rsidRPr="004A13A7">
        <w:t>from</w:t>
      </w:r>
      <w:r w:rsidRPr="004A13A7">
        <w:t xml:space="preserve"> listing</w:t>
      </w:r>
      <w:r w:rsidR="00FF52BD" w:rsidRPr="004A13A7">
        <w:t xml:space="preserve"> dulaglutide </w:t>
      </w:r>
      <w:r w:rsidRPr="004A13A7">
        <w:t>3.</w:t>
      </w:r>
      <w:r w:rsidR="00B82A77" w:rsidRPr="004A13A7">
        <w:t>0</w:t>
      </w:r>
      <w:r w:rsidR="00B82A77">
        <w:t> </w:t>
      </w:r>
      <w:r w:rsidRPr="004A13A7">
        <w:t>mg and 4.5</w:t>
      </w:r>
      <w:r w:rsidR="00B82A77">
        <w:t> </w:t>
      </w:r>
      <w:r w:rsidRPr="004A13A7">
        <w:t xml:space="preserve">mg. </w:t>
      </w:r>
      <w:r w:rsidR="00E04137">
        <w:t>The evaluation considered t</w:t>
      </w:r>
      <w:r w:rsidR="001D3722" w:rsidRPr="004A13A7">
        <w:t>here are three main factors that suggest that</w:t>
      </w:r>
      <w:r w:rsidRPr="004A13A7">
        <w:t xml:space="preserve"> this is unlikely to be th</w:t>
      </w:r>
      <w:r w:rsidR="00DC716F" w:rsidRPr="004A13A7">
        <w:t>e case and that</w:t>
      </w:r>
      <w:r w:rsidR="001D3722" w:rsidRPr="004A13A7">
        <w:t xml:space="preserve"> these estimates are likely to be underestimates</w:t>
      </w:r>
      <w:r w:rsidR="00FF52BD" w:rsidRPr="004A13A7">
        <w:t xml:space="preserve">: </w:t>
      </w:r>
      <w:r w:rsidRPr="004A13A7">
        <w:t>(1) T</w:t>
      </w:r>
      <w:r w:rsidR="001D3722" w:rsidRPr="004A13A7">
        <w:t xml:space="preserve">he </w:t>
      </w:r>
      <w:r w:rsidRPr="004A13A7">
        <w:t xml:space="preserve">proposed </w:t>
      </w:r>
      <w:r w:rsidR="001D3722" w:rsidRPr="004A13A7">
        <w:t>TGA</w:t>
      </w:r>
      <w:r w:rsidRPr="004A13A7">
        <w:t xml:space="preserve"> indication</w:t>
      </w:r>
      <w:r w:rsidR="00DC716F" w:rsidRPr="004A13A7">
        <w:t xml:space="preserve"> for </w:t>
      </w:r>
      <w:r w:rsidR="00FF52BD" w:rsidRPr="004A13A7">
        <w:t xml:space="preserve">dulaglutide </w:t>
      </w:r>
      <w:r w:rsidR="00DC716F" w:rsidRPr="004A13A7">
        <w:t>3.</w:t>
      </w:r>
      <w:r w:rsidR="00B82A77" w:rsidRPr="004A13A7">
        <w:t>0</w:t>
      </w:r>
      <w:r w:rsidR="00B82A77">
        <w:t> </w:t>
      </w:r>
      <w:r w:rsidR="00FF52BD" w:rsidRPr="004A13A7">
        <w:t>mg</w:t>
      </w:r>
      <w:r w:rsidR="00DC716F" w:rsidRPr="004A13A7">
        <w:t xml:space="preserve"> and 4.5</w:t>
      </w:r>
      <w:r w:rsidR="00B82A77">
        <w:t> </w:t>
      </w:r>
      <w:r w:rsidR="00DC716F" w:rsidRPr="004A13A7">
        <w:t xml:space="preserve">mg </w:t>
      </w:r>
      <w:r w:rsidRPr="004A13A7">
        <w:t>includes use with insulin</w:t>
      </w:r>
      <w:r w:rsidR="001D3722" w:rsidRPr="004A13A7">
        <w:t xml:space="preserve">, </w:t>
      </w:r>
      <w:r w:rsidRPr="004A13A7">
        <w:t xml:space="preserve">so </w:t>
      </w:r>
      <w:r w:rsidR="001D3722" w:rsidRPr="004A13A7">
        <w:t>the</w:t>
      </w:r>
      <w:r w:rsidR="00DC716F" w:rsidRPr="004A13A7">
        <w:t>se</w:t>
      </w:r>
      <w:r w:rsidR="001D3722" w:rsidRPr="004A13A7">
        <w:t xml:space="preserve"> higher strengths</w:t>
      </w:r>
      <w:r w:rsidR="00A5679D" w:rsidRPr="004A13A7">
        <w:t xml:space="preserve"> could potentially </w:t>
      </w:r>
      <w:r w:rsidRPr="004A13A7">
        <w:t xml:space="preserve">be used </w:t>
      </w:r>
      <w:r w:rsidR="00FF52BD" w:rsidRPr="004A13A7">
        <w:t xml:space="preserve">outside of the proposed PBS-listing </w:t>
      </w:r>
      <w:r w:rsidRPr="004A13A7">
        <w:t>in patients requiring</w:t>
      </w:r>
      <w:r w:rsidR="001D3722" w:rsidRPr="004A13A7">
        <w:t xml:space="preserve"> triple therapy</w:t>
      </w:r>
      <w:r w:rsidR="00FF52BD" w:rsidRPr="004A13A7">
        <w:t>;</w:t>
      </w:r>
      <w:r w:rsidR="001D3722" w:rsidRPr="004A13A7">
        <w:t xml:space="preserve"> </w:t>
      </w:r>
      <w:r w:rsidRPr="004A13A7">
        <w:t>(2) The submission included no substitution from GLP-1 R</w:t>
      </w:r>
      <w:r w:rsidR="00A5679D" w:rsidRPr="004A13A7">
        <w:t>A</w:t>
      </w:r>
      <w:r w:rsidRPr="004A13A7">
        <w:t>s</w:t>
      </w:r>
      <w:r w:rsidR="00957AD4" w:rsidRPr="004A13A7">
        <w:t xml:space="preserve"> other than dulaglutide 1.5</w:t>
      </w:r>
      <w:r w:rsidR="00B82A77">
        <w:t> </w:t>
      </w:r>
      <w:r w:rsidR="00957AD4" w:rsidRPr="004A13A7">
        <w:t>mg</w:t>
      </w:r>
      <w:r w:rsidRPr="004A13A7">
        <w:t xml:space="preserve">, which may not be the case if high strength injections of </w:t>
      </w:r>
      <w:r w:rsidR="00DC716F" w:rsidRPr="004A13A7">
        <w:t>dulaglutide</w:t>
      </w:r>
      <w:r w:rsidRPr="004A13A7">
        <w:t xml:space="preserve"> are seen to offer the </w:t>
      </w:r>
      <w:r w:rsidR="00DC716F" w:rsidRPr="004A13A7">
        <w:t>possibility</w:t>
      </w:r>
      <w:r w:rsidRPr="004A13A7">
        <w:t xml:space="preserve"> of dose intensification</w:t>
      </w:r>
      <w:r w:rsidR="00C97163" w:rsidRPr="004A13A7">
        <w:t>;</w:t>
      </w:r>
      <w:r w:rsidRPr="004A13A7">
        <w:t xml:space="preserve"> </w:t>
      </w:r>
      <w:r w:rsidR="00DC716F" w:rsidRPr="004A13A7">
        <w:t xml:space="preserve">(3) There is a beneficial effect of increasing the dose of dulaglutide on </w:t>
      </w:r>
      <w:r w:rsidR="00957AD4" w:rsidRPr="004A13A7">
        <w:t xml:space="preserve">short-term </w:t>
      </w:r>
      <w:r w:rsidR="00DC716F" w:rsidRPr="004A13A7">
        <w:t xml:space="preserve">weight loss </w:t>
      </w:r>
      <w:r w:rsidRPr="004A13A7">
        <w:t xml:space="preserve">in AWARD-11 and semaglutide is under TGA evaluation for weight management (Semaglutide Stakeholder Meeting Outcome Statement, 26 August 2021). </w:t>
      </w:r>
      <w:r w:rsidR="00957AD4" w:rsidRPr="004A13A7">
        <w:t xml:space="preserve">While </w:t>
      </w:r>
      <w:r w:rsidRPr="004A13A7">
        <w:t>dulaglutide</w:t>
      </w:r>
      <w:r w:rsidR="00957AD4" w:rsidRPr="004A13A7">
        <w:t xml:space="preserve"> is currently</w:t>
      </w:r>
      <w:r w:rsidRPr="004A13A7">
        <w:t xml:space="preserve"> not specifically approv</w:t>
      </w:r>
      <w:r w:rsidR="00C97163" w:rsidRPr="004A13A7">
        <w:t>ed</w:t>
      </w:r>
      <w:r w:rsidRPr="004A13A7">
        <w:t xml:space="preserve"> for use in </w:t>
      </w:r>
      <w:r w:rsidR="006B7091" w:rsidRPr="004A13A7">
        <w:t>weight management</w:t>
      </w:r>
      <w:r w:rsidRPr="004A13A7">
        <w:t xml:space="preserve">, the </w:t>
      </w:r>
      <w:r w:rsidR="00DC716F" w:rsidRPr="004A13A7">
        <w:t xml:space="preserve">GLP-1 RA </w:t>
      </w:r>
      <w:r w:rsidRPr="004A13A7">
        <w:t xml:space="preserve">market </w:t>
      </w:r>
      <w:r w:rsidR="00DC716F" w:rsidRPr="004A13A7">
        <w:t>may</w:t>
      </w:r>
      <w:r w:rsidRPr="004A13A7">
        <w:t xml:space="preserve"> </w:t>
      </w:r>
      <w:r w:rsidR="00DC716F" w:rsidRPr="004A13A7">
        <w:t>expand overall</w:t>
      </w:r>
      <w:r w:rsidRPr="004A13A7">
        <w:t xml:space="preserve">. </w:t>
      </w:r>
      <w:r w:rsidR="00164058">
        <w:t xml:space="preserve">The pre-PBAC Response </w:t>
      </w:r>
      <w:r w:rsidR="00926111">
        <w:t>indicated that listing dulaglutide 3.0</w:t>
      </w:r>
      <w:r w:rsidR="00B82A77">
        <w:t> </w:t>
      </w:r>
      <w:r w:rsidR="00926111">
        <w:t>mg and 4.5</w:t>
      </w:r>
      <w:r w:rsidR="00B82A77">
        <w:t> </w:t>
      </w:r>
      <w:r w:rsidR="00926111">
        <w:t>mg would likely have a financial impact close to nil irrespective of uncertainty regarding GLP-1 RA market dynamics</w:t>
      </w:r>
      <w:r w:rsidR="00AB327E">
        <w:t>,</w:t>
      </w:r>
      <w:r w:rsidR="00926111">
        <w:t xml:space="preserve"> noting that the proposed price is equal to dulaglutide 1.5</w:t>
      </w:r>
      <w:r w:rsidR="00B82A77">
        <w:t> </w:t>
      </w:r>
      <w:r w:rsidR="00926111">
        <w:t xml:space="preserve">mg </w:t>
      </w:r>
      <w:r w:rsidR="00AB327E">
        <w:t xml:space="preserve">and that semaglutide had </w:t>
      </w:r>
      <w:r w:rsidR="00094FB7">
        <w:t xml:space="preserve">also </w:t>
      </w:r>
      <w:r w:rsidR="00AB327E">
        <w:t>been cost-minimised to dulaglutide 1.5</w:t>
      </w:r>
      <w:r w:rsidR="00B82A77">
        <w:t> </w:t>
      </w:r>
      <w:r w:rsidR="00AB327E">
        <w:t>mg.</w:t>
      </w:r>
      <w:r w:rsidR="00094FB7">
        <w:t xml:space="preserve"> The pre-PBAC Response </w:t>
      </w:r>
      <w:r w:rsidR="00FD477F">
        <w:t xml:space="preserve">stated there is currently no data available or in development which would meet requirements for TGA registration </w:t>
      </w:r>
      <w:r w:rsidR="00FD477F" w:rsidRPr="00FD477F">
        <w:t xml:space="preserve">of any </w:t>
      </w:r>
      <w:r w:rsidR="00FD477F" w:rsidRPr="00FD477F">
        <w:lastRenderedPageBreak/>
        <w:t>formulation of dulaglutide as an obesity/weight loss medication.</w:t>
      </w:r>
      <w:r w:rsidR="00242889">
        <w:t xml:space="preserve"> The pre-PBAC Response noted that the weight loss benefit observed in AWARD-11 with treatment intensification from dulaglutide 1.5</w:t>
      </w:r>
      <w:r w:rsidR="00B82A77">
        <w:t> </w:t>
      </w:r>
      <w:r w:rsidR="00242889">
        <w:t>mg to higher doses was moderate. The pre-PBAC Response considered that</w:t>
      </w:r>
      <w:r w:rsidR="00242889" w:rsidRPr="00242889">
        <w:t xml:space="preserve"> treatment intensification from dulaglutide 1.5</w:t>
      </w:r>
      <w:r w:rsidR="00B82A77">
        <w:t> </w:t>
      </w:r>
      <w:r w:rsidR="00242889" w:rsidRPr="00242889">
        <w:t>mg to higher doses of dulaglutide is likely to be driven primarily by a need for additional glycaemic control rather than potential weight loss benefits.</w:t>
      </w:r>
    </w:p>
    <w:p w14:paraId="2238DEE9" w14:textId="3E6A228B" w:rsidR="00576972" w:rsidRPr="00C9624D" w:rsidRDefault="00576972" w:rsidP="00606FBA">
      <w:pPr>
        <w:pStyle w:val="4-SubsectionHeading"/>
      </w:pPr>
      <w:bookmarkStart w:id="39" w:name="_Toc22897648"/>
      <w:bookmarkStart w:id="40" w:name="_Toc93496349"/>
      <w:r w:rsidRPr="00C9624D">
        <w:t>Quality Use of Medicines</w:t>
      </w:r>
      <w:bookmarkEnd w:id="39"/>
      <w:bookmarkEnd w:id="40"/>
    </w:p>
    <w:p w14:paraId="38BD0AEF" w14:textId="13988509" w:rsidR="00576972" w:rsidRPr="00606FBA" w:rsidRDefault="00FB7A30" w:rsidP="00606FBA">
      <w:pPr>
        <w:pStyle w:val="3-BodyText"/>
        <w:rPr>
          <w:color w:val="0066FF"/>
        </w:rPr>
      </w:pPr>
      <w:r>
        <w:t>No specific quality use of medicines activities were proposed.</w:t>
      </w:r>
    </w:p>
    <w:p w14:paraId="6015A395" w14:textId="2EDB6A4E" w:rsidR="00576972" w:rsidRPr="00C9624D" w:rsidRDefault="00576972" w:rsidP="00606FBA">
      <w:pPr>
        <w:pStyle w:val="4-SubsectionHeading"/>
      </w:pPr>
      <w:bookmarkStart w:id="41" w:name="_Toc22897649"/>
      <w:bookmarkStart w:id="42" w:name="_Toc93496350"/>
      <w:r w:rsidRPr="00C9624D">
        <w:t>Financial Management – Risk Sharing Arrangements</w:t>
      </w:r>
      <w:bookmarkEnd w:id="41"/>
      <w:bookmarkEnd w:id="42"/>
    </w:p>
    <w:p w14:paraId="75888566" w14:textId="77777777" w:rsidR="00FD1562" w:rsidRDefault="00FB7A30" w:rsidP="001B128A">
      <w:pPr>
        <w:pStyle w:val="ListParagraph"/>
        <w:numPr>
          <w:ilvl w:val="1"/>
          <w:numId w:val="1"/>
        </w:numPr>
      </w:pPr>
      <w:bookmarkStart w:id="43" w:name="_Hlk100318523"/>
      <w:r w:rsidRPr="00FB7A30">
        <w:t>No risk sharing arrangement was proposed</w:t>
      </w:r>
      <w:r w:rsidR="00F61C18" w:rsidRPr="00FB7A30">
        <w:t>.</w:t>
      </w:r>
    </w:p>
    <w:bookmarkEnd w:id="43"/>
    <w:p w14:paraId="7AC75F0B" w14:textId="73FAF632" w:rsidR="003C0B44" w:rsidRPr="007A6FF6" w:rsidRDefault="00FD1562" w:rsidP="007A6FF6">
      <w:pPr>
        <w:ind w:firstLine="709"/>
        <w:rPr>
          <w:rFonts w:asciiTheme="minorHAnsi" w:hAnsiTheme="minorHAnsi"/>
          <w:i/>
        </w:rPr>
      </w:pPr>
      <w:r w:rsidRPr="00C33D30">
        <w:rPr>
          <w:rFonts w:asciiTheme="minorHAnsi" w:hAnsiTheme="minorHAnsi"/>
          <w:i/>
        </w:rPr>
        <w:t>For more detail on PBAC’s view, see section 7 PBAC outcome.</w:t>
      </w:r>
    </w:p>
    <w:p w14:paraId="33AFFDA4" w14:textId="4A6F660D" w:rsidR="003C0B44" w:rsidRPr="00407F2D" w:rsidRDefault="003C0B44" w:rsidP="003C0B44">
      <w:pPr>
        <w:pStyle w:val="2-SectionHeading"/>
      </w:pPr>
      <w:r>
        <w:t xml:space="preserve">PBAC Outcome </w:t>
      </w:r>
    </w:p>
    <w:p w14:paraId="2EA6C8C7" w14:textId="6E303778" w:rsidR="003C0B44" w:rsidRDefault="00690D85" w:rsidP="00C76D51">
      <w:pPr>
        <w:pStyle w:val="3-BodyText"/>
      </w:pPr>
      <w:bookmarkStart w:id="44" w:name="_Hlk100501078"/>
      <w:r>
        <w:t xml:space="preserve">The </w:t>
      </w:r>
      <w:bookmarkStart w:id="45" w:name="_Hlk100501091"/>
      <w:r>
        <w:t xml:space="preserve">PBAC </w:t>
      </w:r>
      <w:r w:rsidR="00C76D51">
        <w:t>deferred making its decision on whether to recommend the</w:t>
      </w:r>
      <w:r>
        <w:t xml:space="preserve"> listing of dulaglutide 3.0</w:t>
      </w:r>
      <w:r w:rsidR="00F54A00" w:rsidRPr="00F54A00">
        <w:t> </w:t>
      </w:r>
      <w:r>
        <w:t>mg and 4.5</w:t>
      </w:r>
      <w:r w:rsidR="00F54A00">
        <w:t> </w:t>
      </w:r>
      <w:r>
        <w:t xml:space="preserve">mg </w:t>
      </w:r>
      <w:r w:rsidR="001B187B">
        <w:t>for the treatment of Type II Diabetes Mellitus (T2DM) in combination with metformin</w:t>
      </w:r>
      <w:r w:rsidR="00C76D51" w:rsidRPr="00C76D51">
        <w:t xml:space="preserve"> </w:t>
      </w:r>
      <w:r w:rsidR="00C76D51">
        <w:t>as a TGA Delegate’s Overview was not available at the time of PBAC consideration. The PBAC was of a mind to recommend dulaglutide 3.0</w:t>
      </w:r>
      <w:r w:rsidR="00E04137">
        <w:t> </w:t>
      </w:r>
      <w:r w:rsidR="00C76D51">
        <w:t>mg and 4.5</w:t>
      </w:r>
      <w:r w:rsidR="00F54A00">
        <w:t> </w:t>
      </w:r>
      <w:r w:rsidR="00C76D51">
        <w:t>mg on a cost-minimisation basis compared to dulaglutide 1.5</w:t>
      </w:r>
      <w:r w:rsidR="00F54A00">
        <w:t> </w:t>
      </w:r>
      <w:r w:rsidR="00C76D51">
        <w:t xml:space="preserve">mg pending receipt of a positive TGA Delegate’s Overview. </w:t>
      </w:r>
      <w:bookmarkEnd w:id="45"/>
    </w:p>
    <w:bookmarkEnd w:id="44"/>
    <w:p w14:paraId="05E475C2" w14:textId="57D3AAF1" w:rsidR="00033428" w:rsidRDefault="00033428" w:rsidP="003C0B44">
      <w:pPr>
        <w:pStyle w:val="3-BodyText"/>
      </w:pPr>
      <w:r>
        <w:t>The PBAC accepted that dulaglutide 1.5</w:t>
      </w:r>
      <w:r w:rsidR="00F54A00">
        <w:t> </w:t>
      </w:r>
      <w:r>
        <w:t xml:space="preserve">mg </w:t>
      </w:r>
      <w:r w:rsidR="00F54EDD">
        <w:t xml:space="preserve">was the appropriate main comparator </w:t>
      </w:r>
    </w:p>
    <w:p w14:paraId="0DE50934" w14:textId="2B0B1884" w:rsidR="002500B8" w:rsidRDefault="002500B8" w:rsidP="003C0B44">
      <w:pPr>
        <w:pStyle w:val="3-BodyText"/>
      </w:pPr>
      <w:r>
        <w:t>The PBAC noted that the submission was based on</w:t>
      </w:r>
      <w:r w:rsidR="00DA2F3E">
        <w:t xml:space="preserve"> AWARD-11, a head-to-head</w:t>
      </w:r>
      <w:r w:rsidR="003E396A">
        <w:t xml:space="preserve"> randomised</w:t>
      </w:r>
      <w:r w:rsidR="00DA2F3E" w:rsidRPr="00DA2F3E">
        <w:t xml:space="preserve"> trial comparing dulaglutide 1.5</w:t>
      </w:r>
      <w:r w:rsidR="00F54A00">
        <w:t> </w:t>
      </w:r>
      <w:r w:rsidR="00DA2F3E" w:rsidRPr="00DA2F3E">
        <w:t>mg to dulaglutide 3.0</w:t>
      </w:r>
      <w:r w:rsidR="00F54A00">
        <w:t> </w:t>
      </w:r>
      <w:r w:rsidR="00DA2F3E" w:rsidRPr="00DA2F3E">
        <w:t>mg and dulaglutide 4.5</w:t>
      </w:r>
      <w:r w:rsidR="00F54A00">
        <w:t> </w:t>
      </w:r>
      <w:r w:rsidR="00DA2F3E" w:rsidRPr="00DA2F3E">
        <w:t>mg</w:t>
      </w:r>
      <w:r w:rsidR="00807792">
        <w:t xml:space="preserve"> in patients treated with metformin</w:t>
      </w:r>
      <w:r w:rsidR="00DA2F3E">
        <w:t>.</w:t>
      </w:r>
      <w:r w:rsidR="00807792">
        <w:t xml:space="preserve"> The PBAC noted that at 52 weeks, the majority (96.5%) of patients </w:t>
      </w:r>
      <w:r w:rsidR="00807792" w:rsidRPr="00807792">
        <w:t xml:space="preserve">remained on a stable dose of </w:t>
      </w:r>
      <w:r w:rsidR="007A6FF6" w:rsidRPr="00807792">
        <w:t>metformin and</w:t>
      </w:r>
      <w:r w:rsidR="00807792" w:rsidRPr="00807792">
        <w:t xml:space="preserve"> did not require metformin discontinuation </w:t>
      </w:r>
      <w:r w:rsidR="00807792">
        <w:t>or</w:t>
      </w:r>
      <w:r w:rsidR="00807792" w:rsidRPr="00807792">
        <w:t xml:space="preserve"> dose adjustment</w:t>
      </w:r>
      <w:r w:rsidR="00807792">
        <w:t>.</w:t>
      </w:r>
      <w:r w:rsidR="003E396A">
        <w:t xml:space="preserve"> </w:t>
      </w:r>
      <w:r w:rsidR="00125D8B">
        <w:t>The PBAC also noted that the proportion of patients requiring additional rescue therapy was small and similar across the arms of the trial.</w:t>
      </w:r>
    </w:p>
    <w:p w14:paraId="01F0603C" w14:textId="356E0C97" w:rsidR="00033428" w:rsidRPr="00033428" w:rsidRDefault="00F54EDD" w:rsidP="00CE1B1D">
      <w:pPr>
        <w:pStyle w:val="ListParagraph"/>
        <w:numPr>
          <w:ilvl w:val="1"/>
          <w:numId w:val="1"/>
        </w:numPr>
        <w:rPr>
          <w:b/>
          <w:bCs/>
        </w:rPr>
      </w:pPr>
      <w:r>
        <w:t>The PBAC noted that</w:t>
      </w:r>
      <w:r w:rsidR="00A72DA9">
        <w:t xml:space="preserve"> at 36 weeks,</w:t>
      </w:r>
      <w:r>
        <w:t xml:space="preserve"> both dulaglutide 3.0</w:t>
      </w:r>
      <w:r w:rsidR="00F54A00">
        <w:t> </w:t>
      </w:r>
      <w:r>
        <w:t>mg and 4.5</w:t>
      </w:r>
      <w:r w:rsidR="00F54A00">
        <w:t> </w:t>
      </w:r>
      <w:r>
        <w:t xml:space="preserve">mg </w:t>
      </w:r>
      <w:r w:rsidR="00A72DA9">
        <w:t>treatment arms had a statistically significantly greater reduction</w:t>
      </w:r>
      <w:r w:rsidR="001F3D6B">
        <w:t xml:space="preserve"> from baseline</w:t>
      </w:r>
      <w:r w:rsidR="00A72DA9">
        <w:t xml:space="preserve"> in HbA1c</w:t>
      </w:r>
      <w:r w:rsidR="001F3D6B">
        <w:t xml:space="preserve"> compared to </w:t>
      </w:r>
      <w:r w:rsidR="009503CD">
        <w:t xml:space="preserve">the </w:t>
      </w:r>
      <w:r w:rsidR="001F3D6B">
        <w:t>dulaglutide 1.5</w:t>
      </w:r>
      <w:r w:rsidR="00F54A00">
        <w:t> </w:t>
      </w:r>
      <w:r w:rsidR="001F3D6B">
        <w:t>mg</w:t>
      </w:r>
      <w:r w:rsidR="009503CD">
        <w:t xml:space="preserve"> treatment arm</w:t>
      </w:r>
      <w:r w:rsidR="001F3D6B">
        <w:t>. The PBAC also noted that a statistically significantly greater proportion of patients in the dulaglutide 3.0</w:t>
      </w:r>
      <w:r w:rsidR="00F54A00">
        <w:t> </w:t>
      </w:r>
      <w:r w:rsidR="001F3D6B">
        <w:t>mg and 4.5</w:t>
      </w:r>
      <w:r w:rsidR="00F54A00">
        <w:t> </w:t>
      </w:r>
      <w:r w:rsidR="001F3D6B">
        <w:t xml:space="preserve">mg treatment arms achieved </w:t>
      </w:r>
      <w:r w:rsidR="001F3D6B" w:rsidRPr="001F3D6B">
        <w:t>HbA1C &lt; 7%</w:t>
      </w:r>
      <w:r w:rsidR="001F3D6B">
        <w:t xml:space="preserve"> and </w:t>
      </w:r>
      <w:r w:rsidR="001F3D6B" w:rsidRPr="001F3D6B">
        <w:t xml:space="preserve">HbA1C &lt; </w:t>
      </w:r>
      <w:r w:rsidR="001F3D6B">
        <w:t>6.5</w:t>
      </w:r>
      <w:r w:rsidR="001F3D6B" w:rsidRPr="001F3D6B">
        <w:t>%</w:t>
      </w:r>
      <w:r w:rsidR="008D2B5C">
        <w:t xml:space="preserve"> at 36 weeks,</w:t>
      </w:r>
      <w:r w:rsidR="009503CD">
        <w:t xml:space="preserve"> compared to the dulaglutide 1.5</w:t>
      </w:r>
      <w:r w:rsidR="00F54A00">
        <w:t> </w:t>
      </w:r>
      <w:r w:rsidR="009503CD">
        <w:t xml:space="preserve">mg treatment arm. </w:t>
      </w:r>
      <w:r w:rsidR="008D2B5C">
        <w:t>The PBAC considered that the claim of non-inferior effectiveness compared to dulaglutide 1.5</w:t>
      </w:r>
      <w:r w:rsidR="00F54A00">
        <w:t> </w:t>
      </w:r>
      <w:r w:rsidR="008D2B5C">
        <w:t>mg was reasonable noting that a non-inferiority margin was not nominated as AWARD-11 was designed as a superiority trial.</w:t>
      </w:r>
    </w:p>
    <w:p w14:paraId="5F45411C" w14:textId="6B3156FD" w:rsidR="008D2B5C" w:rsidRPr="008D2B5C" w:rsidRDefault="000333C0" w:rsidP="00CE1B1D">
      <w:pPr>
        <w:pStyle w:val="ListParagraph"/>
        <w:numPr>
          <w:ilvl w:val="1"/>
          <w:numId w:val="1"/>
        </w:numPr>
        <w:rPr>
          <w:b/>
          <w:bCs/>
        </w:rPr>
      </w:pPr>
      <w:r>
        <w:t>The PBAC noted the proportion of adverse events</w:t>
      </w:r>
      <w:r w:rsidR="00815A02">
        <w:t xml:space="preserve"> was similar</w:t>
      </w:r>
      <w:r>
        <w:t xml:space="preserve"> </w:t>
      </w:r>
      <w:r w:rsidR="00815A02">
        <w:t xml:space="preserve">between treatment arms in AWARD-11 with the exception of a higher rate of </w:t>
      </w:r>
      <w:r w:rsidR="00815A02" w:rsidRPr="00815A02">
        <w:t xml:space="preserve">diarrhoea </w:t>
      </w:r>
      <w:r w:rsidR="00815A02">
        <w:t>and vomiting in patients treated with dulaglutide 3.0</w:t>
      </w:r>
      <w:r w:rsidR="00F54A00">
        <w:t> </w:t>
      </w:r>
      <w:r w:rsidR="00815A02">
        <w:t>mg and 4.5</w:t>
      </w:r>
      <w:r w:rsidR="00F54A00">
        <w:t> </w:t>
      </w:r>
      <w:r w:rsidR="00815A02">
        <w:t xml:space="preserve">mg compared to patients treated </w:t>
      </w:r>
      <w:r w:rsidR="00815A02">
        <w:lastRenderedPageBreak/>
        <w:t>with dulaglutide 1.5</w:t>
      </w:r>
      <w:r w:rsidR="00F54A00">
        <w:t> </w:t>
      </w:r>
      <w:r w:rsidR="00815A02">
        <w:t>mg.</w:t>
      </w:r>
      <w:r w:rsidR="007D0ECC">
        <w:t xml:space="preserve"> The PBAC noted that the proportion of patients in AWARD-11 who discontinued due to diarrhoea, vomiting or nausea w</w:t>
      </w:r>
      <w:r w:rsidR="0034199A">
        <w:t>as</w:t>
      </w:r>
      <w:r w:rsidR="007D0ECC">
        <w:t xml:space="preserve"> low.</w:t>
      </w:r>
      <w:r w:rsidR="00815A02">
        <w:t xml:space="preserve"> </w:t>
      </w:r>
      <w:r>
        <w:t xml:space="preserve">Overall, the PBAC considered that the claim of non-inferior </w:t>
      </w:r>
      <w:r w:rsidR="007A6FF6">
        <w:t>safety</w:t>
      </w:r>
      <w:r>
        <w:t xml:space="preserve"> compared to dulaglutide 1.5</w:t>
      </w:r>
      <w:r w:rsidR="00F54A00">
        <w:t> </w:t>
      </w:r>
      <w:r>
        <w:t xml:space="preserve">mg was reasonable. </w:t>
      </w:r>
    </w:p>
    <w:p w14:paraId="6A4FFDA3" w14:textId="434535FB" w:rsidR="006720D5" w:rsidRPr="006720D5" w:rsidRDefault="00F44029" w:rsidP="008D2B5C">
      <w:pPr>
        <w:pStyle w:val="ListParagraph"/>
        <w:numPr>
          <w:ilvl w:val="1"/>
          <w:numId w:val="1"/>
        </w:numPr>
        <w:rPr>
          <w:b/>
          <w:bCs/>
        </w:rPr>
      </w:pPr>
      <w:r>
        <w:t>T</w:t>
      </w:r>
      <w:r w:rsidR="00977577">
        <w:t xml:space="preserve">he PBAC considered that </w:t>
      </w:r>
      <w:r w:rsidR="007F0D8E">
        <w:t xml:space="preserve">PBS listing of </w:t>
      </w:r>
      <w:r w:rsidR="00977577">
        <w:t>dulaglutide 3.0</w:t>
      </w:r>
      <w:r w:rsidR="00F54A00">
        <w:t> </w:t>
      </w:r>
      <w:r w:rsidR="00977577">
        <w:t>mg and 4.5</w:t>
      </w:r>
      <w:r w:rsidR="00F54A00">
        <w:t> </w:t>
      </w:r>
      <w:r w:rsidR="00977577">
        <w:t xml:space="preserve">mg was unlikely to substantially expand the </w:t>
      </w:r>
      <w:r w:rsidR="00977577" w:rsidRPr="00977577">
        <w:t>GLP-1 RA</w:t>
      </w:r>
      <w:r w:rsidR="00977577">
        <w:t xml:space="preserve"> market. The PBAC considered that</w:t>
      </w:r>
      <w:r w:rsidR="003613B2">
        <w:t xml:space="preserve"> combination use</w:t>
      </w:r>
      <w:r w:rsidR="00A161B3">
        <w:t xml:space="preserve"> </w:t>
      </w:r>
      <w:r w:rsidR="003613B2">
        <w:t>of</w:t>
      </w:r>
      <w:r w:rsidR="00977577">
        <w:t xml:space="preserve"> dulaglutide 3.0</w:t>
      </w:r>
      <w:r w:rsidR="00F54A00">
        <w:t> </w:t>
      </w:r>
      <w:r w:rsidR="00977577">
        <w:t>mg and 4.5</w:t>
      </w:r>
      <w:r w:rsidR="00F54A00">
        <w:t> </w:t>
      </w:r>
      <w:r w:rsidR="00977577">
        <w:t xml:space="preserve">mg </w:t>
      </w:r>
      <w:r w:rsidR="00860831">
        <w:t>with insulin outside the proposed restriction</w:t>
      </w:r>
      <w:r w:rsidR="003613B2">
        <w:t xml:space="preserve"> was unlikely given</w:t>
      </w:r>
      <w:r w:rsidR="007A779D">
        <w:t xml:space="preserve"> semaglutide is </w:t>
      </w:r>
      <w:r w:rsidR="00AF28C3">
        <w:t>PBS-</w:t>
      </w:r>
      <w:r w:rsidR="007A779D">
        <w:t xml:space="preserve">listed for use in combination with insulin. The </w:t>
      </w:r>
      <w:r w:rsidR="00AF28C3">
        <w:t>PBAC considered that most patients currently treated with semaglutide would not be switched to dulaglutide 3.0</w:t>
      </w:r>
      <w:r w:rsidR="00F54A00">
        <w:t> </w:t>
      </w:r>
      <w:r w:rsidR="00AF28C3">
        <w:t>mg or 4.5</w:t>
      </w:r>
      <w:r w:rsidR="007F0D8E">
        <w:t> </w:t>
      </w:r>
      <w:r w:rsidR="00AF28C3">
        <w:t>mg given th</w:t>
      </w:r>
      <w:r w:rsidR="004A2D53">
        <w:t>at</w:t>
      </w:r>
      <w:r w:rsidR="00EB17AB">
        <w:t xml:space="preserve"> higher doses of dulaglutide have not been established </w:t>
      </w:r>
      <w:r w:rsidR="007F0D8E">
        <w:t>as</w:t>
      </w:r>
      <w:r w:rsidR="00EB17AB">
        <w:t xml:space="preserve"> superior to semaglutide.</w:t>
      </w:r>
      <w:r w:rsidR="004A2D53">
        <w:t xml:space="preserve"> The PBAC also considered there would unlikely be substantial</w:t>
      </w:r>
      <w:r w:rsidR="00A214CC">
        <w:t xml:space="preserve"> expansion of the GLP-1 RA marke</w:t>
      </w:r>
      <w:r w:rsidR="003613B2">
        <w:t>t</w:t>
      </w:r>
      <w:r w:rsidR="00A214CC">
        <w:t xml:space="preserve"> due to</w:t>
      </w:r>
      <w:r w:rsidR="004A2D53">
        <w:t xml:space="preserve"> use of dulaglutide 3.0</w:t>
      </w:r>
      <w:r w:rsidR="00F54A00">
        <w:t> </w:t>
      </w:r>
      <w:r w:rsidR="004A2D53">
        <w:t>mg and 4.5</w:t>
      </w:r>
      <w:r w:rsidR="00F54A00">
        <w:t> </w:t>
      </w:r>
      <w:r w:rsidR="004A2D53">
        <w:t>mg for weight loss</w:t>
      </w:r>
      <w:r w:rsidR="00A214CC">
        <w:t>,</w:t>
      </w:r>
      <w:r w:rsidR="00DB5636">
        <w:t xml:space="preserve"> </w:t>
      </w:r>
      <w:r w:rsidR="00A214CC">
        <w:t xml:space="preserve">as the currently listed semaglutide is also perceived to have weight loss benefits. </w:t>
      </w:r>
    </w:p>
    <w:p w14:paraId="53CC5498" w14:textId="3EAF0FA1" w:rsidR="00A214CC" w:rsidRPr="00A214CC" w:rsidRDefault="00A214CC" w:rsidP="008D2B5C">
      <w:pPr>
        <w:pStyle w:val="ListParagraph"/>
        <w:numPr>
          <w:ilvl w:val="1"/>
          <w:numId w:val="1"/>
        </w:numPr>
        <w:rPr>
          <w:b/>
          <w:bCs/>
        </w:rPr>
      </w:pPr>
      <w:r>
        <w:t>The PBAC noted that irrespective of GLP-1 RA market dynamics, listing of dulaglutide 3.0</w:t>
      </w:r>
      <w:r w:rsidR="00F54A00">
        <w:t> </w:t>
      </w:r>
      <w:r>
        <w:t>mg and 4.5</w:t>
      </w:r>
      <w:r w:rsidR="00F54A00">
        <w:t> </w:t>
      </w:r>
      <w:r>
        <w:t>mg would result in minimal financial impact if cost-minimised to dulaglutide 1.5</w:t>
      </w:r>
      <w:r w:rsidR="00F54A00">
        <w:t> </w:t>
      </w:r>
      <w:r>
        <w:t xml:space="preserve">mg. </w:t>
      </w:r>
    </w:p>
    <w:p w14:paraId="633943F5" w14:textId="180004FE" w:rsidR="007D0ECC" w:rsidRPr="007D0ECC" w:rsidRDefault="007D0ECC" w:rsidP="008D2B5C">
      <w:pPr>
        <w:pStyle w:val="ListParagraph"/>
        <w:numPr>
          <w:ilvl w:val="1"/>
          <w:numId w:val="1"/>
        </w:numPr>
        <w:rPr>
          <w:b/>
          <w:bCs/>
        </w:rPr>
      </w:pPr>
      <w:r>
        <w:t xml:space="preserve">The PBAC </w:t>
      </w:r>
      <w:r w:rsidR="00827ABF">
        <w:t xml:space="preserve">considered that the restriction should allow treatment in patients </w:t>
      </w:r>
      <w:r w:rsidR="00DF2A53">
        <w:t xml:space="preserve">who are contraindicated to or intolerant to metformin. </w:t>
      </w:r>
    </w:p>
    <w:p w14:paraId="3C2EFC81" w14:textId="6FBF4880" w:rsidR="00DF2A53" w:rsidRPr="00DF2A53" w:rsidRDefault="00A24A5B" w:rsidP="008D2B5C">
      <w:pPr>
        <w:pStyle w:val="ListParagraph"/>
        <w:numPr>
          <w:ilvl w:val="1"/>
          <w:numId w:val="1"/>
        </w:numPr>
        <w:rPr>
          <w:b/>
          <w:bCs/>
        </w:rPr>
      </w:pPr>
      <w:r>
        <w:t xml:space="preserve">Although the PBAC noted the proposed restriction would allow </w:t>
      </w:r>
      <w:r w:rsidR="006720D5">
        <w:t>use of dulaglutide 3.0</w:t>
      </w:r>
      <w:r w:rsidR="006F20E5">
        <w:t> </w:t>
      </w:r>
      <w:r w:rsidR="006720D5">
        <w:t>mg and 4.5</w:t>
      </w:r>
      <w:r w:rsidR="00F54A00">
        <w:t> </w:t>
      </w:r>
      <w:r w:rsidR="006720D5">
        <w:t>mg without prior use of dulaglutide 1.5</w:t>
      </w:r>
      <w:r w:rsidR="00F54A00">
        <w:t> </w:t>
      </w:r>
      <w:r w:rsidR="006720D5">
        <w:t>mg, it considered this would not be a frequent occurrence in clinical practice due to the gastrointestinal adverse events associated with starting treatment at a dose higher than 1.5</w:t>
      </w:r>
      <w:r w:rsidR="00F54A00">
        <w:t> </w:t>
      </w:r>
      <w:r w:rsidR="006720D5">
        <w:t xml:space="preserve">mg. </w:t>
      </w:r>
    </w:p>
    <w:p w14:paraId="51FCB3D2" w14:textId="62D9E5A0" w:rsidR="00B22657" w:rsidRPr="008D2B5C" w:rsidRDefault="00CE1B1D" w:rsidP="008D2B5C">
      <w:pPr>
        <w:pStyle w:val="ListParagraph"/>
        <w:numPr>
          <w:ilvl w:val="1"/>
          <w:numId w:val="1"/>
        </w:numPr>
        <w:rPr>
          <w:b/>
          <w:bCs/>
        </w:rPr>
      </w:pPr>
      <w:r>
        <w:t xml:space="preserve">The </w:t>
      </w:r>
      <w:r w:rsidRPr="00C62A13">
        <w:t>PBAC noted that its foreshadowed recommendation was on a cost-minimisation basis</w:t>
      </w:r>
      <w:r>
        <w:t xml:space="preserve">, </w:t>
      </w:r>
      <w:r w:rsidRPr="00C62A13">
        <w:t xml:space="preserve">and advised that, because </w:t>
      </w:r>
      <w:r w:rsidR="003B5A2C">
        <w:t>dulaglutide 3.0</w:t>
      </w:r>
      <w:r w:rsidR="00F54A00">
        <w:t> </w:t>
      </w:r>
      <w:r w:rsidR="003B5A2C">
        <w:t>mg and 4.5</w:t>
      </w:r>
      <w:r w:rsidR="00F54A00">
        <w:t> </w:t>
      </w:r>
      <w:r w:rsidR="003B5A2C">
        <w:t>mg doses</w:t>
      </w:r>
      <w:r w:rsidRPr="00C62A13">
        <w:t xml:space="preserve"> </w:t>
      </w:r>
      <w:r w:rsidR="003B5A2C">
        <w:t>are not</w:t>
      </w:r>
      <w:r w:rsidRPr="00C62A13">
        <w:t xml:space="preserve"> expected to provide a substantial</w:t>
      </w:r>
      <w:r w:rsidRPr="00C62A13">
        <w:rPr>
          <w:bCs/>
        </w:rPr>
        <w:t xml:space="preserve"> and clinically relevant improvement in efficacy, or reduction of toxicity, over </w:t>
      </w:r>
      <w:r w:rsidR="003B5A2C">
        <w:rPr>
          <w:bCs/>
        </w:rPr>
        <w:t>dulaglutide 1.5</w:t>
      </w:r>
      <w:r w:rsidR="00F54A00">
        <w:t> </w:t>
      </w:r>
      <w:r w:rsidR="003B5A2C">
        <w:rPr>
          <w:bCs/>
        </w:rPr>
        <w:t>mg</w:t>
      </w:r>
      <w:r w:rsidRPr="00C62A13">
        <w:rPr>
          <w:bCs/>
        </w:rPr>
        <w:t xml:space="preserve">, or not expected to address a high and urgent unmet clinical need given the presence of an alternative therapy, the criteria prescribed by the </w:t>
      </w:r>
      <w:r w:rsidRPr="00C62A13">
        <w:rPr>
          <w:bCs/>
          <w:i/>
        </w:rPr>
        <w:t>National Health (Pharmaceuticals and Vaccines – Cost Recovery) Regulations 20</w:t>
      </w:r>
      <w:r w:rsidR="00033428">
        <w:rPr>
          <w:bCs/>
          <w:i/>
        </w:rPr>
        <w:t>22</w:t>
      </w:r>
      <w:r w:rsidRPr="00C62A13">
        <w:rPr>
          <w:bCs/>
        </w:rPr>
        <w:t xml:space="preserve"> for Pricing Pathway A were not met.</w:t>
      </w:r>
    </w:p>
    <w:p w14:paraId="19003206" w14:textId="77777777" w:rsidR="004F5BC0" w:rsidRPr="00525B39" w:rsidRDefault="004F5BC0" w:rsidP="004F5BC0">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6FBA6D97" w14:textId="7FC9543A" w:rsidR="00BB59C0" w:rsidRDefault="00C76D51" w:rsidP="00B52E86">
      <w:pPr>
        <w:pStyle w:val="3-BodyText"/>
        <w:numPr>
          <w:ilvl w:val="0"/>
          <w:numId w:val="0"/>
        </w:numPr>
        <w:ind w:left="720" w:hanging="720"/>
        <w:rPr>
          <w:bCs/>
          <w:lang w:val="en-GB"/>
        </w:rPr>
      </w:pPr>
      <w:r>
        <w:rPr>
          <w:bCs/>
          <w:lang w:val="en-GB"/>
        </w:rPr>
        <w:t xml:space="preserve">Deferred </w:t>
      </w:r>
    </w:p>
    <w:p w14:paraId="4BE2684D" w14:textId="77777777" w:rsidR="007B05EA" w:rsidRDefault="007B05EA" w:rsidP="007B05EA">
      <w:pPr>
        <w:rPr>
          <w:rFonts w:cs="Calibri"/>
          <w:b/>
          <w:u w:val="single"/>
          <w:lang w:eastAsia="en-US"/>
        </w:rPr>
      </w:pPr>
    </w:p>
    <w:p w14:paraId="64A4A37A" w14:textId="77777777" w:rsidR="007B05EA" w:rsidRDefault="007B05EA" w:rsidP="007B05EA">
      <w:pPr>
        <w:rPr>
          <w:rFonts w:cs="Calibri"/>
          <w:b/>
          <w:u w:val="single"/>
          <w:lang w:eastAsia="en-US"/>
        </w:rPr>
      </w:pPr>
    </w:p>
    <w:p w14:paraId="430F0B4F" w14:textId="77777777" w:rsidR="007B05EA" w:rsidRDefault="007B05EA" w:rsidP="007B05EA">
      <w:pPr>
        <w:rPr>
          <w:rFonts w:cs="Calibri"/>
          <w:b/>
          <w:u w:val="single"/>
          <w:lang w:eastAsia="en-US"/>
        </w:rPr>
      </w:pPr>
    </w:p>
    <w:p w14:paraId="12DAA1CF" w14:textId="77777777" w:rsidR="007B05EA" w:rsidRDefault="007B05EA" w:rsidP="007B05EA">
      <w:pPr>
        <w:rPr>
          <w:rFonts w:cs="Calibri"/>
          <w:b/>
          <w:u w:val="single"/>
          <w:lang w:eastAsia="en-US"/>
        </w:rPr>
      </w:pPr>
    </w:p>
    <w:p w14:paraId="4F7321C6" w14:textId="77777777" w:rsidR="007B05EA" w:rsidRDefault="007B05EA" w:rsidP="007B05EA">
      <w:pPr>
        <w:rPr>
          <w:rFonts w:cs="Calibri"/>
          <w:b/>
          <w:u w:val="single"/>
          <w:lang w:eastAsia="en-US"/>
        </w:rPr>
      </w:pPr>
    </w:p>
    <w:p w14:paraId="4ABA7E9D" w14:textId="77777777" w:rsidR="007B05EA" w:rsidRDefault="007B05EA" w:rsidP="007B05EA">
      <w:pPr>
        <w:rPr>
          <w:rFonts w:cs="Calibri"/>
          <w:b/>
          <w:u w:val="single"/>
          <w:lang w:eastAsia="en-US"/>
        </w:rPr>
      </w:pPr>
    </w:p>
    <w:p w14:paraId="3E14CEA6" w14:textId="77777777" w:rsidR="007B05EA" w:rsidRDefault="007B05EA" w:rsidP="007B05EA">
      <w:pPr>
        <w:rPr>
          <w:rFonts w:cs="Calibri"/>
          <w:b/>
          <w:u w:val="single"/>
          <w:lang w:eastAsia="en-US"/>
        </w:rPr>
      </w:pPr>
    </w:p>
    <w:p w14:paraId="5A7053E9" w14:textId="77777777" w:rsidR="007B05EA" w:rsidRDefault="007B05EA" w:rsidP="007B05EA">
      <w:pPr>
        <w:rPr>
          <w:rFonts w:cs="Calibri"/>
          <w:b/>
          <w:u w:val="single"/>
          <w:lang w:eastAsia="en-US"/>
        </w:rPr>
      </w:pPr>
    </w:p>
    <w:p w14:paraId="3D136109" w14:textId="7FDF091B" w:rsidR="007B05EA" w:rsidRPr="00FA16D4" w:rsidRDefault="007B05EA" w:rsidP="007B05EA">
      <w:pPr>
        <w:pStyle w:val="GeneralHeading"/>
        <w:rPr>
          <w:color w:val="FF0000"/>
          <w:lang w:eastAsia="en-US"/>
        </w:rPr>
      </w:pPr>
      <w:r w:rsidRPr="00CE7A87">
        <w:rPr>
          <w:color w:val="FF0000"/>
          <w:lang w:eastAsia="en-US"/>
        </w:rPr>
        <w:lastRenderedPageBreak/>
        <w:t xml:space="preserve">Addendum to the </w:t>
      </w:r>
      <w:r>
        <w:rPr>
          <w:color w:val="FF0000"/>
          <w:lang w:eastAsia="en-US"/>
        </w:rPr>
        <w:t>March 2022</w:t>
      </w:r>
      <w:r w:rsidRPr="00CE7A87">
        <w:rPr>
          <w:color w:val="FF0000"/>
          <w:lang w:eastAsia="en-US"/>
        </w:rPr>
        <w:t xml:space="preserve"> PBAC </w:t>
      </w:r>
      <w:r w:rsidR="00FC731A">
        <w:rPr>
          <w:color w:val="FF0000"/>
          <w:lang w:eastAsia="en-US"/>
        </w:rPr>
        <w:t>PSD</w:t>
      </w:r>
      <w:r w:rsidRPr="00CE7A87">
        <w:rPr>
          <w:color w:val="FF0000"/>
          <w:lang w:eastAsia="en-US"/>
        </w:rPr>
        <w:t>:</w:t>
      </w:r>
    </w:p>
    <w:p w14:paraId="2B7E65FF" w14:textId="77777777" w:rsidR="007B05EA" w:rsidRDefault="007B05EA" w:rsidP="007B05EA">
      <w:pPr>
        <w:pStyle w:val="1-MainHeading"/>
        <w:spacing w:after="0"/>
      </w:pPr>
      <w:r>
        <w:t>4.04</w:t>
      </w:r>
      <w:r w:rsidRPr="00C96594">
        <w:tab/>
      </w:r>
      <w:r>
        <w:t>DULAGLUTIDE,</w:t>
      </w:r>
      <w:r>
        <w:br/>
      </w:r>
      <w:r w:rsidRPr="00743959">
        <w:t>Injection 3 mg in 0.5 mL single dose pre-filled pen</w:t>
      </w:r>
      <w:r>
        <w:t>,</w:t>
      </w:r>
    </w:p>
    <w:p w14:paraId="2B1BA54E" w14:textId="77777777" w:rsidR="007B05EA" w:rsidRDefault="007B05EA" w:rsidP="007B05EA">
      <w:pPr>
        <w:pStyle w:val="1-MainHeading"/>
        <w:spacing w:before="0" w:after="0"/>
        <w:ind w:firstLine="0"/>
      </w:pPr>
      <w:r>
        <w:t xml:space="preserve">Injection 4.5 mg in 0.5 mL single dose pre-filled pen, </w:t>
      </w:r>
      <w:r w:rsidRPr="004A6040">
        <w:t>Tr</w:t>
      </w:r>
      <w:r>
        <w:t>ulicity</w:t>
      </w:r>
      <w:r w:rsidRPr="004A6040">
        <w:rPr>
          <w:vertAlign w:val="superscript"/>
        </w:rPr>
        <w:t xml:space="preserve"> ®</w:t>
      </w:r>
      <w:r w:rsidRPr="004A6040">
        <w:t>,</w:t>
      </w:r>
      <w:r w:rsidRPr="004A6040">
        <w:br/>
      </w:r>
      <w:r>
        <w:t>Eli Lilly Australia Pty Ltd</w:t>
      </w:r>
      <w:r w:rsidRPr="004A6040">
        <w:t>.</w:t>
      </w:r>
    </w:p>
    <w:p w14:paraId="5EA1679E" w14:textId="77777777" w:rsidR="007B05EA" w:rsidRPr="00C96594" w:rsidRDefault="007B05EA" w:rsidP="007B05EA">
      <w:pPr>
        <w:pStyle w:val="2-SectionHeading"/>
      </w:pPr>
      <w:r>
        <w:t xml:space="preserve">Background </w:t>
      </w:r>
    </w:p>
    <w:p w14:paraId="711100C5" w14:textId="77777777" w:rsidR="007B05EA" w:rsidRPr="009669E4" w:rsidRDefault="007B05EA" w:rsidP="007B05EA">
      <w:pPr>
        <w:pStyle w:val="3-BodyText"/>
        <w:rPr>
          <w:b/>
          <w:bCs/>
        </w:rPr>
      </w:pPr>
      <w:r>
        <w:t xml:space="preserve">At the March 2022 meeting, the PBAC deferred </w:t>
      </w:r>
      <w:r w:rsidRPr="00410BE3">
        <w:t>making its decision on whether to recommend the listing of dulaglutide 3.0 mg and 4.5 mg for the treatment of Type II Diabetes Mellitus</w:t>
      </w:r>
      <w:r>
        <w:t xml:space="preserve"> </w:t>
      </w:r>
      <w:r w:rsidRPr="00410BE3">
        <w:t>as a TGA Delegate’s Overview was not available at the time of PBAC consideration.</w:t>
      </w:r>
      <w:r w:rsidRPr="009669E4">
        <w:t xml:space="preserve"> </w:t>
      </w:r>
      <w:r>
        <w:t>The PBAC was of a mind to recommend dulaglutide 3.0 mg and 4.5 mg on a cost-minimisation basis compared to dulaglutide 1.5 mg pending receipt of a positive TGA Delegate’s Overview.</w:t>
      </w:r>
    </w:p>
    <w:p w14:paraId="345786BE" w14:textId="77777777" w:rsidR="007B05EA" w:rsidRPr="00E5675F" w:rsidRDefault="007B05EA" w:rsidP="007B05EA">
      <w:pPr>
        <w:pStyle w:val="3-BodyText"/>
        <w:rPr>
          <w:b/>
          <w:bCs/>
        </w:rPr>
      </w:pPr>
      <w:r w:rsidRPr="009669E4">
        <w:rPr>
          <w:b/>
          <w:bCs/>
        </w:rPr>
        <w:t xml:space="preserve">TGA status at time of PBAC consideration: </w:t>
      </w:r>
      <w:r w:rsidRPr="009669E4">
        <w:t xml:space="preserve">The submission was made under TGA/PBAC Parallel Process. At the time of PBAC consideration on </w:t>
      </w:r>
      <w:r>
        <w:t>6</w:t>
      </w:r>
      <w:r w:rsidRPr="009669E4">
        <w:t xml:space="preserve"> May 202</w:t>
      </w:r>
      <w:r>
        <w:t>2</w:t>
      </w:r>
      <w:r w:rsidRPr="009669E4">
        <w:t>, the TGA Delegate’s Overview was available.</w:t>
      </w:r>
    </w:p>
    <w:p w14:paraId="1CD9068F" w14:textId="77777777" w:rsidR="007B05EA" w:rsidRPr="009669E4" w:rsidRDefault="007B05EA" w:rsidP="007B05EA">
      <w:pPr>
        <w:pStyle w:val="3-BodyText"/>
        <w:rPr>
          <w:b/>
          <w:bCs/>
        </w:rPr>
      </w:pPr>
      <w:r>
        <w:t xml:space="preserve">The TGA Delegate considered that dulaglutide 3.0 mg and 4.5 mg </w:t>
      </w:r>
      <w:r w:rsidRPr="00D44C78">
        <w:t>may be approvable with enhanced post market surveillance including Phase 4 efficacy/safety study.</w:t>
      </w:r>
    </w:p>
    <w:p w14:paraId="4CDD6621" w14:textId="77777777" w:rsidR="007B05EA" w:rsidRPr="00C96594" w:rsidRDefault="007B05EA" w:rsidP="007B05EA">
      <w:pPr>
        <w:pStyle w:val="2-SectionHeading"/>
      </w:pPr>
      <w:r w:rsidRPr="00C96594">
        <w:t>PBAC Outcome</w:t>
      </w:r>
    </w:p>
    <w:p w14:paraId="64A3D315" w14:textId="77777777" w:rsidR="007B05EA" w:rsidRPr="000B62D2" w:rsidRDefault="007B05EA" w:rsidP="007B05EA">
      <w:pPr>
        <w:pStyle w:val="3-BodyText"/>
        <w:rPr>
          <w:b/>
          <w:bCs/>
        </w:rPr>
      </w:pPr>
      <w:bookmarkStart w:id="46" w:name="_Hlk103096852"/>
      <w:r>
        <w:t xml:space="preserve">The </w:t>
      </w:r>
      <w:bookmarkStart w:id="47" w:name="_Hlk103097175"/>
      <w:r>
        <w:t xml:space="preserve">PBAC </w:t>
      </w:r>
      <w:bookmarkStart w:id="48" w:name="_Hlk103096904"/>
      <w:r>
        <w:t xml:space="preserve">recommended the listing of dulaglutide 3.0 mg and 4.5 mg for the treatment of Type II Diabetes Mellitus in combination </w:t>
      </w:r>
      <w:bookmarkStart w:id="49" w:name="_Hlk104395880"/>
      <w:r>
        <w:t xml:space="preserve">with metformin in </w:t>
      </w:r>
      <w:r w:rsidRPr="00920225">
        <w:t>patients who are contraindicated or intolerant to a combination of metformin and a sulfonylurea</w:t>
      </w:r>
      <w:r>
        <w:t>.</w:t>
      </w:r>
      <w:bookmarkEnd w:id="49"/>
      <w:r w:rsidRPr="00C76D51">
        <w:t xml:space="preserve"> </w:t>
      </w:r>
      <w:r>
        <w:t xml:space="preserve">The PBAC’s recommendation for listing was based on, among other matters, its assessment, that the cost-effectiveness of dulaglutide 3.0 mg and 4.5 mg </w:t>
      </w:r>
      <w:bookmarkEnd w:id="47"/>
      <w:r>
        <w:t xml:space="preserve">would be acceptable if it were cost-minimised against dulaglutide 1.5 mg. </w:t>
      </w:r>
      <w:bookmarkEnd w:id="48"/>
    </w:p>
    <w:bookmarkEnd w:id="46"/>
    <w:p w14:paraId="7BE5B753" w14:textId="77777777" w:rsidR="007B05EA" w:rsidRPr="006E7397" w:rsidRDefault="007B05EA" w:rsidP="007B05EA">
      <w:pPr>
        <w:pStyle w:val="3-BodyText"/>
        <w:rPr>
          <w:b/>
          <w:bCs/>
        </w:rPr>
      </w:pPr>
      <w:r w:rsidRPr="00235202">
        <w:t xml:space="preserve">PBAC </w:t>
      </w:r>
      <w:r>
        <w:t xml:space="preserve">maintained its previous consideration </w:t>
      </w:r>
      <w:r w:rsidRPr="003A5EFA">
        <w:t>that the claim of non-inferior effectiveness</w:t>
      </w:r>
      <w:r>
        <w:t xml:space="preserve"> and safety</w:t>
      </w:r>
      <w:r w:rsidRPr="003A5EFA">
        <w:t xml:space="preserve"> compared to dulaglutide 1.5 mg was reasonable</w:t>
      </w:r>
      <w:r>
        <w:t xml:space="preserve">. The PBAC advised that </w:t>
      </w:r>
      <w:r w:rsidRPr="00235202">
        <w:t xml:space="preserve">the equi-effective doses are dulaglutide </w:t>
      </w:r>
      <w:r>
        <w:t>3.0</w:t>
      </w:r>
      <w:r w:rsidRPr="00235202">
        <w:t xml:space="preserve"> mg</w:t>
      </w:r>
      <w:r>
        <w:t xml:space="preserve"> once weekly (</w:t>
      </w:r>
      <w:r w:rsidRPr="00235202">
        <w:t>QW</w:t>
      </w:r>
      <w:r>
        <w:t>), dulaglutide 4.5 mg QW and dulaglutide 1.5 mg QW.</w:t>
      </w:r>
    </w:p>
    <w:p w14:paraId="36B6DE2B" w14:textId="77777777" w:rsidR="007B05EA" w:rsidRPr="00F715E8" w:rsidRDefault="007B05EA" w:rsidP="007B05EA">
      <w:pPr>
        <w:pStyle w:val="3-BodyText"/>
        <w:rPr>
          <w:b/>
          <w:bCs/>
        </w:rPr>
      </w:pPr>
      <w:r>
        <w:t xml:space="preserve">The PBAC recalled its previous consideration that the restriction should allow treatment in patients who are contraindicated to or intolerant to metformin. The PBAC clarified its position that the restriction should be consistent with the current restriction for dulaglutide 1.5 mg, noting the recommendation is on a cost-minimisation basis. The current restriction for dulaglutide 1.5 mg requires patients to have a contraindication to, or not have tolerated a combination of metformin and a </w:t>
      </w:r>
      <w:r>
        <w:lastRenderedPageBreak/>
        <w:t>sulfonylurea</w:t>
      </w:r>
      <w:r w:rsidRPr="00920225">
        <w:t>, and does not allow use in monotherapy for patients contraindicated or intolerant to metformin</w:t>
      </w:r>
      <w:r>
        <w:t xml:space="preserve">. </w:t>
      </w:r>
    </w:p>
    <w:p w14:paraId="2075EA92" w14:textId="77777777" w:rsidR="007B05EA" w:rsidRPr="009669E4" w:rsidRDefault="007B05EA" w:rsidP="007B05EA">
      <w:pPr>
        <w:pStyle w:val="3-BodyText"/>
        <w:rPr>
          <w:b/>
          <w:bCs/>
        </w:rPr>
      </w:pPr>
      <w:r>
        <w:t>The PBAC noted that this submission is not eligible for an Independent Review as it received a positive recommendation.</w:t>
      </w:r>
    </w:p>
    <w:p w14:paraId="66B4996F" w14:textId="77777777" w:rsidR="007B05EA" w:rsidRDefault="007B05EA" w:rsidP="007B05EA">
      <w:pPr>
        <w:pStyle w:val="3-BodyText"/>
        <w:numPr>
          <w:ilvl w:val="0"/>
          <w:numId w:val="0"/>
        </w:numPr>
      </w:pPr>
    </w:p>
    <w:p w14:paraId="396F3295" w14:textId="77777777" w:rsidR="007B05EA" w:rsidRDefault="007B05EA" w:rsidP="007B05EA">
      <w:pPr>
        <w:rPr>
          <w:b/>
          <w:snapToGrid w:val="0"/>
        </w:rPr>
      </w:pPr>
      <w:r w:rsidRPr="001C3525">
        <w:rPr>
          <w:b/>
          <w:snapToGrid w:val="0"/>
        </w:rPr>
        <w:t>Outcome:</w:t>
      </w:r>
    </w:p>
    <w:p w14:paraId="79F4503F" w14:textId="77777777" w:rsidR="007B05EA" w:rsidRPr="000365F1" w:rsidRDefault="007B05EA" w:rsidP="007B05EA">
      <w:pPr>
        <w:rPr>
          <w:bCs/>
          <w:snapToGrid w:val="0"/>
        </w:rPr>
      </w:pPr>
      <w:r>
        <w:rPr>
          <w:bCs/>
          <w:snapToGrid w:val="0"/>
        </w:rPr>
        <w:t xml:space="preserve">Recommended </w:t>
      </w:r>
    </w:p>
    <w:p w14:paraId="2CB78416" w14:textId="77777777" w:rsidR="007B05EA" w:rsidRDefault="007B05EA" w:rsidP="007B05EA">
      <w:pPr>
        <w:rPr>
          <w:rFonts w:asciiTheme="minorHAnsi" w:hAnsiTheme="minorHAnsi"/>
          <w:snapToGrid w:val="0"/>
        </w:rPr>
      </w:pPr>
    </w:p>
    <w:p w14:paraId="17531BEF" w14:textId="77777777" w:rsidR="007B05EA" w:rsidRPr="00F237A4" w:rsidRDefault="007B05EA" w:rsidP="007B05EA">
      <w:pPr>
        <w:pStyle w:val="2-SectionHeading"/>
        <w:rPr>
          <w:b w:val="0"/>
          <w:bCs/>
          <w:iCs/>
          <w:lang w:val="en-GB"/>
        </w:rPr>
      </w:pPr>
      <w:r w:rsidRPr="00525B39">
        <w:rPr>
          <w:bCs/>
          <w:lang w:val="en-GB"/>
        </w:rPr>
        <w:t>Recommended listing</w:t>
      </w:r>
    </w:p>
    <w:p w14:paraId="6A634E6D" w14:textId="77777777" w:rsidR="007B05EA" w:rsidRPr="0086161F" w:rsidRDefault="007B05EA" w:rsidP="007B05EA">
      <w:pPr>
        <w:widowControl w:val="0"/>
        <w:numPr>
          <w:ilvl w:val="1"/>
          <w:numId w:val="1"/>
        </w:numPr>
        <w:spacing w:after="120"/>
        <w:contextualSpacing/>
        <w:rPr>
          <w:rFonts w:asciiTheme="minorHAnsi" w:hAnsiTheme="minorHAnsi"/>
          <w:b/>
          <w:bCs/>
          <w:snapToGrid w:val="0"/>
        </w:rPr>
      </w:pPr>
      <w:r w:rsidRPr="0086161F">
        <w:rPr>
          <w:rFonts w:asciiTheme="minorHAnsi" w:hAnsiTheme="minorHAnsi"/>
          <w:bCs/>
          <w:snapToGrid w:val="0"/>
        </w:rPr>
        <w:t>Add new item(s):</w:t>
      </w:r>
    </w:p>
    <w:p w14:paraId="7EC4AB0C" w14:textId="77777777" w:rsidR="007B05EA" w:rsidRDefault="007B05EA" w:rsidP="007B05EA"/>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491"/>
        <w:gridCol w:w="2983"/>
        <w:gridCol w:w="993"/>
        <w:gridCol w:w="850"/>
        <w:gridCol w:w="709"/>
        <w:gridCol w:w="709"/>
        <w:gridCol w:w="1842"/>
      </w:tblGrid>
      <w:tr w:rsidR="007B05EA" w:rsidRPr="00550DCD" w14:paraId="64ED78D5" w14:textId="77777777" w:rsidTr="007B05EA">
        <w:trPr>
          <w:cantSplit/>
          <w:trHeight w:val="471"/>
        </w:trPr>
        <w:tc>
          <w:tcPr>
            <w:tcW w:w="3964" w:type="dxa"/>
            <w:gridSpan w:val="3"/>
          </w:tcPr>
          <w:p w14:paraId="59E2EA70" w14:textId="77777777" w:rsidR="007B05EA" w:rsidRPr="00550DCD" w:rsidRDefault="007B05EA" w:rsidP="007B05EA">
            <w:pPr>
              <w:keepNext/>
              <w:ind w:left="-57"/>
              <w:jc w:val="left"/>
              <w:rPr>
                <w:rFonts w:ascii="Arial Narrow" w:eastAsia="Calibri" w:hAnsi="Arial Narrow"/>
                <w:b/>
                <w:bCs/>
                <w:sz w:val="20"/>
                <w:szCs w:val="20"/>
                <w:lang w:eastAsia="en-US"/>
              </w:rPr>
            </w:pPr>
            <w:r w:rsidRPr="00550DCD">
              <w:rPr>
                <w:rFonts w:ascii="Arial Narrow" w:eastAsia="Calibri" w:hAnsi="Arial Narrow"/>
                <w:b/>
                <w:bCs/>
                <w:sz w:val="20"/>
                <w:szCs w:val="20"/>
                <w:lang w:eastAsia="en-US"/>
              </w:rPr>
              <w:t>MEDICINAL PRODUCT</w:t>
            </w:r>
          </w:p>
          <w:p w14:paraId="7148A6EC" w14:textId="77777777" w:rsidR="007B05EA" w:rsidRPr="00550DCD" w:rsidRDefault="007B05EA" w:rsidP="007B05EA">
            <w:pPr>
              <w:keepNext/>
              <w:ind w:left="-57"/>
              <w:jc w:val="left"/>
              <w:rPr>
                <w:rFonts w:ascii="Arial Narrow" w:eastAsia="Calibri" w:hAnsi="Arial Narrow"/>
                <w:b/>
                <w:sz w:val="20"/>
                <w:szCs w:val="20"/>
                <w:lang w:eastAsia="en-US"/>
              </w:rPr>
            </w:pPr>
            <w:r w:rsidRPr="00550DCD">
              <w:rPr>
                <w:rFonts w:ascii="Arial Narrow" w:eastAsia="Calibri" w:hAnsi="Arial Narrow"/>
                <w:b/>
                <w:bCs/>
                <w:sz w:val="20"/>
                <w:szCs w:val="20"/>
                <w:lang w:eastAsia="en-US"/>
              </w:rPr>
              <w:t>medicinal product pack</w:t>
            </w:r>
          </w:p>
        </w:tc>
        <w:tc>
          <w:tcPr>
            <w:tcW w:w="993" w:type="dxa"/>
          </w:tcPr>
          <w:p w14:paraId="0B389C94" w14:textId="77777777" w:rsidR="007B05EA" w:rsidRPr="00550DCD" w:rsidRDefault="007B05EA" w:rsidP="007B05EA">
            <w:pPr>
              <w:keepNext/>
              <w:ind w:left="-108"/>
              <w:jc w:val="center"/>
              <w:rPr>
                <w:rFonts w:ascii="Arial Narrow" w:eastAsia="Calibri" w:hAnsi="Arial Narrow"/>
                <w:b/>
                <w:sz w:val="20"/>
                <w:szCs w:val="20"/>
                <w:lang w:eastAsia="en-US"/>
              </w:rPr>
            </w:pPr>
            <w:r w:rsidRPr="00550DCD">
              <w:rPr>
                <w:rFonts w:ascii="Arial Narrow" w:eastAsia="Calibri" w:hAnsi="Arial Narrow"/>
                <w:b/>
                <w:sz w:val="20"/>
                <w:szCs w:val="20"/>
                <w:lang w:eastAsia="en-US"/>
              </w:rPr>
              <w:t>PBS item code</w:t>
            </w:r>
          </w:p>
        </w:tc>
        <w:tc>
          <w:tcPr>
            <w:tcW w:w="850" w:type="dxa"/>
          </w:tcPr>
          <w:p w14:paraId="15DBA286" w14:textId="77777777" w:rsidR="007B05EA" w:rsidRPr="00550DCD" w:rsidRDefault="007B05EA" w:rsidP="007B05EA">
            <w:pPr>
              <w:keepNext/>
              <w:ind w:left="-108"/>
              <w:jc w:val="center"/>
              <w:rPr>
                <w:rFonts w:ascii="Arial Narrow" w:eastAsia="Calibri" w:hAnsi="Arial Narrow"/>
                <w:b/>
                <w:sz w:val="20"/>
                <w:szCs w:val="20"/>
                <w:lang w:eastAsia="en-US"/>
              </w:rPr>
            </w:pPr>
            <w:r w:rsidRPr="00550DCD">
              <w:rPr>
                <w:rFonts w:ascii="Arial Narrow" w:eastAsia="Calibri" w:hAnsi="Arial Narrow"/>
                <w:b/>
                <w:sz w:val="20"/>
                <w:szCs w:val="20"/>
                <w:lang w:eastAsia="en-US"/>
              </w:rPr>
              <w:t>Max. qty packs</w:t>
            </w:r>
          </w:p>
        </w:tc>
        <w:tc>
          <w:tcPr>
            <w:tcW w:w="709" w:type="dxa"/>
          </w:tcPr>
          <w:p w14:paraId="25F6B078" w14:textId="77777777" w:rsidR="007B05EA" w:rsidRPr="00550DCD" w:rsidRDefault="007B05EA" w:rsidP="007B05EA">
            <w:pPr>
              <w:keepNext/>
              <w:ind w:left="-108"/>
              <w:jc w:val="center"/>
              <w:rPr>
                <w:rFonts w:ascii="Arial Narrow" w:eastAsia="Calibri" w:hAnsi="Arial Narrow"/>
                <w:b/>
                <w:sz w:val="20"/>
                <w:szCs w:val="20"/>
                <w:lang w:eastAsia="en-US"/>
              </w:rPr>
            </w:pPr>
            <w:r w:rsidRPr="00550DCD">
              <w:rPr>
                <w:rFonts w:ascii="Arial Narrow" w:eastAsia="Calibri" w:hAnsi="Arial Narrow"/>
                <w:b/>
                <w:sz w:val="20"/>
                <w:szCs w:val="20"/>
                <w:lang w:eastAsia="en-US"/>
              </w:rPr>
              <w:t>Max. qty units</w:t>
            </w:r>
          </w:p>
        </w:tc>
        <w:tc>
          <w:tcPr>
            <w:tcW w:w="709" w:type="dxa"/>
          </w:tcPr>
          <w:p w14:paraId="03DCB181" w14:textId="77777777" w:rsidR="007B05EA" w:rsidRPr="00550DCD" w:rsidRDefault="007B05EA" w:rsidP="007B05EA">
            <w:pPr>
              <w:keepNext/>
              <w:ind w:left="-108"/>
              <w:jc w:val="center"/>
              <w:rPr>
                <w:rFonts w:ascii="Arial Narrow" w:eastAsia="Calibri" w:hAnsi="Arial Narrow"/>
                <w:b/>
                <w:sz w:val="20"/>
                <w:szCs w:val="20"/>
                <w:lang w:eastAsia="en-US"/>
              </w:rPr>
            </w:pPr>
            <w:r w:rsidRPr="00550DCD">
              <w:rPr>
                <w:rFonts w:ascii="Arial Narrow" w:eastAsia="Calibri" w:hAnsi="Arial Narrow"/>
                <w:b/>
                <w:sz w:val="20"/>
                <w:szCs w:val="20"/>
                <w:lang w:eastAsia="en-US"/>
              </w:rPr>
              <w:t>№.of</w:t>
            </w:r>
          </w:p>
          <w:p w14:paraId="44926766" w14:textId="77777777" w:rsidR="007B05EA" w:rsidRPr="00550DCD" w:rsidRDefault="007B05EA" w:rsidP="007B05EA">
            <w:pPr>
              <w:keepNext/>
              <w:ind w:left="-108"/>
              <w:jc w:val="center"/>
              <w:rPr>
                <w:rFonts w:ascii="Arial Narrow" w:eastAsia="Calibri" w:hAnsi="Arial Narrow"/>
                <w:b/>
                <w:sz w:val="20"/>
                <w:szCs w:val="20"/>
                <w:lang w:eastAsia="en-US"/>
              </w:rPr>
            </w:pPr>
            <w:r w:rsidRPr="00550DCD">
              <w:rPr>
                <w:rFonts w:ascii="Arial Narrow" w:eastAsia="Calibri" w:hAnsi="Arial Narrow"/>
                <w:b/>
                <w:sz w:val="20"/>
                <w:szCs w:val="20"/>
                <w:lang w:eastAsia="en-US"/>
              </w:rPr>
              <w:t>Rpts</w:t>
            </w:r>
          </w:p>
        </w:tc>
        <w:tc>
          <w:tcPr>
            <w:tcW w:w="1842" w:type="dxa"/>
          </w:tcPr>
          <w:p w14:paraId="3F957D1C" w14:textId="77777777" w:rsidR="007B05EA" w:rsidRPr="00550DCD" w:rsidRDefault="007B05EA" w:rsidP="007B05EA">
            <w:pPr>
              <w:keepNext/>
              <w:jc w:val="left"/>
              <w:rPr>
                <w:rFonts w:ascii="Arial Narrow" w:eastAsia="Calibri" w:hAnsi="Arial Narrow"/>
                <w:b/>
                <w:sz w:val="20"/>
                <w:szCs w:val="20"/>
                <w:lang w:val="fr-FR" w:eastAsia="en-US"/>
              </w:rPr>
            </w:pPr>
            <w:r w:rsidRPr="00550DCD">
              <w:rPr>
                <w:rFonts w:ascii="Arial Narrow" w:eastAsia="Calibri" w:hAnsi="Arial Narrow"/>
                <w:b/>
                <w:sz w:val="20"/>
                <w:szCs w:val="20"/>
                <w:lang w:eastAsia="en-US"/>
              </w:rPr>
              <w:t>Available brands</w:t>
            </w:r>
          </w:p>
        </w:tc>
      </w:tr>
      <w:tr w:rsidR="007B05EA" w:rsidRPr="00550DCD" w14:paraId="37ECBBA7" w14:textId="77777777" w:rsidTr="007B05EA">
        <w:trPr>
          <w:cantSplit/>
          <w:trHeight w:val="224"/>
        </w:trPr>
        <w:tc>
          <w:tcPr>
            <w:tcW w:w="9067" w:type="dxa"/>
            <w:gridSpan w:val="8"/>
          </w:tcPr>
          <w:p w14:paraId="05415F2C" w14:textId="77777777" w:rsidR="007B05EA" w:rsidRPr="00550DCD" w:rsidRDefault="007B05EA" w:rsidP="007B05EA">
            <w:pPr>
              <w:keepNext/>
              <w:ind w:left="-57"/>
              <w:jc w:val="left"/>
              <w:rPr>
                <w:rFonts w:ascii="Arial Narrow" w:eastAsia="Calibri" w:hAnsi="Arial Narrow"/>
                <w:sz w:val="20"/>
                <w:szCs w:val="20"/>
                <w:lang w:eastAsia="en-US"/>
              </w:rPr>
            </w:pPr>
            <w:r w:rsidRPr="00550DCD">
              <w:rPr>
                <w:rFonts w:ascii="Arial Narrow" w:eastAsia="Calibri" w:hAnsi="Arial Narrow"/>
                <w:sz w:val="20"/>
                <w:szCs w:val="20"/>
                <w:lang w:eastAsia="en-US"/>
              </w:rPr>
              <w:t xml:space="preserve">DULAGLUTIDE </w:t>
            </w:r>
          </w:p>
        </w:tc>
      </w:tr>
      <w:tr w:rsidR="007B05EA" w:rsidRPr="00550DCD" w14:paraId="0CB4FB64" w14:textId="77777777" w:rsidTr="007B05EA">
        <w:trPr>
          <w:cantSplit/>
          <w:trHeight w:val="553"/>
        </w:trPr>
        <w:tc>
          <w:tcPr>
            <w:tcW w:w="3964" w:type="dxa"/>
            <w:gridSpan w:val="3"/>
          </w:tcPr>
          <w:p w14:paraId="0FE7D701" w14:textId="77777777" w:rsidR="007B05EA" w:rsidRPr="00550DCD" w:rsidRDefault="007B05EA" w:rsidP="007B05EA">
            <w:pPr>
              <w:keepNext/>
              <w:ind w:left="-57"/>
              <w:rPr>
                <w:rFonts w:ascii="Arial Narrow" w:eastAsia="Calibri" w:hAnsi="Arial Narrow"/>
                <w:sz w:val="20"/>
                <w:szCs w:val="20"/>
                <w:lang w:eastAsia="en-US"/>
              </w:rPr>
            </w:pPr>
            <w:r w:rsidRPr="00550DCD">
              <w:rPr>
                <w:rFonts w:ascii="Arial Narrow" w:eastAsia="Calibri" w:hAnsi="Arial Narrow"/>
                <w:sz w:val="20"/>
                <w:szCs w:val="20"/>
                <w:lang w:eastAsia="en-US"/>
              </w:rPr>
              <w:t>dulaglutide 3.0 mg/0.5 mL injection, 4 x 0.5 mL pen devices</w:t>
            </w:r>
          </w:p>
        </w:tc>
        <w:tc>
          <w:tcPr>
            <w:tcW w:w="993" w:type="dxa"/>
          </w:tcPr>
          <w:p w14:paraId="4C2FF2F7" w14:textId="77777777" w:rsidR="007B05EA" w:rsidRPr="00550DCD" w:rsidRDefault="007B05EA" w:rsidP="007B05EA">
            <w:pPr>
              <w:keepNext/>
              <w:jc w:val="center"/>
              <w:rPr>
                <w:rFonts w:ascii="Arial Narrow" w:eastAsia="Calibri" w:hAnsi="Arial Narrow"/>
                <w:sz w:val="20"/>
                <w:szCs w:val="20"/>
                <w:lang w:eastAsia="en-US"/>
              </w:rPr>
            </w:pPr>
            <w:r w:rsidRPr="00550DCD">
              <w:rPr>
                <w:rFonts w:ascii="Arial Narrow" w:eastAsia="Calibri" w:hAnsi="Arial Narrow"/>
                <w:sz w:val="20"/>
                <w:szCs w:val="20"/>
                <w:lang w:eastAsia="en-US"/>
              </w:rPr>
              <w:t xml:space="preserve"> NEW</w:t>
            </w:r>
          </w:p>
        </w:tc>
        <w:tc>
          <w:tcPr>
            <w:tcW w:w="850" w:type="dxa"/>
          </w:tcPr>
          <w:p w14:paraId="6688D102" w14:textId="77777777" w:rsidR="007B05EA" w:rsidRPr="00550DCD" w:rsidRDefault="007B05EA" w:rsidP="007B05EA">
            <w:pPr>
              <w:keepNext/>
              <w:jc w:val="center"/>
              <w:rPr>
                <w:rFonts w:ascii="Arial Narrow" w:eastAsia="Calibri" w:hAnsi="Arial Narrow"/>
                <w:sz w:val="20"/>
                <w:szCs w:val="20"/>
                <w:lang w:eastAsia="en-US"/>
              </w:rPr>
            </w:pPr>
            <w:r w:rsidRPr="00550DCD">
              <w:rPr>
                <w:rFonts w:ascii="Arial Narrow" w:eastAsia="Calibri" w:hAnsi="Arial Narrow"/>
                <w:sz w:val="20"/>
                <w:szCs w:val="20"/>
                <w:lang w:eastAsia="en-US"/>
              </w:rPr>
              <w:t>1</w:t>
            </w:r>
          </w:p>
        </w:tc>
        <w:tc>
          <w:tcPr>
            <w:tcW w:w="709" w:type="dxa"/>
          </w:tcPr>
          <w:p w14:paraId="29C72D6B" w14:textId="77777777" w:rsidR="007B05EA" w:rsidRPr="00550DCD" w:rsidRDefault="007B05EA" w:rsidP="007B05EA">
            <w:pPr>
              <w:keepNext/>
              <w:jc w:val="center"/>
              <w:rPr>
                <w:rFonts w:ascii="Arial Narrow" w:eastAsia="Calibri" w:hAnsi="Arial Narrow"/>
                <w:sz w:val="20"/>
                <w:szCs w:val="20"/>
                <w:lang w:eastAsia="en-US"/>
              </w:rPr>
            </w:pPr>
            <w:r w:rsidRPr="00550DCD">
              <w:rPr>
                <w:rFonts w:ascii="Arial Narrow" w:eastAsia="Calibri" w:hAnsi="Arial Narrow"/>
                <w:sz w:val="20"/>
                <w:szCs w:val="20"/>
                <w:lang w:eastAsia="en-US"/>
              </w:rPr>
              <w:t>4</w:t>
            </w:r>
          </w:p>
        </w:tc>
        <w:tc>
          <w:tcPr>
            <w:tcW w:w="709" w:type="dxa"/>
          </w:tcPr>
          <w:p w14:paraId="592626BB" w14:textId="77777777" w:rsidR="007B05EA" w:rsidRPr="00550DCD" w:rsidRDefault="007B05EA" w:rsidP="007B05EA">
            <w:pPr>
              <w:keepNext/>
              <w:jc w:val="center"/>
              <w:rPr>
                <w:rFonts w:ascii="Arial Narrow" w:eastAsia="Calibri" w:hAnsi="Arial Narrow"/>
                <w:sz w:val="20"/>
                <w:szCs w:val="20"/>
                <w:lang w:eastAsia="en-US"/>
              </w:rPr>
            </w:pPr>
            <w:r w:rsidRPr="00550DCD">
              <w:rPr>
                <w:rFonts w:ascii="Arial Narrow" w:eastAsia="Calibri" w:hAnsi="Arial Narrow"/>
                <w:sz w:val="20"/>
                <w:szCs w:val="20"/>
                <w:lang w:eastAsia="en-US"/>
              </w:rPr>
              <w:t>5</w:t>
            </w:r>
          </w:p>
        </w:tc>
        <w:tc>
          <w:tcPr>
            <w:tcW w:w="1842" w:type="dxa"/>
          </w:tcPr>
          <w:p w14:paraId="27A8AB01" w14:textId="77777777" w:rsidR="007B05EA" w:rsidRPr="00550DCD" w:rsidRDefault="007B05EA" w:rsidP="007B05EA">
            <w:pPr>
              <w:keepNext/>
              <w:rPr>
                <w:rFonts w:ascii="Arial Narrow" w:eastAsia="Calibri" w:hAnsi="Arial Narrow"/>
                <w:sz w:val="20"/>
                <w:szCs w:val="20"/>
                <w:lang w:eastAsia="en-US"/>
              </w:rPr>
            </w:pPr>
            <w:r w:rsidRPr="00550DCD">
              <w:rPr>
                <w:rFonts w:ascii="Arial Narrow" w:eastAsia="Calibri" w:hAnsi="Arial Narrow"/>
                <w:sz w:val="20"/>
                <w:szCs w:val="20"/>
                <w:lang w:eastAsia="en-US"/>
              </w:rPr>
              <w:t xml:space="preserve">Trulicity </w:t>
            </w:r>
          </w:p>
        </w:tc>
      </w:tr>
      <w:tr w:rsidR="007B05EA" w:rsidRPr="00550DCD" w14:paraId="16C087D6" w14:textId="77777777" w:rsidTr="007B05EA">
        <w:trPr>
          <w:cantSplit/>
          <w:trHeight w:val="347"/>
        </w:trPr>
        <w:tc>
          <w:tcPr>
            <w:tcW w:w="3964" w:type="dxa"/>
            <w:gridSpan w:val="3"/>
          </w:tcPr>
          <w:p w14:paraId="161CDD62" w14:textId="77777777" w:rsidR="007B05EA" w:rsidRPr="00550DCD" w:rsidRDefault="007B05EA" w:rsidP="007B05EA">
            <w:pPr>
              <w:keepNext/>
              <w:ind w:left="-57"/>
              <w:jc w:val="left"/>
              <w:rPr>
                <w:rFonts w:ascii="Arial Narrow" w:eastAsia="Calibri" w:hAnsi="Arial Narrow"/>
                <w:sz w:val="20"/>
                <w:szCs w:val="20"/>
                <w:lang w:eastAsia="en-US"/>
              </w:rPr>
            </w:pPr>
            <w:r w:rsidRPr="00550DCD">
              <w:rPr>
                <w:rFonts w:ascii="Arial Narrow" w:eastAsia="Calibri" w:hAnsi="Arial Narrow"/>
                <w:sz w:val="20"/>
                <w:szCs w:val="20"/>
                <w:lang w:eastAsia="en-US"/>
              </w:rPr>
              <w:t>dulaglutide 4.5 mg/0.5 mL injection, 4 x 0.5 mL pen devices</w:t>
            </w:r>
          </w:p>
        </w:tc>
        <w:tc>
          <w:tcPr>
            <w:tcW w:w="993" w:type="dxa"/>
          </w:tcPr>
          <w:p w14:paraId="6C65B8F6" w14:textId="77777777" w:rsidR="007B05EA" w:rsidRPr="00550DCD" w:rsidRDefault="007B05EA" w:rsidP="007B05EA">
            <w:pPr>
              <w:keepNext/>
              <w:jc w:val="center"/>
              <w:rPr>
                <w:rFonts w:ascii="Arial Narrow" w:eastAsia="Calibri" w:hAnsi="Arial Narrow"/>
                <w:sz w:val="20"/>
                <w:szCs w:val="20"/>
                <w:lang w:eastAsia="en-US"/>
              </w:rPr>
            </w:pPr>
            <w:r w:rsidRPr="00550DCD">
              <w:rPr>
                <w:rFonts w:ascii="Arial Narrow" w:eastAsia="Calibri" w:hAnsi="Arial Narrow"/>
                <w:sz w:val="20"/>
                <w:szCs w:val="20"/>
                <w:lang w:eastAsia="en-US"/>
              </w:rPr>
              <w:t xml:space="preserve"> NEW</w:t>
            </w:r>
          </w:p>
        </w:tc>
        <w:tc>
          <w:tcPr>
            <w:tcW w:w="850" w:type="dxa"/>
          </w:tcPr>
          <w:p w14:paraId="1575B6B2" w14:textId="77777777" w:rsidR="007B05EA" w:rsidRPr="00550DCD" w:rsidRDefault="007B05EA" w:rsidP="007B05EA">
            <w:pPr>
              <w:keepNext/>
              <w:jc w:val="center"/>
              <w:rPr>
                <w:rFonts w:ascii="Arial Narrow" w:eastAsia="Calibri" w:hAnsi="Arial Narrow"/>
                <w:sz w:val="20"/>
                <w:szCs w:val="20"/>
                <w:lang w:eastAsia="en-US"/>
              </w:rPr>
            </w:pPr>
            <w:r w:rsidRPr="00550DCD">
              <w:rPr>
                <w:rFonts w:ascii="Arial Narrow" w:eastAsia="Calibri" w:hAnsi="Arial Narrow"/>
                <w:sz w:val="20"/>
                <w:szCs w:val="20"/>
                <w:lang w:eastAsia="en-US"/>
              </w:rPr>
              <w:t>1</w:t>
            </w:r>
          </w:p>
        </w:tc>
        <w:tc>
          <w:tcPr>
            <w:tcW w:w="709" w:type="dxa"/>
          </w:tcPr>
          <w:p w14:paraId="5FEE91EB" w14:textId="77777777" w:rsidR="007B05EA" w:rsidRPr="00550DCD" w:rsidRDefault="007B05EA" w:rsidP="007B05EA">
            <w:pPr>
              <w:keepNext/>
              <w:jc w:val="center"/>
              <w:rPr>
                <w:rFonts w:ascii="Arial Narrow" w:eastAsia="Calibri" w:hAnsi="Arial Narrow"/>
                <w:sz w:val="20"/>
                <w:szCs w:val="20"/>
                <w:lang w:eastAsia="en-US"/>
              </w:rPr>
            </w:pPr>
            <w:r w:rsidRPr="00550DCD">
              <w:rPr>
                <w:rFonts w:ascii="Arial Narrow" w:eastAsia="Calibri" w:hAnsi="Arial Narrow"/>
                <w:sz w:val="20"/>
                <w:szCs w:val="20"/>
                <w:lang w:eastAsia="en-US"/>
              </w:rPr>
              <w:t>4</w:t>
            </w:r>
          </w:p>
        </w:tc>
        <w:tc>
          <w:tcPr>
            <w:tcW w:w="709" w:type="dxa"/>
          </w:tcPr>
          <w:p w14:paraId="5E60DA9B" w14:textId="77777777" w:rsidR="007B05EA" w:rsidRPr="00550DCD" w:rsidRDefault="007B05EA" w:rsidP="007B05EA">
            <w:pPr>
              <w:keepNext/>
              <w:jc w:val="center"/>
              <w:rPr>
                <w:rFonts w:ascii="Arial Narrow" w:eastAsia="Calibri" w:hAnsi="Arial Narrow"/>
                <w:sz w:val="20"/>
                <w:szCs w:val="20"/>
                <w:lang w:eastAsia="en-US"/>
              </w:rPr>
            </w:pPr>
            <w:r w:rsidRPr="00550DCD">
              <w:rPr>
                <w:rFonts w:ascii="Arial Narrow" w:eastAsia="Calibri" w:hAnsi="Arial Narrow"/>
                <w:sz w:val="20"/>
                <w:szCs w:val="20"/>
                <w:lang w:eastAsia="en-US"/>
              </w:rPr>
              <w:t>5</w:t>
            </w:r>
          </w:p>
        </w:tc>
        <w:tc>
          <w:tcPr>
            <w:tcW w:w="1842" w:type="dxa"/>
          </w:tcPr>
          <w:p w14:paraId="44AF5E46" w14:textId="77777777" w:rsidR="007B05EA" w:rsidRPr="00550DCD" w:rsidRDefault="007B05EA" w:rsidP="007B05EA">
            <w:pPr>
              <w:keepNext/>
              <w:jc w:val="left"/>
              <w:rPr>
                <w:rFonts w:ascii="Arial Narrow" w:eastAsia="Calibri" w:hAnsi="Arial Narrow"/>
                <w:sz w:val="20"/>
                <w:szCs w:val="20"/>
                <w:lang w:eastAsia="en-US"/>
              </w:rPr>
            </w:pPr>
            <w:r w:rsidRPr="00550DCD">
              <w:rPr>
                <w:rFonts w:ascii="Arial Narrow" w:eastAsia="Calibri" w:hAnsi="Arial Narrow"/>
                <w:sz w:val="20"/>
                <w:szCs w:val="20"/>
                <w:lang w:eastAsia="en-US"/>
              </w:rPr>
              <w:t xml:space="preserve">Trulicity </w:t>
            </w:r>
          </w:p>
        </w:tc>
      </w:tr>
      <w:tr w:rsidR="007B05EA" w:rsidRPr="00550DCD" w14:paraId="5BB62BA2" w14:textId="77777777" w:rsidTr="007B05EA">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7327DF80" w14:textId="77777777" w:rsidR="007B05EA" w:rsidRPr="00550DCD" w:rsidRDefault="007B05EA" w:rsidP="007B05EA">
            <w:pPr>
              <w:tabs>
                <w:tab w:val="left" w:pos="1890"/>
              </w:tabs>
              <w:rPr>
                <w:rFonts w:ascii="Arial Narrow" w:eastAsia="Calibri" w:hAnsi="Arial Narrow"/>
                <w:sz w:val="20"/>
                <w:szCs w:val="20"/>
                <w:lang w:eastAsia="en-US"/>
              </w:rPr>
            </w:pPr>
          </w:p>
        </w:tc>
      </w:tr>
      <w:tr w:rsidR="007B05EA" w:rsidRPr="00550DCD" w14:paraId="0F9DB5CE" w14:textId="77777777" w:rsidTr="007B05EA">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76B4C2AF" w14:textId="2A6D44E0" w:rsidR="007B05EA" w:rsidRPr="00550DCD" w:rsidRDefault="007B05EA" w:rsidP="007B05EA">
            <w:pPr>
              <w:rPr>
                <w:rFonts w:ascii="Arial Narrow" w:eastAsia="Calibri" w:hAnsi="Arial Narrow"/>
                <w:b/>
                <w:sz w:val="20"/>
                <w:szCs w:val="20"/>
                <w:lang w:eastAsia="en-US"/>
              </w:rPr>
            </w:pPr>
          </w:p>
        </w:tc>
      </w:tr>
      <w:tr w:rsidR="007B05EA" w:rsidRPr="00550DCD" w14:paraId="6FAB12F6" w14:textId="77777777" w:rsidTr="007B05EA">
        <w:tblPrEx>
          <w:tblCellMar>
            <w:top w:w="15" w:type="dxa"/>
            <w:left w:w="15" w:type="dxa"/>
            <w:bottom w:w="15" w:type="dxa"/>
            <w:right w:w="15" w:type="dxa"/>
          </w:tblCellMar>
          <w:tblLook w:val="04A0" w:firstRow="1" w:lastRow="0" w:firstColumn="1" w:lastColumn="0" w:noHBand="0" w:noVBand="1"/>
        </w:tblPrEx>
        <w:tc>
          <w:tcPr>
            <w:tcW w:w="981" w:type="dxa"/>
            <w:gridSpan w:val="2"/>
            <w:vMerge w:val="restart"/>
            <w:tcBorders>
              <w:top w:val="single" w:sz="4" w:space="0" w:color="auto"/>
              <w:left w:val="single" w:sz="4" w:space="0" w:color="auto"/>
              <w:right w:val="single" w:sz="4" w:space="0" w:color="auto"/>
            </w:tcBorders>
          </w:tcPr>
          <w:p w14:paraId="11587C89" w14:textId="77777777" w:rsidR="007B05EA" w:rsidRPr="00550DCD" w:rsidRDefault="007B05EA" w:rsidP="007B05EA">
            <w:pPr>
              <w:rPr>
                <w:rFonts w:ascii="Arial Narrow" w:eastAsia="Calibri" w:hAnsi="Arial Narrow"/>
                <w:i/>
                <w:sz w:val="20"/>
                <w:szCs w:val="20"/>
                <w:lang w:eastAsia="en-US"/>
              </w:rPr>
            </w:pPr>
          </w:p>
          <w:p w14:paraId="0AAE4573" w14:textId="77777777" w:rsidR="007B05EA" w:rsidRPr="00550DCD" w:rsidRDefault="007B05EA" w:rsidP="007B05EA">
            <w:pPr>
              <w:rPr>
                <w:rFonts w:ascii="Arial Narrow" w:eastAsia="Calibri" w:hAnsi="Arial Narrow"/>
                <w:b/>
                <w:sz w:val="20"/>
                <w:szCs w:val="20"/>
                <w:lang w:eastAsia="en-US"/>
              </w:rPr>
            </w:pPr>
          </w:p>
        </w:tc>
        <w:tc>
          <w:tcPr>
            <w:tcW w:w="8086" w:type="dxa"/>
            <w:gridSpan w:val="6"/>
            <w:tcBorders>
              <w:top w:val="single" w:sz="4" w:space="0" w:color="auto"/>
              <w:left w:val="single" w:sz="4" w:space="0" w:color="auto"/>
              <w:bottom w:val="single" w:sz="4" w:space="0" w:color="auto"/>
              <w:right w:val="single" w:sz="4" w:space="0" w:color="auto"/>
            </w:tcBorders>
          </w:tcPr>
          <w:p w14:paraId="5AAB10A9" w14:textId="77777777" w:rsidR="007B05EA" w:rsidRPr="00550DCD" w:rsidRDefault="007B05EA" w:rsidP="007B05EA">
            <w:pPr>
              <w:rPr>
                <w:rFonts w:ascii="Arial Narrow" w:eastAsia="Calibri" w:hAnsi="Arial Narrow"/>
                <w:sz w:val="20"/>
                <w:szCs w:val="20"/>
                <w:lang w:eastAsia="en-US"/>
              </w:rPr>
            </w:pPr>
            <w:r w:rsidRPr="00550DCD">
              <w:rPr>
                <w:rFonts w:ascii="Arial Narrow" w:eastAsia="Calibri" w:hAnsi="Arial Narrow"/>
                <w:b/>
                <w:sz w:val="20"/>
                <w:szCs w:val="20"/>
                <w:lang w:eastAsia="en-US"/>
              </w:rPr>
              <w:t xml:space="preserve">Category / Program:   </w:t>
            </w:r>
            <w:r w:rsidRPr="00550DCD">
              <w:rPr>
                <w:rFonts w:ascii="Arial Narrow" w:eastAsia="Calibri" w:hAnsi="Arial Narrow"/>
                <w:sz w:val="20"/>
                <w:szCs w:val="20"/>
                <w:lang w:eastAsia="en-US"/>
              </w:rPr>
              <w:t>GENERAL – General Schedule (Code GE)</w:t>
            </w:r>
            <w:r w:rsidRPr="00550DCD">
              <w:rPr>
                <w:rFonts w:ascii="Arial Narrow" w:eastAsia="Calibri" w:hAnsi="Arial Narrow"/>
                <w:color w:val="FF0000"/>
                <w:sz w:val="20"/>
                <w:szCs w:val="20"/>
                <w:lang w:eastAsia="en-US"/>
              </w:rPr>
              <w:t xml:space="preserve"> </w:t>
            </w:r>
          </w:p>
        </w:tc>
      </w:tr>
      <w:tr w:rsidR="007B05EA" w:rsidRPr="00550DCD" w14:paraId="5F41E893" w14:textId="77777777" w:rsidTr="007B05EA">
        <w:tblPrEx>
          <w:tblCellMar>
            <w:top w:w="15" w:type="dxa"/>
            <w:left w:w="15" w:type="dxa"/>
            <w:bottom w:w="15" w:type="dxa"/>
            <w:right w:w="15" w:type="dxa"/>
          </w:tblCellMar>
          <w:tblLook w:val="04A0" w:firstRow="1" w:lastRow="0" w:firstColumn="1" w:lastColumn="0" w:noHBand="0" w:noVBand="1"/>
        </w:tblPrEx>
        <w:trPr>
          <w:trHeight w:val="240"/>
        </w:trPr>
        <w:tc>
          <w:tcPr>
            <w:tcW w:w="981" w:type="dxa"/>
            <w:gridSpan w:val="2"/>
            <w:vMerge/>
            <w:tcBorders>
              <w:left w:val="single" w:sz="4" w:space="0" w:color="auto"/>
              <w:right w:val="single" w:sz="4" w:space="0" w:color="auto"/>
            </w:tcBorders>
          </w:tcPr>
          <w:p w14:paraId="110352F8" w14:textId="77777777" w:rsidR="007B05EA" w:rsidRPr="00550DCD" w:rsidRDefault="007B05EA" w:rsidP="007B05EA">
            <w:pPr>
              <w:rPr>
                <w:rFonts w:ascii="Arial Narrow" w:eastAsia="Calibri" w:hAnsi="Arial Narrow"/>
                <w:sz w:val="20"/>
                <w:szCs w:val="20"/>
                <w:lang w:eastAsia="en-US"/>
              </w:rPr>
            </w:pPr>
          </w:p>
        </w:tc>
        <w:tc>
          <w:tcPr>
            <w:tcW w:w="8086" w:type="dxa"/>
            <w:gridSpan w:val="6"/>
            <w:tcBorders>
              <w:top w:val="single" w:sz="4" w:space="0" w:color="auto"/>
              <w:left w:val="single" w:sz="4" w:space="0" w:color="auto"/>
              <w:bottom w:val="single" w:sz="4" w:space="0" w:color="auto"/>
              <w:right w:val="single" w:sz="4" w:space="0" w:color="auto"/>
            </w:tcBorders>
          </w:tcPr>
          <w:p w14:paraId="4792A146" w14:textId="77777777" w:rsidR="007B05EA" w:rsidRPr="00550DCD" w:rsidRDefault="007B05EA" w:rsidP="007B05EA">
            <w:pPr>
              <w:rPr>
                <w:rFonts w:ascii="Arial Narrow" w:eastAsia="Calibri" w:hAnsi="Arial Narrow"/>
                <w:b/>
                <w:sz w:val="20"/>
                <w:szCs w:val="20"/>
                <w:lang w:eastAsia="en-US"/>
              </w:rPr>
            </w:pPr>
            <w:r w:rsidRPr="00550DCD">
              <w:rPr>
                <w:rFonts w:ascii="Arial Narrow" w:eastAsia="Calibri" w:hAnsi="Arial Narrow"/>
                <w:b/>
                <w:sz w:val="20"/>
                <w:szCs w:val="20"/>
                <w:lang w:eastAsia="en-US"/>
              </w:rPr>
              <w:t xml:space="preserve">Prescriber type: </w:t>
            </w:r>
            <w:r w:rsidRPr="00550DCD">
              <w:rPr>
                <w:rFonts w:ascii="Arial Narrow" w:eastAsia="Calibri" w:hAnsi="Arial Narrow"/>
                <w:sz w:val="20"/>
                <w:szCs w:val="20"/>
                <w:lang w:eastAsia="en-US"/>
              </w:rPr>
              <w:t xml:space="preserve">  </w:t>
            </w:r>
            <w:r w:rsidRPr="00550DCD">
              <w:rPr>
                <w:rFonts w:ascii="Arial Narrow" w:eastAsia="Calibri" w:hAnsi="Arial Narrow"/>
                <w:sz w:val="20"/>
                <w:szCs w:val="20"/>
                <w:lang w:eastAsia="en-US"/>
              </w:rPr>
              <w:fldChar w:fldCharType="begin">
                <w:ffData>
                  <w:name w:val=""/>
                  <w:enabled/>
                  <w:calcOnExit w:val="0"/>
                  <w:checkBox>
                    <w:sizeAuto/>
                    <w:default w:val="1"/>
                  </w:checkBox>
                </w:ffData>
              </w:fldChar>
            </w:r>
            <w:r w:rsidRPr="00550DCD">
              <w:rPr>
                <w:rFonts w:ascii="Arial Narrow" w:eastAsia="Calibri" w:hAnsi="Arial Narrow"/>
                <w:sz w:val="20"/>
                <w:szCs w:val="20"/>
                <w:lang w:eastAsia="en-US"/>
              </w:rPr>
              <w:instrText xml:space="preserve"> FORMCHECKBOX </w:instrText>
            </w:r>
            <w:r w:rsidR="00185975">
              <w:rPr>
                <w:rFonts w:ascii="Arial Narrow" w:eastAsia="Calibri" w:hAnsi="Arial Narrow"/>
                <w:sz w:val="20"/>
                <w:szCs w:val="20"/>
                <w:lang w:eastAsia="en-US"/>
              </w:rPr>
            </w:r>
            <w:r w:rsidR="00185975">
              <w:rPr>
                <w:rFonts w:ascii="Arial Narrow" w:eastAsia="Calibri" w:hAnsi="Arial Narrow"/>
                <w:sz w:val="20"/>
                <w:szCs w:val="20"/>
                <w:lang w:eastAsia="en-US"/>
              </w:rPr>
              <w:fldChar w:fldCharType="separate"/>
            </w:r>
            <w:r w:rsidRPr="00550DCD">
              <w:rPr>
                <w:rFonts w:ascii="Arial Narrow" w:eastAsia="Calibri" w:hAnsi="Arial Narrow"/>
                <w:sz w:val="20"/>
                <w:szCs w:val="20"/>
                <w:lang w:eastAsia="en-US"/>
              </w:rPr>
              <w:fldChar w:fldCharType="end"/>
            </w:r>
            <w:r w:rsidRPr="00550DCD">
              <w:rPr>
                <w:rFonts w:ascii="Arial Narrow" w:eastAsia="Calibri" w:hAnsi="Arial Narrow"/>
                <w:sz w:val="20"/>
                <w:szCs w:val="20"/>
                <w:lang w:eastAsia="en-US"/>
              </w:rPr>
              <w:t xml:space="preserve">Medical Practitioners    </w:t>
            </w:r>
            <w:r w:rsidRPr="00550DCD">
              <w:rPr>
                <w:rFonts w:ascii="Arial Narrow" w:eastAsia="Calibri" w:hAnsi="Arial Narrow"/>
                <w:sz w:val="20"/>
                <w:szCs w:val="20"/>
                <w:lang w:eastAsia="en-US"/>
              </w:rPr>
              <w:fldChar w:fldCharType="begin">
                <w:ffData>
                  <w:name w:val="Check3"/>
                  <w:enabled/>
                  <w:calcOnExit w:val="0"/>
                  <w:checkBox>
                    <w:sizeAuto/>
                    <w:default w:val="1"/>
                  </w:checkBox>
                </w:ffData>
              </w:fldChar>
            </w:r>
            <w:bookmarkStart w:id="50" w:name="Check3"/>
            <w:r w:rsidRPr="00550DCD">
              <w:rPr>
                <w:rFonts w:ascii="Arial Narrow" w:eastAsia="Calibri" w:hAnsi="Arial Narrow"/>
                <w:sz w:val="20"/>
                <w:szCs w:val="20"/>
                <w:lang w:eastAsia="en-US"/>
              </w:rPr>
              <w:instrText xml:space="preserve"> FORMCHECKBOX </w:instrText>
            </w:r>
            <w:r w:rsidR="00185975">
              <w:rPr>
                <w:rFonts w:ascii="Arial Narrow" w:eastAsia="Calibri" w:hAnsi="Arial Narrow"/>
                <w:sz w:val="20"/>
                <w:szCs w:val="20"/>
                <w:lang w:eastAsia="en-US"/>
              </w:rPr>
            </w:r>
            <w:r w:rsidR="00185975">
              <w:rPr>
                <w:rFonts w:ascii="Arial Narrow" w:eastAsia="Calibri" w:hAnsi="Arial Narrow"/>
                <w:sz w:val="20"/>
                <w:szCs w:val="20"/>
                <w:lang w:eastAsia="en-US"/>
              </w:rPr>
              <w:fldChar w:fldCharType="separate"/>
            </w:r>
            <w:r w:rsidRPr="00550DCD">
              <w:rPr>
                <w:rFonts w:ascii="Arial Narrow" w:eastAsia="Calibri" w:hAnsi="Arial Narrow"/>
                <w:sz w:val="20"/>
                <w:szCs w:val="20"/>
                <w:lang w:eastAsia="en-US"/>
              </w:rPr>
              <w:fldChar w:fldCharType="end"/>
            </w:r>
            <w:bookmarkEnd w:id="50"/>
            <w:r w:rsidRPr="00550DCD">
              <w:rPr>
                <w:rFonts w:ascii="Arial Narrow" w:eastAsia="Calibri" w:hAnsi="Arial Narrow"/>
                <w:sz w:val="20"/>
                <w:szCs w:val="20"/>
                <w:lang w:eastAsia="en-US"/>
              </w:rPr>
              <w:t xml:space="preserve">Nurse practitioners     </w:t>
            </w:r>
          </w:p>
        </w:tc>
      </w:tr>
      <w:tr w:rsidR="007B05EA" w:rsidRPr="00550DCD" w14:paraId="08DE5B08" w14:textId="77777777" w:rsidTr="007B05EA">
        <w:tblPrEx>
          <w:tblCellMar>
            <w:top w:w="15" w:type="dxa"/>
            <w:left w:w="15" w:type="dxa"/>
            <w:bottom w:w="15" w:type="dxa"/>
            <w:right w:w="15" w:type="dxa"/>
          </w:tblCellMar>
          <w:tblLook w:val="04A0" w:firstRow="1" w:lastRow="0" w:firstColumn="1" w:lastColumn="0" w:noHBand="0" w:noVBand="1"/>
        </w:tblPrEx>
        <w:tc>
          <w:tcPr>
            <w:tcW w:w="981" w:type="dxa"/>
            <w:gridSpan w:val="2"/>
            <w:vMerge/>
            <w:tcBorders>
              <w:left w:val="single" w:sz="4" w:space="0" w:color="auto"/>
              <w:bottom w:val="single" w:sz="4" w:space="0" w:color="auto"/>
              <w:right w:val="single" w:sz="4" w:space="0" w:color="auto"/>
            </w:tcBorders>
          </w:tcPr>
          <w:p w14:paraId="7E8429B0" w14:textId="77777777" w:rsidR="007B05EA" w:rsidRPr="00550DCD" w:rsidRDefault="007B05EA" w:rsidP="007B05EA">
            <w:pPr>
              <w:rPr>
                <w:rFonts w:ascii="Arial Narrow" w:eastAsia="Calibri" w:hAnsi="Arial Narrow"/>
                <w:sz w:val="20"/>
                <w:szCs w:val="20"/>
                <w:lang w:eastAsia="en-US"/>
              </w:rPr>
            </w:pPr>
          </w:p>
        </w:tc>
        <w:tc>
          <w:tcPr>
            <w:tcW w:w="8086" w:type="dxa"/>
            <w:gridSpan w:val="6"/>
            <w:tcBorders>
              <w:top w:val="single" w:sz="4" w:space="0" w:color="auto"/>
              <w:left w:val="single" w:sz="4" w:space="0" w:color="auto"/>
              <w:bottom w:val="single" w:sz="4" w:space="0" w:color="auto"/>
              <w:right w:val="single" w:sz="4" w:space="0" w:color="auto"/>
            </w:tcBorders>
          </w:tcPr>
          <w:p w14:paraId="2F40406C" w14:textId="77777777" w:rsidR="007B05EA" w:rsidRPr="00550DCD" w:rsidRDefault="007B05EA" w:rsidP="007B05EA">
            <w:pPr>
              <w:rPr>
                <w:rFonts w:ascii="Arial Narrow" w:eastAsia="Calibri" w:hAnsi="Arial Narrow"/>
                <w:b/>
                <w:sz w:val="20"/>
                <w:szCs w:val="20"/>
                <w:lang w:eastAsia="en-US"/>
              </w:rPr>
            </w:pPr>
            <w:r w:rsidRPr="00550DCD">
              <w:rPr>
                <w:rFonts w:ascii="Arial Narrow" w:eastAsia="Calibri" w:hAnsi="Arial Narrow"/>
                <w:b/>
                <w:sz w:val="20"/>
                <w:szCs w:val="20"/>
                <w:lang w:eastAsia="en-US"/>
              </w:rPr>
              <w:t xml:space="preserve">Restriction type: </w:t>
            </w:r>
          </w:p>
          <w:p w14:paraId="4EF42FE6" w14:textId="77777777" w:rsidR="007B05EA" w:rsidRPr="00550DCD" w:rsidRDefault="007B05EA" w:rsidP="007B05EA">
            <w:pPr>
              <w:jc w:val="left"/>
              <w:rPr>
                <w:rFonts w:ascii="Arial Narrow" w:eastAsia="Calibri" w:hAnsi="Arial Narrow"/>
                <w:color w:val="FF0000"/>
                <w:sz w:val="20"/>
                <w:szCs w:val="20"/>
                <w:lang w:eastAsia="en-US"/>
              </w:rPr>
            </w:pPr>
            <w:r w:rsidRPr="00550DCD">
              <w:rPr>
                <w:rFonts w:ascii="Arial Narrow" w:eastAsia="Calibri" w:hAnsi="Arial Narrow"/>
                <w:sz w:val="20"/>
                <w:szCs w:val="20"/>
                <w:lang w:eastAsia="en-US"/>
              </w:rPr>
              <w:fldChar w:fldCharType="begin">
                <w:ffData>
                  <w:name w:val=""/>
                  <w:enabled/>
                  <w:calcOnExit w:val="0"/>
                  <w:checkBox>
                    <w:sizeAuto/>
                    <w:default w:val="1"/>
                  </w:checkBox>
                </w:ffData>
              </w:fldChar>
            </w:r>
            <w:r w:rsidRPr="00550DCD">
              <w:rPr>
                <w:rFonts w:ascii="Arial Narrow" w:eastAsia="Calibri" w:hAnsi="Arial Narrow"/>
                <w:sz w:val="20"/>
                <w:szCs w:val="20"/>
                <w:lang w:eastAsia="en-US"/>
              </w:rPr>
              <w:instrText xml:space="preserve"> FORMCHECKBOX </w:instrText>
            </w:r>
            <w:r w:rsidR="00185975">
              <w:rPr>
                <w:rFonts w:ascii="Arial Narrow" w:eastAsia="Calibri" w:hAnsi="Arial Narrow"/>
                <w:sz w:val="20"/>
                <w:szCs w:val="20"/>
                <w:lang w:eastAsia="en-US"/>
              </w:rPr>
            </w:r>
            <w:r w:rsidR="00185975">
              <w:rPr>
                <w:rFonts w:ascii="Arial Narrow" w:eastAsia="Calibri" w:hAnsi="Arial Narrow"/>
                <w:sz w:val="20"/>
                <w:szCs w:val="20"/>
                <w:lang w:eastAsia="en-US"/>
              </w:rPr>
              <w:fldChar w:fldCharType="separate"/>
            </w:r>
            <w:r w:rsidRPr="00550DCD">
              <w:rPr>
                <w:rFonts w:ascii="Arial Narrow" w:eastAsia="Calibri" w:hAnsi="Arial Narrow"/>
                <w:sz w:val="20"/>
                <w:szCs w:val="20"/>
                <w:lang w:eastAsia="en-US"/>
              </w:rPr>
              <w:fldChar w:fldCharType="end"/>
            </w:r>
            <w:r w:rsidRPr="00550DCD">
              <w:rPr>
                <w:rFonts w:ascii="Arial Narrow" w:eastAsia="Calibri" w:hAnsi="Arial Narrow"/>
                <w:sz w:val="20"/>
                <w:szCs w:val="20"/>
                <w:lang w:eastAsia="en-US"/>
              </w:rPr>
              <w:t xml:space="preserve">Authority Required (Streamlined) [new code] </w:t>
            </w:r>
          </w:p>
        </w:tc>
      </w:tr>
      <w:tr w:rsidR="007B05EA" w:rsidRPr="00550DCD" w14:paraId="6CB06733" w14:textId="77777777" w:rsidTr="007B05EA">
        <w:tblPrEx>
          <w:tblCellMar>
            <w:top w:w="15" w:type="dxa"/>
            <w:left w:w="15" w:type="dxa"/>
            <w:bottom w:w="15" w:type="dxa"/>
            <w:right w:w="15" w:type="dxa"/>
          </w:tblCellMar>
          <w:tblLook w:val="04A0" w:firstRow="1" w:lastRow="0" w:firstColumn="1" w:lastColumn="0" w:noHBand="0" w:noVBand="1"/>
        </w:tblPrEx>
        <w:tc>
          <w:tcPr>
            <w:tcW w:w="490" w:type="dxa"/>
            <w:vMerge w:val="restart"/>
            <w:tcBorders>
              <w:left w:val="single" w:sz="4" w:space="0" w:color="auto"/>
              <w:right w:val="single" w:sz="4" w:space="0" w:color="auto"/>
            </w:tcBorders>
          </w:tcPr>
          <w:p w14:paraId="5556F887" w14:textId="77777777" w:rsidR="007B05EA" w:rsidRPr="00550DCD" w:rsidRDefault="007B05EA" w:rsidP="007B05EA">
            <w:pPr>
              <w:rPr>
                <w:rFonts w:ascii="Arial Narrow" w:eastAsia="Calibri" w:hAnsi="Arial Narrow"/>
                <w:sz w:val="20"/>
                <w:szCs w:val="20"/>
                <w:lang w:eastAsia="en-US"/>
              </w:rPr>
            </w:pPr>
          </w:p>
        </w:tc>
        <w:tc>
          <w:tcPr>
            <w:tcW w:w="491" w:type="dxa"/>
            <w:vAlign w:val="center"/>
          </w:tcPr>
          <w:p w14:paraId="04893CD8" w14:textId="530ED1B3" w:rsidR="007B05EA" w:rsidRPr="00550DCD" w:rsidRDefault="007B05EA" w:rsidP="007B05EA">
            <w:pPr>
              <w:jc w:val="center"/>
              <w:rPr>
                <w:rFonts w:ascii="Arial Narrow" w:hAnsi="Arial Narrow" w:cs="Times New Roman"/>
                <w:color w:val="333333"/>
                <w:sz w:val="20"/>
                <w:szCs w:val="20"/>
              </w:rPr>
            </w:pPr>
          </w:p>
        </w:tc>
        <w:tc>
          <w:tcPr>
            <w:tcW w:w="8086" w:type="dxa"/>
            <w:gridSpan w:val="6"/>
            <w:vAlign w:val="center"/>
          </w:tcPr>
          <w:p w14:paraId="1FEFF03B" w14:textId="77777777" w:rsidR="007B05EA" w:rsidRPr="00550DCD" w:rsidRDefault="007B05EA" w:rsidP="007B05EA">
            <w:pPr>
              <w:jc w:val="left"/>
              <w:rPr>
                <w:rFonts w:ascii="Arial Narrow" w:hAnsi="Arial Narrow" w:cs="Times New Roman"/>
                <w:b/>
                <w:bCs/>
                <w:color w:val="333333"/>
                <w:sz w:val="20"/>
                <w:szCs w:val="20"/>
              </w:rPr>
            </w:pPr>
            <w:bookmarkStart w:id="51" w:name="_Hlk93476130"/>
            <w:r w:rsidRPr="00550DCD">
              <w:rPr>
                <w:rFonts w:ascii="Arial Narrow" w:hAnsi="Arial Narrow" w:cs="Times New Roman"/>
                <w:b/>
                <w:bCs/>
                <w:color w:val="333333"/>
                <w:sz w:val="20"/>
                <w:szCs w:val="20"/>
              </w:rPr>
              <w:t>Administrative Advice:</w:t>
            </w:r>
            <w:r w:rsidRPr="00550DCD">
              <w:rPr>
                <w:rFonts w:ascii="Arial Narrow" w:eastAsia="Calibri" w:hAnsi="Arial Narrow" w:cs="Times New Roman"/>
                <w:sz w:val="20"/>
                <w:szCs w:val="20"/>
                <w:lang w:eastAsia="en-US"/>
              </w:rPr>
              <w:t xml:space="preserve"> </w:t>
            </w:r>
            <w:r w:rsidRPr="00550DCD">
              <w:rPr>
                <w:rFonts w:ascii="Arial Narrow" w:hAnsi="Arial Narrow" w:cs="Times New Roman"/>
                <w:color w:val="333333"/>
                <w:sz w:val="20"/>
                <w:szCs w:val="20"/>
              </w:rPr>
              <w:t>This drug is not PBS-subsidised for use as monotherapy or in combination with a dipeptidyl peptidase 4 inhibitor (gliptin), insulin,</w:t>
            </w:r>
            <w:r w:rsidRPr="00550DCD">
              <w:rPr>
                <w:rFonts w:ascii="Arial Narrow" w:hAnsi="Arial Narrow" w:cs="Times New Roman"/>
                <w:i/>
                <w:iCs/>
                <w:color w:val="333333"/>
                <w:sz w:val="20"/>
                <w:szCs w:val="20"/>
              </w:rPr>
              <w:t xml:space="preserve"> </w:t>
            </w:r>
            <w:r w:rsidRPr="00550DCD">
              <w:rPr>
                <w:rFonts w:ascii="Arial Narrow" w:hAnsi="Arial Narrow" w:cs="Times New Roman"/>
                <w:color w:val="333333"/>
                <w:sz w:val="20"/>
                <w:szCs w:val="20"/>
              </w:rPr>
              <w:t>a thiazolidinedione (glitazone) ,an SGLT2 inhibitor or a sulfonylurea.</w:t>
            </w:r>
          </w:p>
          <w:bookmarkEnd w:id="51"/>
          <w:p w14:paraId="52DFBF08" w14:textId="77777777" w:rsidR="007B05EA" w:rsidRPr="00550DCD" w:rsidRDefault="007B05EA" w:rsidP="007B05EA">
            <w:pPr>
              <w:jc w:val="left"/>
              <w:rPr>
                <w:rFonts w:ascii="Arial Narrow" w:hAnsi="Arial Narrow" w:cs="Times New Roman"/>
                <w:b/>
                <w:bCs/>
                <w:color w:val="333333"/>
                <w:sz w:val="20"/>
                <w:szCs w:val="20"/>
              </w:rPr>
            </w:pPr>
          </w:p>
        </w:tc>
      </w:tr>
      <w:tr w:rsidR="007B05EA" w:rsidRPr="00550DCD" w14:paraId="73636411" w14:textId="77777777" w:rsidTr="007B05EA">
        <w:tblPrEx>
          <w:tblCellMar>
            <w:top w:w="15" w:type="dxa"/>
            <w:left w:w="15" w:type="dxa"/>
            <w:bottom w:w="15" w:type="dxa"/>
            <w:right w:w="15" w:type="dxa"/>
          </w:tblCellMar>
          <w:tblLook w:val="04A0" w:firstRow="1" w:lastRow="0" w:firstColumn="1" w:lastColumn="0" w:noHBand="0" w:noVBand="1"/>
        </w:tblPrEx>
        <w:tc>
          <w:tcPr>
            <w:tcW w:w="490" w:type="dxa"/>
            <w:vMerge/>
            <w:tcBorders>
              <w:left w:val="single" w:sz="4" w:space="0" w:color="auto"/>
              <w:bottom w:val="single" w:sz="4" w:space="0" w:color="auto"/>
              <w:right w:val="single" w:sz="4" w:space="0" w:color="auto"/>
            </w:tcBorders>
          </w:tcPr>
          <w:p w14:paraId="467412CD" w14:textId="77777777" w:rsidR="007B05EA" w:rsidRPr="00550DCD" w:rsidRDefault="007B05EA" w:rsidP="007B05EA">
            <w:pPr>
              <w:rPr>
                <w:rFonts w:ascii="Arial Narrow" w:eastAsia="Calibri" w:hAnsi="Arial Narrow"/>
                <w:sz w:val="20"/>
                <w:szCs w:val="20"/>
                <w:lang w:eastAsia="en-US"/>
              </w:rPr>
            </w:pPr>
          </w:p>
        </w:tc>
        <w:tc>
          <w:tcPr>
            <w:tcW w:w="491" w:type="dxa"/>
            <w:vAlign w:val="center"/>
          </w:tcPr>
          <w:p w14:paraId="635DEB37" w14:textId="77777777" w:rsidR="007B05EA" w:rsidRPr="00550DCD" w:rsidRDefault="007B05EA" w:rsidP="00561A45">
            <w:pPr>
              <w:jc w:val="center"/>
              <w:rPr>
                <w:rFonts w:ascii="Arial Narrow" w:hAnsi="Arial Narrow" w:cs="Times New Roman"/>
                <w:color w:val="333333"/>
                <w:sz w:val="20"/>
                <w:szCs w:val="20"/>
              </w:rPr>
            </w:pPr>
          </w:p>
        </w:tc>
        <w:tc>
          <w:tcPr>
            <w:tcW w:w="8086" w:type="dxa"/>
            <w:gridSpan w:val="6"/>
            <w:vAlign w:val="center"/>
          </w:tcPr>
          <w:p w14:paraId="25157AB8" w14:textId="77777777" w:rsidR="007B05EA" w:rsidRPr="00550DCD" w:rsidRDefault="007B05EA" w:rsidP="007B05EA">
            <w:pPr>
              <w:jc w:val="left"/>
              <w:rPr>
                <w:rFonts w:ascii="Arial Narrow" w:hAnsi="Arial Narrow" w:cs="Times New Roman"/>
                <w:b/>
                <w:bCs/>
                <w:color w:val="333333"/>
                <w:sz w:val="20"/>
                <w:szCs w:val="20"/>
              </w:rPr>
            </w:pPr>
            <w:r w:rsidRPr="00550DCD">
              <w:rPr>
                <w:rFonts w:ascii="Arial Narrow" w:hAnsi="Arial Narrow" w:cs="Times New Roman"/>
                <w:b/>
                <w:bCs/>
                <w:color w:val="333333"/>
                <w:sz w:val="20"/>
                <w:szCs w:val="20"/>
              </w:rPr>
              <w:t xml:space="preserve">Administrative Advice: </w:t>
            </w:r>
            <w:r w:rsidRPr="00550DCD">
              <w:rPr>
                <w:rFonts w:ascii="Arial Narrow" w:hAnsi="Arial Narrow" w:cs="Times New Roman"/>
                <w:color w:val="333333"/>
                <w:sz w:val="20"/>
                <w:szCs w:val="20"/>
              </w:rPr>
              <w:t>Special pricing arrangements apply.</w:t>
            </w:r>
          </w:p>
          <w:p w14:paraId="4411A13C" w14:textId="77777777" w:rsidR="007B05EA" w:rsidRPr="00550DCD" w:rsidRDefault="007B05EA" w:rsidP="007B05EA">
            <w:pPr>
              <w:jc w:val="left"/>
              <w:rPr>
                <w:rFonts w:ascii="Arial Narrow" w:hAnsi="Arial Narrow" w:cs="Times New Roman"/>
                <w:b/>
                <w:bCs/>
                <w:color w:val="333333"/>
                <w:sz w:val="20"/>
                <w:szCs w:val="20"/>
              </w:rPr>
            </w:pPr>
          </w:p>
        </w:tc>
      </w:tr>
      <w:tr w:rsidR="007B05EA" w:rsidRPr="00550DCD" w14:paraId="3EFEC48E" w14:textId="77777777" w:rsidTr="007B05EA">
        <w:tblPrEx>
          <w:tblCellMar>
            <w:top w:w="15" w:type="dxa"/>
            <w:left w:w="15" w:type="dxa"/>
            <w:bottom w:w="15" w:type="dxa"/>
            <w:right w:w="15" w:type="dxa"/>
          </w:tblCellMar>
          <w:tblLook w:val="04A0" w:firstRow="1" w:lastRow="0" w:firstColumn="1" w:lastColumn="0" w:noHBand="0" w:noVBand="1"/>
        </w:tblPrEx>
        <w:tc>
          <w:tcPr>
            <w:tcW w:w="981" w:type="dxa"/>
            <w:gridSpan w:val="2"/>
            <w:vAlign w:val="center"/>
            <w:hideMark/>
          </w:tcPr>
          <w:p w14:paraId="4702E83F" w14:textId="7502A94E" w:rsidR="007B05EA" w:rsidRPr="00550DCD" w:rsidRDefault="007B05EA" w:rsidP="007B05EA">
            <w:pPr>
              <w:jc w:val="center"/>
              <w:rPr>
                <w:rFonts w:ascii="Arial Narrow" w:hAnsi="Arial Narrow" w:cs="Times New Roman"/>
                <w:color w:val="333333"/>
                <w:sz w:val="20"/>
                <w:szCs w:val="20"/>
              </w:rPr>
            </w:pPr>
          </w:p>
        </w:tc>
        <w:tc>
          <w:tcPr>
            <w:tcW w:w="8086" w:type="dxa"/>
            <w:gridSpan w:val="6"/>
            <w:vAlign w:val="center"/>
            <w:hideMark/>
          </w:tcPr>
          <w:p w14:paraId="55948D54" w14:textId="77777777" w:rsidR="007B05EA" w:rsidRPr="00550DCD" w:rsidRDefault="007B05EA" w:rsidP="007B05EA">
            <w:pPr>
              <w:jc w:val="left"/>
              <w:rPr>
                <w:rFonts w:ascii="Arial Narrow" w:hAnsi="Arial Narrow" w:cs="Times New Roman"/>
                <w:color w:val="333333"/>
                <w:sz w:val="20"/>
                <w:szCs w:val="20"/>
              </w:rPr>
            </w:pPr>
            <w:r w:rsidRPr="00550DCD">
              <w:rPr>
                <w:rFonts w:ascii="Arial Narrow" w:hAnsi="Arial Narrow" w:cs="Times New Roman"/>
                <w:b/>
                <w:bCs/>
                <w:color w:val="333333"/>
                <w:sz w:val="20"/>
                <w:szCs w:val="20"/>
              </w:rPr>
              <w:t>Indication:</w:t>
            </w:r>
            <w:r w:rsidRPr="00550DCD">
              <w:rPr>
                <w:rFonts w:ascii="Arial Narrow" w:hAnsi="Arial Narrow" w:cs="Times New Roman"/>
                <w:color w:val="333333"/>
                <w:sz w:val="20"/>
                <w:szCs w:val="20"/>
              </w:rPr>
              <w:t xml:space="preserve"> Diabetes mellitus type 2 </w:t>
            </w:r>
          </w:p>
        </w:tc>
      </w:tr>
      <w:tr w:rsidR="007B05EA" w:rsidRPr="00550DCD" w14:paraId="4B5191F0" w14:textId="77777777" w:rsidTr="007B05EA">
        <w:tblPrEx>
          <w:tblCellMar>
            <w:top w:w="15" w:type="dxa"/>
            <w:left w:w="15" w:type="dxa"/>
            <w:bottom w:w="15" w:type="dxa"/>
            <w:right w:w="15" w:type="dxa"/>
          </w:tblCellMar>
          <w:tblLook w:val="04A0" w:firstRow="1" w:lastRow="0" w:firstColumn="1" w:lastColumn="0" w:noHBand="0" w:noVBand="1"/>
        </w:tblPrEx>
        <w:tc>
          <w:tcPr>
            <w:tcW w:w="981" w:type="dxa"/>
            <w:gridSpan w:val="2"/>
            <w:vAlign w:val="center"/>
            <w:hideMark/>
          </w:tcPr>
          <w:p w14:paraId="4E8CDAA2" w14:textId="77777777" w:rsidR="007B05EA" w:rsidRPr="00550DCD" w:rsidRDefault="007B05EA" w:rsidP="00561A45">
            <w:pPr>
              <w:jc w:val="center"/>
              <w:rPr>
                <w:rFonts w:ascii="Arial Narrow" w:hAnsi="Arial Narrow" w:cs="Times New Roman"/>
                <w:color w:val="333333"/>
                <w:sz w:val="20"/>
                <w:szCs w:val="20"/>
              </w:rPr>
            </w:pPr>
          </w:p>
        </w:tc>
        <w:tc>
          <w:tcPr>
            <w:tcW w:w="8086" w:type="dxa"/>
            <w:gridSpan w:val="6"/>
            <w:vAlign w:val="center"/>
            <w:hideMark/>
          </w:tcPr>
          <w:p w14:paraId="0CAC5BFC" w14:textId="77777777" w:rsidR="007B05EA" w:rsidRPr="00550DCD" w:rsidRDefault="007B05EA" w:rsidP="007B05EA">
            <w:pPr>
              <w:jc w:val="left"/>
              <w:rPr>
                <w:rFonts w:ascii="Arial Narrow" w:hAnsi="Arial Narrow" w:cs="Times New Roman"/>
                <w:color w:val="FF00FF"/>
                <w:sz w:val="20"/>
                <w:szCs w:val="20"/>
              </w:rPr>
            </w:pPr>
            <w:r w:rsidRPr="00550DCD">
              <w:rPr>
                <w:rFonts w:ascii="Arial Narrow" w:hAnsi="Arial Narrow" w:cs="Times New Roman"/>
                <w:b/>
                <w:bCs/>
                <w:color w:val="333333"/>
                <w:sz w:val="20"/>
                <w:szCs w:val="20"/>
              </w:rPr>
              <w:t xml:space="preserve">Clinical criteria: </w:t>
            </w:r>
          </w:p>
        </w:tc>
      </w:tr>
      <w:tr w:rsidR="007B05EA" w:rsidRPr="00550DCD" w14:paraId="0BD8FEB0" w14:textId="77777777" w:rsidTr="007B05EA">
        <w:tblPrEx>
          <w:tblCellMar>
            <w:top w:w="15" w:type="dxa"/>
            <w:left w:w="15" w:type="dxa"/>
            <w:bottom w:w="15" w:type="dxa"/>
            <w:right w:w="15" w:type="dxa"/>
          </w:tblCellMar>
          <w:tblLook w:val="04A0" w:firstRow="1" w:lastRow="0" w:firstColumn="1" w:lastColumn="0" w:noHBand="0" w:noVBand="1"/>
        </w:tblPrEx>
        <w:trPr>
          <w:trHeight w:val="39"/>
        </w:trPr>
        <w:tc>
          <w:tcPr>
            <w:tcW w:w="981" w:type="dxa"/>
            <w:gridSpan w:val="2"/>
            <w:vAlign w:val="center"/>
            <w:hideMark/>
          </w:tcPr>
          <w:p w14:paraId="42FEFA33" w14:textId="77777777" w:rsidR="007B05EA" w:rsidRPr="00550DCD" w:rsidRDefault="007B05EA" w:rsidP="00561A45">
            <w:pPr>
              <w:jc w:val="center"/>
              <w:rPr>
                <w:rFonts w:ascii="Arial Narrow" w:hAnsi="Arial Narrow" w:cs="Times New Roman"/>
                <w:color w:val="333333"/>
                <w:sz w:val="20"/>
                <w:szCs w:val="20"/>
              </w:rPr>
            </w:pPr>
          </w:p>
        </w:tc>
        <w:tc>
          <w:tcPr>
            <w:tcW w:w="8086" w:type="dxa"/>
            <w:gridSpan w:val="6"/>
            <w:vAlign w:val="center"/>
            <w:hideMark/>
          </w:tcPr>
          <w:p w14:paraId="4AD159F5" w14:textId="77777777" w:rsidR="007B05EA" w:rsidRPr="00550DCD" w:rsidRDefault="007B05EA" w:rsidP="007B05EA">
            <w:pPr>
              <w:jc w:val="left"/>
              <w:rPr>
                <w:rFonts w:ascii="Arial Narrow" w:hAnsi="Arial Narrow" w:cs="Times New Roman"/>
                <w:color w:val="333333"/>
                <w:sz w:val="20"/>
                <w:szCs w:val="20"/>
              </w:rPr>
            </w:pPr>
            <w:r w:rsidRPr="00550DCD">
              <w:rPr>
                <w:rFonts w:ascii="Arial Narrow" w:hAnsi="Arial Narrow" w:cs="Times New Roman"/>
                <w:color w:val="333333"/>
                <w:sz w:val="20"/>
                <w:szCs w:val="20"/>
              </w:rPr>
              <w:t>The treatment must be in combination with metformin</w:t>
            </w:r>
          </w:p>
          <w:p w14:paraId="5C74E744" w14:textId="77777777" w:rsidR="007B05EA" w:rsidRPr="00550DCD" w:rsidRDefault="007B05EA" w:rsidP="007B05EA">
            <w:pPr>
              <w:jc w:val="left"/>
              <w:rPr>
                <w:rFonts w:ascii="Arial Narrow" w:hAnsi="Arial Narrow" w:cs="Times New Roman"/>
                <w:color w:val="333333"/>
                <w:sz w:val="20"/>
                <w:szCs w:val="20"/>
              </w:rPr>
            </w:pPr>
          </w:p>
        </w:tc>
      </w:tr>
      <w:tr w:rsidR="007B05EA" w:rsidRPr="00550DCD" w14:paraId="092DD80E" w14:textId="77777777" w:rsidTr="007B05EA">
        <w:tblPrEx>
          <w:tblCellMar>
            <w:top w:w="15" w:type="dxa"/>
            <w:left w:w="15" w:type="dxa"/>
            <w:bottom w:w="15" w:type="dxa"/>
            <w:right w:w="15" w:type="dxa"/>
          </w:tblCellMar>
          <w:tblLook w:val="04A0" w:firstRow="1" w:lastRow="0" w:firstColumn="1" w:lastColumn="0" w:noHBand="0" w:noVBand="1"/>
        </w:tblPrEx>
        <w:tc>
          <w:tcPr>
            <w:tcW w:w="981" w:type="dxa"/>
            <w:gridSpan w:val="2"/>
            <w:vAlign w:val="center"/>
            <w:hideMark/>
          </w:tcPr>
          <w:p w14:paraId="1EAF5764" w14:textId="77777777" w:rsidR="007B05EA" w:rsidRPr="00550DCD" w:rsidRDefault="007B05EA" w:rsidP="007B05EA">
            <w:pPr>
              <w:jc w:val="center"/>
              <w:rPr>
                <w:rFonts w:ascii="Arial Narrow" w:hAnsi="Arial Narrow" w:cs="Times New Roman"/>
                <w:color w:val="333333"/>
                <w:sz w:val="20"/>
                <w:szCs w:val="20"/>
              </w:rPr>
            </w:pPr>
          </w:p>
        </w:tc>
        <w:tc>
          <w:tcPr>
            <w:tcW w:w="8086" w:type="dxa"/>
            <w:gridSpan w:val="6"/>
            <w:vAlign w:val="center"/>
            <w:hideMark/>
          </w:tcPr>
          <w:p w14:paraId="47B86CAC" w14:textId="77777777" w:rsidR="007B05EA" w:rsidRPr="00550DCD" w:rsidRDefault="007B05EA" w:rsidP="007B05EA">
            <w:pPr>
              <w:jc w:val="left"/>
              <w:rPr>
                <w:rFonts w:ascii="Arial Narrow" w:hAnsi="Arial Narrow" w:cs="Times New Roman"/>
                <w:color w:val="333333"/>
                <w:sz w:val="20"/>
                <w:szCs w:val="20"/>
              </w:rPr>
            </w:pPr>
            <w:r w:rsidRPr="00550DCD">
              <w:rPr>
                <w:rFonts w:ascii="Arial Narrow" w:hAnsi="Arial Narrow" w:cs="Times New Roman"/>
                <w:b/>
                <w:bCs/>
                <w:color w:val="333333"/>
                <w:sz w:val="20"/>
                <w:szCs w:val="20"/>
              </w:rPr>
              <w:t>AND</w:t>
            </w:r>
          </w:p>
        </w:tc>
      </w:tr>
      <w:tr w:rsidR="007B05EA" w:rsidRPr="00550DCD" w14:paraId="189E85AB" w14:textId="77777777" w:rsidTr="007B05EA">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EC65532" w14:textId="2EBFCAC0" w:rsidR="007B05EA" w:rsidRPr="00550DCD" w:rsidRDefault="007B05EA" w:rsidP="007B05EA">
            <w:pPr>
              <w:jc w:val="center"/>
              <w:rPr>
                <w:rFonts w:ascii="Arial Narrow" w:hAnsi="Arial Narrow" w:cs="Times New Roman"/>
                <w:color w:val="333333"/>
                <w:sz w:val="20"/>
                <w:szCs w:val="20"/>
              </w:rPr>
            </w:pPr>
          </w:p>
        </w:tc>
        <w:tc>
          <w:tcPr>
            <w:tcW w:w="8086" w:type="dxa"/>
            <w:gridSpan w:val="6"/>
            <w:vAlign w:val="center"/>
          </w:tcPr>
          <w:p w14:paraId="59BF3D46" w14:textId="77777777" w:rsidR="007B05EA" w:rsidRPr="00550DCD" w:rsidRDefault="007B05EA" w:rsidP="007B05EA">
            <w:pPr>
              <w:jc w:val="left"/>
              <w:rPr>
                <w:rFonts w:ascii="Arial Narrow" w:hAnsi="Arial Narrow" w:cs="Times New Roman"/>
                <w:b/>
                <w:bCs/>
                <w:color w:val="333333"/>
                <w:sz w:val="20"/>
                <w:szCs w:val="20"/>
              </w:rPr>
            </w:pPr>
            <w:r w:rsidRPr="00550DCD">
              <w:rPr>
                <w:rFonts w:ascii="Arial Narrow" w:hAnsi="Arial Narrow" w:cs="Times New Roman"/>
                <w:b/>
                <w:bCs/>
                <w:color w:val="333333"/>
                <w:sz w:val="20"/>
                <w:szCs w:val="20"/>
              </w:rPr>
              <w:t xml:space="preserve">Clinical criteria: </w:t>
            </w:r>
          </w:p>
        </w:tc>
      </w:tr>
      <w:tr w:rsidR="007B05EA" w:rsidRPr="00550DCD" w14:paraId="07D1338D" w14:textId="77777777" w:rsidTr="007B05EA">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47A9F6E" w14:textId="0ED1FD03" w:rsidR="007B05EA" w:rsidRPr="00550DCD" w:rsidRDefault="007B05EA" w:rsidP="007B05EA">
            <w:pPr>
              <w:jc w:val="center"/>
              <w:rPr>
                <w:rFonts w:ascii="Arial Narrow" w:hAnsi="Arial Narrow" w:cs="Times New Roman"/>
                <w:color w:val="333333"/>
                <w:sz w:val="20"/>
                <w:szCs w:val="20"/>
              </w:rPr>
            </w:pPr>
          </w:p>
        </w:tc>
        <w:tc>
          <w:tcPr>
            <w:tcW w:w="8086" w:type="dxa"/>
            <w:gridSpan w:val="6"/>
            <w:vAlign w:val="center"/>
          </w:tcPr>
          <w:p w14:paraId="3F42FC2D" w14:textId="77777777" w:rsidR="007B05EA" w:rsidRPr="00550DCD" w:rsidRDefault="007B05EA" w:rsidP="007B05EA">
            <w:pPr>
              <w:jc w:val="left"/>
              <w:rPr>
                <w:rFonts w:ascii="Arial Narrow" w:hAnsi="Arial Narrow" w:cs="Times New Roman"/>
                <w:color w:val="333333"/>
                <w:sz w:val="20"/>
                <w:szCs w:val="20"/>
              </w:rPr>
            </w:pPr>
            <w:r w:rsidRPr="00550DCD">
              <w:rPr>
                <w:rFonts w:ascii="Arial Narrow" w:hAnsi="Arial Narrow" w:cs="Times New Roman"/>
                <w:color w:val="333333"/>
                <w:sz w:val="20"/>
                <w:szCs w:val="20"/>
              </w:rPr>
              <w:t>Patient must have a contraindication to a combination of metformin and a sulfonylurea; or</w:t>
            </w:r>
          </w:p>
        </w:tc>
      </w:tr>
      <w:tr w:rsidR="007B05EA" w:rsidRPr="00550DCD" w14:paraId="1934AA42" w14:textId="77777777" w:rsidTr="007B05EA">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FB35C98" w14:textId="28E41B72" w:rsidR="007B05EA" w:rsidRPr="00550DCD" w:rsidRDefault="007B05EA" w:rsidP="007B05EA">
            <w:pPr>
              <w:jc w:val="center"/>
              <w:rPr>
                <w:rFonts w:ascii="Arial Narrow" w:hAnsi="Arial Narrow" w:cs="Times New Roman"/>
                <w:color w:val="333333"/>
                <w:sz w:val="20"/>
                <w:szCs w:val="20"/>
              </w:rPr>
            </w:pPr>
          </w:p>
        </w:tc>
        <w:tc>
          <w:tcPr>
            <w:tcW w:w="8086" w:type="dxa"/>
            <w:gridSpan w:val="6"/>
            <w:vAlign w:val="center"/>
          </w:tcPr>
          <w:p w14:paraId="1EF43226" w14:textId="77777777" w:rsidR="007B05EA" w:rsidRPr="00550DCD" w:rsidRDefault="007B05EA" w:rsidP="007B05EA">
            <w:pPr>
              <w:jc w:val="left"/>
              <w:rPr>
                <w:rFonts w:ascii="Arial Narrow" w:hAnsi="Arial Narrow" w:cs="Times New Roman"/>
                <w:color w:val="333333"/>
                <w:sz w:val="20"/>
                <w:szCs w:val="20"/>
              </w:rPr>
            </w:pPr>
            <w:r w:rsidRPr="00550DCD">
              <w:rPr>
                <w:rFonts w:ascii="Arial Narrow" w:hAnsi="Arial Narrow" w:cs="Times New Roman"/>
                <w:color w:val="333333"/>
                <w:sz w:val="20"/>
                <w:szCs w:val="20"/>
              </w:rPr>
              <w:t>Patient must not have tolerated a combination of metformin and a sulfonylurea</w:t>
            </w:r>
          </w:p>
        </w:tc>
      </w:tr>
      <w:tr w:rsidR="007B05EA" w:rsidRPr="00550DCD" w14:paraId="7FCD1100" w14:textId="77777777" w:rsidTr="007B05EA">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4746046" w14:textId="77777777" w:rsidR="007B05EA" w:rsidRPr="00550DCD" w:rsidRDefault="007B05EA" w:rsidP="007B05EA">
            <w:pPr>
              <w:jc w:val="center"/>
              <w:rPr>
                <w:rFonts w:ascii="Arial Narrow" w:hAnsi="Arial Narrow" w:cs="Times New Roman"/>
                <w:color w:val="333333"/>
                <w:sz w:val="20"/>
                <w:szCs w:val="20"/>
              </w:rPr>
            </w:pPr>
          </w:p>
        </w:tc>
        <w:tc>
          <w:tcPr>
            <w:tcW w:w="8086" w:type="dxa"/>
            <w:gridSpan w:val="6"/>
            <w:vAlign w:val="center"/>
          </w:tcPr>
          <w:p w14:paraId="4F9E1D0B" w14:textId="77777777" w:rsidR="007B05EA" w:rsidRPr="00550DCD" w:rsidRDefault="007B05EA" w:rsidP="007B05EA">
            <w:pPr>
              <w:jc w:val="left"/>
              <w:rPr>
                <w:rFonts w:ascii="Arial Narrow" w:hAnsi="Arial Narrow" w:cs="Times New Roman"/>
                <w:b/>
                <w:bCs/>
                <w:color w:val="333333"/>
                <w:sz w:val="20"/>
                <w:szCs w:val="20"/>
              </w:rPr>
            </w:pPr>
            <w:r w:rsidRPr="00550DCD">
              <w:rPr>
                <w:rFonts w:ascii="Arial Narrow" w:hAnsi="Arial Narrow" w:cs="Times New Roman"/>
                <w:b/>
                <w:bCs/>
                <w:color w:val="333333"/>
                <w:sz w:val="20"/>
                <w:szCs w:val="20"/>
              </w:rPr>
              <w:t>AND</w:t>
            </w:r>
          </w:p>
        </w:tc>
      </w:tr>
      <w:tr w:rsidR="007B05EA" w:rsidRPr="00550DCD" w14:paraId="3BF89DD4" w14:textId="77777777" w:rsidTr="007B05EA">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9121D50" w14:textId="51FD9AD9" w:rsidR="007B05EA" w:rsidRPr="00550DCD" w:rsidRDefault="007B05EA" w:rsidP="007B05EA">
            <w:pPr>
              <w:jc w:val="center"/>
              <w:rPr>
                <w:rFonts w:ascii="Arial Narrow" w:hAnsi="Arial Narrow" w:cs="Times New Roman"/>
                <w:color w:val="333333"/>
                <w:sz w:val="20"/>
                <w:szCs w:val="20"/>
              </w:rPr>
            </w:pPr>
          </w:p>
        </w:tc>
        <w:tc>
          <w:tcPr>
            <w:tcW w:w="8086" w:type="dxa"/>
            <w:gridSpan w:val="6"/>
            <w:vAlign w:val="center"/>
            <w:hideMark/>
          </w:tcPr>
          <w:p w14:paraId="46FB910E" w14:textId="77777777" w:rsidR="007B05EA" w:rsidRPr="00550DCD" w:rsidRDefault="007B05EA" w:rsidP="007B05EA">
            <w:pPr>
              <w:jc w:val="left"/>
              <w:rPr>
                <w:rFonts w:ascii="Arial Narrow" w:hAnsi="Arial Narrow" w:cs="Times New Roman"/>
                <w:color w:val="333333"/>
                <w:sz w:val="20"/>
                <w:szCs w:val="20"/>
              </w:rPr>
            </w:pPr>
            <w:r w:rsidRPr="00550DCD">
              <w:rPr>
                <w:rFonts w:ascii="Arial Narrow" w:hAnsi="Arial Narrow" w:cs="Times New Roman"/>
                <w:b/>
                <w:bCs/>
                <w:color w:val="333333"/>
                <w:sz w:val="20"/>
                <w:szCs w:val="20"/>
              </w:rPr>
              <w:t>Clinical criteria:</w:t>
            </w:r>
          </w:p>
        </w:tc>
      </w:tr>
      <w:tr w:rsidR="007B05EA" w:rsidRPr="00550DCD" w14:paraId="4EF7BD8D" w14:textId="77777777" w:rsidTr="007B05EA">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BCB9C64" w14:textId="092A6265" w:rsidR="007B05EA" w:rsidRPr="00550DCD" w:rsidRDefault="007B05EA" w:rsidP="007B05EA">
            <w:pPr>
              <w:jc w:val="center"/>
              <w:rPr>
                <w:rFonts w:ascii="Arial Narrow" w:hAnsi="Arial Narrow" w:cs="Times New Roman"/>
                <w:color w:val="333333"/>
                <w:sz w:val="20"/>
                <w:szCs w:val="20"/>
              </w:rPr>
            </w:pPr>
          </w:p>
        </w:tc>
        <w:tc>
          <w:tcPr>
            <w:tcW w:w="8086" w:type="dxa"/>
            <w:gridSpan w:val="6"/>
            <w:vAlign w:val="center"/>
            <w:hideMark/>
          </w:tcPr>
          <w:p w14:paraId="5D3B8204" w14:textId="77777777" w:rsidR="007B05EA" w:rsidRPr="00550DCD" w:rsidRDefault="007B05EA" w:rsidP="007B05EA">
            <w:pPr>
              <w:jc w:val="left"/>
              <w:rPr>
                <w:rFonts w:ascii="Arial Narrow" w:hAnsi="Arial Narrow" w:cs="Times New Roman"/>
                <w:color w:val="FF0000"/>
                <w:sz w:val="20"/>
                <w:szCs w:val="20"/>
              </w:rPr>
            </w:pPr>
            <w:r w:rsidRPr="00550DCD">
              <w:rPr>
                <w:rFonts w:ascii="Arial Narrow" w:hAnsi="Arial Narrow" w:cs="Times New Roman"/>
                <w:sz w:val="20"/>
                <w:szCs w:val="20"/>
              </w:rPr>
              <w:t>Patient must have, or have had, a HbA1c measurement greater than 7% prior to the initiation of a dipeptidyl peptidase 4 inhibitor (gliptin), a thiazolidinedione (glitazone), a glucagon-like peptide-1 or a sodium-glucose co-transporter 2 (SGLT2) inhibitor despite treatment with metformin; or</w:t>
            </w:r>
          </w:p>
        </w:tc>
      </w:tr>
      <w:tr w:rsidR="007B05EA" w:rsidRPr="00550DCD" w14:paraId="04E73212" w14:textId="77777777" w:rsidTr="007B05EA">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12FABDB" w14:textId="3A0D7989" w:rsidR="007B05EA" w:rsidRPr="00550DCD" w:rsidRDefault="007B05EA" w:rsidP="007B05EA">
            <w:pPr>
              <w:jc w:val="center"/>
              <w:rPr>
                <w:rFonts w:ascii="Arial Narrow" w:hAnsi="Arial Narrow" w:cs="Times New Roman"/>
                <w:color w:val="333333"/>
                <w:sz w:val="20"/>
                <w:szCs w:val="20"/>
              </w:rPr>
            </w:pPr>
          </w:p>
        </w:tc>
        <w:tc>
          <w:tcPr>
            <w:tcW w:w="8086" w:type="dxa"/>
            <w:gridSpan w:val="6"/>
            <w:vAlign w:val="center"/>
            <w:hideMark/>
          </w:tcPr>
          <w:p w14:paraId="6CE0BE08" w14:textId="77777777" w:rsidR="007B05EA" w:rsidRPr="00550DCD" w:rsidRDefault="007B05EA" w:rsidP="007B05EA">
            <w:pPr>
              <w:jc w:val="left"/>
              <w:rPr>
                <w:rFonts w:ascii="Arial Narrow" w:hAnsi="Arial Narrow" w:cs="Times New Roman"/>
                <w:color w:val="333333"/>
                <w:sz w:val="20"/>
                <w:szCs w:val="20"/>
              </w:rPr>
            </w:pPr>
            <w:r w:rsidRPr="00550DCD">
              <w:rPr>
                <w:rFonts w:ascii="Arial Narrow" w:hAnsi="Arial Narrow" w:cs="Times New Roman"/>
                <w:color w:val="333333"/>
                <w:sz w:val="20"/>
                <w:szCs w:val="20"/>
              </w:rP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metformin.</w:t>
            </w:r>
          </w:p>
        </w:tc>
      </w:tr>
      <w:tr w:rsidR="007B05EA" w:rsidRPr="00550DCD" w14:paraId="2DA42FFB" w14:textId="77777777" w:rsidTr="007B05EA">
        <w:tblPrEx>
          <w:tblCellMar>
            <w:top w:w="15" w:type="dxa"/>
            <w:left w:w="15" w:type="dxa"/>
            <w:bottom w:w="15" w:type="dxa"/>
            <w:right w:w="15" w:type="dxa"/>
          </w:tblCellMar>
          <w:tblLook w:val="04A0" w:firstRow="1" w:lastRow="0" w:firstColumn="1" w:lastColumn="0" w:noHBand="0" w:noVBand="1"/>
        </w:tblPrEx>
        <w:tc>
          <w:tcPr>
            <w:tcW w:w="981" w:type="dxa"/>
            <w:gridSpan w:val="2"/>
            <w:vAlign w:val="center"/>
            <w:hideMark/>
          </w:tcPr>
          <w:p w14:paraId="34788514" w14:textId="31FC4321" w:rsidR="007B05EA" w:rsidRPr="00550DCD" w:rsidRDefault="007B05EA" w:rsidP="007B05EA">
            <w:pPr>
              <w:jc w:val="center"/>
              <w:rPr>
                <w:rFonts w:ascii="Arial Narrow" w:hAnsi="Arial Narrow" w:cs="Times New Roman"/>
                <w:color w:val="333333"/>
                <w:sz w:val="20"/>
                <w:szCs w:val="20"/>
              </w:rPr>
            </w:pPr>
          </w:p>
        </w:tc>
        <w:tc>
          <w:tcPr>
            <w:tcW w:w="8086" w:type="dxa"/>
            <w:gridSpan w:val="6"/>
            <w:vAlign w:val="center"/>
            <w:hideMark/>
          </w:tcPr>
          <w:p w14:paraId="0E960E03" w14:textId="77777777" w:rsidR="007B05EA" w:rsidRPr="00550DCD" w:rsidRDefault="007B05EA" w:rsidP="007B05EA">
            <w:pPr>
              <w:jc w:val="left"/>
              <w:rPr>
                <w:rFonts w:ascii="Arial Narrow" w:hAnsi="Arial Narrow" w:cs="Times New Roman"/>
                <w:color w:val="FF00FF"/>
                <w:sz w:val="20"/>
                <w:szCs w:val="20"/>
              </w:rPr>
            </w:pPr>
            <w:r w:rsidRPr="00550DCD">
              <w:rPr>
                <w:rFonts w:ascii="Arial Narrow" w:hAnsi="Arial Narrow" w:cs="Times New Roman"/>
                <w:b/>
                <w:bCs/>
                <w:color w:val="333333"/>
                <w:sz w:val="20"/>
                <w:szCs w:val="20"/>
              </w:rPr>
              <w:t xml:space="preserve">Prescribing Instructions: </w:t>
            </w:r>
            <w:r w:rsidRPr="00550DCD">
              <w:rPr>
                <w:rFonts w:ascii="Arial Narrow" w:hAnsi="Arial Narrow" w:cs="Times New Roman"/>
                <w:color w:val="333333"/>
                <w:sz w:val="20"/>
                <w:szCs w:val="20"/>
              </w:rPr>
              <w:t>The date and level of the qualifying HbA1c measurement must be, or must have been, documented in the patient's medical records at the time treatment with a gliptin, a glitazone, a glucagon-like peptide-1 or an SGLT2 inhibitor is initiated.</w:t>
            </w:r>
          </w:p>
        </w:tc>
      </w:tr>
      <w:tr w:rsidR="007B05EA" w:rsidRPr="00550DCD" w14:paraId="1722105F" w14:textId="77777777" w:rsidTr="007B05EA">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ED16E14" w14:textId="35A811F8" w:rsidR="007B05EA" w:rsidRPr="00550DCD" w:rsidRDefault="007B05EA" w:rsidP="007B05EA">
            <w:pPr>
              <w:jc w:val="center"/>
              <w:rPr>
                <w:rFonts w:ascii="Arial Narrow" w:hAnsi="Arial Narrow" w:cs="Times New Roman"/>
                <w:color w:val="333333"/>
                <w:sz w:val="20"/>
                <w:szCs w:val="20"/>
              </w:rPr>
            </w:pPr>
          </w:p>
        </w:tc>
        <w:tc>
          <w:tcPr>
            <w:tcW w:w="8086" w:type="dxa"/>
            <w:gridSpan w:val="6"/>
            <w:vAlign w:val="center"/>
          </w:tcPr>
          <w:p w14:paraId="1378AA18" w14:textId="77777777" w:rsidR="007B05EA" w:rsidRPr="00550DCD" w:rsidRDefault="007B05EA" w:rsidP="007B05EA">
            <w:pPr>
              <w:jc w:val="left"/>
              <w:rPr>
                <w:rFonts w:ascii="Arial Narrow" w:hAnsi="Arial Narrow" w:cs="Times New Roman"/>
                <w:color w:val="333333"/>
                <w:sz w:val="20"/>
                <w:szCs w:val="20"/>
              </w:rPr>
            </w:pPr>
            <w:r w:rsidRPr="00550DCD">
              <w:rPr>
                <w:rFonts w:ascii="Arial Narrow" w:hAnsi="Arial Narrow" w:cs="Times New Roman"/>
                <w:b/>
                <w:bCs/>
                <w:color w:val="333333"/>
                <w:sz w:val="20"/>
                <w:szCs w:val="20"/>
              </w:rPr>
              <w:t xml:space="preserve">Prescribing Instructions: </w:t>
            </w:r>
            <w:r w:rsidRPr="00550DCD">
              <w:rPr>
                <w:rFonts w:ascii="Arial Narrow" w:hAnsi="Arial Narrow" w:cs="Times New Roman"/>
                <w:color w:val="333333"/>
                <w:sz w:val="20"/>
                <w:szCs w:val="20"/>
              </w:rPr>
              <w:t>The HbA1c must be no more than 4 months old at the time treatment with a gliptin, a glitazone, a glucagon-like peptide-1 or an SGLT2 inhibitor was initiated.</w:t>
            </w:r>
          </w:p>
        </w:tc>
      </w:tr>
      <w:tr w:rsidR="007B05EA" w:rsidRPr="00550DCD" w14:paraId="5DE35C47" w14:textId="77777777" w:rsidTr="007B05EA">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0DAC217" w14:textId="0BC62DCA" w:rsidR="007B05EA" w:rsidRPr="00550DCD" w:rsidRDefault="007B05EA" w:rsidP="007B05EA">
            <w:pPr>
              <w:jc w:val="center"/>
              <w:rPr>
                <w:rFonts w:ascii="Arial Narrow" w:hAnsi="Arial Narrow" w:cs="Times New Roman"/>
                <w:color w:val="333333"/>
                <w:sz w:val="20"/>
                <w:szCs w:val="20"/>
              </w:rPr>
            </w:pPr>
          </w:p>
        </w:tc>
        <w:tc>
          <w:tcPr>
            <w:tcW w:w="8086" w:type="dxa"/>
            <w:gridSpan w:val="6"/>
            <w:vAlign w:val="center"/>
          </w:tcPr>
          <w:p w14:paraId="33549AF6" w14:textId="77777777" w:rsidR="007B05EA" w:rsidRPr="00550DCD" w:rsidRDefault="007B05EA" w:rsidP="007B05EA">
            <w:pPr>
              <w:jc w:val="left"/>
              <w:rPr>
                <w:rFonts w:ascii="Arial Narrow" w:hAnsi="Arial Narrow" w:cs="Times New Roman"/>
                <w:color w:val="333333"/>
                <w:sz w:val="20"/>
                <w:szCs w:val="20"/>
              </w:rPr>
            </w:pPr>
            <w:r w:rsidRPr="00550DCD">
              <w:rPr>
                <w:rFonts w:ascii="Arial Narrow" w:hAnsi="Arial Narrow" w:cs="Times New Roman"/>
                <w:b/>
                <w:bCs/>
                <w:color w:val="333333"/>
                <w:sz w:val="20"/>
                <w:szCs w:val="20"/>
              </w:rPr>
              <w:t xml:space="preserve">Prescribing Instructions: </w:t>
            </w:r>
            <w:r w:rsidRPr="00550DCD">
              <w:rPr>
                <w:rFonts w:ascii="Arial Narrow" w:hAnsi="Arial Narrow" w:cs="Times New Roman"/>
                <w:color w:val="333333"/>
                <w:sz w:val="20"/>
                <w:szCs w:val="20"/>
              </w:rPr>
              <w:t>Blood glucose monitoring may be used as an alternative assessment to HbA1c levels in the following circumstances:</w:t>
            </w:r>
          </w:p>
          <w:p w14:paraId="4FC9A875" w14:textId="77777777" w:rsidR="007B05EA" w:rsidRPr="00550DCD" w:rsidRDefault="007B05EA" w:rsidP="007B05EA">
            <w:pPr>
              <w:jc w:val="left"/>
              <w:rPr>
                <w:rFonts w:ascii="Arial Narrow" w:hAnsi="Arial Narrow" w:cs="Times New Roman"/>
                <w:b/>
                <w:bCs/>
                <w:color w:val="333333"/>
                <w:sz w:val="20"/>
                <w:szCs w:val="20"/>
              </w:rPr>
            </w:pPr>
          </w:p>
          <w:p w14:paraId="06506939" w14:textId="77777777" w:rsidR="007B05EA" w:rsidRPr="00550DCD" w:rsidRDefault="007B05EA" w:rsidP="007B05EA">
            <w:pPr>
              <w:jc w:val="left"/>
              <w:rPr>
                <w:rFonts w:ascii="Arial Narrow" w:hAnsi="Arial Narrow" w:cs="Times New Roman"/>
                <w:color w:val="333333"/>
                <w:sz w:val="20"/>
                <w:szCs w:val="20"/>
              </w:rPr>
            </w:pPr>
            <w:r w:rsidRPr="00550DCD">
              <w:rPr>
                <w:rFonts w:ascii="Arial Narrow" w:hAnsi="Arial Narrow" w:cs="Times New Roman"/>
                <w:color w:val="333333"/>
                <w:sz w:val="20"/>
                <w:szCs w:val="20"/>
              </w:rPr>
              <w:t>(a) A clinical condition with reduced red blood cell survival, including haemolytic anaemias and haemoglobinopathies; and/or</w:t>
            </w:r>
          </w:p>
          <w:p w14:paraId="55E16594" w14:textId="77777777" w:rsidR="007B05EA" w:rsidRPr="00550DCD" w:rsidRDefault="007B05EA" w:rsidP="007B05EA">
            <w:pPr>
              <w:jc w:val="left"/>
              <w:rPr>
                <w:rFonts w:ascii="Arial Narrow" w:hAnsi="Arial Narrow" w:cs="Times New Roman"/>
                <w:color w:val="333333"/>
                <w:sz w:val="20"/>
                <w:szCs w:val="20"/>
              </w:rPr>
            </w:pPr>
          </w:p>
          <w:p w14:paraId="4302CF9C" w14:textId="77777777" w:rsidR="007B05EA" w:rsidRPr="00550DCD" w:rsidRDefault="007B05EA" w:rsidP="007B05EA">
            <w:pPr>
              <w:jc w:val="left"/>
              <w:rPr>
                <w:rFonts w:ascii="Arial Narrow" w:hAnsi="Arial Narrow" w:cs="Times New Roman"/>
                <w:color w:val="333333"/>
                <w:sz w:val="20"/>
                <w:szCs w:val="20"/>
              </w:rPr>
            </w:pPr>
            <w:r w:rsidRPr="00550DCD">
              <w:rPr>
                <w:rFonts w:ascii="Arial Narrow" w:hAnsi="Arial Narrow" w:cs="Times New Roman"/>
                <w:color w:val="333333"/>
                <w:sz w:val="20"/>
                <w:szCs w:val="20"/>
              </w:rPr>
              <w:t>(b) Had red cell transfusion within the previous 3 months.</w:t>
            </w:r>
          </w:p>
        </w:tc>
      </w:tr>
      <w:tr w:rsidR="007B05EA" w:rsidRPr="00550DCD" w14:paraId="4995A899" w14:textId="77777777" w:rsidTr="007B05EA">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657EA01" w14:textId="4CD757ED" w:rsidR="007B05EA" w:rsidRPr="00550DCD" w:rsidRDefault="007B05EA" w:rsidP="007B05EA">
            <w:pPr>
              <w:jc w:val="center"/>
              <w:rPr>
                <w:rFonts w:ascii="Arial Narrow" w:hAnsi="Arial Narrow" w:cs="Times New Roman"/>
                <w:color w:val="333333"/>
                <w:sz w:val="20"/>
                <w:szCs w:val="20"/>
              </w:rPr>
            </w:pPr>
          </w:p>
        </w:tc>
        <w:tc>
          <w:tcPr>
            <w:tcW w:w="8086" w:type="dxa"/>
            <w:gridSpan w:val="6"/>
            <w:vAlign w:val="center"/>
          </w:tcPr>
          <w:p w14:paraId="25B91CE1" w14:textId="77777777" w:rsidR="007B05EA" w:rsidRPr="00550DCD" w:rsidRDefault="007B05EA" w:rsidP="007B05EA">
            <w:pPr>
              <w:jc w:val="left"/>
              <w:rPr>
                <w:rFonts w:ascii="Arial Narrow" w:hAnsi="Arial Narrow" w:cs="Times New Roman"/>
                <w:b/>
                <w:bCs/>
                <w:color w:val="333333"/>
                <w:sz w:val="20"/>
                <w:szCs w:val="20"/>
              </w:rPr>
            </w:pPr>
            <w:r w:rsidRPr="00550DCD">
              <w:rPr>
                <w:rFonts w:ascii="Arial Narrow" w:hAnsi="Arial Narrow" w:cs="Times New Roman"/>
                <w:b/>
                <w:bCs/>
                <w:color w:val="333333"/>
                <w:sz w:val="20"/>
                <w:szCs w:val="20"/>
              </w:rPr>
              <w:t xml:space="preserve">Prescribing Instructions: </w:t>
            </w:r>
            <w:r w:rsidRPr="00550DCD">
              <w:rPr>
                <w:rFonts w:ascii="Arial Narrow" w:hAnsi="Arial Narrow" w:cs="Times New Roman"/>
                <w:color w:val="333333"/>
                <w:sz w:val="20"/>
                <w:szCs w:val="20"/>
              </w:rPr>
              <w:t>The</w:t>
            </w:r>
            <w:r w:rsidRPr="00550DCD">
              <w:rPr>
                <w:rFonts w:ascii="Arial Narrow" w:hAnsi="Arial Narrow" w:cs="Times New Roman"/>
                <w:b/>
                <w:bCs/>
                <w:color w:val="333333"/>
                <w:sz w:val="20"/>
                <w:szCs w:val="20"/>
              </w:rPr>
              <w:t xml:space="preserve"> </w:t>
            </w:r>
            <w:r w:rsidRPr="00550DCD">
              <w:rPr>
                <w:rFonts w:ascii="Arial Narrow" w:hAnsi="Arial Narrow" w:cs="Times New Roman"/>
                <w:color w:val="333333"/>
                <w:sz w:val="20"/>
                <w:szCs w:val="20"/>
              </w:rPr>
              <w:t>results of the blood glucose monitoring, which must be no more than 4 months old at the time of initiation of treatment with a gliptin, a glitazone, a glucagon-like peptide-1 or an SGLT2 inhibitor, must be documented in the patient's medical records.</w:t>
            </w:r>
          </w:p>
        </w:tc>
      </w:tr>
    </w:tbl>
    <w:p w14:paraId="0D71CCA7" w14:textId="77777777" w:rsidR="007B05EA" w:rsidRDefault="007B05EA" w:rsidP="007B05EA"/>
    <w:p w14:paraId="61C4D8B1" w14:textId="77777777" w:rsidR="007B05EA" w:rsidRDefault="007B05EA" w:rsidP="007B05EA">
      <w:pPr>
        <w:rPr>
          <w:rFonts w:asciiTheme="minorHAnsi" w:hAnsiTheme="minorHAnsi"/>
          <w:szCs w:val="22"/>
        </w:rPr>
      </w:pPr>
      <w:r w:rsidRPr="00BB6D30">
        <w:rPr>
          <w:rFonts w:asciiTheme="minorHAnsi" w:hAnsiTheme="minorHAnsi"/>
          <w:b/>
          <w:bCs/>
          <w:i/>
          <w:szCs w:val="22"/>
        </w:rPr>
        <w:t>This restriction may be subject to further review. Should there be any changes made to the restriction the sponsor will be informed</w:t>
      </w:r>
      <w:r w:rsidRPr="007F262A">
        <w:rPr>
          <w:rFonts w:asciiTheme="minorHAnsi" w:hAnsiTheme="minorHAnsi"/>
          <w:szCs w:val="22"/>
        </w:rPr>
        <w:t>.</w:t>
      </w:r>
    </w:p>
    <w:p w14:paraId="69B12503" w14:textId="621B1B41" w:rsidR="00F54A00" w:rsidRDefault="00F54A00" w:rsidP="00B52E86">
      <w:pPr>
        <w:pStyle w:val="3-BodyText"/>
        <w:numPr>
          <w:ilvl w:val="0"/>
          <w:numId w:val="0"/>
        </w:numPr>
        <w:ind w:left="720" w:hanging="720"/>
      </w:pPr>
    </w:p>
    <w:p w14:paraId="00413049" w14:textId="7A7817DD" w:rsidR="003343B3" w:rsidRDefault="003343B3" w:rsidP="003343B3">
      <w:pPr>
        <w:pStyle w:val="2-SectionHeading"/>
        <w:rPr>
          <w:bCs/>
          <w:lang w:val="en-GB"/>
        </w:rPr>
      </w:pPr>
      <w:r w:rsidRPr="00C07617">
        <w:t>Context for Decision</w:t>
      </w:r>
    </w:p>
    <w:p w14:paraId="5FE60E13" w14:textId="77777777" w:rsidR="003343B3" w:rsidRPr="007129F2" w:rsidRDefault="003343B3" w:rsidP="006F2CB7">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7B6D988" w14:textId="0BF98A7B" w:rsidR="003343B3" w:rsidRPr="00C07617" w:rsidRDefault="003343B3" w:rsidP="003343B3">
      <w:pPr>
        <w:pStyle w:val="2-SectionHeading"/>
      </w:pPr>
      <w:r>
        <w:t>Sponsor’s Comment</w:t>
      </w:r>
    </w:p>
    <w:p w14:paraId="6212FEBB" w14:textId="77777777" w:rsidR="003343B3" w:rsidRPr="001179AC" w:rsidRDefault="003343B3" w:rsidP="006F2CB7">
      <w:pPr>
        <w:spacing w:after="120"/>
        <w:ind w:left="426" w:firstLine="294"/>
        <w:rPr>
          <w:rFonts w:asciiTheme="minorHAnsi" w:hAnsiTheme="minorHAnsi"/>
          <w:bCs/>
        </w:rPr>
      </w:pPr>
      <w:r w:rsidRPr="00C07617">
        <w:rPr>
          <w:rFonts w:asciiTheme="minorHAnsi" w:hAnsiTheme="minorHAnsi"/>
          <w:bCs/>
        </w:rPr>
        <w:t>The sponsor had no comment.</w:t>
      </w:r>
    </w:p>
    <w:p w14:paraId="44F18326" w14:textId="77777777" w:rsidR="003343B3" w:rsidRPr="001B128A" w:rsidRDefault="003343B3" w:rsidP="00B52E86">
      <w:pPr>
        <w:pStyle w:val="3-BodyText"/>
        <w:numPr>
          <w:ilvl w:val="0"/>
          <w:numId w:val="0"/>
        </w:numPr>
        <w:ind w:left="720" w:hanging="720"/>
      </w:pPr>
    </w:p>
    <w:sectPr w:rsidR="003343B3" w:rsidRPr="001B128A" w:rsidSect="00251006">
      <w:headerReference w:type="default" r:id="rId8"/>
      <w:footerReference w:type="default" r:id="rId9"/>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335E6" w14:textId="77777777" w:rsidR="00185975" w:rsidRDefault="00185975" w:rsidP="00124A51">
      <w:r>
        <w:separator/>
      </w:r>
    </w:p>
    <w:p w14:paraId="4767741F" w14:textId="77777777" w:rsidR="00185975" w:rsidRDefault="00185975"/>
  </w:endnote>
  <w:endnote w:type="continuationSeparator" w:id="0">
    <w:p w14:paraId="08770A5A" w14:textId="77777777" w:rsidR="00185975" w:rsidRDefault="00185975" w:rsidP="00124A51">
      <w:r>
        <w:continuationSeparator/>
      </w:r>
    </w:p>
    <w:p w14:paraId="59D4E5F3" w14:textId="77777777" w:rsidR="00185975" w:rsidRDefault="00185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E5E6A" w14:textId="77777777" w:rsidR="00185975" w:rsidRDefault="00185975" w:rsidP="004A13A7">
    <w:pPr>
      <w:ind w:left="709"/>
      <w:contextualSpacing/>
      <w:jc w:val="center"/>
      <w:rPr>
        <w:rFonts w:eastAsia="Calibri" w:cs="Times New Roman"/>
        <w:szCs w:val="22"/>
        <w:lang w:eastAsia="en-GB"/>
      </w:rPr>
    </w:pPr>
  </w:p>
  <w:p w14:paraId="1B686641" w14:textId="60E65C6C" w:rsidR="00185975" w:rsidRDefault="00185975" w:rsidP="0060789C">
    <w:pPr>
      <w:pStyle w:val="Footer"/>
      <w:jc w:val="center"/>
    </w:pPr>
    <w:r w:rsidRPr="00836F75">
      <w:rPr>
        <w:b/>
      </w:rPr>
      <w:fldChar w:fldCharType="begin"/>
    </w:r>
    <w:r w:rsidRPr="00836F75">
      <w:rPr>
        <w:b/>
      </w:rPr>
      <w:instrText xml:space="preserve"> PAGE   \* MERGEFORMAT </w:instrText>
    </w:r>
    <w:r w:rsidRPr="00836F75">
      <w:rPr>
        <w:b/>
      </w:rPr>
      <w:fldChar w:fldCharType="separate"/>
    </w:r>
    <w:r>
      <w:rPr>
        <w:b/>
        <w:noProof/>
      </w:rPr>
      <w:t>13</w:t>
    </w:r>
    <w:r w:rsidRPr="00836F75">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FBE97" w14:textId="77777777" w:rsidR="00185975" w:rsidRDefault="00185975" w:rsidP="00124A51">
      <w:r>
        <w:separator/>
      </w:r>
    </w:p>
    <w:p w14:paraId="538F5EFA" w14:textId="77777777" w:rsidR="00185975" w:rsidRDefault="00185975"/>
  </w:footnote>
  <w:footnote w:type="continuationSeparator" w:id="0">
    <w:p w14:paraId="0A8BDFD6" w14:textId="77777777" w:rsidR="00185975" w:rsidRDefault="00185975" w:rsidP="00124A51">
      <w:r>
        <w:continuationSeparator/>
      </w:r>
    </w:p>
    <w:p w14:paraId="3316D3D5" w14:textId="77777777" w:rsidR="00185975" w:rsidRDefault="001859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79A90" w14:textId="267854AC" w:rsidR="00185975" w:rsidRPr="00C74B3B" w:rsidRDefault="00185975" w:rsidP="0060789C">
    <w:pPr>
      <w:keepNext/>
      <w:tabs>
        <w:tab w:val="center" w:pos="4153"/>
        <w:tab w:val="right" w:pos="8306"/>
      </w:tabs>
      <w:ind w:left="360"/>
      <w:jc w:val="center"/>
      <w:rPr>
        <w:i/>
        <w:color w:val="808080"/>
        <w:lang w:eastAsia="en-US"/>
      </w:rPr>
    </w:pPr>
    <w:bookmarkStart w:id="52" w:name="_Hlk76375146"/>
    <w:r>
      <w:rPr>
        <w:i/>
        <w:color w:val="808080"/>
        <w:lang w:eastAsia="en-US"/>
      </w:rPr>
      <w:t>Public Summary Document</w:t>
    </w:r>
    <w:r w:rsidRPr="00C74B3B">
      <w:rPr>
        <w:i/>
        <w:color w:val="808080"/>
        <w:lang w:eastAsia="en-US"/>
      </w:rPr>
      <w:t xml:space="preserve"> – March 2022 PBAC Meeting</w:t>
    </w:r>
    <w:r>
      <w:rPr>
        <w:i/>
        <w:color w:val="808080"/>
        <w:lang w:eastAsia="en-US"/>
      </w:rPr>
      <w:t xml:space="preserve"> with May 2022 Addendum</w:t>
    </w:r>
  </w:p>
  <w:bookmarkEnd w:id="52"/>
  <w:p w14:paraId="5E83BD6D" w14:textId="77777777" w:rsidR="00185975" w:rsidRDefault="001859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BE624C"/>
    <w:multiLevelType w:val="hybridMultilevel"/>
    <w:tmpl w:val="6E16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D222A"/>
    <w:multiLevelType w:val="hybridMultilevel"/>
    <w:tmpl w:val="272ADF7A"/>
    <w:lvl w:ilvl="0" w:tplc="73BC7432">
      <w:start w:val="1"/>
      <w:numFmt w:val="decimal"/>
      <w:lvlText w:val="%1."/>
      <w:lvlJc w:val="left"/>
      <w:pPr>
        <w:ind w:left="720" w:hanging="360"/>
      </w:pPr>
      <w:rPr>
        <w:i w:val="0"/>
        <w:i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912106"/>
    <w:multiLevelType w:val="hybridMultilevel"/>
    <w:tmpl w:val="4D06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559D5"/>
    <w:multiLevelType w:val="hybridMultilevel"/>
    <w:tmpl w:val="792ADD70"/>
    <w:lvl w:ilvl="0" w:tplc="BE5EB510">
      <w:start w:val="1"/>
      <w:numFmt w:val="decimal"/>
      <w:lvlText w:val="%1."/>
      <w:lvlJc w:val="left"/>
      <w:pPr>
        <w:ind w:left="720" w:hanging="360"/>
      </w:pPr>
      <w:rPr>
        <w:rFonts w:asciiTheme="minorHAnsi" w:hAnsiTheme="minorHAnsi" w:cstheme="minorHAnsi"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0F325B"/>
    <w:multiLevelType w:val="hybridMultilevel"/>
    <w:tmpl w:val="27949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419D6"/>
    <w:multiLevelType w:val="hybridMultilevel"/>
    <w:tmpl w:val="4DE6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4505B"/>
    <w:multiLevelType w:val="hybridMultilevel"/>
    <w:tmpl w:val="DFA4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967ECB"/>
    <w:multiLevelType w:val="hybridMultilevel"/>
    <w:tmpl w:val="802A380A"/>
    <w:lvl w:ilvl="0" w:tplc="626A158C">
      <w:start w:val="1"/>
      <w:numFmt w:val="bullet"/>
      <w:lvlText w:val=""/>
      <w:lvlJc w:val="left"/>
      <w:pPr>
        <w:ind w:left="720" w:hanging="360"/>
      </w:pPr>
      <w:rPr>
        <w:rFonts w:ascii="Wingdings" w:hAnsi="Wingdings" w:hint="default"/>
      </w:rPr>
    </w:lvl>
    <w:lvl w:ilvl="1" w:tplc="23422856">
      <w:start w:val="1"/>
      <w:numFmt w:val="bullet"/>
      <w:pStyle w:val="Bull2table"/>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A55C06"/>
    <w:multiLevelType w:val="hybridMultilevel"/>
    <w:tmpl w:val="4F46AF9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2CE3506"/>
    <w:multiLevelType w:val="hybridMultilevel"/>
    <w:tmpl w:val="BBDA2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1"/>
  </w:num>
  <w:num w:numId="4">
    <w:abstractNumId w:val="0"/>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7"/>
  </w:num>
  <w:num w:numId="9">
    <w:abstractNumId w:val="12"/>
  </w:num>
  <w:num w:numId="10">
    <w:abstractNumId w:val="9"/>
  </w:num>
  <w:num w:numId="11">
    <w:abstractNumId w:val="14"/>
  </w:num>
  <w:num w:numId="12">
    <w:abstractNumId w:val="13"/>
  </w:num>
  <w:num w:numId="13">
    <w:abstractNumId w:val="3"/>
  </w:num>
  <w:num w:numId="14">
    <w:abstractNumId w:val="7"/>
  </w:num>
  <w:num w:numId="15">
    <w:abstractNumId w:val="1"/>
  </w:num>
  <w:num w:numId="16">
    <w:abstractNumId w:val="8"/>
  </w:num>
  <w:num w:numId="17">
    <w:abstractNumId w:val="15"/>
  </w:num>
  <w:num w:numId="18">
    <w:abstractNumId w:val="6"/>
  </w:num>
  <w:num w:numId="19">
    <w:abstractNumId w:val="4"/>
  </w:num>
  <w:num w:numId="2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3499"/>
    <w:rsid w:val="000039B7"/>
    <w:rsid w:val="0000639A"/>
    <w:rsid w:val="00006DEC"/>
    <w:rsid w:val="00006F89"/>
    <w:rsid w:val="000122C5"/>
    <w:rsid w:val="00012F6B"/>
    <w:rsid w:val="00013247"/>
    <w:rsid w:val="00015886"/>
    <w:rsid w:val="000162EF"/>
    <w:rsid w:val="000207C9"/>
    <w:rsid w:val="0002225F"/>
    <w:rsid w:val="00022D10"/>
    <w:rsid w:val="00023763"/>
    <w:rsid w:val="000267C0"/>
    <w:rsid w:val="000274B8"/>
    <w:rsid w:val="00027DC4"/>
    <w:rsid w:val="0003267E"/>
    <w:rsid w:val="000333C0"/>
    <w:rsid w:val="00033428"/>
    <w:rsid w:val="00033863"/>
    <w:rsid w:val="00035B33"/>
    <w:rsid w:val="00035D33"/>
    <w:rsid w:val="00035DC0"/>
    <w:rsid w:val="00036829"/>
    <w:rsid w:val="00040895"/>
    <w:rsid w:val="00042926"/>
    <w:rsid w:val="00043397"/>
    <w:rsid w:val="000435EE"/>
    <w:rsid w:val="00043C37"/>
    <w:rsid w:val="00045017"/>
    <w:rsid w:val="00045A2B"/>
    <w:rsid w:val="0004698F"/>
    <w:rsid w:val="00052AB0"/>
    <w:rsid w:val="0005316E"/>
    <w:rsid w:val="000539D0"/>
    <w:rsid w:val="00054621"/>
    <w:rsid w:val="000546D7"/>
    <w:rsid w:val="00056ECF"/>
    <w:rsid w:val="000604DF"/>
    <w:rsid w:val="0006085B"/>
    <w:rsid w:val="000653B5"/>
    <w:rsid w:val="00066360"/>
    <w:rsid w:val="00066AF8"/>
    <w:rsid w:val="00071248"/>
    <w:rsid w:val="000720B9"/>
    <w:rsid w:val="000737F7"/>
    <w:rsid w:val="0007672F"/>
    <w:rsid w:val="00076B54"/>
    <w:rsid w:val="000774F0"/>
    <w:rsid w:val="000805A7"/>
    <w:rsid w:val="00080909"/>
    <w:rsid w:val="000812CA"/>
    <w:rsid w:val="00081E63"/>
    <w:rsid w:val="0008258D"/>
    <w:rsid w:val="00083E99"/>
    <w:rsid w:val="00084A57"/>
    <w:rsid w:val="00084FA8"/>
    <w:rsid w:val="000856C5"/>
    <w:rsid w:val="00085C31"/>
    <w:rsid w:val="000902D9"/>
    <w:rsid w:val="00090C7E"/>
    <w:rsid w:val="00092600"/>
    <w:rsid w:val="0009262B"/>
    <w:rsid w:val="00093310"/>
    <w:rsid w:val="0009445C"/>
    <w:rsid w:val="00094FB7"/>
    <w:rsid w:val="00095200"/>
    <w:rsid w:val="00095FE5"/>
    <w:rsid w:val="00096284"/>
    <w:rsid w:val="000A1BC0"/>
    <w:rsid w:val="000A6039"/>
    <w:rsid w:val="000A7453"/>
    <w:rsid w:val="000A7D08"/>
    <w:rsid w:val="000B0121"/>
    <w:rsid w:val="000B0269"/>
    <w:rsid w:val="000B0670"/>
    <w:rsid w:val="000B0E75"/>
    <w:rsid w:val="000B13AF"/>
    <w:rsid w:val="000B2DCB"/>
    <w:rsid w:val="000B5CE0"/>
    <w:rsid w:val="000B6CAC"/>
    <w:rsid w:val="000B7612"/>
    <w:rsid w:val="000B78AE"/>
    <w:rsid w:val="000B7ED9"/>
    <w:rsid w:val="000C3DF9"/>
    <w:rsid w:val="000C6713"/>
    <w:rsid w:val="000C71A6"/>
    <w:rsid w:val="000D1BFC"/>
    <w:rsid w:val="000D1D5D"/>
    <w:rsid w:val="000D281A"/>
    <w:rsid w:val="000D2848"/>
    <w:rsid w:val="000D326A"/>
    <w:rsid w:val="000D51FB"/>
    <w:rsid w:val="000E0640"/>
    <w:rsid w:val="000E135D"/>
    <w:rsid w:val="000E22EC"/>
    <w:rsid w:val="000F00BA"/>
    <w:rsid w:val="000F316A"/>
    <w:rsid w:val="000F3C74"/>
    <w:rsid w:val="000F4BB8"/>
    <w:rsid w:val="000F4FA9"/>
    <w:rsid w:val="000F53FB"/>
    <w:rsid w:val="000F7127"/>
    <w:rsid w:val="000F76B3"/>
    <w:rsid w:val="000F7B54"/>
    <w:rsid w:val="00100F8A"/>
    <w:rsid w:val="0010452E"/>
    <w:rsid w:val="00105771"/>
    <w:rsid w:val="00105AE2"/>
    <w:rsid w:val="001060C6"/>
    <w:rsid w:val="00106B80"/>
    <w:rsid w:val="0011032E"/>
    <w:rsid w:val="0011348B"/>
    <w:rsid w:val="00115982"/>
    <w:rsid w:val="00116C53"/>
    <w:rsid w:val="00121799"/>
    <w:rsid w:val="001222FC"/>
    <w:rsid w:val="00123902"/>
    <w:rsid w:val="00124A51"/>
    <w:rsid w:val="00125D8B"/>
    <w:rsid w:val="00126621"/>
    <w:rsid w:val="00126B1D"/>
    <w:rsid w:val="001301E9"/>
    <w:rsid w:val="00131D82"/>
    <w:rsid w:val="00132B22"/>
    <w:rsid w:val="00133D36"/>
    <w:rsid w:val="00137645"/>
    <w:rsid w:val="0013787A"/>
    <w:rsid w:val="0014015A"/>
    <w:rsid w:val="00140E99"/>
    <w:rsid w:val="00143277"/>
    <w:rsid w:val="00143F67"/>
    <w:rsid w:val="00145540"/>
    <w:rsid w:val="001456B0"/>
    <w:rsid w:val="001541B9"/>
    <w:rsid w:val="00156F8F"/>
    <w:rsid w:val="00157130"/>
    <w:rsid w:val="001576B1"/>
    <w:rsid w:val="0016047B"/>
    <w:rsid w:val="00160A4C"/>
    <w:rsid w:val="00162913"/>
    <w:rsid w:val="00163EFF"/>
    <w:rsid w:val="00163F66"/>
    <w:rsid w:val="00164058"/>
    <w:rsid w:val="001661FB"/>
    <w:rsid w:val="001671A0"/>
    <w:rsid w:val="0016767F"/>
    <w:rsid w:val="00171824"/>
    <w:rsid w:val="00173565"/>
    <w:rsid w:val="00173B07"/>
    <w:rsid w:val="001751FA"/>
    <w:rsid w:val="00177B17"/>
    <w:rsid w:val="00181D9C"/>
    <w:rsid w:val="001843CD"/>
    <w:rsid w:val="00184B0E"/>
    <w:rsid w:val="00185975"/>
    <w:rsid w:val="0018752F"/>
    <w:rsid w:val="0019304B"/>
    <w:rsid w:val="00193838"/>
    <w:rsid w:val="00194AD8"/>
    <w:rsid w:val="00195222"/>
    <w:rsid w:val="001975D8"/>
    <w:rsid w:val="001A178E"/>
    <w:rsid w:val="001A43FA"/>
    <w:rsid w:val="001A47C5"/>
    <w:rsid w:val="001A59FB"/>
    <w:rsid w:val="001A5E9E"/>
    <w:rsid w:val="001A6354"/>
    <w:rsid w:val="001A6366"/>
    <w:rsid w:val="001A7AE8"/>
    <w:rsid w:val="001B128A"/>
    <w:rsid w:val="001B187B"/>
    <w:rsid w:val="001B204E"/>
    <w:rsid w:val="001B2372"/>
    <w:rsid w:val="001B3443"/>
    <w:rsid w:val="001B4D20"/>
    <w:rsid w:val="001C227C"/>
    <w:rsid w:val="001C2A9B"/>
    <w:rsid w:val="001C4299"/>
    <w:rsid w:val="001C44D5"/>
    <w:rsid w:val="001C4874"/>
    <w:rsid w:val="001C5F94"/>
    <w:rsid w:val="001C6C02"/>
    <w:rsid w:val="001C6E66"/>
    <w:rsid w:val="001D1100"/>
    <w:rsid w:val="001D1391"/>
    <w:rsid w:val="001D25D7"/>
    <w:rsid w:val="001D3722"/>
    <w:rsid w:val="001D50B2"/>
    <w:rsid w:val="001D7645"/>
    <w:rsid w:val="001E1E86"/>
    <w:rsid w:val="001E238E"/>
    <w:rsid w:val="001E2483"/>
    <w:rsid w:val="001E2B1E"/>
    <w:rsid w:val="001E2CFF"/>
    <w:rsid w:val="001E2F24"/>
    <w:rsid w:val="001E30D4"/>
    <w:rsid w:val="001E34DF"/>
    <w:rsid w:val="001E3FCD"/>
    <w:rsid w:val="001E52EB"/>
    <w:rsid w:val="001E61D2"/>
    <w:rsid w:val="001E740C"/>
    <w:rsid w:val="001E78D5"/>
    <w:rsid w:val="001F1235"/>
    <w:rsid w:val="001F1CB3"/>
    <w:rsid w:val="001F38B5"/>
    <w:rsid w:val="001F3D6B"/>
    <w:rsid w:val="001F4081"/>
    <w:rsid w:val="001F7361"/>
    <w:rsid w:val="002011B0"/>
    <w:rsid w:val="00203075"/>
    <w:rsid w:val="00203181"/>
    <w:rsid w:val="00203783"/>
    <w:rsid w:val="0020385F"/>
    <w:rsid w:val="002068A0"/>
    <w:rsid w:val="00207021"/>
    <w:rsid w:val="0020732F"/>
    <w:rsid w:val="00207D00"/>
    <w:rsid w:val="002105C1"/>
    <w:rsid w:val="00213EF5"/>
    <w:rsid w:val="00216BF5"/>
    <w:rsid w:val="002177D8"/>
    <w:rsid w:val="00223B49"/>
    <w:rsid w:val="00223D5A"/>
    <w:rsid w:val="00224DD4"/>
    <w:rsid w:val="002278A0"/>
    <w:rsid w:val="002309CC"/>
    <w:rsid w:val="0023191C"/>
    <w:rsid w:val="0023209F"/>
    <w:rsid w:val="00232A8F"/>
    <w:rsid w:val="00233C01"/>
    <w:rsid w:val="0023413C"/>
    <w:rsid w:val="00234471"/>
    <w:rsid w:val="002346F0"/>
    <w:rsid w:val="0023629D"/>
    <w:rsid w:val="00237255"/>
    <w:rsid w:val="002424AF"/>
    <w:rsid w:val="00242889"/>
    <w:rsid w:val="002439DC"/>
    <w:rsid w:val="002441D2"/>
    <w:rsid w:val="00244DC8"/>
    <w:rsid w:val="002458BA"/>
    <w:rsid w:val="00245CE9"/>
    <w:rsid w:val="0024636C"/>
    <w:rsid w:val="00247925"/>
    <w:rsid w:val="002500B8"/>
    <w:rsid w:val="00251006"/>
    <w:rsid w:val="002524D5"/>
    <w:rsid w:val="00252A0F"/>
    <w:rsid w:val="00252A86"/>
    <w:rsid w:val="00253B1D"/>
    <w:rsid w:val="00254DCF"/>
    <w:rsid w:val="0025534B"/>
    <w:rsid w:val="00255BB7"/>
    <w:rsid w:val="00257541"/>
    <w:rsid w:val="00257A39"/>
    <w:rsid w:val="00257AC4"/>
    <w:rsid w:val="00261EEF"/>
    <w:rsid w:val="00262A1A"/>
    <w:rsid w:val="00262A87"/>
    <w:rsid w:val="0026453C"/>
    <w:rsid w:val="00264D26"/>
    <w:rsid w:val="00267642"/>
    <w:rsid w:val="002679E2"/>
    <w:rsid w:val="00267AEA"/>
    <w:rsid w:val="002700E6"/>
    <w:rsid w:val="0027294B"/>
    <w:rsid w:val="00273033"/>
    <w:rsid w:val="00273EB4"/>
    <w:rsid w:val="00274682"/>
    <w:rsid w:val="00275C5A"/>
    <w:rsid w:val="00281014"/>
    <w:rsid w:val="0028665D"/>
    <w:rsid w:val="002A14AB"/>
    <w:rsid w:val="002A2ADE"/>
    <w:rsid w:val="002A2F50"/>
    <w:rsid w:val="002B05A1"/>
    <w:rsid w:val="002B09A4"/>
    <w:rsid w:val="002B1C1F"/>
    <w:rsid w:val="002B432F"/>
    <w:rsid w:val="002B62B3"/>
    <w:rsid w:val="002B6754"/>
    <w:rsid w:val="002B6CCE"/>
    <w:rsid w:val="002C02F7"/>
    <w:rsid w:val="002C1E1D"/>
    <w:rsid w:val="002C2510"/>
    <w:rsid w:val="002C2775"/>
    <w:rsid w:val="002C27C1"/>
    <w:rsid w:val="002C5099"/>
    <w:rsid w:val="002C5889"/>
    <w:rsid w:val="002C59A0"/>
    <w:rsid w:val="002C71CE"/>
    <w:rsid w:val="002D08F8"/>
    <w:rsid w:val="002D1344"/>
    <w:rsid w:val="002D577C"/>
    <w:rsid w:val="002E1071"/>
    <w:rsid w:val="002E15B9"/>
    <w:rsid w:val="002E2158"/>
    <w:rsid w:val="002E4F02"/>
    <w:rsid w:val="002E7722"/>
    <w:rsid w:val="002F07BA"/>
    <w:rsid w:val="002F0DA9"/>
    <w:rsid w:val="002F1014"/>
    <w:rsid w:val="002F643C"/>
    <w:rsid w:val="002F71C0"/>
    <w:rsid w:val="002F74F1"/>
    <w:rsid w:val="00301017"/>
    <w:rsid w:val="0030155F"/>
    <w:rsid w:val="0030587B"/>
    <w:rsid w:val="00306D98"/>
    <w:rsid w:val="0030786C"/>
    <w:rsid w:val="00307F61"/>
    <w:rsid w:val="0031031A"/>
    <w:rsid w:val="00310981"/>
    <w:rsid w:val="003124D9"/>
    <w:rsid w:val="00312594"/>
    <w:rsid w:val="00315498"/>
    <w:rsid w:val="00316474"/>
    <w:rsid w:val="00322107"/>
    <w:rsid w:val="00322355"/>
    <w:rsid w:val="00322846"/>
    <w:rsid w:val="003259AB"/>
    <w:rsid w:val="00326DA7"/>
    <w:rsid w:val="003270E4"/>
    <w:rsid w:val="00330DAA"/>
    <w:rsid w:val="00330F5C"/>
    <w:rsid w:val="003343B3"/>
    <w:rsid w:val="003366C9"/>
    <w:rsid w:val="003371B0"/>
    <w:rsid w:val="003375D3"/>
    <w:rsid w:val="00340DF1"/>
    <w:rsid w:val="0034199A"/>
    <w:rsid w:val="0034379F"/>
    <w:rsid w:val="00343962"/>
    <w:rsid w:val="0034750F"/>
    <w:rsid w:val="003517F9"/>
    <w:rsid w:val="00351BA9"/>
    <w:rsid w:val="00354F64"/>
    <w:rsid w:val="0035620E"/>
    <w:rsid w:val="00360345"/>
    <w:rsid w:val="003613B2"/>
    <w:rsid w:val="00361A05"/>
    <w:rsid w:val="003624C4"/>
    <w:rsid w:val="00363B00"/>
    <w:rsid w:val="003654AC"/>
    <w:rsid w:val="00366E42"/>
    <w:rsid w:val="003710CF"/>
    <w:rsid w:val="00371C82"/>
    <w:rsid w:val="0037358A"/>
    <w:rsid w:val="0037436F"/>
    <w:rsid w:val="003750F6"/>
    <w:rsid w:val="003760FC"/>
    <w:rsid w:val="003779A4"/>
    <w:rsid w:val="0038043D"/>
    <w:rsid w:val="0038365C"/>
    <w:rsid w:val="0038369B"/>
    <w:rsid w:val="00383B78"/>
    <w:rsid w:val="00385A9D"/>
    <w:rsid w:val="00386559"/>
    <w:rsid w:val="00386792"/>
    <w:rsid w:val="003902B1"/>
    <w:rsid w:val="0039179C"/>
    <w:rsid w:val="00396896"/>
    <w:rsid w:val="00396F3D"/>
    <w:rsid w:val="00396FD0"/>
    <w:rsid w:val="003A1A7A"/>
    <w:rsid w:val="003A2392"/>
    <w:rsid w:val="003A2831"/>
    <w:rsid w:val="003A31F0"/>
    <w:rsid w:val="003A3CB6"/>
    <w:rsid w:val="003A3ED1"/>
    <w:rsid w:val="003A44DB"/>
    <w:rsid w:val="003B3971"/>
    <w:rsid w:val="003B55D1"/>
    <w:rsid w:val="003B5A2C"/>
    <w:rsid w:val="003B5B61"/>
    <w:rsid w:val="003B6012"/>
    <w:rsid w:val="003C0733"/>
    <w:rsid w:val="003C0B44"/>
    <w:rsid w:val="003C1654"/>
    <w:rsid w:val="003C1F40"/>
    <w:rsid w:val="003C5542"/>
    <w:rsid w:val="003C7D19"/>
    <w:rsid w:val="003C7D2F"/>
    <w:rsid w:val="003D1828"/>
    <w:rsid w:val="003D1DE4"/>
    <w:rsid w:val="003D1E9A"/>
    <w:rsid w:val="003D2422"/>
    <w:rsid w:val="003D39A1"/>
    <w:rsid w:val="003D3FBF"/>
    <w:rsid w:val="003D4A30"/>
    <w:rsid w:val="003D7452"/>
    <w:rsid w:val="003D79AC"/>
    <w:rsid w:val="003D79BB"/>
    <w:rsid w:val="003D7C98"/>
    <w:rsid w:val="003D7D9D"/>
    <w:rsid w:val="003E0543"/>
    <w:rsid w:val="003E336D"/>
    <w:rsid w:val="003E396A"/>
    <w:rsid w:val="003E749E"/>
    <w:rsid w:val="003F3386"/>
    <w:rsid w:val="003F4156"/>
    <w:rsid w:val="003F5ADF"/>
    <w:rsid w:val="00400B29"/>
    <w:rsid w:val="0040504B"/>
    <w:rsid w:val="004059F4"/>
    <w:rsid w:val="00407FE5"/>
    <w:rsid w:val="004101B0"/>
    <w:rsid w:val="00410326"/>
    <w:rsid w:val="00410708"/>
    <w:rsid w:val="00410EC7"/>
    <w:rsid w:val="00411B39"/>
    <w:rsid w:val="004127A7"/>
    <w:rsid w:val="00413A1E"/>
    <w:rsid w:val="00414476"/>
    <w:rsid w:val="00414C2E"/>
    <w:rsid w:val="004151CF"/>
    <w:rsid w:val="00416364"/>
    <w:rsid w:val="0042047F"/>
    <w:rsid w:val="00420AA6"/>
    <w:rsid w:val="00420B9F"/>
    <w:rsid w:val="0042192C"/>
    <w:rsid w:val="00422260"/>
    <w:rsid w:val="0042413F"/>
    <w:rsid w:val="004319F8"/>
    <w:rsid w:val="00431E55"/>
    <w:rsid w:val="004321F6"/>
    <w:rsid w:val="004322D6"/>
    <w:rsid w:val="00433044"/>
    <w:rsid w:val="00434088"/>
    <w:rsid w:val="004359C9"/>
    <w:rsid w:val="004375B9"/>
    <w:rsid w:val="00441397"/>
    <w:rsid w:val="004428D0"/>
    <w:rsid w:val="00444185"/>
    <w:rsid w:val="004443A7"/>
    <w:rsid w:val="0044442C"/>
    <w:rsid w:val="00445941"/>
    <w:rsid w:val="004464EB"/>
    <w:rsid w:val="00447D26"/>
    <w:rsid w:val="00447DFC"/>
    <w:rsid w:val="00447EFA"/>
    <w:rsid w:val="00455D45"/>
    <w:rsid w:val="00464595"/>
    <w:rsid w:val="004658B5"/>
    <w:rsid w:val="004661A5"/>
    <w:rsid w:val="00470891"/>
    <w:rsid w:val="004709C4"/>
    <w:rsid w:val="00471EA5"/>
    <w:rsid w:val="00472A79"/>
    <w:rsid w:val="00473F19"/>
    <w:rsid w:val="00475E22"/>
    <w:rsid w:val="0048088E"/>
    <w:rsid w:val="00480F2B"/>
    <w:rsid w:val="00482720"/>
    <w:rsid w:val="004835E7"/>
    <w:rsid w:val="004867E2"/>
    <w:rsid w:val="00490369"/>
    <w:rsid w:val="00490B17"/>
    <w:rsid w:val="00491B3A"/>
    <w:rsid w:val="00492CFD"/>
    <w:rsid w:val="00494207"/>
    <w:rsid w:val="00494DD5"/>
    <w:rsid w:val="004962D2"/>
    <w:rsid w:val="004A0B21"/>
    <w:rsid w:val="004A0DA1"/>
    <w:rsid w:val="004A13A7"/>
    <w:rsid w:val="004A13D6"/>
    <w:rsid w:val="004A2D53"/>
    <w:rsid w:val="004A52C2"/>
    <w:rsid w:val="004A52E9"/>
    <w:rsid w:val="004A6040"/>
    <w:rsid w:val="004A6597"/>
    <w:rsid w:val="004A6ED3"/>
    <w:rsid w:val="004A7527"/>
    <w:rsid w:val="004A7848"/>
    <w:rsid w:val="004B114F"/>
    <w:rsid w:val="004B1CB4"/>
    <w:rsid w:val="004B2F18"/>
    <w:rsid w:val="004B3DDB"/>
    <w:rsid w:val="004B44FD"/>
    <w:rsid w:val="004B5CFC"/>
    <w:rsid w:val="004B6F79"/>
    <w:rsid w:val="004B774D"/>
    <w:rsid w:val="004C28C8"/>
    <w:rsid w:val="004C4AED"/>
    <w:rsid w:val="004D2C2D"/>
    <w:rsid w:val="004D69B5"/>
    <w:rsid w:val="004D7227"/>
    <w:rsid w:val="004D74EC"/>
    <w:rsid w:val="004E0593"/>
    <w:rsid w:val="004E0E7F"/>
    <w:rsid w:val="004E0EB8"/>
    <w:rsid w:val="004E18E9"/>
    <w:rsid w:val="004E2ADC"/>
    <w:rsid w:val="004E43B2"/>
    <w:rsid w:val="004F1676"/>
    <w:rsid w:val="004F1D02"/>
    <w:rsid w:val="004F2679"/>
    <w:rsid w:val="004F2F21"/>
    <w:rsid w:val="004F3DE5"/>
    <w:rsid w:val="004F5BC0"/>
    <w:rsid w:val="004F6913"/>
    <w:rsid w:val="004F7865"/>
    <w:rsid w:val="0050174E"/>
    <w:rsid w:val="00501854"/>
    <w:rsid w:val="0050219B"/>
    <w:rsid w:val="00503F17"/>
    <w:rsid w:val="00506928"/>
    <w:rsid w:val="005077EF"/>
    <w:rsid w:val="00511AD5"/>
    <w:rsid w:val="00511DC7"/>
    <w:rsid w:val="005142C5"/>
    <w:rsid w:val="0051501B"/>
    <w:rsid w:val="005152B5"/>
    <w:rsid w:val="0052123C"/>
    <w:rsid w:val="00521319"/>
    <w:rsid w:val="00521689"/>
    <w:rsid w:val="00522BC8"/>
    <w:rsid w:val="00523C28"/>
    <w:rsid w:val="005315C8"/>
    <w:rsid w:val="0053176B"/>
    <w:rsid w:val="00536F42"/>
    <w:rsid w:val="00537182"/>
    <w:rsid w:val="00541EDD"/>
    <w:rsid w:val="00542743"/>
    <w:rsid w:val="00542C2D"/>
    <w:rsid w:val="00544FFD"/>
    <w:rsid w:val="00545020"/>
    <w:rsid w:val="005471C2"/>
    <w:rsid w:val="005478BD"/>
    <w:rsid w:val="005479E3"/>
    <w:rsid w:val="00551985"/>
    <w:rsid w:val="00552BD3"/>
    <w:rsid w:val="005532A0"/>
    <w:rsid w:val="00555109"/>
    <w:rsid w:val="00556B35"/>
    <w:rsid w:val="0055741A"/>
    <w:rsid w:val="005611B7"/>
    <w:rsid w:val="005618D4"/>
    <w:rsid w:val="00561A45"/>
    <w:rsid w:val="00565DF0"/>
    <w:rsid w:val="0056696F"/>
    <w:rsid w:val="00570F97"/>
    <w:rsid w:val="00572269"/>
    <w:rsid w:val="0057244A"/>
    <w:rsid w:val="00572F26"/>
    <w:rsid w:val="00573CD3"/>
    <w:rsid w:val="005750C5"/>
    <w:rsid w:val="005752DE"/>
    <w:rsid w:val="00575D8D"/>
    <w:rsid w:val="00576972"/>
    <w:rsid w:val="00583699"/>
    <w:rsid w:val="00585CDD"/>
    <w:rsid w:val="005868B6"/>
    <w:rsid w:val="00587058"/>
    <w:rsid w:val="00587140"/>
    <w:rsid w:val="00591957"/>
    <w:rsid w:val="00596DA6"/>
    <w:rsid w:val="00597BF9"/>
    <w:rsid w:val="005A2858"/>
    <w:rsid w:val="005A309A"/>
    <w:rsid w:val="005A373D"/>
    <w:rsid w:val="005A5BC3"/>
    <w:rsid w:val="005A641A"/>
    <w:rsid w:val="005A7DBA"/>
    <w:rsid w:val="005B0B58"/>
    <w:rsid w:val="005B13A6"/>
    <w:rsid w:val="005B4E53"/>
    <w:rsid w:val="005B5857"/>
    <w:rsid w:val="005C19C4"/>
    <w:rsid w:val="005C1B83"/>
    <w:rsid w:val="005C25FF"/>
    <w:rsid w:val="005C2D4D"/>
    <w:rsid w:val="005C2D55"/>
    <w:rsid w:val="005C346B"/>
    <w:rsid w:val="005D044D"/>
    <w:rsid w:val="005D0ABD"/>
    <w:rsid w:val="005D18AD"/>
    <w:rsid w:val="005D26B4"/>
    <w:rsid w:val="005D792F"/>
    <w:rsid w:val="005E6CBC"/>
    <w:rsid w:val="005E72FF"/>
    <w:rsid w:val="005E73C0"/>
    <w:rsid w:val="005F2706"/>
    <w:rsid w:val="005F3D58"/>
    <w:rsid w:val="005F4D7D"/>
    <w:rsid w:val="005F6A8F"/>
    <w:rsid w:val="005F6BB7"/>
    <w:rsid w:val="005F7588"/>
    <w:rsid w:val="00603DB9"/>
    <w:rsid w:val="00606615"/>
    <w:rsid w:val="00606FBA"/>
    <w:rsid w:val="00607669"/>
    <w:rsid w:val="006076F4"/>
    <w:rsid w:val="0060789C"/>
    <w:rsid w:val="00607AFD"/>
    <w:rsid w:val="00612F97"/>
    <w:rsid w:val="0061345D"/>
    <w:rsid w:val="0061549B"/>
    <w:rsid w:val="00616802"/>
    <w:rsid w:val="00617E12"/>
    <w:rsid w:val="00620C25"/>
    <w:rsid w:val="00621477"/>
    <w:rsid w:val="0062184E"/>
    <w:rsid w:val="00621ADA"/>
    <w:rsid w:val="00623F7B"/>
    <w:rsid w:val="0063158F"/>
    <w:rsid w:val="00631D6B"/>
    <w:rsid w:val="00632183"/>
    <w:rsid w:val="006330A1"/>
    <w:rsid w:val="0063479F"/>
    <w:rsid w:val="006353F0"/>
    <w:rsid w:val="006357B5"/>
    <w:rsid w:val="006364A1"/>
    <w:rsid w:val="0063678E"/>
    <w:rsid w:val="00637BFD"/>
    <w:rsid w:val="00641172"/>
    <w:rsid w:val="00641C4E"/>
    <w:rsid w:val="00641FB3"/>
    <w:rsid w:val="0064434C"/>
    <w:rsid w:val="0064482D"/>
    <w:rsid w:val="006471CC"/>
    <w:rsid w:val="006473EF"/>
    <w:rsid w:val="0064758A"/>
    <w:rsid w:val="00647A29"/>
    <w:rsid w:val="0065079F"/>
    <w:rsid w:val="00652A28"/>
    <w:rsid w:val="0065379F"/>
    <w:rsid w:val="00656188"/>
    <w:rsid w:val="0065715A"/>
    <w:rsid w:val="006610F1"/>
    <w:rsid w:val="00661C6B"/>
    <w:rsid w:val="00671004"/>
    <w:rsid w:val="006714A4"/>
    <w:rsid w:val="006720D5"/>
    <w:rsid w:val="00672646"/>
    <w:rsid w:val="00673CAE"/>
    <w:rsid w:val="00674E42"/>
    <w:rsid w:val="00675B78"/>
    <w:rsid w:val="006811DE"/>
    <w:rsid w:val="006813F8"/>
    <w:rsid w:val="00682112"/>
    <w:rsid w:val="00682BA6"/>
    <w:rsid w:val="00685EC3"/>
    <w:rsid w:val="00686957"/>
    <w:rsid w:val="006872BA"/>
    <w:rsid w:val="00690795"/>
    <w:rsid w:val="00690D85"/>
    <w:rsid w:val="00691648"/>
    <w:rsid w:val="006917D7"/>
    <w:rsid w:val="0069434C"/>
    <w:rsid w:val="00694F44"/>
    <w:rsid w:val="00696F51"/>
    <w:rsid w:val="006979A5"/>
    <w:rsid w:val="006A0632"/>
    <w:rsid w:val="006A6B99"/>
    <w:rsid w:val="006A7E5F"/>
    <w:rsid w:val="006B261B"/>
    <w:rsid w:val="006B2C90"/>
    <w:rsid w:val="006B35E6"/>
    <w:rsid w:val="006B465A"/>
    <w:rsid w:val="006B6DD0"/>
    <w:rsid w:val="006B7091"/>
    <w:rsid w:val="006C0399"/>
    <w:rsid w:val="006C2A8E"/>
    <w:rsid w:val="006C3255"/>
    <w:rsid w:val="006C3B54"/>
    <w:rsid w:val="006C3F26"/>
    <w:rsid w:val="006C6482"/>
    <w:rsid w:val="006D0D17"/>
    <w:rsid w:val="006D3476"/>
    <w:rsid w:val="006D3C7D"/>
    <w:rsid w:val="006D4659"/>
    <w:rsid w:val="006D5590"/>
    <w:rsid w:val="006D5D5F"/>
    <w:rsid w:val="006D660E"/>
    <w:rsid w:val="006D68FB"/>
    <w:rsid w:val="006D708E"/>
    <w:rsid w:val="006E0115"/>
    <w:rsid w:val="006E2868"/>
    <w:rsid w:val="006F20E5"/>
    <w:rsid w:val="006F2CB7"/>
    <w:rsid w:val="006F306C"/>
    <w:rsid w:val="006F63A5"/>
    <w:rsid w:val="0070142B"/>
    <w:rsid w:val="0070276E"/>
    <w:rsid w:val="00702F8F"/>
    <w:rsid w:val="00707531"/>
    <w:rsid w:val="007079FC"/>
    <w:rsid w:val="007102A5"/>
    <w:rsid w:val="00710C37"/>
    <w:rsid w:val="00711A36"/>
    <w:rsid w:val="00714C26"/>
    <w:rsid w:val="0071529C"/>
    <w:rsid w:val="007170DA"/>
    <w:rsid w:val="007172AD"/>
    <w:rsid w:val="00720801"/>
    <w:rsid w:val="00721178"/>
    <w:rsid w:val="00722B1B"/>
    <w:rsid w:val="0072416F"/>
    <w:rsid w:val="00727C94"/>
    <w:rsid w:val="00731B0A"/>
    <w:rsid w:val="00731EAE"/>
    <w:rsid w:val="00733073"/>
    <w:rsid w:val="007343A5"/>
    <w:rsid w:val="00735033"/>
    <w:rsid w:val="00735328"/>
    <w:rsid w:val="0073685B"/>
    <w:rsid w:val="00743959"/>
    <w:rsid w:val="007449BF"/>
    <w:rsid w:val="00746BC0"/>
    <w:rsid w:val="007510B4"/>
    <w:rsid w:val="00752142"/>
    <w:rsid w:val="007523F9"/>
    <w:rsid w:val="00752828"/>
    <w:rsid w:val="0075357E"/>
    <w:rsid w:val="007573E8"/>
    <w:rsid w:val="00760C4E"/>
    <w:rsid w:val="00760F9E"/>
    <w:rsid w:val="007616C9"/>
    <w:rsid w:val="00761943"/>
    <w:rsid w:val="00761E0B"/>
    <w:rsid w:val="007627BE"/>
    <w:rsid w:val="00764F03"/>
    <w:rsid w:val="00765B1A"/>
    <w:rsid w:val="00772CE0"/>
    <w:rsid w:val="00777335"/>
    <w:rsid w:val="007843F2"/>
    <w:rsid w:val="00785A9F"/>
    <w:rsid w:val="0078712F"/>
    <w:rsid w:val="007925DF"/>
    <w:rsid w:val="00797545"/>
    <w:rsid w:val="007A08AA"/>
    <w:rsid w:val="007A0A12"/>
    <w:rsid w:val="007A132D"/>
    <w:rsid w:val="007A1345"/>
    <w:rsid w:val="007A2DDB"/>
    <w:rsid w:val="007A6FF6"/>
    <w:rsid w:val="007A70BA"/>
    <w:rsid w:val="007A779D"/>
    <w:rsid w:val="007B05EA"/>
    <w:rsid w:val="007B0D68"/>
    <w:rsid w:val="007B251D"/>
    <w:rsid w:val="007B25F3"/>
    <w:rsid w:val="007B2ED0"/>
    <w:rsid w:val="007B4F58"/>
    <w:rsid w:val="007B528D"/>
    <w:rsid w:val="007B63CA"/>
    <w:rsid w:val="007B77D1"/>
    <w:rsid w:val="007B77E4"/>
    <w:rsid w:val="007C01DB"/>
    <w:rsid w:val="007C07C7"/>
    <w:rsid w:val="007C11D9"/>
    <w:rsid w:val="007C1CD9"/>
    <w:rsid w:val="007C1D83"/>
    <w:rsid w:val="007C32EF"/>
    <w:rsid w:val="007C361D"/>
    <w:rsid w:val="007C4B84"/>
    <w:rsid w:val="007C6817"/>
    <w:rsid w:val="007C70FF"/>
    <w:rsid w:val="007C7C25"/>
    <w:rsid w:val="007D004F"/>
    <w:rsid w:val="007D0B38"/>
    <w:rsid w:val="007D0ECC"/>
    <w:rsid w:val="007D5440"/>
    <w:rsid w:val="007D69EB"/>
    <w:rsid w:val="007E00C7"/>
    <w:rsid w:val="007E128F"/>
    <w:rsid w:val="007E323A"/>
    <w:rsid w:val="007F0D8E"/>
    <w:rsid w:val="007F1017"/>
    <w:rsid w:val="007F32DA"/>
    <w:rsid w:val="007F4A3F"/>
    <w:rsid w:val="007F4A61"/>
    <w:rsid w:val="007F5255"/>
    <w:rsid w:val="007F56CC"/>
    <w:rsid w:val="007F61C2"/>
    <w:rsid w:val="008023F7"/>
    <w:rsid w:val="00802C77"/>
    <w:rsid w:val="00802F78"/>
    <w:rsid w:val="00805142"/>
    <w:rsid w:val="00805FCE"/>
    <w:rsid w:val="00807792"/>
    <w:rsid w:val="00807A8B"/>
    <w:rsid w:val="00811383"/>
    <w:rsid w:val="00811DE0"/>
    <w:rsid w:val="00812149"/>
    <w:rsid w:val="00812CAC"/>
    <w:rsid w:val="00812D42"/>
    <w:rsid w:val="00815A02"/>
    <w:rsid w:val="00816361"/>
    <w:rsid w:val="008166EF"/>
    <w:rsid w:val="00816FEF"/>
    <w:rsid w:val="00817B62"/>
    <w:rsid w:val="0082037D"/>
    <w:rsid w:val="00820A8C"/>
    <w:rsid w:val="008215FB"/>
    <w:rsid w:val="00823174"/>
    <w:rsid w:val="00825751"/>
    <w:rsid w:val="008264EB"/>
    <w:rsid w:val="00827ABF"/>
    <w:rsid w:val="00830934"/>
    <w:rsid w:val="0083211D"/>
    <w:rsid w:val="00833B05"/>
    <w:rsid w:val="008362B4"/>
    <w:rsid w:val="00840CA2"/>
    <w:rsid w:val="00840ECD"/>
    <w:rsid w:val="0084170E"/>
    <w:rsid w:val="0084374F"/>
    <w:rsid w:val="00844A22"/>
    <w:rsid w:val="00847703"/>
    <w:rsid w:val="00847DF5"/>
    <w:rsid w:val="0085309D"/>
    <w:rsid w:val="00856897"/>
    <w:rsid w:val="00856E9A"/>
    <w:rsid w:val="0086075D"/>
    <w:rsid w:val="00860831"/>
    <w:rsid w:val="00862502"/>
    <w:rsid w:val="00862CC1"/>
    <w:rsid w:val="008660D4"/>
    <w:rsid w:val="00871FA9"/>
    <w:rsid w:val="008728E9"/>
    <w:rsid w:val="008809FB"/>
    <w:rsid w:val="00882874"/>
    <w:rsid w:val="00882E3C"/>
    <w:rsid w:val="00883787"/>
    <w:rsid w:val="008855E4"/>
    <w:rsid w:val="00886CD2"/>
    <w:rsid w:val="00890E19"/>
    <w:rsid w:val="00891E6F"/>
    <w:rsid w:val="0089275D"/>
    <w:rsid w:val="00892A36"/>
    <w:rsid w:val="00893239"/>
    <w:rsid w:val="00894489"/>
    <w:rsid w:val="008963A5"/>
    <w:rsid w:val="00896D5D"/>
    <w:rsid w:val="008A1F1C"/>
    <w:rsid w:val="008A3363"/>
    <w:rsid w:val="008A3371"/>
    <w:rsid w:val="008A3C3E"/>
    <w:rsid w:val="008A76D5"/>
    <w:rsid w:val="008A79DE"/>
    <w:rsid w:val="008B10DA"/>
    <w:rsid w:val="008B1757"/>
    <w:rsid w:val="008B3D71"/>
    <w:rsid w:val="008B7992"/>
    <w:rsid w:val="008B7D7E"/>
    <w:rsid w:val="008C5500"/>
    <w:rsid w:val="008C5610"/>
    <w:rsid w:val="008C5739"/>
    <w:rsid w:val="008C7ECB"/>
    <w:rsid w:val="008D2B5C"/>
    <w:rsid w:val="008D3B86"/>
    <w:rsid w:val="008D4755"/>
    <w:rsid w:val="008D4C3D"/>
    <w:rsid w:val="008D743C"/>
    <w:rsid w:val="008E0D3C"/>
    <w:rsid w:val="008E1B9E"/>
    <w:rsid w:val="008E55AB"/>
    <w:rsid w:val="008E59E3"/>
    <w:rsid w:val="008E6997"/>
    <w:rsid w:val="008F120A"/>
    <w:rsid w:val="008F27E0"/>
    <w:rsid w:val="008F48EB"/>
    <w:rsid w:val="008F4F0B"/>
    <w:rsid w:val="008F5136"/>
    <w:rsid w:val="008F5927"/>
    <w:rsid w:val="009046C4"/>
    <w:rsid w:val="00904BC1"/>
    <w:rsid w:val="009062A5"/>
    <w:rsid w:val="00910FA7"/>
    <w:rsid w:val="00911272"/>
    <w:rsid w:val="009135D6"/>
    <w:rsid w:val="009140F6"/>
    <w:rsid w:val="00914C77"/>
    <w:rsid w:val="00915C91"/>
    <w:rsid w:val="00921ACB"/>
    <w:rsid w:val="0092369B"/>
    <w:rsid w:val="00926111"/>
    <w:rsid w:val="009274BE"/>
    <w:rsid w:val="00927A08"/>
    <w:rsid w:val="009311B9"/>
    <w:rsid w:val="00932F45"/>
    <w:rsid w:val="00934988"/>
    <w:rsid w:val="00937089"/>
    <w:rsid w:val="009371B0"/>
    <w:rsid w:val="00943F59"/>
    <w:rsid w:val="00944F8A"/>
    <w:rsid w:val="00946B68"/>
    <w:rsid w:val="009503CD"/>
    <w:rsid w:val="00950528"/>
    <w:rsid w:val="009510A2"/>
    <w:rsid w:val="00953257"/>
    <w:rsid w:val="0095459C"/>
    <w:rsid w:val="0095474C"/>
    <w:rsid w:val="00957AD4"/>
    <w:rsid w:val="00960A92"/>
    <w:rsid w:val="00962CB9"/>
    <w:rsid w:val="00964312"/>
    <w:rsid w:val="00965B8A"/>
    <w:rsid w:val="0097071F"/>
    <w:rsid w:val="009717AC"/>
    <w:rsid w:val="009751C1"/>
    <w:rsid w:val="00977577"/>
    <w:rsid w:val="009776ED"/>
    <w:rsid w:val="009811F1"/>
    <w:rsid w:val="00983E57"/>
    <w:rsid w:val="00985DE2"/>
    <w:rsid w:val="0098675D"/>
    <w:rsid w:val="009926E0"/>
    <w:rsid w:val="0099451E"/>
    <w:rsid w:val="00994A87"/>
    <w:rsid w:val="00996B1A"/>
    <w:rsid w:val="00997A0A"/>
    <w:rsid w:val="009A2DCC"/>
    <w:rsid w:val="009A5ABC"/>
    <w:rsid w:val="009A7F10"/>
    <w:rsid w:val="009B3E26"/>
    <w:rsid w:val="009C3706"/>
    <w:rsid w:val="009C3A3A"/>
    <w:rsid w:val="009C66EB"/>
    <w:rsid w:val="009C6CEA"/>
    <w:rsid w:val="009C7B85"/>
    <w:rsid w:val="009D0254"/>
    <w:rsid w:val="009D1A64"/>
    <w:rsid w:val="009D5B91"/>
    <w:rsid w:val="009D792E"/>
    <w:rsid w:val="009D7FDE"/>
    <w:rsid w:val="009E0DFE"/>
    <w:rsid w:val="009E31F6"/>
    <w:rsid w:val="009E4C07"/>
    <w:rsid w:val="009E6B78"/>
    <w:rsid w:val="00A00BAF"/>
    <w:rsid w:val="00A01184"/>
    <w:rsid w:val="00A037C2"/>
    <w:rsid w:val="00A03D43"/>
    <w:rsid w:val="00A04380"/>
    <w:rsid w:val="00A05472"/>
    <w:rsid w:val="00A05C32"/>
    <w:rsid w:val="00A0653F"/>
    <w:rsid w:val="00A07B9D"/>
    <w:rsid w:val="00A11CD0"/>
    <w:rsid w:val="00A13948"/>
    <w:rsid w:val="00A1555B"/>
    <w:rsid w:val="00A155C5"/>
    <w:rsid w:val="00A161B3"/>
    <w:rsid w:val="00A16AD8"/>
    <w:rsid w:val="00A214CC"/>
    <w:rsid w:val="00A21C95"/>
    <w:rsid w:val="00A21CF3"/>
    <w:rsid w:val="00A24813"/>
    <w:rsid w:val="00A24A5B"/>
    <w:rsid w:val="00A25636"/>
    <w:rsid w:val="00A26063"/>
    <w:rsid w:val="00A26F96"/>
    <w:rsid w:val="00A27AEC"/>
    <w:rsid w:val="00A320DB"/>
    <w:rsid w:val="00A35D16"/>
    <w:rsid w:val="00A37BCD"/>
    <w:rsid w:val="00A41689"/>
    <w:rsid w:val="00A42592"/>
    <w:rsid w:val="00A43C59"/>
    <w:rsid w:val="00A46D9E"/>
    <w:rsid w:val="00A50ECD"/>
    <w:rsid w:val="00A518F3"/>
    <w:rsid w:val="00A52729"/>
    <w:rsid w:val="00A53675"/>
    <w:rsid w:val="00A564D7"/>
    <w:rsid w:val="00A5679D"/>
    <w:rsid w:val="00A56B6A"/>
    <w:rsid w:val="00A578DC"/>
    <w:rsid w:val="00A640E2"/>
    <w:rsid w:val="00A64D65"/>
    <w:rsid w:val="00A6725B"/>
    <w:rsid w:val="00A672F2"/>
    <w:rsid w:val="00A70605"/>
    <w:rsid w:val="00A724CD"/>
    <w:rsid w:val="00A72DA9"/>
    <w:rsid w:val="00A73134"/>
    <w:rsid w:val="00A76001"/>
    <w:rsid w:val="00A777B2"/>
    <w:rsid w:val="00A80359"/>
    <w:rsid w:val="00A825D4"/>
    <w:rsid w:val="00A828F6"/>
    <w:rsid w:val="00A82B73"/>
    <w:rsid w:val="00A86E8B"/>
    <w:rsid w:val="00A87164"/>
    <w:rsid w:val="00A87A5F"/>
    <w:rsid w:val="00A90998"/>
    <w:rsid w:val="00A91279"/>
    <w:rsid w:val="00A93072"/>
    <w:rsid w:val="00A938BD"/>
    <w:rsid w:val="00A93953"/>
    <w:rsid w:val="00A959D8"/>
    <w:rsid w:val="00AA113D"/>
    <w:rsid w:val="00AA6BD5"/>
    <w:rsid w:val="00AA6BD8"/>
    <w:rsid w:val="00AA6C7D"/>
    <w:rsid w:val="00AA7E34"/>
    <w:rsid w:val="00AA7F2D"/>
    <w:rsid w:val="00AA7FD6"/>
    <w:rsid w:val="00AB042A"/>
    <w:rsid w:val="00AB19EF"/>
    <w:rsid w:val="00AB2D34"/>
    <w:rsid w:val="00AB327E"/>
    <w:rsid w:val="00AB3430"/>
    <w:rsid w:val="00AB37B9"/>
    <w:rsid w:val="00AB4AD1"/>
    <w:rsid w:val="00AB5E07"/>
    <w:rsid w:val="00AB7846"/>
    <w:rsid w:val="00AB7CFA"/>
    <w:rsid w:val="00AC5B48"/>
    <w:rsid w:val="00AC6ADB"/>
    <w:rsid w:val="00AC6B4B"/>
    <w:rsid w:val="00AD1450"/>
    <w:rsid w:val="00AD317A"/>
    <w:rsid w:val="00AD6502"/>
    <w:rsid w:val="00AE0695"/>
    <w:rsid w:val="00AE3E7E"/>
    <w:rsid w:val="00AF1315"/>
    <w:rsid w:val="00AF19BF"/>
    <w:rsid w:val="00AF28C3"/>
    <w:rsid w:val="00AF2DC3"/>
    <w:rsid w:val="00B033E5"/>
    <w:rsid w:val="00B03A63"/>
    <w:rsid w:val="00B03F68"/>
    <w:rsid w:val="00B07F37"/>
    <w:rsid w:val="00B201A4"/>
    <w:rsid w:val="00B201D1"/>
    <w:rsid w:val="00B213A6"/>
    <w:rsid w:val="00B22657"/>
    <w:rsid w:val="00B235B0"/>
    <w:rsid w:val="00B24A46"/>
    <w:rsid w:val="00B24DF6"/>
    <w:rsid w:val="00B27992"/>
    <w:rsid w:val="00B34FE2"/>
    <w:rsid w:val="00B35166"/>
    <w:rsid w:val="00B351C2"/>
    <w:rsid w:val="00B357D8"/>
    <w:rsid w:val="00B360F4"/>
    <w:rsid w:val="00B36A00"/>
    <w:rsid w:val="00B37BFC"/>
    <w:rsid w:val="00B40358"/>
    <w:rsid w:val="00B41614"/>
    <w:rsid w:val="00B42851"/>
    <w:rsid w:val="00B42F80"/>
    <w:rsid w:val="00B435CB"/>
    <w:rsid w:val="00B505C8"/>
    <w:rsid w:val="00B50DB8"/>
    <w:rsid w:val="00B518A6"/>
    <w:rsid w:val="00B52E86"/>
    <w:rsid w:val="00B5322E"/>
    <w:rsid w:val="00B53654"/>
    <w:rsid w:val="00B53905"/>
    <w:rsid w:val="00B54B5B"/>
    <w:rsid w:val="00B5562E"/>
    <w:rsid w:val="00B556BD"/>
    <w:rsid w:val="00B55862"/>
    <w:rsid w:val="00B55D65"/>
    <w:rsid w:val="00B56587"/>
    <w:rsid w:val="00B57000"/>
    <w:rsid w:val="00B60939"/>
    <w:rsid w:val="00B60AFD"/>
    <w:rsid w:val="00B62715"/>
    <w:rsid w:val="00B639B6"/>
    <w:rsid w:val="00B65611"/>
    <w:rsid w:val="00B70E8E"/>
    <w:rsid w:val="00B73CDD"/>
    <w:rsid w:val="00B76C92"/>
    <w:rsid w:val="00B818A4"/>
    <w:rsid w:val="00B82016"/>
    <w:rsid w:val="00B82A77"/>
    <w:rsid w:val="00B84117"/>
    <w:rsid w:val="00B858F0"/>
    <w:rsid w:val="00B85AA2"/>
    <w:rsid w:val="00B8649C"/>
    <w:rsid w:val="00B8695D"/>
    <w:rsid w:val="00B87F0A"/>
    <w:rsid w:val="00B92D0B"/>
    <w:rsid w:val="00B9361D"/>
    <w:rsid w:val="00B93780"/>
    <w:rsid w:val="00B94945"/>
    <w:rsid w:val="00B94DD6"/>
    <w:rsid w:val="00B977AC"/>
    <w:rsid w:val="00BA0B21"/>
    <w:rsid w:val="00BA0C9A"/>
    <w:rsid w:val="00BA322D"/>
    <w:rsid w:val="00BA42A4"/>
    <w:rsid w:val="00BA4FE8"/>
    <w:rsid w:val="00BA63FA"/>
    <w:rsid w:val="00BB00B3"/>
    <w:rsid w:val="00BB0BDD"/>
    <w:rsid w:val="00BB176C"/>
    <w:rsid w:val="00BB2A73"/>
    <w:rsid w:val="00BB3A45"/>
    <w:rsid w:val="00BB4ACC"/>
    <w:rsid w:val="00BB59C0"/>
    <w:rsid w:val="00BB703E"/>
    <w:rsid w:val="00BB732D"/>
    <w:rsid w:val="00BB7405"/>
    <w:rsid w:val="00BB7667"/>
    <w:rsid w:val="00BC0EDE"/>
    <w:rsid w:val="00BC3631"/>
    <w:rsid w:val="00BC591F"/>
    <w:rsid w:val="00BC7D6D"/>
    <w:rsid w:val="00BD2108"/>
    <w:rsid w:val="00BD68A3"/>
    <w:rsid w:val="00BD6938"/>
    <w:rsid w:val="00BD6CF3"/>
    <w:rsid w:val="00BE0ECA"/>
    <w:rsid w:val="00BE2180"/>
    <w:rsid w:val="00BE21F2"/>
    <w:rsid w:val="00BE4275"/>
    <w:rsid w:val="00BE58EA"/>
    <w:rsid w:val="00BF0477"/>
    <w:rsid w:val="00BF06AE"/>
    <w:rsid w:val="00BF0F95"/>
    <w:rsid w:val="00BF2433"/>
    <w:rsid w:val="00BF61C9"/>
    <w:rsid w:val="00BF6C94"/>
    <w:rsid w:val="00BF75C8"/>
    <w:rsid w:val="00C00424"/>
    <w:rsid w:val="00C0469E"/>
    <w:rsid w:val="00C04CDA"/>
    <w:rsid w:val="00C05101"/>
    <w:rsid w:val="00C07523"/>
    <w:rsid w:val="00C1179F"/>
    <w:rsid w:val="00C12C14"/>
    <w:rsid w:val="00C151D2"/>
    <w:rsid w:val="00C15F04"/>
    <w:rsid w:val="00C169D6"/>
    <w:rsid w:val="00C179B3"/>
    <w:rsid w:val="00C17E3F"/>
    <w:rsid w:val="00C200AA"/>
    <w:rsid w:val="00C20672"/>
    <w:rsid w:val="00C237ED"/>
    <w:rsid w:val="00C24632"/>
    <w:rsid w:val="00C24F31"/>
    <w:rsid w:val="00C25418"/>
    <w:rsid w:val="00C25D9C"/>
    <w:rsid w:val="00C2778B"/>
    <w:rsid w:val="00C31649"/>
    <w:rsid w:val="00C3434C"/>
    <w:rsid w:val="00C3762C"/>
    <w:rsid w:val="00C40385"/>
    <w:rsid w:val="00C41768"/>
    <w:rsid w:val="00C42263"/>
    <w:rsid w:val="00C44404"/>
    <w:rsid w:val="00C475AA"/>
    <w:rsid w:val="00C53C98"/>
    <w:rsid w:val="00C56FCF"/>
    <w:rsid w:val="00C57B6C"/>
    <w:rsid w:val="00C628A6"/>
    <w:rsid w:val="00C6409E"/>
    <w:rsid w:val="00C64344"/>
    <w:rsid w:val="00C64920"/>
    <w:rsid w:val="00C650AB"/>
    <w:rsid w:val="00C65108"/>
    <w:rsid w:val="00C65576"/>
    <w:rsid w:val="00C66165"/>
    <w:rsid w:val="00C67F2D"/>
    <w:rsid w:val="00C7060A"/>
    <w:rsid w:val="00C7151A"/>
    <w:rsid w:val="00C717E3"/>
    <w:rsid w:val="00C71F60"/>
    <w:rsid w:val="00C72241"/>
    <w:rsid w:val="00C74B3B"/>
    <w:rsid w:val="00C750C8"/>
    <w:rsid w:val="00C7560F"/>
    <w:rsid w:val="00C76D51"/>
    <w:rsid w:val="00C80A0E"/>
    <w:rsid w:val="00C80BDC"/>
    <w:rsid w:val="00C80FFA"/>
    <w:rsid w:val="00C81165"/>
    <w:rsid w:val="00C8213F"/>
    <w:rsid w:val="00C85154"/>
    <w:rsid w:val="00C8797A"/>
    <w:rsid w:val="00C900B8"/>
    <w:rsid w:val="00C90C71"/>
    <w:rsid w:val="00C91FD1"/>
    <w:rsid w:val="00C931CF"/>
    <w:rsid w:val="00C938CF"/>
    <w:rsid w:val="00C94053"/>
    <w:rsid w:val="00C9624D"/>
    <w:rsid w:val="00C969DA"/>
    <w:rsid w:val="00C97163"/>
    <w:rsid w:val="00C9759F"/>
    <w:rsid w:val="00CA2C77"/>
    <w:rsid w:val="00CA444F"/>
    <w:rsid w:val="00CA5245"/>
    <w:rsid w:val="00CA62C0"/>
    <w:rsid w:val="00CA71F4"/>
    <w:rsid w:val="00CA7B09"/>
    <w:rsid w:val="00CB12A5"/>
    <w:rsid w:val="00CB1CAC"/>
    <w:rsid w:val="00CB29FC"/>
    <w:rsid w:val="00CB2F2A"/>
    <w:rsid w:val="00CB372B"/>
    <w:rsid w:val="00CB5B1A"/>
    <w:rsid w:val="00CB6B22"/>
    <w:rsid w:val="00CB7F5F"/>
    <w:rsid w:val="00CC0AFF"/>
    <w:rsid w:val="00CC1B39"/>
    <w:rsid w:val="00CC35CC"/>
    <w:rsid w:val="00CC35EA"/>
    <w:rsid w:val="00CC3848"/>
    <w:rsid w:val="00CD3F77"/>
    <w:rsid w:val="00CD41FA"/>
    <w:rsid w:val="00CD6ADC"/>
    <w:rsid w:val="00CD7193"/>
    <w:rsid w:val="00CE1B1D"/>
    <w:rsid w:val="00CE38C8"/>
    <w:rsid w:val="00CE6274"/>
    <w:rsid w:val="00CE77B6"/>
    <w:rsid w:val="00CF2B8D"/>
    <w:rsid w:val="00CF3211"/>
    <w:rsid w:val="00CF456B"/>
    <w:rsid w:val="00CF5A22"/>
    <w:rsid w:val="00CF5C52"/>
    <w:rsid w:val="00CF6D7E"/>
    <w:rsid w:val="00D01CFA"/>
    <w:rsid w:val="00D0262E"/>
    <w:rsid w:val="00D05E3D"/>
    <w:rsid w:val="00D06139"/>
    <w:rsid w:val="00D07E04"/>
    <w:rsid w:val="00D110BD"/>
    <w:rsid w:val="00D13675"/>
    <w:rsid w:val="00D141E1"/>
    <w:rsid w:val="00D15112"/>
    <w:rsid w:val="00D15314"/>
    <w:rsid w:val="00D16CC3"/>
    <w:rsid w:val="00D17D6C"/>
    <w:rsid w:val="00D2155B"/>
    <w:rsid w:val="00D23D11"/>
    <w:rsid w:val="00D244B6"/>
    <w:rsid w:val="00D2754D"/>
    <w:rsid w:val="00D27B27"/>
    <w:rsid w:val="00D33BE9"/>
    <w:rsid w:val="00D33F93"/>
    <w:rsid w:val="00D357FF"/>
    <w:rsid w:val="00D36004"/>
    <w:rsid w:val="00D424C7"/>
    <w:rsid w:val="00D43B2A"/>
    <w:rsid w:val="00D43D83"/>
    <w:rsid w:val="00D45FA0"/>
    <w:rsid w:val="00D47575"/>
    <w:rsid w:val="00D51C1A"/>
    <w:rsid w:val="00D521FD"/>
    <w:rsid w:val="00D5243B"/>
    <w:rsid w:val="00D533EC"/>
    <w:rsid w:val="00D56A95"/>
    <w:rsid w:val="00D6449C"/>
    <w:rsid w:val="00D70F16"/>
    <w:rsid w:val="00D72F57"/>
    <w:rsid w:val="00D741DC"/>
    <w:rsid w:val="00D76A44"/>
    <w:rsid w:val="00D770DD"/>
    <w:rsid w:val="00D80AFC"/>
    <w:rsid w:val="00D815EF"/>
    <w:rsid w:val="00D81F26"/>
    <w:rsid w:val="00D85F58"/>
    <w:rsid w:val="00D86231"/>
    <w:rsid w:val="00D91923"/>
    <w:rsid w:val="00D93753"/>
    <w:rsid w:val="00DA2F3E"/>
    <w:rsid w:val="00DA3167"/>
    <w:rsid w:val="00DA41E7"/>
    <w:rsid w:val="00DA4DC3"/>
    <w:rsid w:val="00DA77A5"/>
    <w:rsid w:val="00DB34D9"/>
    <w:rsid w:val="00DB3DBF"/>
    <w:rsid w:val="00DB484F"/>
    <w:rsid w:val="00DB5636"/>
    <w:rsid w:val="00DB6C58"/>
    <w:rsid w:val="00DC04F6"/>
    <w:rsid w:val="00DC0690"/>
    <w:rsid w:val="00DC1D65"/>
    <w:rsid w:val="00DC3C57"/>
    <w:rsid w:val="00DC5501"/>
    <w:rsid w:val="00DC7154"/>
    <w:rsid w:val="00DC716F"/>
    <w:rsid w:val="00DC7E8A"/>
    <w:rsid w:val="00DD0F78"/>
    <w:rsid w:val="00DD273C"/>
    <w:rsid w:val="00DD3F28"/>
    <w:rsid w:val="00DD4537"/>
    <w:rsid w:val="00DD4E15"/>
    <w:rsid w:val="00DD64B7"/>
    <w:rsid w:val="00DD6D4C"/>
    <w:rsid w:val="00DE2304"/>
    <w:rsid w:val="00DE3138"/>
    <w:rsid w:val="00DE37F8"/>
    <w:rsid w:val="00DE4FCB"/>
    <w:rsid w:val="00DE4FD1"/>
    <w:rsid w:val="00DE5D07"/>
    <w:rsid w:val="00DE6CF2"/>
    <w:rsid w:val="00DE72A7"/>
    <w:rsid w:val="00DE7832"/>
    <w:rsid w:val="00DF18FC"/>
    <w:rsid w:val="00DF2A53"/>
    <w:rsid w:val="00DF5D2B"/>
    <w:rsid w:val="00E00E8E"/>
    <w:rsid w:val="00E04137"/>
    <w:rsid w:val="00E05630"/>
    <w:rsid w:val="00E06DBB"/>
    <w:rsid w:val="00E10149"/>
    <w:rsid w:val="00E112D9"/>
    <w:rsid w:val="00E11340"/>
    <w:rsid w:val="00E11A26"/>
    <w:rsid w:val="00E11AA3"/>
    <w:rsid w:val="00E122A1"/>
    <w:rsid w:val="00E13F40"/>
    <w:rsid w:val="00E16372"/>
    <w:rsid w:val="00E20E4D"/>
    <w:rsid w:val="00E20ED6"/>
    <w:rsid w:val="00E21358"/>
    <w:rsid w:val="00E2249B"/>
    <w:rsid w:val="00E22A0D"/>
    <w:rsid w:val="00E244F6"/>
    <w:rsid w:val="00E2771E"/>
    <w:rsid w:val="00E311EF"/>
    <w:rsid w:val="00E314CC"/>
    <w:rsid w:val="00E32180"/>
    <w:rsid w:val="00E34948"/>
    <w:rsid w:val="00E37569"/>
    <w:rsid w:val="00E401B2"/>
    <w:rsid w:val="00E40F1B"/>
    <w:rsid w:val="00E41E30"/>
    <w:rsid w:val="00E42F73"/>
    <w:rsid w:val="00E43D70"/>
    <w:rsid w:val="00E466F3"/>
    <w:rsid w:val="00E47B2C"/>
    <w:rsid w:val="00E5075D"/>
    <w:rsid w:val="00E51560"/>
    <w:rsid w:val="00E53FC8"/>
    <w:rsid w:val="00E54347"/>
    <w:rsid w:val="00E55424"/>
    <w:rsid w:val="00E55915"/>
    <w:rsid w:val="00E55BB5"/>
    <w:rsid w:val="00E55E30"/>
    <w:rsid w:val="00E63A3A"/>
    <w:rsid w:val="00E65E79"/>
    <w:rsid w:val="00E66BA2"/>
    <w:rsid w:val="00E67416"/>
    <w:rsid w:val="00E718B6"/>
    <w:rsid w:val="00E723BA"/>
    <w:rsid w:val="00E73581"/>
    <w:rsid w:val="00E833F7"/>
    <w:rsid w:val="00E83BDF"/>
    <w:rsid w:val="00E87A1D"/>
    <w:rsid w:val="00E9094A"/>
    <w:rsid w:val="00E91D35"/>
    <w:rsid w:val="00E926A5"/>
    <w:rsid w:val="00EA17C3"/>
    <w:rsid w:val="00EA2CAA"/>
    <w:rsid w:val="00EA3864"/>
    <w:rsid w:val="00EA590F"/>
    <w:rsid w:val="00EA7F1C"/>
    <w:rsid w:val="00EB1434"/>
    <w:rsid w:val="00EB15B6"/>
    <w:rsid w:val="00EB17AB"/>
    <w:rsid w:val="00EB3D06"/>
    <w:rsid w:val="00EB4916"/>
    <w:rsid w:val="00EB553A"/>
    <w:rsid w:val="00EC00C9"/>
    <w:rsid w:val="00EC0DD9"/>
    <w:rsid w:val="00EC2649"/>
    <w:rsid w:val="00EC31ED"/>
    <w:rsid w:val="00EC5836"/>
    <w:rsid w:val="00EC688C"/>
    <w:rsid w:val="00ED0F2D"/>
    <w:rsid w:val="00ED219F"/>
    <w:rsid w:val="00ED57EA"/>
    <w:rsid w:val="00ED5BD4"/>
    <w:rsid w:val="00EE07D3"/>
    <w:rsid w:val="00EE1996"/>
    <w:rsid w:val="00EE1C01"/>
    <w:rsid w:val="00EE22AF"/>
    <w:rsid w:val="00EE603A"/>
    <w:rsid w:val="00EE628A"/>
    <w:rsid w:val="00EF0171"/>
    <w:rsid w:val="00EF1B25"/>
    <w:rsid w:val="00EF1DA0"/>
    <w:rsid w:val="00EF4747"/>
    <w:rsid w:val="00EF4BF8"/>
    <w:rsid w:val="00F02253"/>
    <w:rsid w:val="00F03B45"/>
    <w:rsid w:val="00F03C2E"/>
    <w:rsid w:val="00F0496F"/>
    <w:rsid w:val="00F04A66"/>
    <w:rsid w:val="00F04B4B"/>
    <w:rsid w:val="00F0516C"/>
    <w:rsid w:val="00F067A2"/>
    <w:rsid w:val="00F0691A"/>
    <w:rsid w:val="00F07B9E"/>
    <w:rsid w:val="00F1116F"/>
    <w:rsid w:val="00F1263A"/>
    <w:rsid w:val="00F15B77"/>
    <w:rsid w:val="00F2366A"/>
    <w:rsid w:val="00F24837"/>
    <w:rsid w:val="00F2575F"/>
    <w:rsid w:val="00F27565"/>
    <w:rsid w:val="00F310D4"/>
    <w:rsid w:val="00F31D5A"/>
    <w:rsid w:val="00F338A7"/>
    <w:rsid w:val="00F33975"/>
    <w:rsid w:val="00F33DE9"/>
    <w:rsid w:val="00F34B0B"/>
    <w:rsid w:val="00F35E6D"/>
    <w:rsid w:val="00F3619A"/>
    <w:rsid w:val="00F40AAA"/>
    <w:rsid w:val="00F40BA7"/>
    <w:rsid w:val="00F40F9D"/>
    <w:rsid w:val="00F41ACD"/>
    <w:rsid w:val="00F41C7A"/>
    <w:rsid w:val="00F44029"/>
    <w:rsid w:val="00F46CB6"/>
    <w:rsid w:val="00F4756D"/>
    <w:rsid w:val="00F47DE8"/>
    <w:rsid w:val="00F542C1"/>
    <w:rsid w:val="00F54A00"/>
    <w:rsid w:val="00F54EDD"/>
    <w:rsid w:val="00F55AEB"/>
    <w:rsid w:val="00F55E73"/>
    <w:rsid w:val="00F55EDA"/>
    <w:rsid w:val="00F56C80"/>
    <w:rsid w:val="00F60092"/>
    <w:rsid w:val="00F61C18"/>
    <w:rsid w:val="00F65F4B"/>
    <w:rsid w:val="00F66AF9"/>
    <w:rsid w:val="00F678AE"/>
    <w:rsid w:val="00F67A69"/>
    <w:rsid w:val="00F70BFF"/>
    <w:rsid w:val="00F70C9D"/>
    <w:rsid w:val="00F747D2"/>
    <w:rsid w:val="00F74CD9"/>
    <w:rsid w:val="00F75F87"/>
    <w:rsid w:val="00F80A7B"/>
    <w:rsid w:val="00F80E5D"/>
    <w:rsid w:val="00F81E78"/>
    <w:rsid w:val="00F851CE"/>
    <w:rsid w:val="00F91219"/>
    <w:rsid w:val="00F92444"/>
    <w:rsid w:val="00F9393E"/>
    <w:rsid w:val="00F96FD0"/>
    <w:rsid w:val="00F97A78"/>
    <w:rsid w:val="00FA0B20"/>
    <w:rsid w:val="00FA24E7"/>
    <w:rsid w:val="00FA38E6"/>
    <w:rsid w:val="00FA5EE6"/>
    <w:rsid w:val="00FA7956"/>
    <w:rsid w:val="00FB0A12"/>
    <w:rsid w:val="00FB2FCB"/>
    <w:rsid w:val="00FB7A30"/>
    <w:rsid w:val="00FB7C55"/>
    <w:rsid w:val="00FC1074"/>
    <w:rsid w:val="00FC1884"/>
    <w:rsid w:val="00FC371D"/>
    <w:rsid w:val="00FC5F0B"/>
    <w:rsid w:val="00FC731A"/>
    <w:rsid w:val="00FD1562"/>
    <w:rsid w:val="00FD2100"/>
    <w:rsid w:val="00FD436C"/>
    <w:rsid w:val="00FD446D"/>
    <w:rsid w:val="00FD477F"/>
    <w:rsid w:val="00FD4F2C"/>
    <w:rsid w:val="00FD6199"/>
    <w:rsid w:val="00FD6394"/>
    <w:rsid w:val="00FE0E6C"/>
    <w:rsid w:val="00FE1CDC"/>
    <w:rsid w:val="00FE70C3"/>
    <w:rsid w:val="00FF2AD9"/>
    <w:rsid w:val="00FF359F"/>
    <w:rsid w:val="00FF3DCF"/>
    <w:rsid w:val="00FF492C"/>
    <w:rsid w:val="00FF4A21"/>
    <w:rsid w:val="00FF52BD"/>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0DD"/>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RIMA,Bayer Caption,IB Caption,Medical Caption,Char,CSR Caption,Caption Char1,Caption Char Char,Char Char Char,Char Char1,Char1,Table caption,Caption 3,c,appendix,Figure caption,Figure caption1 Char Char,Caption SYNEVi,- H17,Bayer"/>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PRIMA Char,Bayer Caption Char,IB Caption Char,Medical Caption Char,Char Char,CSR Caption Char,Caption Char1 Char,Caption Char Char Char,Char Char Char Char,Char Char1 Char,Char1 Char,Table caption Char,Caption 3 Char,c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Table Legend,Bullet1,Bullet 1,Bullet List,Section 5,ES Paragraph,PBAC ES Paragraph,PBAC normal poin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Table Legend Char,Bullet1 Char,Bullet 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Dossier table,Section 3- footnotes,Summary Table,MSD 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FB0A12"/>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FB0A12"/>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table" w:customStyle="1" w:styleId="TableGrid1">
    <w:name w:val="Table Grid1"/>
    <w:basedOn w:val="TableNormal"/>
    <w:next w:val="TableGrid"/>
    <w:uiPriority w:val="59"/>
    <w:rsid w:val="002319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191C"/>
    <w:pPr>
      <w:autoSpaceDE w:val="0"/>
      <w:autoSpaceDN w:val="0"/>
      <w:adjustRightInd w:val="0"/>
    </w:pPr>
    <w:rPr>
      <w:rFonts w:ascii="Calibri" w:eastAsiaTheme="minorHAnsi" w:hAnsi="Calibri" w:cs="Calibri"/>
      <w:color w:val="000000"/>
      <w:sz w:val="24"/>
      <w:szCs w:val="24"/>
      <w:lang w:eastAsia="en-US"/>
    </w:rPr>
  </w:style>
  <w:style w:type="paragraph" w:customStyle="1" w:styleId="SyneviNormal">
    <w:name w:val="Synevi Normal"/>
    <w:basedOn w:val="Normal"/>
    <w:link w:val="SyneviNormalChar"/>
    <w:qFormat/>
    <w:rsid w:val="00C44404"/>
    <w:pPr>
      <w:spacing w:line="360" w:lineRule="auto"/>
    </w:pPr>
    <w:rPr>
      <w:rFonts w:asciiTheme="minorHAnsi" w:hAnsiTheme="minorHAnsi" w:cs="Times New Roman"/>
      <w:sz w:val="22"/>
      <w:szCs w:val="20"/>
      <w:lang w:val="en-US" w:eastAsia="en-US"/>
    </w:rPr>
  </w:style>
  <w:style w:type="character" w:customStyle="1" w:styleId="SyneviNormalChar">
    <w:name w:val="Synevi Normal Char"/>
    <w:basedOn w:val="DefaultParagraphFont"/>
    <w:link w:val="SyneviNormal"/>
    <w:rsid w:val="00C44404"/>
    <w:rPr>
      <w:rFonts w:asciiTheme="minorHAnsi" w:hAnsiTheme="minorHAnsi"/>
      <w:sz w:val="22"/>
      <w:lang w:val="en-US" w:eastAsia="en-US"/>
    </w:rPr>
  </w:style>
  <w:style w:type="character" w:customStyle="1" w:styleId="UnresolvedMention1">
    <w:name w:val="Unresolved Mention1"/>
    <w:basedOn w:val="DefaultParagraphFont"/>
    <w:uiPriority w:val="99"/>
    <w:semiHidden/>
    <w:unhideWhenUsed/>
    <w:rsid w:val="00447EFA"/>
    <w:rPr>
      <w:color w:val="605E5C"/>
      <w:shd w:val="clear" w:color="auto" w:fill="E1DFDD"/>
    </w:rPr>
  </w:style>
  <w:style w:type="paragraph" w:customStyle="1" w:styleId="Bull2table">
    <w:name w:val="Bull2 table"/>
    <w:basedOn w:val="Normal"/>
    <w:qFormat/>
    <w:rsid w:val="00E13F40"/>
    <w:pPr>
      <w:numPr>
        <w:ilvl w:val="1"/>
        <w:numId w:val="12"/>
      </w:numPr>
      <w:tabs>
        <w:tab w:val="left" w:pos="416"/>
        <w:tab w:val="left" w:pos="582"/>
      </w:tabs>
      <w:ind w:left="927"/>
    </w:pPr>
    <w:rPr>
      <w:rFonts w:asciiTheme="minorHAnsi" w:eastAsia="Calibri" w:hAnsiTheme="minorHAnsi" w:cs="Times New Roman"/>
      <w:sz w:val="20"/>
      <w:szCs w:val="20"/>
    </w:rPr>
  </w:style>
  <w:style w:type="paragraph" w:customStyle="1" w:styleId="Tableheading0">
    <w:name w:val="Table heading"/>
    <w:basedOn w:val="Normal"/>
    <w:qFormat/>
    <w:rsid w:val="00B03F68"/>
    <w:pPr>
      <w:jc w:val="center"/>
    </w:pPr>
    <w:rPr>
      <w:rFonts w:asciiTheme="minorHAnsi" w:eastAsiaTheme="minorHAnsi" w:hAnsiTheme="minorHAnsi" w:cstheme="minorBidi"/>
      <w:b/>
      <w:sz w:val="20"/>
      <w:szCs w:val="20"/>
      <w:lang w:eastAsia="en-US"/>
    </w:rPr>
  </w:style>
  <w:style w:type="paragraph" w:customStyle="1" w:styleId="Btable">
    <w:name w:val="B table"/>
    <w:basedOn w:val="Tabletext"/>
    <w:next w:val="Tabletext"/>
    <w:qFormat/>
    <w:rsid w:val="00B03F68"/>
    <w:pPr>
      <w:widowControl w:val="0"/>
      <w:tabs>
        <w:tab w:val="left" w:pos="316"/>
        <w:tab w:val="left" w:pos="416"/>
        <w:tab w:val="left" w:pos="442"/>
        <w:tab w:val="left" w:pos="582"/>
      </w:tabs>
      <w:jc w:val="both"/>
    </w:pPr>
    <w:rPr>
      <w:rFonts w:asciiTheme="minorHAnsi" w:eastAsia="Calibri" w:hAnsiTheme="minorHAnsi" w:cs="Arial"/>
      <w:b/>
      <w:snapToGrid/>
      <w:szCs w:val="20"/>
    </w:rPr>
  </w:style>
  <w:style w:type="paragraph" w:customStyle="1" w:styleId="Tablefooter0">
    <w:name w:val="Table footer"/>
    <w:basedOn w:val="Normal"/>
    <w:qFormat/>
    <w:rsid w:val="00B03F68"/>
    <w:rPr>
      <w:rFonts w:eastAsiaTheme="minorHAnsi" w:cstheme="minorBidi"/>
      <w:sz w:val="18"/>
      <w:szCs w:val="18"/>
      <w:lang w:eastAsia="en-US"/>
    </w:rPr>
  </w:style>
  <w:style w:type="numbering" w:customStyle="1" w:styleId="Style11">
    <w:name w:val="Style11"/>
    <w:uiPriority w:val="99"/>
    <w:rsid w:val="000122C5"/>
  </w:style>
  <w:style w:type="paragraph" w:styleId="FootnoteText">
    <w:name w:val="footnote text"/>
    <w:basedOn w:val="Normal"/>
    <w:link w:val="FootnoteTextChar"/>
    <w:semiHidden/>
    <w:unhideWhenUsed/>
    <w:rsid w:val="00D85F58"/>
    <w:rPr>
      <w:sz w:val="20"/>
      <w:szCs w:val="20"/>
    </w:rPr>
  </w:style>
  <w:style w:type="character" w:customStyle="1" w:styleId="FootnoteTextChar">
    <w:name w:val="Footnote Text Char"/>
    <w:basedOn w:val="DefaultParagraphFont"/>
    <w:link w:val="FootnoteText"/>
    <w:semiHidden/>
    <w:rsid w:val="00D85F58"/>
    <w:rPr>
      <w:rFonts w:ascii="Calibri" w:hAnsi="Calibri" w:cs="Arial"/>
    </w:rPr>
  </w:style>
  <w:style w:type="character" w:styleId="FootnoteReference">
    <w:name w:val="footnote reference"/>
    <w:basedOn w:val="DefaultParagraphFont"/>
    <w:semiHidden/>
    <w:unhideWhenUsed/>
    <w:rsid w:val="00D85F58"/>
    <w:rPr>
      <w:vertAlign w:val="superscript"/>
    </w:rPr>
  </w:style>
  <w:style w:type="paragraph" w:customStyle="1" w:styleId="Tablecentre">
    <w:name w:val="Table centre"/>
    <w:basedOn w:val="Normal"/>
    <w:qFormat/>
    <w:rsid w:val="00AC6B4B"/>
    <w:pPr>
      <w:jc w:val="center"/>
    </w:pPr>
    <w:rPr>
      <w:rFonts w:eastAsiaTheme="minorHAnsi" w:cstheme="minorBidi"/>
      <w:sz w:val="20"/>
      <w:szCs w:val="20"/>
      <w:lang w:eastAsia="en-US"/>
    </w:rPr>
  </w:style>
  <w:style w:type="paragraph" w:customStyle="1" w:styleId="Tab1table">
    <w:name w:val="Tab1 table"/>
    <w:basedOn w:val="Tabletext"/>
    <w:qFormat/>
    <w:rsid w:val="000805A7"/>
    <w:pPr>
      <w:ind w:left="283"/>
      <w:jc w:val="both"/>
    </w:pPr>
    <w:rPr>
      <w:rFonts w:asciiTheme="minorHAnsi" w:eastAsiaTheme="minorHAnsi" w:hAnsiTheme="minorHAnsi" w:cstheme="minorBidi"/>
      <w:snapToGrid/>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24881637">
      <w:bodyDiv w:val="1"/>
      <w:marLeft w:val="0"/>
      <w:marRight w:val="0"/>
      <w:marTop w:val="0"/>
      <w:marBottom w:val="0"/>
      <w:divBdr>
        <w:top w:val="none" w:sz="0" w:space="0" w:color="auto"/>
        <w:left w:val="none" w:sz="0" w:space="0" w:color="auto"/>
        <w:bottom w:val="none" w:sz="0" w:space="0" w:color="auto"/>
        <w:right w:val="none" w:sz="0" w:space="0" w:color="auto"/>
      </w:divBdr>
    </w:div>
    <w:div w:id="55551383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4848">
      <w:bodyDiv w:val="1"/>
      <w:marLeft w:val="0"/>
      <w:marRight w:val="0"/>
      <w:marTop w:val="0"/>
      <w:marBottom w:val="0"/>
      <w:divBdr>
        <w:top w:val="none" w:sz="0" w:space="0" w:color="auto"/>
        <w:left w:val="none" w:sz="0" w:space="0" w:color="auto"/>
        <w:bottom w:val="none" w:sz="0" w:space="0" w:color="auto"/>
        <w:right w:val="none" w:sz="0" w:space="0" w:color="auto"/>
      </w:divBdr>
    </w:div>
    <w:div w:id="1658609921">
      <w:bodyDiv w:val="1"/>
      <w:marLeft w:val="0"/>
      <w:marRight w:val="0"/>
      <w:marTop w:val="0"/>
      <w:marBottom w:val="0"/>
      <w:divBdr>
        <w:top w:val="none" w:sz="0" w:space="0" w:color="auto"/>
        <w:left w:val="none" w:sz="0" w:space="0" w:color="auto"/>
        <w:bottom w:val="none" w:sz="0" w:space="0" w:color="auto"/>
        <w:right w:val="none" w:sz="0" w:space="0" w:color="auto"/>
      </w:divBdr>
    </w:div>
    <w:div w:id="167387675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12568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52479-DB4F-469C-9F09-A97A03F0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5176</Words>
  <Characters>27675</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2022-08-24T04:30:00Z</dcterms:created>
  <dcterms:modified xsi:type="dcterms:W3CDTF">2022-08-24T06:30:00Z</dcterms:modified>
</cp:coreProperties>
</file>