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6899C" w14:textId="77777777" w:rsidR="00B60939" w:rsidRPr="00BC31CD" w:rsidRDefault="00E25376" w:rsidP="004A6040">
      <w:pPr>
        <w:pStyle w:val="1-MainHeading"/>
      </w:pPr>
      <w:bookmarkStart w:id="0" w:name="_Toc82002223"/>
      <w:bookmarkStart w:id="1" w:name="_GoBack"/>
      <w:bookmarkEnd w:id="1"/>
      <w:r w:rsidRPr="00BC31CD">
        <w:t>5.15</w:t>
      </w:r>
      <w:r w:rsidR="00163F66" w:rsidRPr="00BC31CD">
        <w:tab/>
      </w:r>
      <w:r w:rsidR="00F80F0D" w:rsidRPr="00BC31CD">
        <w:t>TRIENTINE</w:t>
      </w:r>
      <w:r w:rsidR="00B949A3" w:rsidRPr="00BC31CD">
        <w:t xml:space="preserve">, </w:t>
      </w:r>
      <w:r w:rsidRPr="00BC31CD">
        <w:br/>
      </w:r>
      <w:r w:rsidR="00B949A3" w:rsidRPr="00BC31CD">
        <w:t>Tablet 150 mg</w:t>
      </w:r>
      <w:r w:rsidR="008657B6" w:rsidRPr="00BC31CD">
        <w:t xml:space="preserve"> (as tetrahydrochloride)</w:t>
      </w:r>
      <w:r w:rsidR="00163F66" w:rsidRPr="00BC31CD">
        <w:t>,</w:t>
      </w:r>
      <w:r w:rsidR="00B949A3" w:rsidRPr="00BC31CD">
        <w:t xml:space="preserve"> </w:t>
      </w:r>
      <w:r w:rsidRPr="00BC31CD">
        <w:br/>
      </w:r>
      <w:r w:rsidR="00F80F0D" w:rsidRPr="00BC31CD">
        <w:t>Cuprior</w:t>
      </w:r>
      <w:r w:rsidR="00B60939" w:rsidRPr="00BC31CD">
        <w:rPr>
          <w:vertAlign w:val="superscript"/>
        </w:rPr>
        <w:t>®</w:t>
      </w:r>
      <w:r w:rsidR="004A6040" w:rsidRPr="00BC31CD">
        <w:t>,</w:t>
      </w:r>
      <w:r w:rsidR="00B949A3" w:rsidRPr="00BC31CD">
        <w:t xml:space="preserve"> </w:t>
      </w:r>
      <w:r w:rsidRPr="00BC31CD">
        <w:br/>
      </w:r>
      <w:r w:rsidR="00B949A3" w:rsidRPr="00BC31CD">
        <w:t>Orphalan</w:t>
      </w:r>
      <w:bookmarkEnd w:id="0"/>
    </w:p>
    <w:p w14:paraId="6979EAD4" w14:textId="77777777" w:rsidR="00B50DB8" w:rsidRPr="00BC31CD" w:rsidRDefault="00B50DB8" w:rsidP="004A6040">
      <w:pPr>
        <w:pStyle w:val="2-SectionHeading"/>
      </w:pPr>
      <w:bookmarkStart w:id="2" w:name="_Toc82002225"/>
      <w:r w:rsidRPr="00BC31CD">
        <w:t xml:space="preserve">Purpose of </w:t>
      </w:r>
      <w:r w:rsidR="00CD7193" w:rsidRPr="00BC31CD">
        <w:t>s</w:t>
      </w:r>
      <w:r w:rsidR="00BB3A45" w:rsidRPr="00BC31CD">
        <w:t>ubmission</w:t>
      </w:r>
      <w:bookmarkEnd w:id="2"/>
    </w:p>
    <w:p w14:paraId="0532B9F6" w14:textId="77777777" w:rsidR="002C2775" w:rsidRPr="00BC31CD" w:rsidRDefault="007170DA" w:rsidP="004E18E9">
      <w:pPr>
        <w:pStyle w:val="3-BodyText"/>
      </w:pPr>
      <w:r w:rsidRPr="00BC31CD">
        <w:t xml:space="preserve">The </w:t>
      </w:r>
      <w:r w:rsidR="00E27152" w:rsidRPr="00BC31CD">
        <w:t xml:space="preserve">Category 1 </w:t>
      </w:r>
      <w:r w:rsidRPr="00BC31CD">
        <w:t>submission requested</w:t>
      </w:r>
      <w:r w:rsidR="008B1757" w:rsidRPr="00BC31CD">
        <w:t xml:space="preserve"> Authority Required</w:t>
      </w:r>
      <w:r w:rsidR="004C65B1" w:rsidRPr="00BC31CD">
        <w:t xml:space="preserve"> </w:t>
      </w:r>
      <w:r w:rsidR="008B1757" w:rsidRPr="00BC31CD">
        <w:t>listing for</w:t>
      </w:r>
      <w:r w:rsidR="004C65B1" w:rsidRPr="00BC31CD">
        <w:t xml:space="preserve"> trientine tetrahydrochloride</w:t>
      </w:r>
      <w:r w:rsidR="00B02245" w:rsidRPr="00BC31CD">
        <w:t xml:space="preserve"> </w:t>
      </w:r>
      <w:r w:rsidR="004C65B1" w:rsidRPr="00BC31CD">
        <w:t>(</w:t>
      </w:r>
      <w:r w:rsidR="00564E7D" w:rsidRPr="00BC31CD">
        <w:t xml:space="preserve">trientine </w:t>
      </w:r>
      <w:r w:rsidR="004C65B1" w:rsidRPr="00BC31CD">
        <w:t>4HC</w:t>
      </w:r>
      <w:r w:rsidR="00933C86" w:rsidRPr="00BC31CD">
        <w:t>l</w:t>
      </w:r>
      <w:r w:rsidR="004C65B1" w:rsidRPr="00BC31CD">
        <w:t>)</w:t>
      </w:r>
      <w:r w:rsidR="00933C86" w:rsidRPr="00BC31CD">
        <w:t xml:space="preserve"> </w:t>
      </w:r>
      <w:r w:rsidR="008B1757" w:rsidRPr="00BC31CD">
        <w:t xml:space="preserve">for </w:t>
      </w:r>
      <w:r w:rsidR="0050174E" w:rsidRPr="00BC31CD">
        <w:t xml:space="preserve">the </w:t>
      </w:r>
      <w:r w:rsidR="008B1757" w:rsidRPr="00BC31CD">
        <w:t xml:space="preserve">treatment of </w:t>
      </w:r>
      <w:r w:rsidR="004C65B1" w:rsidRPr="00BC31CD">
        <w:t>patient</w:t>
      </w:r>
      <w:r w:rsidR="00933C86" w:rsidRPr="00BC31CD">
        <w:t>s</w:t>
      </w:r>
      <w:r w:rsidR="004C65B1" w:rsidRPr="00BC31CD">
        <w:t xml:space="preserve"> with Wilson Disease</w:t>
      </w:r>
      <w:r w:rsidR="00F50FB3" w:rsidRPr="00BC31CD">
        <w:t xml:space="preserve"> (WD)</w:t>
      </w:r>
      <w:r w:rsidR="004C65B1" w:rsidRPr="00BC31CD">
        <w:t xml:space="preserve"> who are intolerant of D-penicillamine</w:t>
      </w:r>
      <w:r w:rsidR="008A1135" w:rsidRPr="00BC31CD">
        <w:t>/penicillamine</w:t>
      </w:r>
      <w:r w:rsidR="004C65B1" w:rsidRPr="00BC31CD">
        <w:t xml:space="preserve"> (DPA)</w:t>
      </w:r>
      <w:r w:rsidR="008B1757" w:rsidRPr="00BC31CD">
        <w:t xml:space="preserve">. </w:t>
      </w:r>
    </w:p>
    <w:p w14:paraId="0614B7E9" w14:textId="77777777" w:rsidR="00F80F0D" w:rsidRPr="00BC31CD" w:rsidRDefault="005750C5" w:rsidP="00E25376">
      <w:pPr>
        <w:pStyle w:val="3-BodyText"/>
        <w:rPr>
          <w:rFonts w:ascii="Arial Narrow" w:hAnsi="Arial Narrow"/>
          <w:b/>
          <w:sz w:val="20"/>
        </w:rPr>
      </w:pPr>
      <w:r w:rsidRPr="00BC31CD">
        <w:t>Listing was requested on the basis of a</w:t>
      </w:r>
      <w:r w:rsidR="00F80F0D" w:rsidRPr="00BC31CD">
        <w:t xml:space="preserve"> </w:t>
      </w:r>
      <w:r w:rsidRPr="00BC31CD">
        <w:t xml:space="preserve">cost-effectiveness analysis versus </w:t>
      </w:r>
      <w:r w:rsidR="004C65B1" w:rsidRPr="00BC31CD">
        <w:t>best supportive care (BSC)</w:t>
      </w:r>
      <w:r w:rsidRPr="00BC31CD">
        <w:t xml:space="preserve">. </w:t>
      </w:r>
    </w:p>
    <w:p w14:paraId="63E01931" w14:textId="77777777" w:rsidR="00F80F0D" w:rsidRPr="00BC31CD" w:rsidRDefault="008B1757" w:rsidP="00933C86">
      <w:pPr>
        <w:pStyle w:val="PBACTableText"/>
        <w:spacing w:before="0" w:after="0"/>
      </w:pPr>
      <w:r w:rsidRPr="00BC31CD">
        <w:rPr>
          <w:rStyle w:val="CommentReference"/>
          <w:szCs w:val="24"/>
        </w:rPr>
        <w:t xml:space="preserve">Table </w:t>
      </w:r>
      <w:r w:rsidR="004C65B1" w:rsidRPr="00BC31CD">
        <w:rPr>
          <w:rStyle w:val="CommentReference"/>
          <w:szCs w:val="24"/>
        </w:rPr>
        <w:t>1</w:t>
      </w:r>
      <w:r w:rsidRPr="00BC31CD">
        <w:rPr>
          <w:rStyle w:val="CommentReference"/>
          <w:szCs w:val="24"/>
        </w:rPr>
        <w:t>:</w:t>
      </w:r>
      <w:r w:rsidR="00BC591F" w:rsidRPr="00BC31CD">
        <w:rPr>
          <w:rStyle w:val="CommentReference"/>
          <w:szCs w:val="24"/>
        </w:rPr>
        <w:t xml:space="preserve"> </w:t>
      </w:r>
      <w:r w:rsidRPr="00BC31CD">
        <w:rPr>
          <w:rStyle w:val="CommentReference"/>
          <w:szCs w:val="24"/>
        </w:rPr>
        <w:t>Key components of the clinical issue addressed by the submission</w:t>
      </w:r>
      <w:r w:rsidR="007170DA" w:rsidRPr="00BC31CD">
        <w:rPr>
          <w:rStyle w:val="CommentReference"/>
          <w:szCs w:val="24"/>
        </w:rPr>
        <w:t xml:space="preserve"> (as stated in the submission)</w:t>
      </w:r>
    </w:p>
    <w:tbl>
      <w:tblPr>
        <w:tblStyle w:val="TableGrid"/>
        <w:tblW w:w="5000" w:type="pct"/>
        <w:tblLook w:val="04A0" w:firstRow="1" w:lastRow="0" w:firstColumn="1" w:lastColumn="0" w:noHBand="0" w:noVBand="1"/>
        <w:tblCaption w:val="Table 1: Key components of the clinical issue addressed by the submission (as stated in the submission)"/>
      </w:tblPr>
      <w:tblGrid>
        <w:gridCol w:w="1271"/>
        <w:gridCol w:w="7746"/>
      </w:tblGrid>
      <w:tr w:rsidR="00F80F0D" w:rsidRPr="00BC31CD" w14:paraId="09074169" w14:textId="77777777" w:rsidTr="00173E64">
        <w:trPr>
          <w:tblHeader/>
        </w:trPr>
        <w:tc>
          <w:tcPr>
            <w:tcW w:w="705" w:type="pct"/>
            <w:tcBorders>
              <w:bottom w:val="single" w:sz="4" w:space="0" w:color="000000"/>
            </w:tcBorders>
            <w:shd w:val="clear" w:color="auto" w:fill="auto"/>
            <w:vAlign w:val="center"/>
          </w:tcPr>
          <w:p w14:paraId="27336BCE" w14:textId="77777777" w:rsidR="00F80F0D" w:rsidRPr="00BC31CD" w:rsidRDefault="00F80F0D" w:rsidP="00933C86">
            <w:pPr>
              <w:pStyle w:val="PBACTableText"/>
              <w:spacing w:before="0" w:after="0"/>
              <w:rPr>
                <w:b/>
                <w:bCs/>
              </w:rPr>
            </w:pPr>
            <w:r w:rsidRPr="00BC31CD">
              <w:rPr>
                <w:b/>
                <w:bCs/>
              </w:rPr>
              <w:t>Component</w:t>
            </w:r>
          </w:p>
        </w:tc>
        <w:tc>
          <w:tcPr>
            <w:tcW w:w="4295" w:type="pct"/>
            <w:shd w:val="clear" w:color="auto" w:fill="auto"/>
            <w:vAlign w:val="center"/>
          </w:tcPr>
          <w:p w14:paraId="7ABB931A" w14:textId="77777777" w:rsidR="00F80F0D" w:rsidRPr="00BC31CD" w:rsidRDefault="00F80F0D" w:rsidP="00933C86">
            <w:pPr>
              <w:pStyle w:val="PBACTableText"/>
              <w:spacing w:before="0" w:after="0"/>
              <w:rPr>
                <w:b/>
                <w:bCs/>
              </w:rPr>
            </w:pPr>
            <w:r w:rsidRPr="00BC31CD">
              <w:rPr>
                <w:b/>
                <w:bCs/>
              </w:rPr>
              <w:t>Description</w:t>
            </w:r>
          </w:p>
        </w:tc>
      </w:tr>
      <w:tr w:rsidR="00F80F0D" w:rsidRPr="00BC31CD" w14:paraId="2B94D652" w14:textId="77777777" w:rsidTr="00173E64">
        <w:trPr>
          <w:tblHeader/>
        </w:trPr>
        <w:tc>
          <w:tcPr>
            <w:tcW w:w="705" w:type="pct"/>
            <w:tcBorders>
              <w:bottom w:val="nil"/>
            </w:tcBorders>
            <w:shd w:val="clear" w:color="auto" w:fill="auto"/>
            <w:vAlign w:val="center"/>
          </w:tcPr>
          <w:p w14:paraId="76652173" w14:textId="77777777" w:rsidR="00F80F0D" w:rsidRPr="00BC31CD" w:rsidRDefault="00F80F0D" w:rsidP="00933C86">
            <w:pPr>
              <w:pStyle w:val="PBACTableText"/>
              <w:spacing w:before="0" w:after="0"/>
            </w:pPr>
            <w:r w:rsidRPr="00BC31CD">
              <w:t>Population</w:t>
            </w:r>
          </w:p>
        </w:tc>
        <w:tc>
          <w:tcPr>
            <w:tcW w:w="4295" w:type="pct"/>
            <w:shd w:val="clear" w:color="auto" w:fill="auto"/>
            <w:vAlign w:val="center"/>
          </w:tcPr>
          <w:p w14:paraId="20C11D7C" w14:textId="77777777" w:rsidR="00F80F0D" w:rsidRPr="00BC31CD" w:rsidRDefault="00F80F0D" w:rsidP="00933C86">
            <w:pPr>
              <w:pStyle w:val="PBACTableText"/>
              <w:spacing w:before="0" w:after="0"/>
            </w:pPr>
            <w:r w:rsidRPr="00BC31CD">
              <w:t xml:space="preserve">Patients with </w:t>
            </w:r>
            <w:r w:rsidR="004942F9" w:rsidRPr="00BC31CD">
              <w:t xml:space="preserve">Wilson </w:t>
            </w:r>
            <w:r w:rsidR="001639C5" w:rsidRPr="00BC31CD">
              <w:t>D</w:t>
            </w:r>
            <w:r w:rsidR="004942F9" w:rsidRPr="00BC31CD">
              <w:t>isease</w:t>
            </w:r>
            <w:r w:rsidRPr="00BC31CD">
              <w:t xml:space="preserve"> intolerant to D-penicillamine</w:t>
            </w:r>
            <w:r w:rsidR="008A1135" w:rsidRPr="00BC31CD">
              <w:t>/penicillamine</w:t>
            </w:r>
            <w:r w:rsidR="007F60EB" w:rsidRPr="00BC31CD">
              <w:t xml:space="preserve"> (DPA)</w:t>
            </w:r>
            <w:r w:rsidRPr="00BC31CD">
              <w:t xml:space="preserve"> and with evidence of excess copper requiring chelation therapy</w:t>
            </w:r>
          </w:p>
        </w:tc>
      </w:tr>
      <w:tr w:rsidR="00F80F0D" w:rsidRPr="00BC31CD" w14:paraId="404C1032" w14:textId="77777777" w:rsidTr="00173E64">
        <w:trPr>
          <w:tblHeader/>
        </w:trPr>
        <w:tc>
          <w:tcPr>
            <w:tcW w:w="705" w:type="pct"/>
            <w:shd w:val="clear" w:color="auto" w:fill="auto"/>
            <w:vAlign w:val="center"/>
          </w:tcPr>
          <w:p w14:paraId="07EECB14" w14:textId="77777777" w:rsidR="00F80F0D" w:rsidRPr="00BC31CD" w:rsidRDefault="00F80F0D" w:rsidP="00933C86">
            <w:pPr>
              <w:pStyle w:val="PBACTableText"/>
              <w:spacing w:before="0" w:after="0"/>
            </w:pPr>
            <w:r w:rsidRPr="00BC31CD">
              <w:t>Intervention</w:t>
            </w:r>
          </w:p>
        </w:tc>
        <w:tc>
          <w:tcPr>
            <w:tcW w:w="4295" w:type="pct"/>
            <w:shd w:val="clear" w:color="auto" w:fill="auto"/>
            <w:vAlign w:val="center"/>
          </w:tcPr>
          <w:p w14:paraId="6EF17616" w14:textId="77777777" w:rsidR="00F80F0D" w:rsidRPr="00BC31CD" w:rsidRDefault="00E25376" w:rsidP="00933C86">
            <w:pPr>
              <w:pStyle w:val="PBACTableText"/>
              <w:spacing w:before="0" w:after="0"/>
            </w:pPr>
            <w:r w:rsidRPr="00BC31CD">
              <w:t>T</w:t>
            </w:r>
            <w:r w:rsidR="00F80F0D" w:rsidRPr="00BC31CD">
              <w:t>rientine tetrahydrochloride (4HC</w:t>
            </w:r>
            <w:r w:rsidR="007F60EB" w:rsidRPr="00BC31CD">
              <w:t>l</w:t>
            </w:r>
            <w:r w:rsidR="00F80F0D" w:rsidRPr="00BC31CD">
              <w:t>)</w:t>
            </w:r>
            <w:r w:rsidR="00E451EA" w:rsidRPr="00BC31CD">
              <w:t xml:space="preserve">. </w:t>
            </w:r>
            <w:r w:rsidR="001550B7" w:rsidRPr="00BC31CD">
              <w:t>The recommended adult dose is between 450 mg and 975 mg per day in 2 to 4 divided doses. The recommended dose for children aged ≥ 5 years is between 225 mg and 600 mg per day in 2 to 4 divided doses.</w:t>
            </w:r>
          </w:p>
        </w:tc>
      </w:tr>
      <w:tr w:rsidR="00F80F0D" w:rsidRPr="00BC31CD" w14:paraId="3F666838" w14:textId="77777777" w:rsidTr="00173E64">
        <w:trPr>
          <w:tblHeader/>
        </w:trPr>
        <w:tc>
          <w:tcPr>
            <w:tcW w:w="705" w:type="pct"/>
            <w:shd w:val="clear" w:color="auto" w:fill="auto"/>
            <w:vAlign w:val="center"/>
          </w:tcPr>
          <w:p w14:paraId="41161EB6" w14:textId="77777777" w:rsidR="00F80F0D" w:rsidRPr="00BC31CD" w:rsidRDefault="00F80F0D" w:rsidP="00933C86">
            <w:pPr>
              <w:pStyle w:val="PBACTableText"/>
              <w:spacing w:before="0" w:after="0"/>
            </w:pPr>
            <w:r w:rsidRPr="00BC31CD">
              <w:t>Comparator</w:t>
            </w:r>
          </w:p>
        </w:tc>
        <w:tc>
          <w:tcPr>
            <w:tcW w:w="4295" w:type="pct"/>
            <w:shd w:val="clear" w:color="auto" w:fill="auto"/>
            <w:vAlign w:val="center"/>
          </w:tcPr>
          <w:p w14:paraId="08A51013" w14:textId="77777777" w:rsidR="00F80F0D" w:rsidRPr="00BC31CD" w:rsidRDefault="00F80F0D" w:rsidP="00933C86">
            <w:pPr>
              <w:pStyle w:val="PBACTableText"/>
              <w:spacing w:before="0" w:after="0"/>
            </w:pPr>
            <w:r w:rsidRPr="00BC31CD">
              <w:t>Best supportive care (i.e. no copper chelation)</w:t>
            </w:r>
          </w:p>
        </w:tc>
      </w:tr>
      <w:tr w:rsidR="00F80F0D" w:rsidRPr="00BC31CD" w14:paraId="44655188" w14:textId="77777777" w:rsidTr="00173E64">
        <w:trPr>
          <w:tblHeader/>
        </w:trPr>
        <w:tc>
          <w:tcPr>
            <w:tcW w:w="705" w:type="pct"/>
            <w:shd w:val="clear" w:color="auto" w:fill="auto"/>
            <w:vAlign w:val="center"/>
          </w:tcPr>
          <w:p w14:paraId="56B8F27A" w14:textId="77777777" w:rsidR="00F80F0D" w:rsidRPr="00BC31CD" w:rsidRDefault="00F80F0D" w:rsidP="00933C86">
            <w:pPr>
              <w:pStyle w:val="PBACTableText"/>
              <w:spacing w:before="0" w:after="0"/>
            </w:pPr>
            <w:r w:rsidRPr="00BC31CD">
              <w:t>Outcomes</w:t>
            </w:r>
          </w:p>
        </w:tc>
        <w:tc>
          <w:tcPr>
            <w:tcW w:w="4295" w:type="pct"/>
            <w:shd w:val="clear" w:color="auto" w:fill="auto"/>
            <w:vAlign w:val="center"/>
          </w:tcPr>
          <w:p w14:paraId="103B0CC3" w14:textId="77777777" w:rsidR="00F80F0D" w:rsidRPr="00BC31CD" w:rsidRDefault="00F80F0D" w:rsidP="00933C86">
            <w:pPr>
              <w:pStyle w:val="PBACTableText"/>
              <w:spacing w:before="0" w:after="0"/>
            </w:pPr>
            <w:r w:rsidRPr="00BC31CD">
              <w:t>Copper levels</w:t>
            </w:r>
            <w:r w:rsidR="00933C86" w:rsidRPr="00BC31CD">
              <w:t>; p</w:t>
            </w:r>
            <w:r w:rsidRPr="00BC31CD">
              <w:t>rogression t</w:t>
            </w:r>
            <w:r w:rsidR="00933C86" w:rsidRPr="00BC31CD">
              <w:t>o</w:t>
            </w:r>
            <w:r w:rsidRPr="00BC31CD">
              <w:t xml:space="preserve"> symptomatic disease</w:t>
            </w:r>
            <w:r w:rsidR="00933C86" w:rsidRPr="00BC31CD">
              <w:t>; m</w:t>
            </w:r>
            <w:r w:rsidRPr="00BC31CD">
              <w:t>ortality</w:t>
            </w:r>
          </w:p>
        </w:tc>
      </w:tr>
      <w:tr w:rsidR="00F80F0D" w:rsidRPr="00BC31CD" w14:paraId="31046A37" w14:textId="77777777" w:rsidTr="00173E64">
        <w:trPr>
          <w:tblHeader/>
        </w:trPr>
        <w:tc>
          <w:tcPr>
            <w:tcW w:w="705" w:type="pct"/>
            <w:shd w:val="clear" w:color="auto" w:fill="auto"/>
            <w:vAlign w:val="center"/>
          </w:tcPr>
          <w:p w14:paraId="7DF5AD30" w14:textId="77777777" w:rsidR="00F80F0D" w:rsidRPr="00BC31CD" w:rsidRDefault="00F80F0D" w:rsidP="00933C86">
            <w:pPr>
              <w:pStyle w:val="PBACTableText"/>
              <w:spacing w:before="0" w:after="0"/>
            </w:pPr>
            <w:r w:rsidRPr="00BC31CD">
              <w:t>Clinical claim</w:t>
            </w:r>
          </w:p>
        </w:tc>
        <w:tc>
          <w:tcPr>
            <w:tcW w:w="4295" w:type="pct"/>
            <w:shd w:val="clear" w:color="auto" w:fill="auto"/>
            <w:vAlign w:val="center"/>
          </w:tcPr>
          <w:p w14:paraId="55020206" w14:textId="77777777" w:rsidR="00F80F0D" w:rsidRPr="00BC31CD" w:rsidRDefault="004C65B1" w:rsidP="00933C86">
            <w:pPr>
              <w:pStyle w:val="PBACTableText"/>
              <w:spacing w:before="0" w:after="0"/>
            </w:pPr>
            <w:r w:rsidRPr="00BC31CD">
              <w:t>T</w:t>
            </w:r>
            <w:r w:rsidR="007F60EB" w:rsidRPr="00BC31CD">
              <w:t xml:space="preserve">rientine </w:t>
            </w:r>
            <w:r w:rsidRPr="00BC31CD">
              <w:t>4HC</w:t>
            </w:r>
            <w:r w:rsidR="007F60EB" w:rsidRPr="00BC31CD">
              <w:t>l</w:t>
            </w:r>
            <w:r w:rsidR="00F80F0D" w:rsidRPr="00BC31CD">
              <w:t xml:space="preserve"> has superior efficacy relative to best supportive care (i.e. no chelation therapy)</w:t>
            </w:r>
          </w:p>
          <w:p w14:paraId="4914761F" w14:textId="77777777" w:rsidR="00F80F0D" w:rsidRPr="00BC31CD" w:rsidRDefault="004C65B1" w:rsidP="00933C86">
            <w:pPr>
              <w:pStyle w:val="PBACTableText"/>
              <w:spacing w:before="0" w:after="0"/>
              <w:rPr>
                <w:highlight w:val="yellow"/>
              </w:rPr>
            </w:pPr>
            <w:r w:rsidRPr="00BC31CD">
              <w:t>T</w:t>
            </w:r>
            <w:r w:rsidR="007F60EB" w:rsidRPr="00BC31CD">
              <w:t xml:space="preserve">rientine </w:t>
            </w:r>
            <w:r w:rsidRPr="00BC31CD">
              <w:t>4HC</w:t>
            </w:r>
            <w:r w:rsidR="007F60EB" w:rsidRPr="00BC31CD">
              <w:t>l</w:t>
            </w:r>
            <w:r w:rsidR="00F80F0D" w:rsidRPr="00BC31CD">
              <w:t xml:space="preserve"> has an inferior, albeit manageable, safety profile relative to best supportive care (i.e. no chelation therapy)</w:t>
            </w:r>
          </w:p>
        </w:tc>
      </w:tr>
    </w:tbl>
    <w:p w14:paraId="116B897D" w14:textId="77777777" w:rsidR="004E43B2" w:rsidRPr="00BC31CD" w:rsidRDefault="008B1757" w:rsidP="004A6040">
      <w:pPr>
        <w:pStyle w:val="TableFigureFooter"/>
        <w:rPr>
          <w:sz w:val="20"/>
        </w:rPr>
      </w:pPr>
      <w:r w:rsidRPr="00BC31CD">
        <w:t>Source: Table</w:t>
      </w:r>
      <w:r w:rsidR="00F80F0D" w:rsidRPr="00BC31CD">
        <w:t xml:space="preserve"> 1</w:t>
      </w:r>
      <w:r w:rsidR="00E20DF5" w:rsidRPr="00BC31CD">
        <w:t>-1</w:t>
      </w:r>
      <w:r w:rsidRPr="00BC31CD">
        <w:t>, p</w:t>
      </w:r>
      <w:r w:rsidR="00E20DF5" w:rsidRPr="00BC31CD">
        <w:t xml:space="preserve">13 </w:t>
      </w:r>
      <w:r w:rsidRPr="00BC31CD">
        <w:t>of the submission</w:t>
      </w:r>
      <w:r w:rsidR="00A95C4D" w:rsidRPr="00BC31CD">
        <w:t xml:space="preserve"> and the draft Product Information</w:t>
      </w:r>
      <w:r w:rsidRPr="00BC31CD">
        <w:t>.</w:t>
      </w:r>
    </w:p>
    <w:p w14:paraId="65863B27" w14:textId="77777777" w:rsidR="005C25FF" w:rsidRPr="00BC31CD" w:rsidRDefault="005C25FF" w:rsidP="004A6040">
      <w:pPr>
        <w:pStyle w:val="2-SectionHeading"/>
      </w:pPr>
      <w:bookmarkStart w:id="3" w:name="_Toc82002226"/>
      <w:r w:rsidRPr="00BC31CD">
        <w:t>Background</w:t>
      </w:r>
      <w:bookmarkEnd w:id="3"/>
    </w:p>
    <w:p w14:paraId="69983097" w14:textId="77777777" w:rsidR="005C25FF" w:rsidRPr="00BC31CD" w:rsidRDefault="005C25FF" w:rsidP="004A6040">
      <w:pPr>
        <w:pStyle w:val="4-SubsectionHeading"/>
      </w:pPr>
      <w:bookmarkStart w:id="4" w:name="_Toc22897638"/>
      <w:bookmarkStart w:id="5" w:name="_Toc82002227"/>
      <w:r w:rsidRPr="00BC31CD">
        <w:t>Registration status</w:t>
      </w:r>
      <w:bookmarkEnd w:id="4"/>
      <w:bookmarkEnd w:id="5"/>
    </w:p>
    <w:p w14:paraId="0E8D0081" w14:textId="77777777" w:rsidR="004834E6" w:rsidRPr="00BC31CD" w:rsidRDefault="00CA0DEF" w:rsidP="004834E6">
      <w:pPr>
        <w:pStyle w:val="3-BodyText"/>
      </w:pPr>
      <w:r w:rsidRPr="00BC31CD">
        <w:t xml:space="preserve">Trientine </w:t>
      </w:r>
      <w:r w:rsidR="00E20DF5" w:rsidRPr="00BC31CD">
        <w:t>4HCl</w:t>
      </w:r>
      <w:r w:rsidRPr="00BC31CD">
        <w:t xml:space="preserve"> </w:t>
      </w:r>
      <w:r w:rsidR="005C25FF" w:rsidRPr="00BC31CD">
        <w:t>was</w:t>
      </w:r>
      <w:r w:rsidRPr="00BC31CD">
        <w:t xml:space="preserve"> </w:t>
      </w:r>
      <w:r w:rsidR="000D2E3E" w:rsidRPr="00BC31CD">
        <w:t>approved</w:t>
      </w:r>
      <w:r w:rsidRPr="00BC31CD">
        <w:t xml:space="preserve"> for registration by the TGA </w:t>
      </w:r>
      <w:r w:rsidR="000D2E3E" w:rsidRPr="00BC31CD">
        <w:t>on 15 July 2021</w:t>
      </w:r>
      <w:r w:rsidR="0013157C" w:rsidRPr="00BC31CD">
        <w:t xml:space="preserve"> </w:t>
      </w:r>
      <w:r w:rsidR="005C25FF" w:rsidRPr="00BC31CD">
        <w:t>for</w:t>
      </w:r>
      <w:r w:rsidR="004834E6" w:rsidRPr="00BC31CD">
        <w:t xml:space="preserve"> the treatment of Wilson</w:t>
      </w:r>
      <w:r w:rsidR="000D2E3E" w:rsidRPr="00BC31CD">
        <w:t>’s</w:t>
      </w:r>
      <w:r w:rsidR="004834E6" w:rsidRPr="00BC31CD">
        <w:t xml:space="preserve"> </w:t>
      </w:r>
      <w:r w:rsidR="00564E7D" w:rsidRPr="00BC31CD">
        <w:t>D</w:t>
      </w:r>
      <w:r w:rsidR="005245F6" w:rsidRPr="00BC31CD">
        <w:t xml:space="preserve">isease </w:t>
      </w:r>
      <w:r w:rsidR="004834E6" w:rsidRPr="00BC31CD">
        <w:t>in adults, adolescents and children ≥ 5 years intolerant to D-penicillamine therapy.</w:t>
      </w:r>
      <w:r w:rsidR="008D22B3" w:rsidRPr="00BC31CD">
        <w:t xml:space="preserve"> </w:t>
      </w:r>
    </w:p>
    <w:p w14:paraId="5258FAB4" w14:textId="77777777" w:rsidR="005C25FF" w:rsidRPr="00BC31CD" w:rsidRDefault="008D22B3" w:rsidP="00AF1B0A">
      <w:pPr>
        <w:pStyle w:val="3-BodyText"/>
        <w:rPr>
          <w:color w:val="0066FF"/>
        </w:rPr>
      </w:pPr>
      <w:r w:rsidRPr="00BC31CD">
        <w:t>The TGA Delegate noted that trientine 4HCl is a different formulation and strength to the trientine dihydrochloride (2HCl) formulations that have been in clinical use for many years.</w:t>
      </w:r>
      <w:r w:rsidR="00B02245" w:rsidRPr="00BC31CD">
        <w:t xml:space="preserve"> </w:t>
      </w:r>
      <w:r w:rsidRPr="00BC31CD">
        <w:t xml:space="preserve">The rational for developing the 4HCl product is that the stability of the 4HCl formulation offers patients greater flexibility and convenience in terms of storing the medicine at room temperature. </w:t>
      </w:r>
    </w:p>
    <w:p w14:paraId="3A969AD1" w14:textId="77777777" w:rsidR="00FC1173" w:rsidRPr="00BC31CD" w:rsidRDefault="00FC1173" w:rsidP="00FC1173">
      <w:pPr>
        <w:pStyle w:val="3-BodyText"/>
        <w:numPr>
          <w:ilvl w:val="0"/>
          <w:numId w:val="0"/>
        </w:numPr>
        <w:ind w:left="720"/>
        <w:rPr>
          <w:i/>
          <w:iCs/>
          <w:color w:val="0066FF"/>
        </w:rPr>
      </w:pPr>
      <w:r w:rsidRPr="00BC31CD">
        <w:rPr>
          <w:i/>
          <w:iCs/>
        </w:rPr>
        <w:t>For more detail on PBAC’s view, see section 7 PBAC outcome.</w:t>
      </w:r>
    </w:p>
    <w:p w14:paraId="3EBE0C15" w14:textId="77777777" w:rsidR="00D852EB" w:rsidRPr="00BC31CD" w:rsidRDefault="00B50DB8" w:rsidP="00617E12">
      <w:pPr>
        <w:pStyle w:val="2-SectionHeading"/>
      </w:pPr>
      <w:bookmarkStart w:id="6" w:name="_Toc82002228"/>
      <w:r w:rsidRPr="00BC31CD">
        <w:lastRenderedPageBreak/>
        <w:t>Requested listing</w:t>
      </w:r>
      <w:bookmarkEnd w:id="6"/>
    </w:p>
    <w:p w14:paraId="1BE25866" w14:textId="77777777" w:rsidR="00D852EB" w:rsidRPr="00BC31CD" w:rsidRDefault="00D852EB" w:rsidP="00617E12"/>
    <w:tbl>
      <w:tblPr>
        <w:tblW w:w="4977" w:type="pct"/>
        <w:tblInd w:w="28" w:type="dxa"/>
        <w:tblCellMar>
          <w:left w:w="28" w:type="dxa"/>
          <w:right w:w="28" w:type="dxa"/>
        </w:tblCellMar>
        <w:tblLook w:val="0000" w:firstRow="0" w:lastRow="0" w:firstColumn="0" w:lastColumn="0" w:noHBand="0" w:noVBand="0"/>
      </w:tblPr>
      <w:tblGrid>
        <w:gridCol w:w="1543"/>
        <w:gridCol w:w="1851"/>
        <w:gridCol w:w="1087"/>
        <w:gridCol w:w="844"/>
        <w:gridCol w:w="1516"/>
        <w:gridCol w:w="653"/>
        <w:gridCol w:w="1491"/>
      </w:tblGrid>
      <w:tr w:rsidR="003517F9" w:rsidRPr="00BC31CD" w14:paraId="33E87EEE" w14:textId="77777777" w:rsidTr="002F5AA9">
        <w:trPr>
          <w:cantSplit/>
          <w:trHeight w:val="463"/>
        </w:trPr>
        <w:tc>
          <w:tcPr>
            <w:tcW w:w="1884" w:type="pct"/>
            <w:gridSpan w:val="2"/>
            <w:tcBorders>
              <w:top w:val="single" w:sz="4" w:space="0" w:color="auto"/>
              <w:bottom w:val="single" w:sz="4" w:space="0" w:color="auto"/>
            </w:tcBorders>
            <w:vAlign w:val="center"/>
          </w:tcPr>
          <w:p w14:paraId="55660191" w14:textId="77777777" w:rsidR="00617E12" w:rsidRPr="00BC31CD" w:rsidRDefault="00617E12" w:rsidP="00617E12">
            <w:pPr>
              <w:keepNext/>
              <w:jc w:val="left"/>
              <w:rPr>
                <w:rFonts w:ascii="Arial Narrow" w:hAnsi="Arial Narrow"/>
                <w:b/>
                <w:sz w:val="20"/>
              </w:rPr>
            </w:pPr>
            <w:r w:rsidRPr="00BC31CD">
              <w:rPr>
                <w:rFonts w:ascii="Arial Narrow" w:hAnsi="Arial Narrow"/>
                <w:b/>
                <w:sz w:val="20"/>
              </w:rPr>
              <w:t>Name, Restriction,</w:t>
            </w:r>
          </w:p>
          <w:p w14:paraId="45570093" w14:textId="77777777" w:rsidR="00617E12" w:rsidRPr="00BC31CD" w:rsidRDefault="00617E12" w:rsidP="00617E12">
            <w:pPr>
              <w:keepNext/>
              <w:jc w:val="left"/>
              <w:rPr>
                <w:rFonts w:ascii="Arial Narrow" w:hAnsi="Arial Narrow"/>
                <w:b/>
                <w:sz w:val="20"/>
              </w:rPr>
            </w:pPr>
            <w:r w:rsidRPr="00BC31CD">
              <w:rPr>
                <w:rFonts w:ascii="Arial Narrow" w:hAnsi="Arial Narrow"/>
                <w:b/>
                <w:sz w:val="20"/>
              </w:rPr>
              <w:t>Manner of administration and form</w:t>
            </w:r>
          </w:p>
        </w:tc>
        <w:tc>
          <w:tcPr>
            <w:tcW w:w="606" w:type="pct"/>
            <w:tcBorders>
              <w:top w:val="single" w:sz="4" w:space="0" w:color="auto"/>
              <w:bottom w:val="single" w:sz="4" w:space="0" w:color="auto"/>
            </w:tcBorders>
            <w:vAlign w:val="center"/>
          </w:tcPr>
          <w:p w14:paraId="35BDECA2" w14:textId="77777777" w:rsidR="00617E12" w:rsidRPr="00BC31CD" w:rsidRDefault="00617E12" w:rsidP="00617E12">
            <w:pPr>
              <w:keepNext/>
              <w:jc w:val="center"/>
              <w:rPr>
                <w:rFonts w:ascii="Arial Narrow" w:hAnsi="Arial Narrow"/>
                <w:b/>
                <w:sz w:val="20"/>
              </w:rPr>
            </w:pPr>
            <w:r w:rsidRPr="00BC31CD">
              <w:rPr>
                <w:rFonts w:ascii="Arial Narrow" w:hAnsi="Arial Narrow"/>
                <w:b/>
                <w:sz w:val="20"/>
              </w:rPr>
              <w:t>Max.</w:t>
            </w:r>
          </w:p>
          <w:p w14:paraId="522BC589" w14:textId="77777777" w:rsidR="00617E12" w:rsidRPr="00BC31CD" w:rsidRDefault="00617E12" w:rsidP="00617E12">
            <w:pPr>
              <w:keepNext/>
              <w:jc w:val="center"/>
              <w:rPr>
                <w:rFonts w:ascii="Arial Narrow" w:hAnsi="Arial Narrow"/>
                <w:b/>
                <w:sz w:val="20"/>
              </w:rPr>
            </w:pPr>
            <w:r w:rsidRPr="00BC31CD">
              <w:rPr>
                <w:rFonts w:ascii="Arial Narrow" w:hAnsi="Arial Narrow"/>
                <w:b/>
                <w:sz w:val="20"/>
              </w:rPr>
              <w:t>Qty</w:t>
            </w:r>
            <w:r w:rsidR="00591957" w:rsidRPr="00BC31CD">
              <w:rPr>
                <w:rFonts w:ascii="Arial Narrow" w:hAnsi="Arial Narrow"/>
                <w:b/>
                <w:sz w:val="20"/>
              </w:rPr>
              <w:t xml:space="preserve"> </w:t>
            </w:r>
          </w:p>
        </w:tc>
        <w:tc>
          <w:tcPr>
            <w:tcW w:w="471" w:type="pct"/>
            <w:tcBorders>
              <w:top w:val="single" w:sz="4" w:space="0" w:color="auto"/>
              <w:bottom w:val="single" w:sz="4" w:space="0" w:color="auto"/>
            </w:tcBorders>
            <w:vAlign w:val="center"/>
          </w:tcPr>
          <w:p w14:paraId="74460BEE" w14:textId="77777777" w:rsidR="00617E12" w:rsidRPr="00BC31CD" w:rsidRDefault="00617E12" w:rsidP="00617E12">
            <w:pPr>
              <w:keepNext/>
              <w:jc w:val="center"/>
              <w:rPr>
                <w:rFonts w:ascii="Arial Narrow" w:hAnsi="Arial Narrow"/>
                <w:b/>
                <w:sz w:val="20"/>
              </w:rPr>
            </w:pPr>
            <w:r w:rsidRPr="00BC31CD">
              <w:rPr>
                <w:rFonts w:ascii="Arial Narrow" w:hAnsi="Arial Narrow" w:cs="Times New Roman"/>
                <w:b/>
                <w:sz w:val="20"/>
              </w:rPr>
              <w:t>№</w:t>
            </w:r>
            <w:r w:rsidRPr="00BC31CD">
              <w:rPr>
                <w:rFonts w:ascii="Arial Narrow" w:hAnsi="Arial Narrow"/>
                <w:b/>
                <w:sz w:val="20"/>
              </w:rPr>
              <w:t>.of</w:t>
            </w:r>
          </w:p>
          <w:p w14:paraId="3E44B0A2" w14:textId="77777777" w:rsidR="00617E12" w:rsidRPr="00BC31CD" w:rsidRDefault="00617E12" w:rsidP="00617E12">
            <w:pPr>
              <w:keepNext/>
              <w:jc w:val="center"/>
              <w:rPr>
                <w:rFonts w:ascii="Arial Narrow" w:hAnsi="Arial Narrow"/>
                <w:b/>
                <w:sz w:val="20"/>
              </w:rPr>
            </w:pPr>
            <w:r w:rsidRPr="00BC31CD">
              <w:rPr>
                <w:rFonts w:ascii="Arial Narrow" w:hAnsi="Arial Narrow"/>
                <w:b/>
                <w:sz w:val="20"/>
              </w:rPr>
              <w:t>Rpts</w:t>
            </w:r>
          </w:p>
        </w:tc>
        <w:tc>
          <w:tcPr>
            <w:tcW w:w="845" w:type="pct"/>
            <w:tcBorders>
              <w:top w:val="single" w:sz="4" w:space="0" w:color="auto"/>
              <w:bottom w:val="single" w:sz="4" w:space="0" w:color="auto"/>
            </w:tcBorders>
            <w:vAlign w:val="center"/>
          </w:tcPr>
          <w:p w14:paraId="6C390466" w14:textId="77777777" w:rsidR="00617E12" w:rsidRPr="00BC31CD" w:rsidRDefault="00617E12" w:rsidP="00617E12">
            <w:pPr>
              <w:keepNext/>
              <w:jc w:val="center"/>
              <w:rPr>
                <w:rFonts w:ascii="Arial Narrow" w:hAnsi="Arial Narrow"/>
                <w:b/>
                <w:sz w:val="20"/>
              </w:rPr>
            </w:pPr>
            <w:r w:rsidRPr="00BC31CD">
              <w:rPr>
                <w:rFonts w:ascii="Arial Narrow" w:hAnsi="Arial Narrow"/>
                <w:b/>
                <w:sz w:val="20"/>
              </w:rPr>
              <w:t>Dispensed Price for Max. Qty</w:t>
            </w:r>
          </w:p>
        </w:tc>
        <w:tc>
          <w:tcPr>
            <w:tcW w:w="1194" w:type="pct"/>
            <w:gridSpan w:val="2"/>
            <w:tcBorders>
              <w:top w:val="single" w:sz="4" w:space="0" w:color="auto"/>
              <w:bottom w:val="single" w:sz="4" w:space="0" w:color="auto"/>
            </w:tcBorders>
            <w:vAlign w:val="center"/>
          </w:tcPr>
          <w:p w14:paraId="626ABD2E" w14:textId="77777777" w:rsidR="00617E12" w:rsidRPr="00BC31CD" w:rsidRDefault="00617E12" w:rsidP="00617E12">
            <w:pPr>
              <w:keepNext/>
              <w:jc w:val="center"/>
              <w:rPr>
                <w:rFonts w:ascii="Arial Narrow" w:hAnsi="Arial Narrow"/>
                <w:b/>
                <w:sz w:val="20"/>
              </w:rPr>
            </w:pPr>
            <w:r w:rsidRPr="00BC31CD">
              <w:rPr>
                <w:rFonts w:ascii="Arial Narrow" w:hAnsi="Arial Narrow"/>
                <w:b/>
                <w:sz w:val="20"/>
              </w:rPr>
              <w:t>Proprietary Name and Manufacturer</w:t>
            </w:r>
          </w:p>
        </w:tc>
      </w:tr>
      <w:tr w:rsidR="003517F9" w:rsidRPr="00BC31CD" w14:paraId="116664CA" w14:textId="77777777" w:rsidTr="002F5AA9">
        <w:trPr>
          <w:cantSplit/>
          <w:trHeight w:val="567"/>
        </w:trPr>
        <w:tc>
          <w:tcPr>
            <w:tcW w:w="1884" w:type="pct"/>
            <w:gridSpan w:val="2"/>
            <w:vAlign w:val="center"/>
          </w:tcPr>
          <w:p w14:paraId="795A358B" w14:textId="77777777" w:rsidR="00B07347" w:rsidRPr="00BC31CD" w:rsidRDefault="00B07347" w:rsidP="00B07347">
            <w:pPr>
              <w:keepNext/>
              <w:rPr>
                <w:smallCaps/>
              </w:rPr>
            </w:pPr>
            <w:r w:rsidRPr="00BC31CD">
              <w:rPr>
                <w:smallCaps/>
              </w:rPr>
              <w:t>Trientine tetrahydrochloride</w:t>
            </w:r>
          </w:p>
          <w:p w14:paraId="14C50179" w14:textId="77777777" w:rsidR="00617E12" w:rsidRPr="00BC31CD" w:rsidRDefault="00B07347" w:rsidP="00B07347">
            <w:pPr>
              <w:keepNext/>
              <w:jc w:val="left"/>
              <w:rPr>
                <w:rFonts w:ascii="Arial Narrow" w:hAnsi="Arial Narrow"/>
                <w:sz w:val="20"/>
              </w:rPr>
            </w:pPr>
            <w:r w:rsidRPr="00BC31CD">
              <w:rPr>
                <w:rFonts w:ascii="Arial Narrow" w:hAnsi="Arial Narrow"/>
                <w:sz w:val="20"/>
              </w:rPr>
              <w:t>Tablet 150</w:t>
            </w:r>
            <w:r w:rsidR="002F5AA9" w:rsidRPr="00BC31CD">
              <w:rPr>
                <w:rFonts w:ascii="Arial Narrow" w:hAnsi="Arial Narrow"/>
                <w:sz w:val="20"/>
              </w:rPr>
              <w:t xml:space="preserve"> </w:t>
            </w:r>
            <w:r w:rsidRPr="00BC31CD">
              <w:rPr>
                <w:rFonts w:ascii="Arial Narrow" w:hAnsi="Arial Narrow"/>
                <w:sz w:val="20"/>
              </w:rPr>
              <w:t>mg</w:t>
            </w:r>
            <w:r w:rsidR="00C12CB5" w:rsidRPr="00BC31CD">
              <w:rPr>
                <w:rFonts w:ascii="Arial Narrow" w:hAnsi="Arial Narrow"/>
                <w:sz w:val="20"/>
              </w:rPr>
              <w:t xml:space="preserve">, </w:t>
            </w:r>
            <w:r w:rsidR="00C12CB5" w:rsidRPr="00BC31CD">
              <w:rPr>
                <w:rFonts w:ascii="Arial Narrow" w:hAnsi="Arial Narrow"/>
                <w:i/>
                <w:iCs/>
                <w:sz w:val="20"/>
              </w:rPr>
              <w:t>72</w:t>
            </w:r>
          </w:p>
        </w:tc>
        <w:tc>
          <w:tcPr>
            <w:tcW w:w="606" w:type="pct"/>
            <w:vAlign w:val="center"/>
          </w:tcPr>
          <w:p w14:paraId="64D628B1" w14:textId="77777777" w:rsidR="00617E12" w:rsidRPr="00BC31CD" w:rsidRDefault="00AF1B0A" w:rsidP="00617E12">
            <w:pPr>
              <w:keepNext/>
              <w:jc w:val="center"/>
              <w:rPr>
                <w:rFonts w:ascii="Arial Narrow" w:hAnsi="Arial Narrow"/>
                <w:sz w:val="20"/>
              </w:rPr>
            </w:pPr>
            <w:r w:rsidRPr="00BC31CD">
              <w:rPr>
                <w:rFonts w:ascii="Arial Narrow" w:hAnsi="Arial Narrow"/>
                <w:sz w:val="20"/>
              </w:rPr>
              <w:t>144</w:t>
            </w:r>
          </w:p>
        </w:tc>
        <w:tc>
          <w:tcPr>
            <w:tcW w:w="471" w:type="pct"/>
            <w:vAlign w:val="center"/>
          </w:tcPr>
          <w:p w14:paraId="06E3EED0" w14:textId="77777777" w:rsidR="00617E12" w:rsidRPr="00BC31CD" w:rsidRDefault="00554AC5" w:rsidP="00617E12">
            <w:pPr>
              <w:keepNext/>
              <w:jc w:val="center"/>
              <w:rPr>
                <w:rFonts w:ascii="Arial Narrow" w:hAnsi="Arial Narrow"/>
                <w:i/>
                <w:iCs/>
                <w:sz w:val="20"/>
              </w:rPr>
            </w:pPr>
            <w:r w:rsidRPr="00BC31CD">
              <w:rPr>
                <w:rFonts w:ascii="Arial Narrow" w:hAnsi="Arial Narrow"/>
                <w:i/>
                <w:iCs/>
                <w:sz w:val="20"/>
              </w:rPr>
              <w:t>5</w:t>
            </w:r>
          </w:p>
        </w:tc>
        <w:tc>
          <w:tcPr>
            <w:tcW w:w="845" w:type="pct"/>
            <w:vAlign w:val="center"/>
          </w:tcPr>
          <w:p w14:paraId="714D533D" w14:textId="77777777" w:rsidR="00617E12" w:rsidRPr="00BC31CD" w:rsidRDefault="00AF1B0A" w:rsidP="00617E12">
            <w:pPr>
              <w:keepNext/>
              <w:jc w:val="center"/>
              <w:rPr>
                <w:rFonts w:ascii="Arial Narrow" w:hAnsi="Arial Narrow"/>
                <w:sz w:val="20"/>
              </w:rPr>
            </w:pPr>
            <w:r w:rsidRPr="00BC31CD">
              <w:rPr>
                <w:rFonts w:ascii="Arial Narrow" w:hAnsi="Arial Narrow"/>
                <w:sz w:val="20"/>
              </w:rPr>
              <w:t>$</w:t>
            </w:r>
            <w:r w:rsidR="00AE1A04">
              <w:rPr>
                <w:rFonts w:ascii="Arial Narrow" w:hAnsi="Arial Narrow"/>
                <w:noProof/>
                <w:color w:val="000000"/>
                <w:sz w:val="20"/>
                <w:highlight w:val="black"/>
              </w:rPr>
              <w:t>'''''''''''''''''''''</w:t>
            </w:r>
          </w:p>
        </w:tc>
        <w:tc>
          <w:tcPr>
            <w:tcW w:w="364" w:type="pct"/>
            <w:vAlign w:val="center"/>
          </w:tcPr>
          <w:p w14:paraId="3E7F3569" w14:textId="77777777" w:rsidR="00617E12" w:rsidRPr="00BC31CD" w:rsidRDefault="00617E12" w:rsidP="00AF1B0A">
            <w:pPr>
              <w:keepNext/>
              <w:jc w:val="center"/>
              <w:rPr>
                <w:rFonts w:ascii="Arial Narrow" w:hAnsi="Arial Narrow"/>
                <w:sz w:val="20"/>
              </w:rPr>
            </w:pPr>
          </w:p>
        </w:tc>
        <w:tc>
          <w:tcPr>
            <w:tcW w:w="830" w:type="pct"/>
            <w:vAlign w:val="center"/>
          </w:tcPr>
          <w:p w14:paraId="3130C680" w14:textId="77777777" w:rsidR="007F60EB" w:rsidRPr="00BC31CD" w:rsidRDefault="007F60EB" w:rsidP="007F60EB">
            <w:pPr>
              <w:keepNext/>
              <w:jc w:val="left"/>
              <w:rPr>
                <w:rFonts w:ascii="Arial Narrow" w:hAnsi="Arial Narrow"/>
                <w:sz w:val="20"/>
              </w:rPr>
            </w:pPr>
            <w:r w:rsidRPr="00BC31CD">
              <w:rPr>
                <w:rFonts w:ascii="Arial Narrow" w:hAnsi="Arial Narrow"/>
                <w:sz w:val="20"/>
              </w:rPr>
              <w:t>Cuprior</w:t>
            </w:r>
            <w:r w:rsidRPr="00BC31CD">
              <w:rPr>
                <w:rFonts w:ascii="Arial Narrow" w:hAnsi="Arial Narrow"/>
                <w:sz w:val="20"/>
                <w:vertAlign w:val="superscript"/>
              </w:rPr>
              <w:t>®</w:t>
            </w:r>
          </w:p>
          <w:p w14:paraId="373BEFAC" w14:textId="77777777" w:rsidR="00591957" w:rsidRPr="00BC31CD" w:rsidRDefault="007F60EB" w:rsidP="007F60EB">
            <w:pPr>
              <w:keepNext/>
              <w:rPr>
                <w:rFonts w:ascii="Arial Narrow" w:hAnsi="Arial Narrow"/>
                <w:sz w:val="20"/>
              </w:rPr>
            </w:pPr>
            <w:r w:rsidRPr="00BC31CD">
              <w:rPr>
                <w:rFonts w:ascii="Arial Narrow" w:hAnsi="Arial Narrow"/>
                <w:sz w:val="20"/>
              </w:rPr>
              <w:t>Orphalan</w:t>
            </w:r>
          </w:p>
        </w:tc>
      </w:tr>
      <w:tr w:rsidR="00E20DF5" w:rsidRPr="00BC31CD" w14:paraId="778D3521" w14:textId="77777777" w:rsidTr="002F5AA9">
        <w:trPr>
          <w:cantSplit/>
        </w:trPr>
        <w:tc>
          <w:tcPr>
            <w:tcW w:w="1884" w:type="pct"/>
            <w:gridSpan w:val="2"/>
            <w:vAlign w:val="center"/>
          </w:tcPr>
          <w:p w14:paraId="203561EA" w14:textId="77777777" w:rsidR="00E20DF5" w:rsidRPr="00BC31CD" w:rsidRDefault="00E20DF5" w:rsidP="00B07347">
            <w:pPr>
              <w:keepNext/>
              <w:rPr>
                <w:smallCaps/>
              </w:rPr>
            </w:pPr>
          </w:p>
        </w:tc>
        <w:tc>
          <w:tcPr>
            <w:tcW w:w="606" w:type="pct"/>
            <w:vAlign w:val="center"/>
          </w:tcPr>
          <w:p w14:paraId="3AFA2141" w14:textId="77777777" w:rsidR="00E20DF5" w:rsidRPr="00BC31CD" w:rsidRDefault="00E20DF5" w:rsidP="00617E12">
            <w:pPr>
              <w:keepNext/>
              <w:jc w:val="center"/>
              <w:rPr>
                <w:rFonts w:ascii="Arial Narrow" w:hAnsi="Arial Narrow"/>
                <w:sz w:val="20"/>
              </w:rPr>
            </w:pPr>
          </w:p>
        </w:tc>
        <w:tc>
          <w:tcPr>
            <w:tcW w:w="471" w:type="pct"/>
            <w:vAlign w:val="center"/>
          </w:tcPr>
          <w:p w14:paraId="28DA8CE3" w14:textId="77777777" w:rsidR="00E20DF5" w:rsidRPr="00BC31CD" w:rsidRDefault="00E20DF5" w:rsidP="00617E12">
            <w:pPr>
              <w:keepNext/>
              <w:jc w:val="center"/>
              <w:rPr>
                <w:rFonts w:ascii="Arial Narrow" w:hAnsi="Arial Narrow"/>
                <w:sz w:val="20"/>
              </w:rPr>
            </w:pPr>
          </w:p>
        </w:tc>
        <w:tc>
          <w:tcPr>
            <w:tcW w:w="845" w:type="pct"/>
            <w:vAlign w:val="center"/>
          </w:tcPr>
          <w:p w14:paraId="635BA4DF" w14:textId="77777777" w:rsidR="00E20DF5" w:rsidRPr="00BC31CD" w:rsidRDefault="00E20DF5" w:rsidP="00617E12">
            <w:pPr>
              <w:keepNext/>
              <w:jc w:val="center"/>
              <w:rPr>
                <w:rFonts w:ascii="Arial Narrow" w:hAnsi="Arial Narrow"/>
                <w:sz w:val="20"/>
              </w:rPr>
            </w:pPr>
          </w:p>
        </w:tc>
        <w:tc>
          <w:tcPr>
            <w:tcW w:w="364" w:type="pct"/>
            <w:vAlign w:val="center"/>
          </w:tcPr>
          <w:p w14:paraId="4DD0F8FF" w14:textId="77777777" w:rsidR="00E20DF5" w:rsidRPr="00BC31CD" w:rsidRDefault="00E20DF5" w:rsidP="00AF1B0A">
            <w:pPr>
              <w:keepNext/>
              <w:jc w:val="center"/>
              <w:rPr>
                <w:rFonts w:ascii="Arial Narrow" w:hAnsi="Arial Narrow"/>
                <w:sz w:val="20"/>
              </w:rPr>
            </w:pPr>
          </w:p>
        </w:tc>
        <w:tc>
          <w:tcPr>
            <w:tcW w:w="830" w:type="pct"/>
            <w:vAlign w:val="center"/>
          </w:tcPr>
          <w:p w14:paraId="64ED1D62" w14:textId="77777777" w:rsidR="00E20DF5" w:rsidRPr="00BC31CD" w:rsidRDefault="00E20DF5" w:rsidP="007F60EB">
            <w:pPr>
              <w:keepNext/>
              <w:jc w:val="left"/>
              <w:rPr>
                <w:rFonts w:ascii="Arial Narrow" w:hAnsi="Arial Narrow"/>
                <w:sz w:val="20"/>
              </w:rPr>
            </w:pPr>
          </w:p>
        </w:tc>
      </w:tr>
      <w:tr w:rsidR="00542C2D" w:rsidRPr="00BC31CD" w14:paraId="5881CDA2"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14:paraId="7F3C2ED7" w14:textId="77777777" w:rsidR="00542C2D" w:rsidRPr="00BC31CD" w:rsidRDefault="00591957" w:rsidP="002F5AA9">
            <w:pPr>
              <w:pStyle w:val="Tabletext"/>
              <w:rPr>
                <w:b/>
                <w:bCs/>
              </w:rPr>
            </w:pPr>
            <w:r w:rsidRPr="00BC31CD">
              <w:rPr>
                <w:b/>
                <w:bCs/>
              </w:rPr>
              <w:t>Category/Program:</w:t>
            </w:r>
          </w:p>
        </w:tc>
        <w:tc>
          <w:tcPr>
            <w:tcW w:w="4147" w:type="pct"/>
            <w:gridSpan w:val="6"/>
            <w:tcBorders>
              <w:top w:val="single" w:sz="4" w:space="0" w:color="auto"/>
              <w:left w:val="single" w:sz="4" w:space="0" w:color="auto"/>
              <w:bottom w:val="single" w:sz="4" w:space="0" w:color="auto"/>
              <w:right w:val="single" w:sz="4" w:space="0" w:color="auto"/>
            </w:tcBorders>
          </w:tcPr>
          <w:p w14:paraId="42DDF80C" w14:textId="77777777" w:rsidR="00542C2D" w:rsidRPr="00BC31CD" w:rsidRDefault="0092396A" w:rsidP="002F5AA9">
            <w:pPr>
              <w:pStyle w:val="Tabletext"/>
            </w:pPr>
            <w:r w:rsidRPr="00BC31CD">
              <w:t>GENERAL – General Schedule (Code GE)</w:t>
            </w:r>
          </w:p>
        </w:tc>
      </w:tr>
      <w:tr w:rsidR="00866A18" w:rsidRPr="00BC31CD" w14:paraId="3CBF545E"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06BAA190" w14:textId="77777777" w:rsidR="00866A18" w:rsidRPr="00BC31CD" w:rsidRDefault="00866A18" w:rsidP="002F5AA9">
            <w:pPr>
              <w:pStyle w:val="Tabletext"/>
              <w:rPr>
                <w:b/>
                <w:bCs/>
              </w:rPr>
            </w:pPr>
            <w:r w:rsidRPr="00BC31CD">
              <w:rPr>
                <w:b/>
              </w:rPr>
              <w:t>Prescriber type:</w:t>
            </w:r>
          </w:p>
        </w:tc>
        <w:tc>
          <w:tcPr>
            <w:tcW w:w="4147" w:type="pct"/>
            <w:gridSpan w:val="6"/>
            <w:tcBorders>
              <w:top w:val="single" w:sz="4" w:space="0" w:color="auto"/>
              <w:left w:val="single" w:sz="4" w:space="0" w:color="auto"/>
              <w:bottom w:val="single" w:sz="4" w:space="0" w:color="auto"/>
              <w:right w:val="single" w:sz="4" w:space="0" w:color="auto"/>
            </w:tcBorders>
          </w:tcPr>
          <w:p w14:paraId="40D4BF65" w14:textId="00784F1F" w:rsidR="00866A18" w:rsidRPr="00BC31CD" w:rsidRDefault="00866A18" w:rsidP="002F5AA9">
            <w:pPr>
              <w:pStyle w:val="Tabletext"/>
            </w:pPr>
            <w:r w:rsidRPr="00BC31CD">
              <w:fldChar w:fldCharType="begin">
                <w:ffData>
                  <w:name w:val="Check1"/>
                  <w:enabled/>
                  <w:calcOnExit w:val="0"/>
                  <w:checkBox>
                    <w:sizeAuto/>
                    <w:default w:val="1"/>
                  </w:checkBox>
                </w:ffData>
              </w:fldChar>
            </w:r>
            <w:r w:rsidRPr="00BC31CD">
              <w:instrText xml:space="preserve"> FORMCHECKBOX </w:instrText>
            </w:r>
            <w:r w:rsidR="00173E64">
              <w:fldChar w:fldCharType="separate"/>
            </w:r>
            <w:r w:rsidRPr="00BC31CD">
              <w:fldChar w:fldCharType="end"/>
            </w:r>
            <w:r w:rsidRPr="00BC31CD">
              <w:t>Medical Practitioners</w:t>
            </w:r>
          </w:p>
        </w:tc>
      </w:tr>
      <w:tr w:rsidR="00866A18" w:rsidRPr="00BC31CD" w14:paraId="3A39AB0B"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1314695A" w14:textId="77777777" w:rsidR="00866A18" w:rsidRPr="00BC31CD" w:rsidRDefault="00866A18" w:rsidP="002F5AA9">
            <w:pPr>
              <w:pStyle w:val="Tabletext"/>
              <w:rPr>
                <w:b/>
                <w:bCs/>
              </w:rPr>
            </w:pPr>
            <w:r w:rsidRPr="00BC31CD">
              <w:rPr>
                <w:b/>
                <w:bCs/>
              </w:rPr>
              <w:t>Episodicity:</w:t>
            </w:r>
          </w:p>
        </w:tc>
        <w:tc>
          <w:tcPr>
            <w:tcW w:w="4147" w:type="pct"/>
            <w:gridSpan w:val="6"/>
            <w:tcBorders>
              <w:top w:val="single" w:sz="4" w:space="0" w:color="auto"/>
              <w:left w:val="single" w:sz="4" w:space="0" w:color="auto"/>
              <w:bottom w:val="single" w:sz="4" w:space="0" w:color="auto"/>
              <w:right w:val="single" w:sz="4" w:space="0" w:color="auto"/>
            </w:tcBorders>
          </w:tcPr>
          <w:p w14:paraId="111A54F3" w14:textId="77777777" w:rsidR="00866A18" w:rsidRPr="00BC31CD" w:rsidRDefault="00866A18" w:rsidP="002F5AA9">
            <w:pPr>
              <w:pStyle w:val="Tabletext"/>
            </w:pPr>
            <w:r w:rsidRPr="00BC31CD">
              <w:t>Chronic</w:t>
            </w:r>
          </w:p>
        </w:tc>
      </w:tr>
      <w:tr w:rsidR="00866A18" w:rsidRPr="00BC31CD" w14:paraId="76B60582"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double" w:sz="4" w:space="0" w:color="auto"/>
              <w:right w:val="single" w:sz="4" w:space="0" w:color="auto"/>
            </w:tcBorders>
            <w:vAlign w:val="center"/>
            <w:hideMark/>
          </w:tcPr>
          <w:p w14:paraId="5163AABF" w14:textId="77777777" w:rsidR="00866A18" w:rsidRPr="00BC31CD" w:rsidRDefault="00866A18" w:rsidP="002F5AA9">
            <w:pPr>
              <w:pStyle w:val="Tabletext"/>
              <w:rPr>
                <w:b/>
                <w:bCs/>
              </w:rPr>
            </w:pPr>
            <w:r w:rsidRPr="00BC31CD">
              <w:rPr>
                <w:b/>
                <w:bCs/>
              </w:rPr>
              <w:t>PBS indication:</w:t>
            </w:r>
          </w:p>
        </w:tc>
        <w:tc>
          <w:tcPr>
            <w:tcW w:w="4147" w:type="pct"/>
            <w:gridSpan w:val="6"/>
            <w:tcBorders>
              <w:top w:val="single" w:sz="4" w:space="0" w:color="auto"/>
              <w:left w:val="single" w:sz="4" w:space="0" w:color="auto"/>
              <w:bottom w:val="double" w:sz="4" w:space="0" w:color="auto"/>
              <w:right w:val="single" w:sz="4" w:space="0" w:color="auto"/>
            </w:tcBorders>
          </w:tcPr>
          <w:p w14:paraId="779A54D9" w14:textId="77777777" w:rsidR="00866A18" w:rsidRPr="00BC31CD" w:rsidRDefault="00866A18" w:rsidP="002F5AA9">
            <w:pPr>
              <w:pStyle w:val="Tabletext"/>
            </w:pPr>
            <w:r w:rsidRPr="00BC31CD">
              <w:t>Wilson Disease</w:t>
            </w:r>
          </w:p>
        </w:tc>
      </w:tr>
      <w:tr w:rsidR="00866A18" w:rsidRPr="00BC31CD" w14:paraId="2235971E"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double" w:sz="4" w:space="0" w:color="auto"/>
              <w:left w:val="single" w:sz="4" w:space="0" w:color="auto"/>
              <w:bottom w:val="single" w:sz="4" w:space="0" w:color="auto"/>
              <w:right w:val="single" w:sz="4" w:space="0" w:color="auto"/>
            </w:tcBorders>
            <w:vAlign w:val="center"/>
            <w:hideMark/>
          </w:tcPr>
          <w:p w14:paraId="3FFE5605" w14:textId="77777777" w:rsidR="00866A18" w:rsidRPr="00BC31CD" w:rsidRDefault="00866A18" w:rsidP="002F5AA9">
            <w:pPr>
              <w:pStyle w:val="Tabletext"/>
              <w:rPr>
                <w:b/>
                <w:bCs/>
              </w:rPr>
            </w:pPr>
            <w:r w:rsidRPr="00BC31CD">
              <w:rPr>
                <w:b/>
                <w:bCs/>
              </w:rPr>
              <w:t>Treatment phase:</w:t>
            </w:r>
          </w:p>
        </w:tc>
        <w:tc>
          <w:tcPr>
            <w:tcW w:w="4147" w:type="pct"/>
            <w:gridSpan w:val="6"/>
            <w:tcBorders>
              <w:top w:val="double" w:sz="4" w:space="0" w:color="auto"/>
              <w:left w:val="single" w:sz="4" w:space="0" w:color="auto"/>
              <w:bottom w:val="single" w:sz="4" w:space="0" w:color="auto"/>
              <w:right w:val="single" w:sz="4" w:space="0" w:color="auto"/>
            </w:tcBorders>
          </w:tcPr>
          <w:p w14:paraId="1B36D928" w14:textId="77777777" w:rsidR="00866A18" w:rsidRPr="00BC31CD" w:rsidRDefault="00866A18" w:rsidP="002F5AA9">
            <w:pPr>
              <w:pStyle w:val="Tabletext"/>
            </w:pPr>
            <w:r w:rsidRPr="00BC31CD">
              <w:t xml:space="preserve">Initial </w:t>
            </w:r>
          </w:p>
        </w:tc>
      </w:tr>
      <w:tr w:rsidR="00866A18" w:rsidRPr="00BC31CD" w14:paraId="766FCA3B"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14:paraId="7CF32D97" w14:textId="77777777" w:rsidR="00866A18" w:rsidRPr="00BC31CD" w:rsidRDefault="00866A18" w:rsidP="002F5AA9">
            <w:pPr>
              <w:pStyle w:val="Tabletext"/>
              <w:rPr>
                <w:b/>
                <w:bCs/>
              </w:rPr>
            </w:pPr>
            <w:r w:rsidRPr="00BC31CD">
              <w:rPr>
                <w:b/>
                <w:bCs/>
              </w:rPr>
              <w:t>Restriction:</w:t>
            </w:r>
          </w:p>
        </w:tc>
        <w:tc>
          <w:tcPr>
            <w:tcW w:w="4147" w:type="pct"/>
            <w:gridSpan w:val="6"/>
            <w:tcBorders>
              <w:top w:val="single" w:sz="4" w:space="0" w:color="auto"/>
              <w:left w:val="single" w:sz="4" w:space="0" w:color="auto"/>
              <w:bottom w:val="single" w:sz="4" w:space="0" w:color="auto"/>
              <w:right w:val="single" w:sz="4" w:space="0" w:color="auto"/>
            </w:tcBorders>
          </w:tcPr>
          <w:p w14:paraId="1828F5F1" w14:textId="77777777" w:rsidR="00866A18" w:rsidRPr="00BC31CD" w:rsidRDefault="002F5AA9" w:rsidP="002F5AA9">
            <w:pPr>
              <w:pStyle w:val="Tabletext"/>
            </w:pPr>
            <w:r w:rsidRPr="00BC31CD">
              <w:fldChar w:fldCharType="begin">
                <w:ffData>
                  <w:name w:val="Check3"/>
                  <w:enabled/>
                  <w:calcOnExit w:val="0"/>
                  <w:checkBox>
                    <w:sizeAuto/>
                    <w:default w:val="1"/>
                  </w:checkBox>
                </w:ffData>
              </w:fldChar>
            </w:r>
            <w:r w:rsidRPr="00BC31CD">
              <w:instrText xml:space="preserve"> FORMCHECKBOX </w:instrText>
            </w:r>
            <w:r w:rsidR="00173E64">
              <w:fldChar w:fldCharType="separate"/>
            </w:r>
            <w:r w:rsidRPr="00BC31CD">
              <w:fldChar w:fldCharType="end"/>
            </w:r>
            <w:r w:rsidRPr="00BC31CD">
              <w:t xml:space="preserve">Authority Required </w:t>
            </w:r>
            <w:r w:rsidR="00A075D1" w:rsidRPr="00BC31CD">
              <w:t>(telephone/online PBS Authorities system)</w:t>
            </w:r>
          </w:p>
        </w:tc>
      </w:tr>
      <w:tr w:rsidR="002F5AA9" w:rsidRPr="00BC31CD" w14:paraId="1B3BF865"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39AE35AA" w14:textId="77777777" w:rsidR="002F5AA9" w:rsidRPr="00BC31CD" w:rsidRDefault="002F5AA9" w:rsidP="002F5AA9">
            <w:pPr>
              <w:pStyle w:val="Tabletext"/>
              <w:rPr>
                <w:b/>
                <w:bCs/>
              </w:rPr>
            </w:pPr>
            <w:r w:rsidRPr="00BC31CD">
              <w:rPr>
                <w:b/>
                <w:bCs/>
              </w:rPr>
              <w:t>Treatment criteria:</w:t>
            </w:r>
          </w:p>
        </w:tc>
        <w:tc>
          <w:tcPr>
            <w:tcW w:w="4147" w:type="pct"/>
            <w:gridSpan w:val="6"/>
            <w:tcBorders>
              <w:top w:val="single" w:sz="4" w:space="0" w:color="auto"/>
              <w:left w:val="single" w:sz="4" w:space="0" w:color="auto"/>
              <w:bottom w:val="single" w:sz="4" w:space="0" w:color="auto"/>
              <w:right w:val="single" w:sz="4" w:space="0" w:color="auto"/>
            </w:tcBorders>
          </w:tcPr>
          <w:p w14:paraId="6B4D9AE3" w14:textId="77777777" w:rsidR="002F5AA9" w:rsidRPr="00BC31CD" w:rsidRDefault="002F5AA9" w:rsidP="002F5AA9">
            <w:pPr>
              <w:pStyle w:val="Tabletext"/>
            </w:pPr>
            <w:r w:rsidRPr="00BC31CD">
              <w:t>Must be treated by a gastroenterologist, hepatologist or neurologist</w:t>
            </w:r>
          </w:p>
        </w:tc>
      </w:tr>
      <w:tr w:rsidR="002F5AA9" w:rsidRPr="00BC31CD" w14:paraId="3EB096E6"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double" w:sz="4" w:space="0" w:color="auto"/>
              <w:right w:val="single" w:sz="4" w:space="0" w:color="auto"/>
            </w:tcBorders>
            <w:vAlign w:val="center"/>
          </w:tcPr>
          <w:p w14:paraId="66B4ECF7" w14:textId="77777777" w:rsidR="002F5AA9" w:rsidRPr="00BC31CD" w:rsidRDefault="002F5AA9" w:rsidP="002F5AA9">
            <w:pPr>
              <w:pStyle w:val="TableText0"/>
              <w:rPr>
                <w:b/>
              </w:rPr>
            </w:pPr>
            <w:r w:rsidRPr="00BC31CD">
              <w:rPr>
                <w:b/>
              </w:rPr>
              <w:t>Clinical criteria:</w:t>
            </w:r>
          </w:p>
        </w:tc>
        <w:tc>
          <w:tcPr>
            <w:tcW w:w="4147" w:type="pct"/>
            <w:gridSpan w:val="6"/>
            <w:tcBorders>
              <w:top w:val="single" w:sz="4" w:space="0" w:color="auto"/>
              <w:left w:val="single" w:sz="4" w:space="0" w:color="auto"/>
              <w:bottom w:val="double" w:sz="4" w:space="0" w:color="auto"/>
              <w:right w:val="single" w:sz="4" w:space="0" w:color="auto"/>
            </w:tcBorders>
          </w:tcPr>
          <w:p w14:paraId="45F3BB5D" w14:textId="77777777" w:rsidR="002F5AA9" w:rsidRPr="00BC31CD" w:rsidRDefault="002F5AA9" w:rsidP="002F5AA9">
            <w:pPr>
              <w:pStyle w:val="PBACTableText"/>
              <w:spacing w:before="0" w:after="0"/>
            </w:pPr>
            <w:r w:rsidRPr="00BC31CD">
              <w:t>Patient must be intolerant to treatment with D-penicillamine</w:t>
            </w:r>
          </w:p>
          <w:p w14:paraId="3267AD63" w14:textId="77777777" w:rsidR="002F5AA9" w:rsidRPr="00BC31CD" w:rsidRDefault="002F5AA9" w:rsidP="002F5AA9">
            <w:pPr>
              <w:pStyle w:val="PBACTableText"/>
              <w:spacing w:before="0" w:after="0"/>
            </w:pPr>
            <w:r w:rsidRPr="00BC31CD">
              <w:t>AND</w:t>
            </w:r>
          </w:p>
          <w:p w14:paraId="4E737732" w14:textId="77777777" w:rsidR="002F5AA9" w:rsidRPr="00BC31CD" w:rsidRDefault="002F5AA9" w:rsidP="002F5AA9">
            <w:pPr>
              <w:pStyle w:val="Tabletext"/>
            </w:pPr>
            <w:r w:rsidRPr="00BC31CD">
              <w:t>Patient requires copper chelation therapy</w:t>
            </w:r>
          </w:p>
        </w:tc>
      </w:tr>
      <w:tr w:rsidR="002F5AA9" w:rsidRPr="00BC31CD" w14:paraId="63CC2D29"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double" w:sz="4" w:space="0" w:color="auto"/>
              <w:left w:val="single" w:sz="4" w:space="0" w:color="auto"/>
              <w:bottom w:val="single" w:sz="4" w:space="0" w:color="auto"/>
              <w:right w:val="single" w:sz="4" w:space="0" w:color="auto"/>
            </w:tcBorders>
            <w:vAlign w:val="center"/>
          </w:tcPr>
          <w:p w14:paraId="1799D850" w14:textId="77777777" w:rsidR="002F5AA9" w:rsidRPr="00BC31CD" w:rsidRDefault="002F5AA9" w:rsidP="002F5AA9">
            <w:pPr>
              <w:pStyle w:val="Tabletext"/>
              <w:rPr>
                <w:b/>
                <w:bCs/>
              </w:rPr>
            </w:pPr>
            <w:r w:rsidRPr="00BC31CD">
              <w:rPr>
                <w:b/>
              </w:rPr>
              <w:t>Treatment phase:</w:t>
            </w:r>
          </w:p>
        </w:tc>
        <w:tc>
          <w:tcPr>
            <w:tcW w:w="4147" w:type="pct"/>
            <w:gridSpan w:val="6"/>
            <w:tcBorders>
              <w:top w:val="double" w:sz="4" w:space="0" w:color="auto"/>
              <w:left w:val="single" w:sz="4" w:space="0" w:color="auto"/>
              <w:bottom w:val="single" w:sz="4" w:space="0" w:color="auto"/>
              <w:right w:val="single" w:sz="4" w:space="0" w:color="auto"/>
            </w:tcBorders>
          </w:tcPr>
          <w:p w14:paraId="040C37FA" w14:textId="77777777" w:rsidR="002F5AA9" w:rsidRPr="00BC31CD" w:rsidRDefault="002F5AA9" w:rsidP="002F5AA9">
            <w:pPr>
              <w:pStyle w:val="PBACTableText"/>
              <w:spacing w:before="0" w:after="0"/>
            </w:pPr>
            <w:r w:rsidRPr="00BC31CD">
              <w:t>Continuing</w:t>
            </w:r>
          </w:p>
        </w:tc>
      </w:tr>
      <w:tr w:rsidR="0092396A" w:rsidRPr="00BC31CD" w14:paraId="6E3E3B5F"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2AED78B4" w14:textId="77777777" w:rsidR="0092396A" w:rsidRPr="00BC31CD" w:rsidRDefault="0092396A" w:rsidP="0092396A">
            <w:pPr>
              <w:pStyle w:val="Tabletext"/>
              <w:rPr>
                <w:b/>
              </w:rPr>
            </w:pPr>
            <w:r w:rsidRPr="00BC31CD">
              <w:rPr>
                <w:b/>
                <w:bCs/>
              </w:rPr>
              <w:t>Restriction:</w:t>
            </w:r>
          </w:p>
        </w:tc>
        <w:tc>
          <w:tcPr>
            <w:tcW w:w="4147" w:type="pct"/>
            <w:gridSpan w:val="6"/>
            <w:tcBorders>
              <w:top w:val="single" w:sz="4" w:space="0" w:color="auto"/>
              <w:left w:val="single" w:sz="4" w:space="0" w:color="auto"/>
              <w:bottom w:val="single" w:sz="4" w:space="0" w:color="auto"/>
              <w:right w:val="single" w:sz="4" w:space="0" w:color="auto"/>
            </w:tcBorders>
          </w:tcPr>
          <w:p w14:paraId="733C6010" w14:textId="77777777" w:rsidR="0092396A" w:rsidRPr="00BC31CD" w:rsidRDefault="0092396A" w:rsidP="0092396A">
            <w:pPr>
              <w:pStyle w:val="PBACTableText"/>
              <w:spacing w:before="0" w:after="0"/>
            </w:pPr>
            <w:r w:rsidRPr="00BC31CD">
              <w:fldChar w:fldCharType="begin">
                <w:ffData>
                  <w:name w:val="Check3"/>
                  <w:enabled/>
                  <w:calcOnExit w:val="0"/>
                  <w:checkBox>
                    <w:sizeAuto/>
                    <w:default w:val="1"/>
                  </w:checkBox>
                </w:ffData>
              </w:fldChar>
            </w:r>
            <w:r w:rsidRPr="00BC31CD">
              <w:instrText xml:space="preserve"> FORMCHECKBOX </w:instrText>
            </w:r>
            <w:r w:rsidR="00173E64">
              <w:fldChar w:fldCharType="separate"/>
            </w:r>
            <w:r w:rsidRPr="00BC31CD">
              <w:fldChar w:fldCharType="end"/>
            </w:r>
            <w:r w:rsidRPr="00BC31CD">
              <w:t>Authority Required – Telephone, Electronic</w:t>
            </w:r>
          </w:p>
        </w:tc>
      </w:tr>
      <w:tr w:rsidR="0092396A" w:rsidRPr="00BC31CD" w14:paraId="2459C191"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tcPr>
          <w:p w14:paraId="6478AB90" w14:textId="77777777" w:rsidR="0092396A" w:rsidRPr="00BC31CD" w:rsidRDefault="0092396A" w:rsidP="0092396A">
            <w:pPr>
              <w:pStyle w:val="Tabletext"/>
              <w:rPr>
                <w:b/>
                <w:bCs/>
              </w:rPr>
            </w:pPr>
            <w:r w:rsidRPr="00BC31CD">
              <w:rPr>
                <w:b/>
              </w:rPr>
              <w:t>Clinical criteria:</w:t>
            </w:r>
          </w:p>
        </w:tc>
        <w:tc>
          <w:tcPr>
            <w:tcW w:w="4147" w:type="pct"/>
            <w:gridSpan w:val="6"/>
            <w:tcBorders>
              <w:top w:val="single" w:sz="4" w:space="0" w:color="auto"/>
              <w:left w:val="single" w:sz="4" w:space="0" w:color="auto"/>
              <w:bottom w:val="single" w:sz="4" w:space="0" w:color="auto"/>
              <w:right w:val="single" w:sz="4" w:space="0" w:color="auto"/>
            </w:tcBorders>
          </w:tcPr>
          <w:p w14:paraId="045A9D7D" w14:textId="77777777" w:rsidR="0092396A" w:rsidRPr="00BC31CD" w:rsidRDefault="0092396A" w:rsidP="0092396A">
            <w:pPr>
              <w:pStyle w:val="TableText0"/>
              <w:rPr>
                <w:b/>
                <w:bCs w:val="0"/>
              </w:rPr>
            </w:pPr>
            <w:r w:rsidRPr="00BC31CD">
              <w:t>The patient must have previously received PBS-subsidised treatment with this drug for this condition</w:t>
            </w:r>
          </w:p>
          <w:p w14:paraId="235886A6" w14:textId="77777777" w:rsidR="0092396A" w:rsidRPr="00BC31CD" w:rsidRDefault="0092396A" w:rsidP="0092396A">
            <w:pPr>
              <w:pStyle w:val="TableText0"/>
            </w:pPr>
            <w:r w:rsidRPr="00BC31CD">
              <w:t>AND</w:t>
            </w:r>
          </w:p>
          <w:p w14:paraId="163257AA" w14:textId="77777777" w:rsidR="0092396A" w:rsidRPr="00BC31CD" w:rsidRDefault="0092396A" w:rsidP="0092396A">
            <w:pPr>
              <w:pStyle w:val="PBACTableText"/>
              <w:spacing w:before="0" w:after="0"/>
            </w:pPr>
            <w:r w:rsidRPr="00BC31CD">
              <w:t>Patient must be requiring ongoing chelation therapy by physician assessment</w:t>
            </w:r>
          </w:p>
        </w:tc>
      </w:tr>
      <w:tr w:rsidR="0092396A" w:rsidRPr="00BC31CD" w14:paraId="644922B9" w14:textId="77777777" w:rsidTr="00A07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53" w:type="pct"/>
            <w:tcBorders>
              <w:top w:val="single" w:sz="4" w:space="0" w:color="auto"/>
              <w:left w:val="single" w:sz="4" w:space="0" w:color="auto"/>
              <w:bottom w:val="single" w:sz="4" w:space="0" w:color="auto"/>
              <w:right w:val="single" w:sz="4" w:space="0" w:color="auto"/>
            </w:tcBorders>
            <w:vAlign w:val="center"/>
            <w:hideMark/>
          </w:tcPr>
          <w:p w14:paraId="2263A2FB" w14:textId="77777777" w:rsidR="0092396A" w:rsidRPr="00BC31CD" w:rsidRDefault="0092396A" w:rsidP="0092396A">
            <w:pPr>
              <w:pStyle w:val="Tabletext"/>
              <w:rPr>
                <w:b/>
                <w:bCs/>
              </w:rPr>
            </w:pPr>
            <w:r w:rsidRPr="00BC31CD">
              <w:rPr>
                <w:b/>
              </w:rPr>
              <w:t>Prescriber Instructions:</w:t>
            </w:r>
          </w:p>
        </w:tc>
        <w:tc>
          <w:tcPr>
            <w:tcW w:w="4147" w:type="pct"/>
            <w:gridSpan w:val="6"/>
            <w:tcBorders>
              <w:top w:val="single" w:sz="4" w:space="0" w:color="auto"/>
              <w:left w:val="single" w:sz="4" w:space="0" w:color="auto"/>
              <w:bottom w:val="single" w:sz="4" w:space="0" w:color="auto"/>
              <w:right w:val="single" w:sz="4" w:space="0" w:color="auto"/>
            </w:tcBorders>
          </w:tcPr>
          <w:p w14:paraId="63703FB6" w14:textId="77777777" w:rsidR="0092396A" w:rsidRPr="00BC31CD" w:rsidRDefault="0092396A" w:rsidP="0092396A">
            <w:pPr>
              <w:pStyle w:val="TableText0"/>
              <w:rPr>
                <w:rFonts w:cs="Arial"/>
              </w:rPr>
            </w:pPr>
            <w:r w:rsidRPr="00BC31CD">
              <w:t>Evidence of excess copper can be based on clinical symptoms or measured copper levels (‘free’ copper in the serum [referred to non-ceruloplasmin bound copper] or urinary copper excretion)</w:t>
            </w:r>
          </w:p>
        </w:tc>
      </w:tr>
    </w:tbl>
    <w:p w14:paraId="64C60BD7" w14:textId="77777777" w:rsidR="00B07347" w:rsidRPr="00BC31CD" w:rsidRDefault="00B07347" w:rsidP="00AC6B01">
      <w:pPr>
        <w:spacing w:after="120"/>
        <w:rPr>
          <w:rFonts w:ascii="Arial Narrow" w:hAnsi="Arial Narrow"/>
          <w:sz w:val="18"/>
          <w:szCs w:val="18"/>
        </w:rPr>
      </w:pPr>
    </w:p>
    <w:p w14:paraId="1CC121E1" w14:textId="77777777" w:rsidR="00293F58" w:rsidRPr="00BC31CD" w:rsidRDefault="00AF1B0A" w:rsidP="004E18E9">
      <w:pPr>
        <w:pStyle w:val="3-BodyText"/>
        <w:rPr>
          <w:color w:val="0066FF"/>
        </w:rPr>
      </w:pPr>
      <w:r w:rsidRPr="00BC31CD">
        <w:t xml:space="preserve">No special pricing arrangement </w:t>
      </w:r>
      <w:r w:rsidR="004C65B1" w:rsidRPr="00BC31CD">
        <w:t xml:space="preserve">was </w:t>
      </w:r>
      <w:r w:rsidRPr="00BC31CD">
        <w:t>proposed.</w:t>
      </w:r>
      <w:r w:rsidR="00D840C3" w:rsidRPr="00BC31CD">
        <w:t xml:space="preserve"> </w:t>
      </w:r>
    </w:p>
    <w:p w14:paraId="383D885C" w14:textId="24778D09" w:rsidR="00B07347" w:rsidRPr="00891A8A" w:rsidRDefault="00293F58" w:rsidP="0002327C">
      <w:pPr>
        <w:pStyle w:val="3-BodyText"/>
        <w:rPr>
          <w:color w:val="0066FF"/>
        </w:rPr>
      </w:pPr>
      <w:r w:rsidRPr="00BC31CD">
        <w:t>The requested price of $</w:t>
      </w:r>
      <w:r w:rsidR="00AE1A04">
        <w:rPr>
          <w:noProof/>
          <w:color w:val="000000"/>
          <w:highlight w:val="black"/>
        </w:rPr>
        <w:t>''''''''''''''''</w:t>
      </w:r>
      <w:r w:rsidRPr="00BC31CD">
        <w:t xml:space="preserve"> </w:t>
      </w:r>
      <w:r w:rsidR="00DE7054" w:rsidRPr="00BC31CD">
        <w:t xml:space="preserve">for 144 x 150 mg tablets </w:t>
      </w:r>
      <w:r w:rsidR="00EA47EB" w:rsidRPr="00BC31CD">
        <w:t>was</w:t>
      </w:r>
      <w:r w:rsidR="00DD30C2" w:rsidRPr="00BC31CD">
        <w:t xml:space="preserve"> </w:t>
      </w:r>
      <w:r w:rsidRPr="00BC31CD">
        <w:t>considerable, particularly given that use of trientine was first reported in the 1970’s</w:t>
      </w:r>
      <w:r w:rsidRPr="00BC31CD">
        <w:rPr>
          <w:rStyle w:val="FootnoteReference"/>
        </w:rPr>
        <w:footnoteReference w:id="1"/>
      </w:r>
      <w:r w:rsidRPr="00BC31CD">
        <w:t xml:space="preserve"> and it is relatively inexpensive to manufacture</w:t>
      </w:r>
      <w:r w:rsidRPr="00BC31CD">
        <w:rPr>
          <w:rStyle w:val="FootnoteReference"/>
        </w:rPr>
        <w:footnoteReference w:id="2"/>
      </w:r>
      <w:r w:rsidR="00E25376" w:rsidRPr="00BC31CD">
        <w:t>. T</w:t>
      </w:r>
      <w:r w:rsidR="005D0AA2" w:rsidRPr="00BC31CD">
        <w:t xml:space="preserve">herefore, </w:t>
      </w:r>
      <w:r w:rsidRPr="00BC31CD">
        <w:t xml:space="preserve">the requested price </w:t>
      </w:r>
      <w:r w:rsidR="005D0AA2" w:rsidRPr="00BC31CD">
        <w:t>wa</w:t>
      </w:r>
      <w:r w:rsidRPr="00BC31CD">
        <w:t>s not likely to be related to recovery of drug development costs.</w:t>
      </w:r>
      <w:r w:rsidR="00B02245" w:rsidRPr="00BC31CD">
        <w:t xml:space="preserve"> </w:t>
      </w:r>
      <w:r w:rsidRPr="00BC31CD">
        <w:t xml:space="preserve">The submission </w:t>
      </w:r>
      <w:r w:rsidR="00FB79B8" w:rsidRPr="00BC31CD">
        <w:t xml:space="preserve">did </w:t>
      </w:r>
      <w:r w:rsidRPr="00BC31CD">
        <w:t>not justif</w:t>
      </w:r>
      <w:r w:rsidR="00FB79B8" w:rsidRPr="00BC31CD">
        <w:t>y</w:t>
      </w:r>
      <w:r w:rsidRPr="00BC31CD">
        <w:t xml:space="preserve"> the high requested price for trientine 4HCl and </w:t>
      </w:r>
      <w:r w:rsidR="00FB79B8" w:rsidRPr="00BC31CD">
        <w:t xml:space="preserve">did </w:t>
      </w:r>
      <w:r w:rsidRPr="00BC31CD">
        <w:t xml:space="preserve">not claim an advantage based on the </w:t>
      </w:r>
      <w:r w:rsidR="00EA47EB" w:rsidRPr="00BC31CD">
        <w:t xml:space="preserve">possible </w:t>
      </w:r>
      <w:r w:rsidRPr="00BC31CD">
        <w:t xml:space="preserve">convenience of </w:t>
      </w:r>
      <w:r w:rsidR="00C35487" w:rsidRPr="00BC31CD">
        <w:t>being able to store the medicine at room temperature</w:t>
      </w:r>
      <w:r w:rsidR="002E185D" w:rsidRPr="00BC31CD">
        <w:t xml:space="preserve"> (as compared to trientine 2HCl, which requires refrigeration)</w:t>
      </w:r>
      <w:r w:rsidRPr="00BC31CD">
        <w:t xml:space="preserve">. </w:t>
      </w:r>
      <w:r w:rsidR="004C4460" w:rsidRPr="00BC31CD">
        <w:t xml:space="preserve">The </w:t>
      </w:r>
      <w:r w:rsidR="004F581B">
        <w:t>Pre-Sub-Committee Response (</w:t>
      </w:r>
      <w:r w:rsidR="004C4460" w:rsidRPr="00BC31CD">
        <w:t>PSCR</w:t>
      </w:r>
      <w:r w:rsidR="004F581B">
        <w:t>)</w:t>
      </w:r>
      <w:r w:rsidR="004C4460" w:rsidRPr="00BC31CD">
        <w:t xml:space="preserve"> stated that the trientine 4HCl tablet, which is stable at room temperature, allows more convenient dosing and advantages in terms of portability, storage and ease of swallowing.</w:t>
      </w:r>
    </w:p>
    <w:p w14:paraId="2BA5002C" w14:textId="77777777" w:rsidR="00102C4E" w:rsidRPr="00BC31CD" w:rsidRDefault="00102C4E" w:rsidP="004E18E9">
      <w:pPr>
        <w:pStyle w:val="3-BodyText"/>
      </w:pPr>
      <w:r w:rsidRPr="00BC31CD">
        <w:t>The requested restriction d</w:t>
      </w:r>
      <w:r w:rsidR="00A075D1" w:rsidRPr="00BC31CD">
        <w:t>id</w:t>
      </w:r>
      <w:r w:rsidRPr="00BC31CD">
        <w:t xml:space="preserve"> not specify that patients must be </w:t>
      </w:r>
      <w:r w:rsidR="005E0AE7" w:rsidRPr="00BC31CD">
        <w:t xml:space="preserve">5 </w:t>
      </w:r>
      <w:r w:rsidRPr="00BC31CD">
        <w:t>years or older, as stated in the TGA indication.</w:t>
      </w:r>
      <w:r w:rsidR="00B02245" w:rsidRPr="00BC31CD">
        <w:t xml:space="preserve"> </w:t>
      </w:r>
      <w:r w:rsidR="00AA2DAA" w:rsidRPr="00BC31CD">
        <w:t xml:space="preserve">The pre-PBAC response </w:t>
      </w:r>
      <w:r w:rsidR="00373CFE" w:rsidRPr="00BC31CD">
        <w:t>stated</w:t>
      </w:r>
      <w:r w:rsidR="00AA2DAA" w:rsidRPr="00BC31CD">
        <w:t xml:space="preserve"> that the restriction should restrict use to in patients aged 5 years and older.</w:t>
      </w:r>
    </w:p>
    <w:p w14:paraId="74046E26" w14:textId="77777777" w:rsidR="00A075D1" w:rsidRPr="00BC31CD" w:rsidRDefault="00A075D1" w:rsidP="00A075D1">
      <w:pPr>
        <w:pStyle w:val="3-BodyText"/>
      </w:pPr>
      <w:r w:rsidRPr="00BC31CD">
        <w:t>The proposed restriction positioned trientine 4HCl as a second-line treatment in patients intolerant to DPA. Although this aligned with the TGA indication, it was not consistent with the three available treatment guidelines developed for WD from the American Association for the Study of Liver Diseases (AASLD), the European Association of the Study of the Liver (EASL) and the European Society for Paediatric Gastroenterology, Hepatology and Nutrition (ESPGHAN)</w:t>
      </w:r>
      <w:r w:rsidRPr="00BC31CD">
        <w:rPr>
          <w:rStyle w:val="FootnoteReference"/>
        </w:rPr>
        <w:footnoteReference w:id="3"/>
      </w:r>
      <w:r w:rsidRPr="00BC31CD">
        <w:t>, nor was it consistent with some state-based hospital formularies, all of which considered that the initial therapy should be a chelating agent consisting of either DPA or trientine. Noting the available guidelines and the clinical evidence presented, the PBAC considered that the proposed place in therapy for trientine 4HCl should be line agnostic.</w:t>
      </w:r>
    </w:p>
    <w:p w14:paraId="6902A3A9" w14:textId="506700A9" w:rsidR="00A075D1" w:rsidRPr="00BC31CD" w:rsidRDefault="00A075D1" w:rsidP="00A075D1">
      <w:pPr>
        <w:pStyle w:val="3-BodyText"/>
      </w:pPr>
      <w:r w:rsidRPr="00BC31CD">
        <w:t xml:space="preserve">The Secretariat had additionally </w:t>
      </w:r>
      <w:r w:rsidR="000D5D6E" w:rsidRPr="00BC31CD">
        <w:t xml:space="preserve">suggested that the </w:t>
      </w:r>
      <w:r w:rsidRPr="00BC31CD">
        <w:t>proposed indication of ‘Wilson</w:t>
      </w:r>
      <w:r w:rsidR="0065791D">
        <w:t> </w:t>
      </w:r>
      <w:r w:rsidR="000D5D6E" w:rsidRPr="00BC31CD">
        <w:t>d</w:t>
      </w:r>
      <w:r w:rsidRPr="00BC31CD">
        <w:t xml:space="preserve">isease’ be re-framed to ‘copper chelation’ </w:t>
      </w:r>
      <w:r w:rsidR="000D5D6E" w:rsidRPr="00BC31CD">
        <w:t xml:space="preserve">with the eligibility criteria further refining the patient population to that having a diagnosis of Wilson disease </w:t>
      </w:r>
      <w:r w:rsidRPr="00BC31CD">
        <w:t xml:space="preserve">because this better reflected the </w:t>
      </w:r>
      <w:r w:rsidR="000D5D6E" w:rsidRPr="00BC31CD">
        <w:t>true indication of drug treatment.</w:t>
      </w:r>
    </w:p>
    <w:p w14:paraId="254D6DFA" w14:textId="77777777" w:rsidR="00FC1173" w:rsidRPr="00BC31CD" w:rsidRDefault="00FC1173" w:rsidP="00FC1173">
      <w:pPr>
        <w:pStyle w:val="3-BodyText"/>
        <w:numPr>
          <w:ilvl w:val="0"/>
          <w:numId w:val="0"/>
        </w:numPr>
        <w:ind w:left="720"/>
        <w:rPr>
          <w:i/>
          <w:iCs/>
        </w:rPr>
      </w:pPr>
      <w:r w:rsidRPr="00BC31CD">
        <w:rPr>
          <w:i/>
          <w:iCs/>
        </w:rPr>
        <w:t>For more detail on PBAC’s view, see section 7 PBAC outcome.</w:t>
      </w:r>
    </w:p>
    <w:p w14:paraId="2680D2A9" w14:textId="77777777" w:rsidR="00D852EB" w:rsidRPr="00BC31CD" w:rsidRDefault="00203181" w:rsidP="00AF1B0A">
      <w:pPr>
        <w:pStyle w:val="2-SectionHeading"/>
      </w:pPr>
      <w:bookmarkStart w:id="7" w:name="_Toc82002229"/>
      <w:r w:rsidRPr="00BC31CD">
        <w:t xml:space="preserve">Population and </w:t>
      </w:r>
      <w:r w:rsidR="008E0D3C" w:rsidRPr="00BC31CD">
        <w:t>d</w:t>
      </w:r>
      <w:r w:rsidRPr="00BC31CD">
        <w:t>isease</w:t>
      </w:r>
      <w:bookmarkEnd w:id="7"/>
    </w:p>
    <w:p w14:paraId="371E51C5" w14:textId="4E6D0960" w:rsidR="00D852EB" w:rsidRPr="00BC31CD" w:rsidRDefault="00D852EB" w:rsidP="00D852EB">
      <w:pPr>
        <w:pStyle w:val="3-BodyText"/>
      </w:pPr>
      <w:r w:rsidRPr="00BC31CD">
        <w:t xml:space="preserve">Wilson </w:t>
      </w:r>
      <w:r w:rsidR="00564E7D" w:rsidRPr="00BC31CD">
        <w:t>D</w:t>
      </w:r>
      <w:r w:rsidR="00496B03" w:rsidRPr="00BC31CD">
        <w:t>isease</w:t>
      </w:r>
      <w:r w:rsidR="00564E7D" w:rsidRPr="00BC31CD">
        <w:t xml:space="preserve"> (WD)</w:t>
      </w:r>
      <w:r w:rsidR="00496B03" w:rsidRPr="00BC31CD">
        <w:t xml:space="preserve"> </w:t>
      </w:r>
      <w:r w:rsidRPr="00BC31CD">
        <w:t xml:space="preserve">is a rare autosomal recessive disorder that if left untreated results in pathological copper accumulation. The reported prevalence of </w:t>
      </w:r>
      <w:r w:rsidR="005245F6" w:rsidRPr="00BC31CD">
        <w:t>WD</w:t>
      </w:r>
      <w:r w:rsidRPr="00BC31CD">
        <w:t xml:space="preserve"> is 0.33</w:t>
      </w:r>
      <w:r w:rsidR="0065791D">
        <w:t> </w:t>
      </w:r>
      <w:r w:rsidRPr="00BC31CD">
        <w:t>per 10,000 persons with a birth prevalence of 0.22 per 10,000. The underlying cause of WD is one or more mutations in the ATP7B gene, located on chromosome 13</w:t>
      </w:r>
      <w:r w:rsidR="00FA7F41" w:rsidRPr="00BC31CD">
        <w:t>. O</w:t>
      </w:r>
      <w:r w:rsidRPr="00BC31CD">
        <w:t xml:space="preserve">ver 800 different mutations </w:t>
      </w:r>
      <w:r w:rsidR="00FA7F41" w:rsidRPr="00BC31CD">
        <w:t xml:space="preserve">have been </w:t>
      </w:r>
      <w:r w:rsidRPr="00BC31CD">
        <w:t xml:space="preserve">identified, though not all </w:t>
      </w:r>
      <w:r w:rsidR="00FA7F41" w:rsidRPr="00BC31CD">
        <w:t xml:space="preserve">are </w:t>
      </w:r>
      <w:r w:rsidRPr="00BC31CD">
        <w:t xml:space="preserve">confirmed </w:t>
      </w:r>
      <w:r w:rsidR="00FA7F41" w:rsidRPr="00BC31CD">
        <w:t xml:space="preserve">as </w:t>
      </w:r>
      <w:r w:rsidRPr="00BC31CD">
        <w:t>pathogen</w:t>
      </w:r>
      <w:r w:rsidR="00FA7F41" w:rsidRPr="00BC31CD">
        <w:t xml:space="preserve">ic. The prevalence of ATP7B mutations is much higher than of </w:t>
      </w:r>
      <w:r w:rsidR="005245F6" w:rsidRPr="00BC31CD">
        <w:t>WD</w:t>
      </w:r>
      <w:r w:rsidR="00FA7F41" w:rsidRPr="00BC31CD">
        <w:t xml:space="preserve">, and it is possible that the spectrum of disease associated with ATP7B mutations is wider than is currently appreciated. </w:t>
      </w:r>
      <w:r w:rsidRPr="00BC31CD">
        <w:t>The ATP7B protein mediates the binding of copper molecules to apoceruloplasmin in hepatocytes, forming ceruloplasmin that transports copper within the body while avoiding the presence of ‘free’ copper, which is toxic.</w:t>
      </w:r>
      <w:r w:rsidR="00B02245" w:rsidRPr="00BC31CD">
        <w:t xml:space="preserve"> </w:t>
      </w:r>
    </w:p>
    <w:p w14:paraId="2133CB22" w14:textId="77777777" w:rsidR="00D852EB" w:rsidRPr="00BC31CD" w:rsidRDefault="00D852EB" w:rsidP="00D852EB">
      <w:pPr>
        <w:pStyle w:val="3-BodyText"/>
        <w:rPr>
          <w:color w:val="3366FF"/>
        </w:rPr>
      </w:pPr>
      <w:r w:rsidRPr="00BC31CD">
        <w:t>In patients with WD, mutations in the ATP7B gene result in a defective ATP7B protein, resulting in inadequate copper transport and thus</w:t>
      </w:r>
      <w:r w:rsidR="00E25376" w:rsidRPr="00BC31CD">
        <w:t>,</w:t>
      </w:r>
      <w:r w:rsidRPr="00BC31CD">
        <w:t xml:space="preserve"> copper accumulation in the hepatocytes. Untreated, the disease results in hepatic fibrosis and ultimately cirrhosis, and a wide spectrum of signs and symptoms are observed including hepatic as well as neurologic or neuropsychiatric manifestations. The disease can present at any age, with the majority </w:t>
      </w:r>
      <w:r w:rsidR="00E25376" w:rsidRPr="00BC31CD">
        <w:t xml:space="preserve">of patients </w:t>
      </w:r>
      <w:r w:rsidRPr="00BC31CD">
        <w:t>diagnosed between 5 and 35 years. Asymptomatic patients are most often detected by targeted family screening. Symptoms at the time of the initial presentation, and those that evolve undetected, are usually either hepatic or neurologic/neuropsychiatric. Data specific to Australia were not provided in the submission</w:t>
      </w:r>
      <w:r w:rsidR="00E936FB" w:rsidRPr="00BC31CD">
        <w:t>.</w:t>
      </w:r>
      <w:r w:rsidR="00381F7D" w:rsidRPr="00BC31CD">
        <w:t xml:space="preserve"> The PSCR noted that Miraldo 1953 reported that </w:t>
      </w:r>
      <w:r w:rsidR="00944ED1" w:rsidRPr="00BC31CD">
        <w:t xml:space="preserve">after initially presenting with symptoms, patients’ estimated </w:t>
      </w:r>
      <w:r w:rsidR="00381F7D" w:rsidRPr="00BC31CD">
        <w:t>life expectancy associated with untreated WD was 4 years; whereas patients with well-managed WD will have a</w:t>
      </w:r>
      <w:r w:rsidR="00944ED1" w:rsidRPr="00BC31CD">
        <w:t xml:space="preserve"> close to</w:t>
      </w:r>
      <w:r w:rsidR="00381F7D" w:rsidRPr="00BC31CD">
        <w:t xml:space="preserve"> normal life expectancy (</w:t>
      </w:r>
      <w:r w:rsidR="00944ED1" w:rsidRPr="00BC31CD">
        <w:t xml:space="preserve">EASL, 2012; </w:t>
      </w:r>
      <w:r w:rsidR="00381F7D" w:rsidRPr="00BC31CD">
        <w:t>Ferenci 2019).</w:t>
      </w:r>
    </w:p>
    <w:p w14:paraId="5B04A5A6" w14:textId="77777777" w:rsidR="00D57C5E" w:rsidRPr="00BC31CD" w:rsidRDefault="00D57C5E" w:rsidP="00D852EB">
      <w:pPr>
        <w:pStyle w:val="3-BodyText"/>
      </w:pPr>
      <w:r w:rsidRPr="00BC31CD">
        <w:t xml:space="preserve">Treatment of patients with </w:t>
      </w:r>
      <w:r w:rsidR="005245F6" w:rsidRPr="00BC31CD">
        <w:t>WD</w:t>
      </w:r>
      <w:r w:rsidRPr="00BC31CD">
        <w:t xml:space="preserve"> generally consists of two phases – ‘de-coppering’ using chelation treatments, assessed by 24</w:t>
      </w:r>
      <w:r w:rsidR="00FA7F41" w:rsidRPr="00BC31CD">
        <w:t>hr</w:t>
      </w:r>
      <w:r w:rsidRPr="00BC31CD">
        <w:t xml:space="preserve"> urinary copper excretion</w:t>
      </w:r>
      <w:r w:rsidR="00FA7F41" w:rsidRPr="00BC31CD">
        <w:t xml:space="preserve"> (24hr UCE)</w:t>
      </w:r>
      <w:r w:rsidRPr="00BC31CD">
        <w:t xml:space="preserve"> - and then a maintenance phase. </w:t>
      </w:r>
      <w:r w:rsidR="007836DA" w:rsidRPr="00BC31CD">
        <w:t>The length of the de-coppering phase is a matter of clinical judgement.</w:t>
      </w:r>
    </w:p>
    <w:p w14:paraId="5C53CA63" w14:textId="77777777" w:rsidR="00D57C5E" w:rsidRPr="00BC31CD" w:rsidRDefault="00D57C5E" w:rsidP="00D57C5E">
      <w:pPr>
        <w:pStyle w:val="3-BodyText"/>
      </w:pPr>
      <w:r w:rsidRPr="00BC31CD">
        <w:t xml:space="preserve">Trientine (as the tetrahydrochloride or </w:t>
      </w:r>
      <w:r w:rsidR="00FA7F41" w:rsidRPr="00BC31CD">
        <w:t>dihydrochloride</w:t>
      </w:r>
      <w:r w:rsidR="00A94204" w:rsidRPr="00BC31CD">
        <w:t xml:space="preserve">; </w:t>
      </w:r>
      <w:r w:rsidR="00642B8C" w:rsidRPr="00BC31CD">
        <w:t>in the USA the approved name for the dihydrochloride is trientine hydrochloride</w:t>
      </w:r>
      <w:r w:rsidRPr="00BC31CD">
        <w:t>)</w:t>
      </w:r>
      <w:r w:rsidR="004C65B1" w:rsidRPr="00BC31CD">
        <w:t>, first used in 1969,</w:t>
      </w:r>
      <w:r w:rsidR="00B02245" w:rsidRPr="00BC31CD">
        <w:t xml:space="preserve"> </w:t>
      </w:r>
      <w:r w:rsidRPr="00BC31CD">
        <w:t>is a copper chelator that after oral intake is absorbed and has systemic action by forming stable complexes with copper that are excreted in the urine. It is less readily absorbed following oral intake compared to DPA, so it may also act through the chelation of copper in the intestinal tract, thus inhibiting absorption of dietary copper.</w:t>
      </w:r>
      <w:r w:rsidR="00B02245" w:rsidRPr="00BC31CD">
        <w:t xml:space="preserve"> </w:t>
      </w:r>
    </w:p>
    <w:p w14:paraId="15882630" w14:textId="77777777" w:rsidR="00D57C5E" w:rsidRPr="00BC31CD" w:rsidRDefault="00D57C5E" w:rsidP="00D852EB">
      <w:pPr>
        <w:pStyle w:val="3-BodyText"/>
      </w:pPr>
      <w:r w:rsidRPr="00BC31CD">
        <w:t>Both DPA and trientine (as dihydrochloride) have been used for many years as chelation therapy. Zinc is also a recognised treatment</w:t>
      </w:r>
      <w:r w:rsidR="00FA7F41" w:rsidRPr="00BC31CD">
        <w:t>, mainly</w:t>
      </w:r>
      <w:r w:rsidRPr="00BC31CD">
        <w:t xml:space="preserve"> as an alternative to chelation for </w:t>
      </w:r>
      <w:r w:rsidR="00FA7F41" w:rsidRPr="00BC31CD">
        <w:t>prevention of re-accumulation after de-coppering</w:t>
      </w:r>
      <w:r w:rsidRPr="00BC31CD">
        <w:t>. Liver transplant is considered an alternative in patients with severe hepatic disease, and</w:t>
      </w:r>
      <w:r w:rsidR="007264B8" w:rsidRPr="00BC31CD">
        <w:t>,</w:t>
      </w:r>
      <w:r w:rsidRPr="00BC31CD">
        <w:t xml:space="preserve"> if successful, is curative.</w:t>
      </w:r>
    </w:p>
    <w:p w14:paraId="232DBA55" w14:textId="77777777" w:rsidR="00D852EB" w:rsidRPr="00BC31CD" w:rsidRDefault="004942F9" w:rsidP="00D852EB">
      <w:pPr>
        <w:pStyle w:val="3-BodyText"/>
      </w:pPr>
      <w:r w:rsidRPr="00BC31CD">
        <w:t>Adverse</w:t>
      </w:r>
      <w:r w:rsidR="00D57C5E" w:rsidRPr="00BC31CD">
        <w:t xml:space="preserve"> effects of DPA are </w:t>
      </w:r>
      <w:r w:rsidRPr="00BC31CD">
        <w:t xml:space="preserve">common and may be severe, </w:t>
      </w:r>
      <w:r w:rsidR="00D57C5E" w:rsidRPr="00BC31CD">
        <w:t>includ</w:t>
      </w:r>
      <w:r w:rsidRPr="00BC31CD">
        <w:t xml:space="preserve">ing sensitivity reactions, which occur soon after treatment is initiated, proteinuria and nephrotic syndrome, which can occur early or after prolonged treatment, worsening of neurological symptoms, and a wide spectrum of immune-mediated illness, including polymyositis, Goodpasture </w:t>
      </w:r>
      <w:r w:rsidR="005245F6" w:rsidRPr="00BC31CD">
        <w:t>syndrome</w:t>
      </w:r>
      <w:r w:rsidR="00B340BF" w:rsidRPr="00BC31CD">
        <w:t>, lupus-like reactions</w:t>
      </w:r>
      <w:r w:rsidRPr="00BC31CD">
        <w:t xml:space="preserve">, and skin changes. Trientine is believed to cause fewer adverse events than DPA, and </w:t>
      </w:r>
      <w:r w:rsidR="00F60EBA" w:rsidRPr="00BC31CD">
        <w:t xml:space="preserve">although </w:t>
      </w:r>
      <w:r w:rsidR="00D852EB" w:rsidRPr="00BC31CD">
        <w:t xml:space="preserve">the TGA indication is for use in patients with </w:t>
      </w:r>
      <w:r w:rsidR="005245F6" w:rsidRPr="00BC31CD">
        <w:t>WD</w:t>
      </w:r>
      <w:r w:rsidR="00D852EB" w:rsidRPr="00BC31CD">
        <w:t xml:space="preserve"> who are intolerant of DPA, </w:t>
      </w:r>
      <w:r w:rsidR="00B07347" w:rsidRPr="00BC31CD">
        <w:t xml:space="preserve">trientine could be used as </w:t>
      </w:r>
      <w:r w:rsidR="00D852EB" w:rsidRPr="00BC31CD">
        <w:t>first line treatment in some patient</w:t>
      </w:r>
      <w:r w:rsidR="00B07347" w:rsidRPr="00BC31CD">
        <w:t>s</w:t>
      </w:r>
      <w:r w:rsidR="00D852EB" w:rsidRPr="00BC31CD">
        <w:t>.</w:t>
      </w:r>
    </w:p>
    <w:p w14:paraId="2C521FE1" w14:textId="77777777" w:rsidR="00FC1173" w:rsidRPr="00BC31CD" w:rsidRDefault="00FC1173" w:rsidP="00FC1173">
      <w:pPr>
        <w:pStyle w:val="3-BodyText"/>
        <w:numPr>
          <w:ilvl w:val="0"/>
          <w:numId w:val="0"/>
        </w:numPr>
        <w:ind w:left="720"/>
        <w:rPr>
          <w:i/>
          <w:iCs/>
        </w:rPr>
      </w:pPr>
      <w:r w:rsidRPr="00BC31CD">
        <w:rPr>
          <w:i/>
          <w:iCs/>
        </w:rPr>
        <w:t>For more detail on PBAC’s view, see section 7 PBAC outcome.</w:t>
      </w:r>
    </w:p>
    <w:p w14:paraId="659DBBC6" w14:textId="77777777" w:rsidR="00B50DB8" w:rsidRPr="00BC31CD" w:rsidRDefault="00B50DB8" w:rsidP="004E18E9">
      <w:pPr>
        <w:pStyle w:val="2-SectionHeading"/>
      </w:pPr>
      <w:bookmarkStart w:id="8" w:name="_Toc82002230"/>
      <w:r w:rsidRPr="00BC31CD">
        <w:t>Comparator</w:t>
      </w:r>
      <w:bookmarkEnd w:id="8"/>
    </w:p>
    <w:p w14:paraId="6F398E3E" w14:textId="77777777" w:rsidR="00381F7D" w:rsidRPr="00BC31CD" w:rsidRDefault="00CA0DEF" w:rsidP="005032D7">
      <w:pPr>
        <w:pStyle w:val="3-BodyText"/>
        <w:rPr>
          <w:snapToGrid/>
        </w:rPr>
      </w:pPr>
      <w:r w:rsidRPr="00BC31CD">
        <w:t>The submission nominated best supportive care</w:t>
      </w:r>
      <w:r w:rsidR="005245F6" w:rsidRPr="00BC31CD">
        <w:t xml:space="preserve"> (BSC)</w:t>
      </w:r>
      <w:r w:rsidR="00DE7054" w:rsidRPr="00BC31CD">
        <w:t>, consisting of ongoing monitoring for liver function, a low copper diet, vitamin E supplementation and serum copper tests,</w:t>
      </w:r>
      <w:r w:rsidRPr="00BC31CD">
        <w:t xml:space="preserve"> as the comparator on the grounds that no other pharmacological treatments are available for patients with </w:t>
      </w:r>
      <w:r w:rsidR="005245F6" w:rsidRPr="00BC31CD">
        <w:t>WD</w:t>
      </w:r>
      <w:r w:rsidRPr="00BC31CD">
        <w:t xml:space="preserve"> who are intolerant of DPA.</w:t>
      </w:r>
      <w:r w:rsidR="00B07347" w:rsidRPr="00BC31CD">
        <w:t xml:space="preserve"> </w:t>
      </w:r>
      <w:bookmarkStart w:id="9" w:name="_Hlk84839840"/>
      <w:r w:rsidR="0046092B" w:rsidRPr="00BC31CD">
        <w:t>The ESC advised that BSC may also include liver transplant.</w:t>
      </w:r>
    </w:p>
    <w:bookmarkEnd w:id="9"/>
    <w:p w14:paraId="0E12CF45" w14:textId="77777777" w:rsidR="005032D7" w:rsidRPr="00BC31CD" w:rsidRDefault="00B07347" w:rsidP="00F933FC">
      <w:pPr>
        <w:pStyle w:val="3-BodyText"/>
        <w:rPr>
          <w:snapToGrid/>
        </w:rPr>
      </w:pPr>
      <w:r w:rsidRPr="00BC31CD">
        <w:t>As described</w:t>
      </w:r>
      <w:r w:rsidR="00D57C5E" w:rsidRPr="00BC31CD">
        <w:t xml:space="preserve"> </w:t>
      </w:r>
      <w:r w:rsidRPr="00BC31CD">
        <w:t xml:space="preserve">above, </w:t>
      </w:r>
      <w:r w:rsidR="00855D03" w:rsidRPr="00BC31CD">
        <w:t>trientine is</w:t>
      </w:r>
      <w:r w:rsidR="005403C0" w:rsidRPr="00BC31CD">
        <w:t xml:space="preserve"> </w:t>
      </w:r>
      <w:r w:rsidR="00755CF1" w:rsidRPr="00BC31CD">
        <w:t xml:space="preserve">used in </w:t>
      </w:r>
      <w:r w:rsidR="005403C0" w:rsidRPr="00BC31CD">
        <w:t>current practice</w:t>
      </w:r>
      <w:r w:rsidRPr="00BC31CD">
        <w:t xml:space="preserve"> for </w:t>
      </w:r>
      <w:r w:rsidR="005403C0" w:rsidRPr="00BC31CD">
        <w:t xml:space="preserve">symptomatic </w:t>
      </w:r>
      <w:r w:rsidRPr="00BC31CD">
        <w:t>patients in the de-coppering phase of treatment who develop adverse effects from DPA</w:t>
      </w:r>
      <w:r w:rsidR="00F918BF" w:rsidRPr="00BC31CD">
        <w:t xml:space="preserve">, and therefore </w:t>
      </w:r>
      <w:r w:rsidR="00755CF1" w:rsidRPr="00BC31CD">
        <w:t xml:space="preserve">the submission proposed </w:t>
      </w:r>
      <w:r w:rsidR="00F918BF" w:rsidRPr="00BC31CD">
        <w:t>BSC represents a hypothetical comparator for establishing clinical and cost</w:t>
      </w:r>
      <w:r w:rsidR="00934070" w:rsidRPr="00BC31CD">
        <w:t xml:space="preserve"> effectiveness of trientine 4HCl</w:t>
      </w:r>
      <w:r w:rsidRPr="00BC31CD">
        <w:t xml:space="preserve">. </w:t>
      </w:r>
      <w:r w:rsidR="00755CF1" w:rsidRPr="00BC31CD">
        <w:t>The evaluation commented that i</w:t>
      </w:r>
      <w:r w:rsidRPr="00BC31CD">
        <w:t>n the maintenance phase of treatment,</w:t>
      </w:r>
      <w:r w:rsidR="005403C0" w:rsidRPr="00BC31CD">
        <w:t xml:space="preserve"> and for asymptomatic patients,</w:t>
      </w:r>
      <w:r w:rsidRPr="00BC31CD">
        <w:t xml:space="preserve"> zinc</w:t>
      </w:r>
      <w:r w:rsidR="00B51EBA" w:rsidRPr="00BC31CD">
        <w:t xml:space="preserve"> </w:t>
      </w:r>
      <w:r w:rsidRPr="00BC31CD">
        <w:t xml:space="preserve">would be an </w:t>
      </w:r>
      <w:r w:rsidR="005403C0" w:rsidRPr="00BC31CD">
        <w:t>appropriate</w:t>
      </w:r>
      <w:r w:rsidRPr="00BC31CD">
        <w:t xml:space="preserve"> comparator.</w:t>
      </w:r>
      <w:r w:rsidR="005032D7" w:rsidRPr="00BC31CD">
        <w:t xml:space="preserve"> The PSCR stated that data from the CHELATE study supported the continued need for chelation therapy in the long term, and that only a small proportion of patients </w:t>
      </w:r>
      <w:r w:rsidR="00702054" w:rsidRPr="00BC31CD">
        <w:t xml:space="preserve">(13%) </w:t>
      </w:r>
      <w:r w:rsidR="005032D7" w:rsidRPr="00BC31CD">
        <w:t xml:space="preserve">were reported as </w:t>
      </w:r>
      <w:r w:rsidR="00B36612" w:rsidRPr="00BC31CD">
        <w:t>ever</w:t>
      </w:r>
      <w:r w:rsidR="005032D7" w:rsidRPr="00BC31CD">
        <w:t xml:space="preserve"> receiving zinc for the management of their WD at a mean time from diagnosis of almost 20 years.</w:t>
      </w:r>
      <w:r w:rsidR="00702054" w:rsidRPr="00BC31CD">
        <w:t xml:space="preserve"> </w:t>
      </w:r>
      <w:r w:rsidR="00B36612" w:rsidRPr="00BC31CD">
        <w:t xml:space="preserve">The ESC noted that zinc </w:t>
      </w:r>
      <w:r w:rsidR="006503C9" w:rsidRPr="00BC31CD">
        <w:t xml:space="preserve">is recommended </w:t>
      </w:r>
      <w:r w:rsidR="00B36612" w:rsidRPr="00BC31CD">
        <w:t xml:space="preserve">in the </w:t>
      </w:r>
      <w:r w:rsidR="006503C9" w:rsidRPr="00BC31CD">
        <w:t>three available treatment guidelines</w:t>
      </w:r>
      <w:r w:rsidR="006503C9" w:rsidRPr="00BC31CD">
        <w:rPr>
          <w:rStyle w:val="FootnoteReference"/>
        </w:rPr>
        <w:footnoteReference w:id="4"/>
      </w:r>
      <w:r w:rsidR="006503C9" w:rsidRPr="00BC31CD">
        <w:t xml:space="preserve"> in the </w:t>
      </w:r>
      <w:r w:rsidR="00B36612" w:rsidRPr="00BC31CD">
        <w:t xml:space="preserve">maintenance phase and considered </w:t>
      </w:r>
      <w:bookmarkStart w:id="10" w:name="_Hlk84840349"/>
      <w:r w:rsidR="00B36612" w:rsidRPr="00BC31CD">
        <w:t>it may be used for a proportion of patients.</w:t>
      </w:r>
      <w:r w:rsidR="007454BB" w:rsidRPr="00BC31CD">
        <w:t xml:space="preserve"> The PSCR noted that </w:t>
      </w:r>
      <w:r w:rsidR="006503C9" w:rsidRPr="00BC31CD">
        <w:t xml:space="preserve">the use of </w:t>
      </w:r>
      <w:r w:rsidR="007454BB" w:rsidRPr="00BC31CD">
        <w:t>zinc in the maintenance phase in the economic model would reduce the treatment cost of trientine and thus improve the cost-effectiveness.</w:t>
      </w:r>
    </w:p>
    <w:p w14:paraId="02A64F87" w14:textId="77777777" w:rsidR="00A05472" w:rsidRPr="00BC31CD" w:rsidRDefault="006503C9" w:rsidP="00B0641A">
      <w:pPr>
        <w:pStyle w:val="3-BodyText"/>
        <w:rPr>
          <w:snapToGrid/>
        </w:rPr>
      </w:pPr>
      <w:r w:rsidRPr="00BC31CD">
        <w:t>The PBAC noted that the three available treatment guidelines recommended a chelating agent, consisting of either DPA or trientine, as initial therapy.</w:t>
      </w:r>
      <w:bookmarkEnd w:id="10"/>
    </w:p>
    <w:p w14:paraId="4145B021" w14:textId="77777777" w:rsidR="00FC1173" w:rsidRPr="00BC31CD" w:rsidRDefault="00FC1173" w:rsidP="00FC1173">
      <w:pPr>
        <w:pStyle w:val="3-BodyText"/>
        <w:numPr>
          <w:ilvl w:val="0"/>
          <w:numId w:val="0"/>
        </w:numPr>
        <w:ind w:left="720"/>
        <w:rPr>
          <w:i/>
          <w:iCs/>
          <w:snapToGrid/>
        </w:rPr>
      </w:pPr>
      <w:r w:rsidRPr="00BC31CD">
        <w:rPr>
          <w:i/>
          <w:iCs/>
        </w:rPr>
        <w:t>For more detail on PBAC’s view, see section 7 PBAC outcome.</w:t>
      </w:r>
    </w:p>
    <w:p w14:paraId="2982C3C6" w14:textId="77777777" w:rsidR="00223D5A" w:rsidRPr="00BC31CD" w:rsidRDefault="00223D5A" w:rsidP="00223D5A">
      <w:pPr>
        <w:pStyle w:val="2-SectionHeading"/>
        <w:numPr>
          <w:ilvl w:val="0"/>
          <w:numId w:val="1"/>
        </w:numPr>
      </w:pPr>
      <w:bookmarkStart w:id="11" w:name="_Toc82002231"/>
      <w:bookmarkStart w:id="12" w:name="_Toc22897640"/>
      <w:r w:rsidRPr="00BC31CD">
        <w:t>Consideration of the evidence</w:t>
      </w:r>
      <w:bookmarkEnd w:id="11"/>
    </w:p>
    <w:p w14:paraId="189D4EFC" w14:textId="77777777" w:rsidR="00FC1173" w:rsidRPr="00BC31CD" w:rsidRDefault="00FC1173" w:rsidP="00FC1173">
      <w:pPr>
        <w:pStyle w:val="4-SubsectionHeading"/>
      </w:pPr>
      <w:bookmarkStart w:id="13" w:name="_Hlk76375935"/>
      <w:bookmarkStart w:id="14" w:name="_Toc82002232"/>
      <w:r w:rsidRPr="00BC31CD">
        <w:t>Sponsor hearing</w:t>
      </w:r>
    </w:p>
    <w:p w14:paraId="65EBDB08" w14:textId="77777777" w:rsidR="00FC1173" w:rsidRPr="00BC31CD" w:rsidRDefault="00FC1173" w:rsidP="00FC1173">
      <w:pPr>
        <w:widowControl w:val="0"/>
        <w:numPr>
          <w:ilvl w:val="1"/>
          <w:numId w:val="1"/>
        </w:numPr>
        <w:spacing w:after="120"/>
        <w:rPr>
          <w:rFonts w:cs="Calibri"/>
          <w:bCs/>
          <w:snapToGrid w:val="0"/>
        </w:rPr>
      </w:pPr>
      <w:r w:rsidRPr="00BC31CD">
        <w:rPr>
          <w:rFonts w:cs="Calibri"/>
          <w:bCs/>
          <w:snapToGrid w:val="0"/>
        </w:rPr>
        <w:t>There was no hearing for this item.</w:t>
      </w:r>
    </w:p>
    <w:p w14:paraId="243EB8AB" w14:textId="77777777" w:rsidR="00FC1173" w:rsidRPr="00BC31CD" w:rsidRDefault="00FC1173" w:rsidP="00FC1173">
      <w:pPr>
        <w:pStyle w:val="4-SubsectionHeading"/>
      </w:pPr>
      <w:r w:rsidRPr="00BC31CD">
        <w:t>Consumer comments</w:t>
      </w:r>
    </w:p>
    <w:p w14:paraId="153F4E24" w14:textId="196A52F9" w:rsidR="00FC1173" w:rsidRPr="00BC31CD" w:rsidRDefault="00FC1173" w:rsidP="00352B56">
      <w:pPr>
        <w:widowControl w:val="0"/>
        <w:numPr>
          <w:ilvl w:val="1"/>
          <w:numId w:val="1"/>
        </w:numPr>
        <w:spacing w:after="120"/>
        <w:rPr>
          <w:rFonts w:asciiTheme="minorHAnsi" w:hAnsiTheme="minorHAnsi"/>
          <w:bCs/>
          <w:snapToGrid w:val="0"/>
        </w:rPr>
      </w:pPr>
      <w:bookmarkStart w:id="15" w:name="_Hlk76382618"/>
      <w:r w:rsidRPr="00BC31CD">
        <w:rPr>
          <w:rFonts w:asciiTheme="minorHAnsi" w:hAnsiTheme="minorHAnsi"/>
          <w:bCs/>
          <w:snapToGrid w:val="0"/>
        </w:rPr>
        <w:t xml:space="preserve">The PBAC noted </w:t>
      </w:r>
      <w:r w:rsidR="006503C9" w:rsidRPr="00BC31CD">
        <w:rPr>
          <w:rFonts w:asciiTheme="minorHAnsi" w:hAnsiTheme="minorHAnsi"/>
          <w:bCs/>
          <w:snapToGrid w:val="0"/>
        </w:rPr>
        <w:t>that only</w:t>
      </w:r>
      <w:r w:rsidRPr="00BC31CD">
        <w:rPr>
          <w:rFonts w:asciiTheme="minorHAnsi" w:hAnsiTheme="minorHAnsi"/>
          <w:bCs/>
          <w:snapToGrid w:val="0"/>
        </w:rPr>
        <w:t xml:space="preserve"> </w:t>
      </w:r>
      <w:r w:rsidR="00352B56" w:rsidRPr="00BC31CD">
        <w:rPr>
          <w:rFonts w:asciiTheme="minorHAnsi" w:hAnsiTheme="minorHAnsi"/>
          <w:bCs/>
          <w:snapToGrid w:val="0"/>
        </w:rPr>
        <w:t xml:space="preserve">one </w:t>
      </w:r>
      <w:r w:rsidRPr="00BC31CD">
        <w:rPr>
          <w:rFonts w:asciiTheme="minorHAnsi" w:hAnsiTheme="minorHAnsi"/>
          <w:bCs/>
          <w:snapToGrid w:val="0"/>
        </w:rPr>
        <w:t xml:space="preserve">health care professional </w:t>
      </w:r>
      <w:r w:rsidR="006503C9" w:rsidRPr="00BC31CD">
        <w:rPr>
          <w:rFonts w:asciiTheme="minorHAnsi" w:hAnsiTheme="minorHAnsi"/>
          <w:bCs/>
          <w:snapToGrid w:val="0"/>
        </w:rPr>
        <w:t xml:space="preserve">provided input </w:t>
      </w:r>
      <w:r w:rsidRPr="00BC31CD">
        <w:rPr>
          <w:rFonts w:asciiTheme="minorHAnsi" w:hAnsiTheme="minorHAnsi"/>
          <w:bCs/>
          <w:snapToGrid w:val="0"/>
        </w:rPr>
        <w:t xml:space="preserve">via the Consumer Comments facility on the PBS website. </w:t>
      </w:r>
      <w:r w:rsidR="00755CF1" w:rsidRPr="00BC31CD">
        <w:rPr>
          <w:rFonts w:asciiTheme="minorHAnsi" w:hAnsiTheme="minorHAnsi"/>
          <w:bCs/>
          <w:snapToGrid w:val="0"/>
        </w:rPr>
        <w:t>The comment stated that trientine has been available to patients for several years via the special access scheme at a price which PBAC noted is much less than that requested in the submission. The health care professional did not support a PBS listing of trientine at a higher price than is currently available to hospitals</w:t>
      </w:r>
      <w:r w:rsidR="00352B56" w:rsidRPr="00BC31CD">
        <w:rPr>
          <w:rFonts w:asciiTheme="minorHAnsi" w:hAnsiTheme="minorHAnsi"/>
          <w:bCs/>
          <w:snapToGrid w:val="0"/>
        </w:rPr>
        <w:t xml:space="preserve">. </w:t>
      </w:r>
    </w:p>
    <w:bookmarkEnd w:id="13"/>
    <w:bookmarkEnd w:id="15"/>
    <w:p w14:paraId="38A582A3" w14:textId="77777777" w:rsidR="00B60939" w:rsidRPr="00BC31CD" w:rsidRDefault="00B60939" w:rsidP="002E4F02">
      <w:pPr>
        <w:pStyle w:val="4-SubsectionHeading"/>
      </w:pPr>
      <w:r w:rsidRPr="00BC31CD">
        <w:t xml:space="preserve">Clinical </w:t>
      </w:r>
      <w:r w:rsidR="00D5243B" w:rsidRPr="00BC31CD">
        <w:t>studies</w:t>
      </w:r>
      <w:bookmarkEnd w:id="14"/>
      <w:r w:rsidR="006503C9" w:rsidRPr="00BC31CD">
        <w:t>/trials</w:t>
      </w:r>
      <w:r w:rsidR="00B07347" w:rsidRPr="00BC31CD">
        <w:t xml:space="preserve"> </w:t>
      </w:r>
      <w:bookmarkEnd w:id="12"/>
    </w:p>
    <w:p w14:paraId="40916C99" w14:textId="77777777" w:rsidR="00DF63B6" w:rsidRPr="00BC31CD" w:rsidRDefault="00DF63B6" w:rsidP="002E4F02">
      <w:pPr>
        <w:pStyle w:val="3-BodyText"/>
      </w:pPr>
      <w:r w:rsidRPr="00BC31CD">
        <w:t xml:space="preserve">There is an extensive body of published studies dating from the late 1960s about the use of chelating agents – both DPA and trientine in various formulations of the </w:t>
      </w:r>
      <w:r w:rsidR="00273D9D" w:rsidRPr="00BC31CD">
        <w:t>dihydrochloride</w:t>
      </w:r>
      <w:r w:rsidRPr="00BC31CD">
        <w:t xml:space="preserve"> salt -</w:t>
      </w:r>
      <w:r w:rsidR="00B02245" w:rsidRPr="00BC31CD">
        <w:t xml:space="preserve"> </w:t>
      </w:r>
      <w:r w:rsidRPr="00BC31CD">
        <w:t xml:space="preserve">in the treatment of </w:t>
      </w:r>
      <w:r w:rsidR="00DE7054" w:rsidRPr="00BC31CD">
        <w:t>WD</w:t>
      </w:r>
      <w:r w:rsidRPr="00BC31CD">
        <w:t xml:space="preserve">. All the published studies are observational studies, mostly retrospective case series, and are of generally poor quality. There appear to be two main groups of publications: those from authors linked to a centre in Germany (Heidelberg) and the rest; very few </w:t>
      </w:r>
      <w:r w:rsidR="00DE7054" w:rsidRPr="00BC31CD">
        <w:t xml:space="preserve">of the </w:t>
      </w:r>
      <w:r w:rsidRPr="00BC31CD">
        <w:t>other centres have more than one or two publications.</w:t>
      </w:r>
    </w:p>
    <w:p w14:paraId="26000B11" w14:textId="77777777" w:rsidR="00845964" w:rsidRPr="00BC31CD" w:rsidRDefault="00845964" w:rsidP="002E4F02">
      <w:pPr>
        <w:pStyle w:val="3-BodyText"/>
      </w:pPr>
      <w:r w:rsidRPr="00BC31CD">
        <w:t>A search of Clinicaltrials.gov carried out during the evalu</w:t>
      </w:r>
      <w:r w:rsidR="005C11B4" w:rsidRPr="00BC31CD">
        <w:t>a</w:t>
      </w:r>
      <w:r w:rsidRPr="00BC31CD">
        <w:t>tion identified 10 registered trials and studies that are of potenti</w:t>
      </w:r>
      <w:r w:rsidR="007264B8" w:rsidRPr="00BC31CD">
        <w:t>a</w:t>
      </w:r>
      <w:r w:rsidRPr="00BC31CD">
        <w:t>l relevance to the assessment of trientine.</w:t>
      </w:r>
      <w:r w:rsidR="00B02245" w:rsidRPr="00BC31CD">
        <w:t xml:space="preserve"> </w:t>
      </w:r>
    </w:p>
    <w:p w14:paraId="6AB54AB6" w14:textId="77777777" w:rsidR="00293F58" w:rsidRPr="00BC31CD" w:rsidRDefault="00293F58" w:rsidP="002E4F02">
      <w:pPr>
        <w:pStyle w:val="3-BodyText"/>
      </w:pPr>
      <w:r w:rsidRPr="00BC31CD">
        <w:t>The submission presented an indirect comparison of trientine</w:t>
      </w:r>
      <w:r w:rsidR="00DF63B6" w:rsidRPr="00BC31CD">
        <w:t xml:space="preserve"> 4HC</w:t>
      </w:r>
      <w:r w:rsidR="00EB5A3A" w:rsidRPr="00BC31CD">
        <w:t>l</w:t>
      </w:r>
      <w:r w:rsidRPr="00BC31CD">
        <w:t xml:space="preserve"> versus best supportive care, targeting the patient population who are intolerant of DPA.</w:t>
      </w:r>
    </w:p>
    <w:p w14:paraId="48002985" w14:textId="77777777" w:rsidR="00293F58" w:rsidRPr="00BC31CD" w:rsidRDefault="00DF63B6" w:rsidP="00845964">
      <w:pPr>
        <w:pStyle w:val="3-BodyText"/>
      </w:pPr>
      <w:r w:rsidRPr="00BC31CD">
        <w:t xml:space="preserve">The </w:t>
      </w:r>
      <w:r w:rsidR="00293F58" w:rsidRPr="00BC31CD">
        <w:t>evidence use</w:t>
      </w:r>
      <w:r w:rsidRPr="00BC31CD">
        <w:t>d in the submission was a selection of the published observational studies, including some of those in a published systematic review, and one unpublished randomised trial.</w:t>
      </w:r>
      <w:r w:rsidR="00B02245" w:rsidRPr="00BC31CD">
        <w:t xml:space="preserve"> </w:t>
      </w:r>
      <w:r w:rsidR="00A84DAF" w:rsidRPr="00BC31CD">
        <w:t>These studies are listed in Table 2.</w:t>
      </w:r>
      <w:r w:rsidR="00845964" w:rsidRPr="00BC31CD">
        <w:t xml:space="preserve"> The basis for the selection of these studies and the exclusion of others was poorly justified in the submission.</w:t>
      </w:r>
      <w:r w:rsidR="00B02245" w:rsidRPr="00BC31CD">
        <w:t xml:space="preserve"> </w:t>
      </w:r>
    </w:p>
    <w:p w14:paraId="4945A164" w14:textId="77777777" w:rsidR="00DE7054" w:rsidRPr="00BC31CD" w:rsidRDefault="00A84DAF" w:rsidP="00845964">
      <w:pPr>
        <w:pStyle w:val="3-BodyText"/>
        <w:rPr>
          <w:color w:val="0066FF"/>
        </w:rPr>
      </w:pPr>
      <w:r w:rsidRPr="00BC31CD">
        <w:t>Firstly, the submission referred to the bridging pharmacokinetic studies that were used to establish the equivalence</w:t>
      </w:r>
      <w:r w:rsidR="00DE7054" w:rsidRPr="00BC31CD">
        <w:t>,</w:t>
      </w:r>
      <w:r w:rsidRPr="00BC31CD">
        <w:t xml:space="preserve"> but not interchangeability</w:t>
      </w:r>
      <w:r w:rsidR="00DE7054" w:rsidRPr="00BC31CD">
        <w:t>,</w:t>
      </w:r>
      <w:r w:rsidRPr="00BC31CD">
        <w:t xml:space="preserve"> of trientine </w:t>
      </w:r>
      <w:r w:rsidR="004555D8" w:rsidRPr="00BC31CD">
        <w:t xml:space="preserve">4HCl </w:t>
      </w:r>
      <w:r w:rsidRPr="00BC31CD">
        <w:t>with existing trientine dihydrochloride products. This claim has been accepted by the TGA.</w:t>
      </w:r>
      <w:r w:rsidR="00B02245" w:rsidRPr="00BC31CD">
        <w:t xml:space="preserve"> </w:t>
      </w:r>
    </w:p>
    <w:p w14:paraId="0F4D5D83" w14:textId="77777777" w:rsidR="009B3A8C" w:rsidRPr="00BC31CD" w:rsidRDefault="00DF63B6" w:rsidP="00845964">
      <w:pPr>
        <w:pStyle w:val="3-BodyText"/>
        <w:rPr>
          <w:color w:val="0066FF"/>
        </w:rPr>
      </w:pPr>
      <w:r w:rsidRPr="00BC31CD">
        <w:rPr>
          <w:snapToGrid/>
        </w:rPr>
        <w:t>Three observational studies were used to support the claim that trie</w:t>
      </w:r>
      <w:r w:rsidR="00A84DAF" w:rsidRPr="00BC31CD">
        <w:rPr>
          <w:snapToGrid/>
        </w:rPr>
        <w:t>n</w:t>
      </w:r>
      <w:r w:rsidRPr="00BC31CD">
        <w:rPr>
          <w:snapToGrid/>
        </w:rPr>
        <w:t xml:space="preserve">tine </w:t>
      </w:r>
      <w:r w:rsidR="00A84DAF" w:rsidRPr="00BC31CD">
        <w:rPr>
          <w:snapToGrid/>
        </w:rPr>
        <w:t xml:space="preserve">(mostly </w:t>
      </w:r>
      <w:r w:rsidR="00DE7054" w:rsidRPr="00BC31CD">
        <w:rPr>
          <w:snapToGrid/>
        </w:rPr>
        <w:t xml:space="preserve">as </w:t>
      </w:r>
      <w:r w:rsidR="00A84DAF" w:rsidRPr="00BC31CD">
        <w:rPr>
          <w:snapToGrid/>
        </w:rPr>
        <w:t xml:space="preserve">dihydrochloride) </w:t>
      </w:r>
      <w:r w:rsidR="00095FD2" w:rsidRPr="00BC31CD">
        <w:rPr>
          <w:snapToGrid/>
        </w:rPr>
        <w:t>wa</w:t>
      </w:r>
      <w:r w:rsidRPr="00BC31CD">
        <w:rPr>
          <w:snapToGrid/>
        </w:rPr>
        <w:t xml:space="preserve">s non-inferior to DPA with respect to a variety of clinical outcomes. The unpublished randomised head to head trial </w:t>
      </w:r>
      <w:r w:rsidR="00D16470" w:rsidRPr="00BC31CD">
        <w:rPr>
          <w:snapToGrid/>
        </w:rPr>
        <w:t xml:space="preserve">(CHELATE) </w:t>
      </w:r>
      <w:r w:rsidR="00A73134" w:rsidRPr="00BC31CD">
        <w:rPr>
          <w:snapToGrid/>
        </w:rPr>
        <w:t>compar</w:t>
      </w:r>
      <w:r w:rsidRPr="00BC31CD">
        <w:rPr>
          <w:snapToGrid/>
        </w:rPr>
        <w:t>ed</w:t>
      </w:r>
      <w:r w:rsidR="00A73134" w:rsidRPr="00BC31CD">
        <w:rPr>
          <w:snapToGrid/>
        </w:rPr>
        <w:t xml:space="preserve"> </w:t>
      </w:r>
      <w:r w:rsidR="00175A0A" w:rsidRPr="00BC31CD">
        <w:rPr>
          <w:snapToGrid/>
        </w:rPr>
        <w:t xml:space="preserve">trientine </w:t>
      </w:r>
      <w:r w:rsidR="005B3088" w:rsidRPr="00BC31CD">
        <w:rPr>
          <w:snapToGrid/>
        </w:rPr>
        <w:t>4HCl</w:t>
      </w:r>
      <w:r w:rsidR="00175A0A" w:rsidRPr="00BC31CD">
        <w:rPr>
          <w:snapToGrid/>
        </w:rPr>
        <w:t xml:space="preserve"> to DPA in patients </w:t>
      </w:r>
      <w:r w:rsidR="005245F6" w:rsidRPr="00BC31CD">
        <w:rPr>
          <w:snapToGrid/>
        </w:rPr>
        <w:t xml:space="preserve">stabilised </w:t>
      </w:r>
      <w:r w:rsidR="00175A0A" w:rsidRPr="00BC31CD">
        <w:rPr>
          <w:snapToGrid/>
        </w:rPr>
        <w:t>on DPA</w:t>
      </w:r>
      <w:r w:rsidR="00A84DAF" w:rsidRPr="00BC31CD">
        <w:rPr>
          <w:snapToGrid/>
        </w:rPr>
        <w:t xml:space="preserve"> (that is, in the maintenance phase of treatment) and was provided as evidence of the non-infer</w:t>
      </w:r>
      <w:r w:rsidR="00C71FC5" w:rsidRPr="00BC31CD">
        <w:rPr>
          <w:snapToGrid/>
        </w:rPr>
        <w:t>i</w:t>
      </w:r>
      <w:r w:rsidR="00A84DAF" w:rsidRPr="00BC31CD">
        <w:rPr>
          <w:snapToGrid/>
        </w:rPr>
        <w:t>ority of trientine (</w:t>
      </w:r>
      <w:r w:rsidR="008B1E93" w:rsidRPr="00BC31CD">
        <w:rPr>
          <w:snapToGrid/>
        </w:rPr>
        <w:t>4HCl</w:t>
      </w:r>
      <w:r w:rsidR="00A84DAF" w:rsidRPr="00BC31CD">
        <w:rPr>
          <w:snapToGrid/>
        </w:rPr>
        <w:t>)</w:t>
      </w:r>
      <w:r w:rsidR="00B02245" w:rsidRPr="00BC31CD">
        <w:rPr>
          <w:snapToGrid/>
        </w:rPr>
        <w:t xml:space="preserve"> </w:t>
      </w:r>
      <w:r w:rsidR="00A84DAF" w:rsidRPr="00BC31CD">
        <w:rPr>
          <w:snapToGrid/>
        </w:rPr>
        <w:t>v</w:t>
      </w:r>
      <w:r w:rsidR="00095FD2" w:rsidRPr="00BC31CD">
        <w:rPr>
          <w:snapToGrid/>
        </w:rPr>
        <w:t>ersu</w:t>
      </w:r>
      <w:r w:rsidR="00A84DAF" w:rsidRPr="00BC31CD">
        <w:rPr>
          <w:snapToGrid/>
        </w:rPr>
        <w:t>s DPA.</w:t>
      </w:r>
      <w:r w:rsidR="00B02245" w:rsidRPr="00BC31CD">
        <w:rPr>
          <w:snapToGrid/>
        </w:rPr>
        <w:t xml:space="preserve"> </w:t>
      </w:r>
    </w:p>
    <w:p w14:paraId="26091873" w14:textId="77777777" w:rsidR="00F25A92" w:rsidRPr="00BC31CD" w:rsidRDefault="00A84DAF" w:rsidP="00845964">
      <w:pPr>
        <w:pStyle w:val="3-BodyText"/>
        <w:rPr>
          <w:color w:val="0066FF"/>
        </w:rPr>
      </w:pPr>
      <w:r w:rsidRPr="00BC31CD">
        <w:rPr>
          <w:snapToGrid/>
        </w:rPr>
        <w:t>F</w:t>
      </w:r>
      <w:r w:rsidR="005403C0" w:rsidRPr="00BC31CD">
        <w:rPr>
          <w:snapToGrid/>
        </w:rPr>
        <w:t>ive</w:t>
      </w:r>
      <w:r w:rsidR="00175A0A" w:rsidRPr="00BC31CD">
        <w:rPr>
          <w:snapToGrid/>
        </w:rPr>
        <w:t xml:space="preserve"> observational studies </w:t>
      </w:r>
      <w:r w:rsidRPr="00BC31CD">
        <w:rPr>
          <w:snapToGrid/>
        </w:rPr>
        <w:t xml:space="preserve">were selected to establish the benefit of </w:t>
      </w:r>
      <w:r w:rsidR="00175A0A" w:rsidRPr="00BC31CD">
        <w:rPr>
          <w:snapToGrid/>
        </w:rPr>
        <w:t>chelation therapy versus best supportive care</w:t>
      </w:r>
      <w:r w:rsidRPr="00BC31CD">
        <w:rPr>
          <w:snapToGrid/>
        </w:rPr>
        <w:t xml:space="preserve">. The published meta-analysis </w:t>
      </w:r>
      <w:r w:rsidR="001D2508" w:rsidRPr="00BC31CD">
        <w:rPr>
          <w:snapToGrid/>
        </w:rPr>
        <w:t xml:space="preserve">presented </w:t>
      </w:r>
      <w:r w:rsidRPr="00BC31CD">
        <w:rPr>
          <w:snapToGrid/>
        </w:rPr>
        <w:t>a summary estimate of effect size based on four</w:t>
      </w:r>
      <w:r w:rsidR="00845964" w:rsidRPr="00BC31CD">
        <w:rPr>
          <w:snapToGrid/>
        </w:rPr>
        <w:t xml:space="preserve"> </w:t>
      </w:r>
      <w:r w:rsidRPr="00BC31CD">
        <w:rPr>
          <w:snapToGrid/>
        </w:rPr>
        <w:t xml:space="preserve">of these </w:t>
      </w:r>
      <w:r w:rsidR="001D2508" w:rsidRPr="00BC31CD">
        <w:rPr>
          <w:snapToGrid/>
        </w:rPr>
        <w:t xml:space="preserve">studies </w:t>
      </w:r>
      <w:r w:rsidRPr="00BC31CD">
        <w:rPr>
          <w:snapToGrid/>
        </w:rPr>
        <w:t>and the submission updated that analysis with data from a fifth study.</w:t>
      </w:r>
      <w:r w:rsidR="00175A0A" w:rsidRPr="00BC31CD">
        <w:rPr>
          <w:snapToGrid/>
        </w:rPr>
        <w:t xml:space="preserve"> </w:t>
      </w:r>
    </w:p>
    <w:p w14:paraId="45FBAD8C" w14:textId="77777777" w:rsidR="008E0D3C" w:rsidRPr="00BC31CD" w:rsidRDefault="008E0D3C" w:rsidP="005D0AA2">
      <w:pPr>
        <w:pStyle w:val="TableFigureHeading"/>
        <w:rPr>
          <w:rStyle w:val="CommentReference"/>
          <w:b/>
          <w:szCs w:val="24"/>
        </w:rPr>
      </w:pPr>
      <w:r w:rsidRPr="00BC31CD">
        <w:rPr>
          <w:rStyle w:val="CommentReference"/>
          <w:b/>
          <w:szCs w:val="24"/>
        </w:rPr>
        <w:t xml:space="preserve">Table </w:t>
      </w:r>
      <w:r w:rsidR="004834E6" w:rsidRPr="00BC31CD">
        <w:rPr>
          <w:rStyle w:val="CommentReference"/>
          <w:b/>
          <w:szCs w:val="24"/>
        </w:rPr>
        <w:t>2</w:t>
      </w:r>
      <w:r w:rsidRPr="00BC31CD">
        <w:rPr>
          <w:rStyle w:val="CommentReference"/>
          <w:b/>
          <w:szCs w:val="24"/>
        </w:rPr>
        <w:t>:</w:t>
      </w:r>
      <w:r w:rsidR="00BC591F" w:rsidRPr="00BC31CD">
        <w:rPr>
          <w:rStyle w:val="CommentReference"/>
          <w:b/>
          <w:szCs w:val="24"/>
        </w:rPr>
        <w:t xml:space="preserve"> </w:t>
      </w:r>
      <w:r w:rsidR="00175A0A" w:rsidRPr="00BC31CD">
        <w:rPr>
          <w:rStyle w:val="CommentReference"/>
          <w:b/>
          <w:szCs w:val="24"/>
        </w:rPr>
        <w:t>S</w:t>
      </w:r>
      <w:r w:rsidR="00D5243B" w:rsidRPr="00BC31CD">
        <w:rPr>
          <w:rStyle w:val="CommentReference"/>
          <w:b/>
          <w:szCs w:val="24"/>
        </w:rPr>
        <w:t>tudies</w:t>
      </w:r>
      <w:r w:rsidRPr="00BC31CD">
        <w:rPr>
          <w:rStyle w:val="CommentReference"/>
          <w:b/>
          <w:szCs w:val="24"/>
        </w:rPr>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175A0A" w:rsidRPr="00BC31CD" w14:paraId="5079ACC2" w14:textId="77777777" w:rsidTr="00CD677E">
        <w:trPr>
          <w:tblHeader/>
        </w:trPr>
        <w:tc>
          <w:tcPr>
            <w:tcW w:w="796" w:type="pct"/>
            <w:vAlign w:val="center"/>
          </w:tcPr>
          <w:p w14:paraId="633DAF6C" w14:textId="77777777" w:rsidR="00175A0A" w:rsidRPr="00BC31CD" w:rsidRDefault="00175A0A" w:rsidP="005D0AA2">
            <w:pPr>
              <w:pStyle w:val="In-tableHeading"/>
              <w:widowControl w:val="0"/>
              <w:rPr>
                <w:szCs w:val="20"/>
                <w:lang w:val="en-AU"/>
              </w:rPr>
            </w:pPr>
            <w:r w:rsidRPr="00BC31CD">
              <w:rPr>
                <w:szCs w:val="20"/>
                <w:lang w:val="en-AU"/>
              </w:rPr>
              <w:t>Study</w:t>
            </w:r>
          </w:p>
        </w:tc>
        <w:tc>
          <w:tcPr>
            <w:tcW w:w="3027" w:type="pct"/>
            <w:vAlign w:val="center"/>
          </w:tcPr>
          <w:p w14:paraId="507F9AB9" w14:textId="77777777" w:rsidR="00175A0A" w:rsidRPr="00BC31CD" w:rsidRDefault="00175A0A" w:rsidP="005D0AA2">
            <w:pPr>
              <w:pStyle w:val="In-tableHeading"/>
              <w:widowControl w:val="0"/>
              <w:jc w:val="center"/>
              <w:rPr>
                <w:szCs w:val="20"/>
                <w:lang w:val="en-AU"/>
              </w:rPr>
            </w:pPr>
            <w:r w:rsidRPr="00BC31CD">
              <w:rPr>
                <w:szCs w:val="20"/>
                <w:lang w:val="en-AU"/>
              </w:rPr>
              <w:t>Protocol title/ Publication title</w:t>
            </w:r>
          </w:p>
        </w:tc>
        <w:tc>
          <w:tcPr>
            <w:tcW w:w="1177" w:type="pct"/>
            <w:vAlign w:val="center"/>
          </w:tcPr>
          <w:p w14:paraId="4A5F98E7" w14:textId="77777777" w:rsidR="00175A0A" w:rsidRPr="00BC31CD" w:rsidRDefault="00175A0A" w:rsidP="005D0AA2">
            <w:pPr>
              <w:pStyle w:val="In-tableHeading"/>
              <w:widowControl w:val="0"/>
              <w:jc w:val="center"/>
              <w:rPr>
                <w:szCs w:val="20"/>
                <w:lang w:val="en-AU"/>
              </w:rPr>
            </w:pPr>
            <w:r w:rsidRPr="00BC31CD">
              <w:rPr>
                <w:szCs w:val="20"/>
                <w:lang w:val="en-AU"/>
              </w:rPr>
              <w:t>Publication citation</w:t>
            </w:r>
          </w:p>
        </w:tc>
      </w:tr>
      <w:tr w:rsidR="00175A0A" w:rsidRPr="00BC31CD" w14:paraId="0CDF3A92" w14:textId="77777777" w:rsidTr="00CD677E">
        <w:trPr>
          <w:trHeight w:val="253"/>
        </w:trPr>
        <w:tc>
          <w:tcPr>
            <w:tcW w:w="5000" w:type="pct"/>
            <w:gridSpan w:val="3"/>
            <w:tcBorders>
              <w:bottom w:val="nil"/>
            </w:tcBorders>
            <w:vAlign w:val="center"/>
          </w:tcPr>
          <w:p w14:paraId="66E57C52" w14:textId="77777777" w:rsidR="00175A0A" w:rsidRPr="00BC31CD" w:rsidRDefault="00175A0A" w:rsidP="005D0AA2">
            <w:pPr>
              <w:pStyle w:val="TableText0"/>
              <w:widowControl w:val="0"/>
              <w:rPr>
                <w:b/>
                <w:bCs w:val="0"/>
                <w:szCs w:val="20"/>
              </w:rPr>
            </w:pPr>
            <w:r w:rsidRPr="00BC31CD">
              <w:rPr>
                <w:b/>
                <w:bCs w:val="0"/>
                <w:szCs w:val="20"/>
              </w:rPr>
              <w:t>Trientine vs</w:t>
            </w:r>
            <w:r w:rsidR="007F60EB" w:rsidRPr="00BC31CD">
              <w:rPr>
                <w:b/>
                <w:bCs w:val="0"/>
                <w:szCs w:val="20"/>
              </w:rPr>
              <w:t>.</w:t>
            </w:r>
            <w:r w:rsidRPr="00BC31CD">
              <w:rPr>
                <w:b/>
                <w:bCs w:val="0"/>
                <w:szCs w:val="20"/>
              </w:rPr>
              <w:t xml:space="preserve"> DPA</w:t>
            </w:r>
          </w:p>
        </w:tc>
      </w:tr>
      <w:tr w:rsidR="00175A0A" w:rsidRPr="00BC31CD" w14:paraId="1311ABE3" w14:textId="77777777" w:rsidTr="00CD677E">
        <w:trPr>
          <w:trHeight w:val="253"/>
        </w:trPr>
        <w:tc>
          <w:tcPr>
            <w:tcW w:w="796" w:type="pct"/>
            <w:tcBorders>
              <w:bottom w:val="nil"/>
            </w:tcBorders>
            <w:vAlign w:val="center"/>
          </w:tcPr>
          <w:p w14:paraId="6AD6B247" w14:textId="77777777" w:rsidR="00175A0A" w:rsidRPr="00BC31CD" w:rsidRDefault="00175A0A" w:rsidP="005D0AA2">
            <w:pPr>
              <w:pStyle w:val="TableText0"/>
              <w:widowControl w:val="0"/>
              <w:rPr>
                <w:szCs w:val="20"/>
              </w:rPr>
            </w:pPr>
            <w:r w:rsidRPr="00BC31CD">
              <w:rPr>
                <w:rFonts w:cs="Arial"/>
                <w:szCs w:val="20"/>
              </w:rPr>
              <w:t>Merle 2007</w:t>
            </w:r>
          </w:p>
        </w:tc>
        <w:tc>
          <w:tcPr>
            <w:tcW w:w="3027" w:type="pct"/>
            <w:tcBorders>
              <w:bottom w:val="nil"/>
            </w:tcBorders>
            <w:vAlign w:val="center"/>
          </w:tcPr>
          <w:p w14:paraId="49823352" w14:textId="77777777" w:rsidR="00175A0A" w:rsidRPr="00BC31CD" w:rsidRDefault="00175A0A" w:rsidP="005D0AA2">
            <w:pPr>
              <w:pStyle w:val="TableText0"/>
              <w:widowControl w:val="0"/>
              <w:rPr>
                <w:szCs w:val="20"/>
              </w:rPr>
            </w:pPr>
            <w:r w:rsidRPr="00BC31CD">
              <w:rPr>
                <w:szCs w:val="20"/>
              </w:rPr>
              <w:t xml:space="preserve">Merle, U., M. Schaefer, P. Ferenci and W. Stremmel. Clinical presentation, diagnosis and long-term outcome of </w:t>
            </w:r>
            <w:r w:rsidR="004942F9" w:rsidRPr="00BC31CD">
              <w:rPr>
                <w:szCs w:val="20"/>
              </w:rPr>
              <w:t>Wilson</w:t>
            </w:r>
            <w:r w:rsidR="005403C0" w:rsidRPr="00BC31CD">
              <w:rPr>
                <w:szCs w:val="20"/>
              </w:rPr>
              <w:t>’s</w:t>
            </w:r>
            <w:r w:rsidR="004942F9" w:rsidRPr="00BC31CD">
              <w:rPr>
                <w:szCs w:val="20"/>
              </w:rPr>
              <w:t xml:space="preserve"> Disease</w:t>
            </w:r>
            <w:r w:rsidRPr="00BC31CD">
              <w:rPr>
                <w:szCs w:val="20"/>
              </w:rPr>
              <w:t>: a cohort study.</w:t>
            </w:r>
          </w:p>
        </w:tc>
        <w:tc>
          <w:tcPr>
            <w:tcW w:w="1177" w:type="pct"/>
            <w:tcBorders>
              <w:bottom w:val="nil"/>
            </w:tcBorders>
            <w:vAlign w:val="center"/>
          </w:tcPr>
          <w:p w14:paraId="22F7AF6D" w14:textId="77777777" w:rsidR="00175A0A" w:rsidRPr="00BC31CD" w:rsidRDefault="00175A0A" w:rsidP="005D0AA2">
            <w:pPr>
              <w:pStyle w:val="TableText0"/>
              <w:widowControl w:val="0"/>
              <w:rPr>
                <w:szCs w:val="20"/>
              </w:rPr>
            </w:pPr>
            <w:r w:rsidRPr="00BC31CD">
              <w:rPr>
                <w:i/>
                <w:iCs/>
                <w:szCs w:val="20"/>
              </w:rPr>
              <w:t>Gut</w:t>
            </w:r>
            <w:r w:rsidRPr="00BC31CD">
              <w:rPr>
                <w:szCs w:val="20"/>
              </w:rPr>
              <w:t xml:space="preserve"> 2007; 56(1): 115-120.</w:t>
            </w:r>
          </w:p>
        </w:tc>
      </w:tr>
      <w:tr w:rsidR="00175A0A" w:rsidRPr="00BC31CD" w14:paraId="11F1E212" w14:textId="77777777" w:rsidTr="00CD677E">
        <w:trPr>
          <w:trHeight w:val="253"/>
        </w:trPr>
        <w:tc>
          <w:tcPr>
            <w:tcW w:w="796" w:type="pct"/>
            <w:tcBorders>
              <w:bottom w:val="nil"/>
            </w:tcBorders>
            <w:vAlign w:val="center"/>
          </w:tcPr>
          <w:p w14:paraId="27FBDB4A" w14:textId="77777777" w:rsidR="00175A0A" w:rsidRPr="00BC31CD" w:rsidRDefault="00175A0A" w:rsidP="005D0AA2">
            <w:pPr>
              <w:pStyle w:val="TableText0"/>
              <w:widowControl w:val="0"/>
              <w:rPr>
                <w:szCs w:val="20"/>
              </w:rPr>
            </w:pPr>
            <w:r w:rsidRPr="00BC31CD">
              <w:rPr>
                <w:rFonts w:cs="Arial"/>
                <w:szCs w:val="20"/>
              </w:rPr>
              <w:t>Weiss 2013</w:t>
            </w:r>
          </w:p>
        </w:tc>
        <w:tc>
          <w:tcPr>
            <w:tcW w:w="3027" w:type="pct"/>
            <w:tcBorders>
              <w:bottom w:val="nil"/>
            </w:tcBorders>
            <w:vAlign w:val="center"/>
          </w:tcPr>
          <w:p w14:paraId="041865BA" w14:textId="77777777" w:rsidR="00175A0A" w:rsidRPr="00BC31CD" w:rsidRDefault="00175A0A" w:rsidP="005D0AA2">
            <w:pPr>
              <w:pStyle w:val="TableText0"/>
              <w:widowControl w:val="0"/>
              <w:rPr>
                <w:szCs w:val="20"/>
              </w:rPr>
            </w:pPr>
            <w:r w:rsidRPr="00BC31CD">
              <w:rPr>
                <w:szCs w:val="20"/>
              </w:rPr>
              <w:t xml:space="preserve">Weiss, K. H., F. Thurik, D. N. Gotthardt, M. Schafer, U. Teufel, F. Wiegand, U. Merle, D. Ferenci-Foerster, A. Maieron, R. Stauber, H. Zoller, H. H. Schmidt, U. Reuner, H. Hefter, J. M. Trocello, R. H. J. Houwen, P. Ferenci and W. Stremmel. Efficacy and safety of oral chelators in treatment of patients with Wilson disease. </w:t>
            </w:r>
          </w:p>
        </w:tc>
        <w:tc>
          <w:tcPr>
            <w:tcW w:w="1177" w:type="pct"/>
            <w:tcBorders>
              <w:bottom w:val="nil"/>
            </w:tcBorders>
            <w:vAlign w:val="center"/>
          </w:tcPr>
          <w:p w14:paraId="37033AC1" w14:textId="77777777" w:rsidR="00175A0A" w:rsidRPr="00BC31CD" w:rsidRDefault="001D2DBA" w:rsidP="005D0AA2">
            <w:pPr>
              <w:pStyle w:val="TableText0"/>
              <w:widowControl w:val="0"/>
              <w:rPr>
                <w:szCs w:val="20"/>
              </w:rPr>
            </w:pPr>
            <w:r w:rsidRPr="00BC31CD">
              <w:rPr>
                <w:i/>
                <w:iCs/>
                <w:szCs w:val="20"/>
              </w:rPr>
              <w:t>Clin Gastroenterol and Hepatol</w:t>
            </w:r>
            <w:r w:rsidR="00B02245" w:rsidRPr="00BC31CD">
              <w:rPr>
                <w:i/>
                <w:iCs/>
                <w:szCs w:val="20"/>
              </w:rPr>
              <w:t xml:space="preserve"> </w:t>
            </w:r>
            <w:r w:rsidR="00175A0A" w:rsidRPr="00BC31CD">
              <w:rPr>
                <w:szCs w:val="20"/>
              </w:rPr>
              <w:t>2013; 11(8): 1028-1035</w:t>
            </w:r>
          </w:p>
        </w:tc>
      </w:tr>
      <w:tr w:rsidR="00175A0A" w:rsidRPr="00BC31CD" w14:paraId="6BFA5BB7" w14:textId="77777777" w:rsidTr="00CD677E">
        <w:trPr>
          <w:trHeight w:val="253"/>
        </w:trPr>
        <w:tc>
          <w:tcPr>
            <w:tcW w:w="796" w:type="pct"/>
            <w:tcBorders>
              <w:bottom w:val="nil"/>
            </w:tcBorders>
            <w:vAlign w:val="center"/>
          </w:tcPr>
          <w:p w14:paraId="077A8BDB" w14:textId="77777777" w:rsidR="00175A0A" w:rsidRPr="00BC31CD" w:rsidRDefault="00175A0A" w:rsidP="005D0AA2">
            <w:pPr>
              <w:pStyle w:val="TableText0"/>
              <w:widowControl w:val="0"/>
              <w:rPr>
                <w:szCs w:val="20"/>
              </w:rPr>
            </w:pPr>
            <w:r w:rsidRPr="00BC31CD">
              <w:rPr>
                <w:rFonts w:cs="Arial"/>
                <w:szCs w:val="20"/>
              </w:rPr>
              <w:t>Pfeiffenberger 2018</w:t>
            </w:r>
          </w:p>
        </w:tc>
        <w:tc>
          <w:tcPr>
            <w:tcW w:w="3027" w:type="pct"/>
            <w:tcBorders>
              <w:bottom w:val="nil"/>
            </w:tcBorders>
            <w:vAlign w:val="center"/>
          </w:tcPr>
          <w:p w14:paraId="035416B2" w14:textId="77777777" w:rsidR="00175A0A" w:rsidRPr="00BC31CD" w:rsidRDefault="00175A0A" w:rsidP="005D0AA2">
            <w:pPr>
              <w:pStyle w:val="TableText0"/>
              <w:widowControl w:val="0"/>
              <w:rPr>
                <w:szCs w:val="20"/>
              </w:rPr>
            </w:pPr>
            <w:r w:rsidRPr="00BC31CD">
              <w:rPr>
                <w:szCs w:val="20"/>
              </w:rPr>
              <w:t>Pfeiffenberger, J., C. M. Lohse, D. Gotthardt, C. Rupp, M. Weiler, U. Teufel, K. H. Weiss and A. Gauss. Long-term evaluation of urinary copper excretion and non-caeruloplasmin associated copper in Wilson disease patients under medical treatment.</w:t>
            </w:r>
          </w:p>
        </w:tc>
        <w:tc>
          <w:tcPr>
            <w:tcW w:w="1177" w:type="pct"/>
            <w:tcBorders>
              <w:bottom w:val="nil"/>
            </w:tcBorders>
            <w:vAlign w:val="center"/>
          </w:tcPr>
          <w:p w14:paraId="4BF75EBD" w14:textId="77777777" w:rsidR="00175A0A" w:rsidRPr="00BC31CD" w:rsidRDefault="001D2DBA" w:rsidP="005D0AA2">
            <w:pPr>
              <w:pStyle w:val="TableText0"/>
              <w:widowControl w:val="0"/>
              <w:rPr>
                <w:szCs w:val="20"/>
              </w:rPr>
            </w:pPr>
            <w:r w:rsidRPr="00BC31CD">
              <w:rPr>
                <w:i/>
                <w:iCs/>
                <w:szCs w:val="20"/>
              </w:rPr>
              <w:t>J Inherit Metab Dis</w:t>
            </w:r>
            <w:r w:rsidRPr="00BC31CD">
              <w:rPr>
                <w:szCs w:val="20"/>
              </w:rPr>
              <w:t xml:space="preserve"> </w:t>
            </w:r>
            <w:r w:rsidR="00175A0A" w:rsidRPr="00BC31CD">
              <w:rPr>
                <w:szCs w:val="20"/>
              </w:rPr>
              <w:t>2019;</w:t>
            </w:r>
            <w:r w:rsidR="00611789" w:rsidRPr="00BC31CD">
              <w:rPr>
                <w:szCs w:val="20"/>
              </w:rPr>
              <w:t xml:space="preserve"> </w:t>
            </w:r>
            <w:r w:rsidR="00175A0A" w:rsidRPr="00BC31CD">
              <w:rPr>
                <w:szCs w:val="20"/>
              </w:rPr>
              <w:t>42(2): 371-380.</w:t>
            </w:r>
          </w:p>
        </w:tc>
      </w:tr>
      <w:tr w:rsidR="00175A0A" w:rsidRPr="00BC31CD" w14:paraId="32B1B1C8" w14:textId="77777777" w:rsidTr="00CD677E">
        <w:trPr>
          <w:trHeight w:val="253"/>
        </w:trPr>
        <w:tc>
          <w:tcPr>
            <w:tcW w:w="796" w:type="pct"/>
            <w:tcBorders>
              <w:bottom w:val="nil"/>
            </w:tcBorders>
            <w:vAlign w:val="center"/>
          </w:tcPr>
          <w:p w14:paraId="7E9D7144" w14:textId="77777777" w:rsidR="00175A0A" w:rsidRPr="00BC31CD" w:rsidRDefault="00175A0A" w:rsidP="005D0AA2">
            <w:pPr>
              <w:pStyle w:val="TableText0"/>
              <w:widowControl w:val="0"/>
              <w:rPr>
                <w:szCs w:val="20"/>
              </w:rPr>
            </w:pPr>
            <w:r w:rsidRPr="00BC31CD">
              <w:rPr>
                <w:rFonts w:cs="Arial"/>
                <w:szCs w:val="20"/>
              </w:rPr>
              <w:t>CHELATE</w:t>
            </w:r>
          </w:p>
        </w:tc>
        <w:tc>
          <w:tcPr>
            <w:tcW w:w="3027" w:type="pct"/>
            <w:tcBorders>
              <w:bottom w:val="nil"/>
            </w:tcBorders>
            <w:vAlign w:val="center"/>
          </w:tcPr>
          <w:p w14:paraId="790F2C38" w14:textId="77777777" w:rsidR="00175A0A" w:rsidRPr="00BC31CD" w:rsidRDefault="00175A0A" w:rsidP="005D0AA2">
            <w:pPr>
              <w:pStyle w:val="TableText0"/>
              <w:widowControl w:val="0"/>
              <w:rPr>
                <w:szCs w:val="20"/>
              </w:rPr>
            </w:pPr>
            <w:r w:rsidRPr="00BC31CD">
              <w:rPr>
                <w:szCs w:val="20"/>
              </w:rPr>
              <w:t>Clinical Study Report for Primary Analysis</w:t>
            </w:r>
            <w:r w:rsidR="00CD677E" w:rsidRPr="00BC31CD">
              <w:rPr>
                <w:szCs w:val="20"/>
              </w:rPr>
              <w:t xml:space="preserve">. </w:t>
            </w:r>
            <w:r w:rsidRPr="00BC31CD">
              <w:rPr>
                <w:szCs w:val="20"/>
              </w:rPr>
              <w:t xml:space="preserve">Trientine </w:t>
            </w:r>
            <w:r w:rsidR="005555DE" w:rsidRPr="00BC31CD">
              <w:rPr>
                <w:szCs w:val="20"/>
              </w:rPr>
              <w:t>t</w:t>
            </w:r>
            <w:r w:rsidRPr="00BC31CD">
              <w:rPr>
                <w:szCs w:val="20"/>
              </w:rPr>
              <w:t xml:space="preserve">etrahydrochloride (TETA 4HCl) for the </w:t>
            </w:r>
            <w:r w:rsidR="005555DE" w:rsidRPr="00BC31CD">
              <w:rPr>
                <w:szCs w:val="20"/>
              </w:rPr>
              <w:t>t</w:t>
            </w:r>
            <w:r w:rsidRPr="00BC31CD">
              <w:rPr>
                <w:szCs w:val="20"/>
              </w:rPr>
              <w:t xml:space="preserve">reatment of </w:t>
            </w:r>
            <w:r w:rsidR="004942F9" w:rsidRPr="00BC31CD">
              <w:rPr>
                <w:szCs w:val="20"/>
              </w:rPr>
              <w:t>Wilson</w:t>
            </w:r>
            <w:r w:rsidR="005403C0" w:rsidRPr="00BC31CD">
              <w:rPr>
                <w:szCs w:val="20"/>
              </w:rPr>
              <w:t>’s</w:t>
            </w:r>
            <w:r w:rsidR="004942F9" w:rsidRPr="00BC31CD">
              <w:rPr>
                <w:szCs w:val="20"/>
              </w:rPr>
              <w:t xml:space="preserve"> </w:t>
            </w:r>
            <w:r w:rsidR="005555DE" w:rsidRPr="00BC31CD">
              <w:rPr>
                <w:szCs w:val="20"/>
              </w:rPr>
              <w:t>d</w:t>
            </w:r>
            <w:r w:rsidR="004942F9" w:rsidRPr="00BC31CD">
              <w:rPr>
                <w:szCs w:val="20"/>
              </w:rPr>
              <w:t>isease</w:t>
            </w:r>
            <w:r w:rsidRPr="00BC31CD">
              <w:rPr>
                <w:szCs w:val="20"/>
              </w:rPr>
              <w:t xml:space="preserve"> (</w:t>
            </w:r>
            <w:r w:rsidR="005555DE" w:rsidRPr="00BC31CD">
              <w:rPr>
                <w:szCs w:val="20"/>
              </w:rPr>
              <w:t>s</w:t>
            </w:r>
            <w:r w:rsidRPr="00BC31CD">
              <w:rPr>
                <w:szCs w:val="20"/>
              </w:rPr>
              <w:t>tudy number GMPO-131-002)</w:t>
            </w:r>
          </w:p>
        </w:tc>
        <w:tc>
          <w:tcPr>
            <w:tcW w:w="1177" w:type="pct"/>
            <w:tcBorders>
              <w:bottom w:val="nil"/>
            </w:tcBorders>
            <w:vAlign w:val="center"/>
          </w:tcPr>
          <w:p w14:paraId="56205D8C" w14:textId="77777777" w:rsidR="00175A0A" w:rsidRPr="00BC31CD" w:rsidRDefault="001D2DBA" w:rsidP="005D0AA2">
            <w:pPr>
              <w:pStyle w:val="TableText0"/>
              <w:widowControl w:val="0"/>
              <w:rPr>
                <w:szCs w:val="20"/>
              </w:rPr>
            </w:pPr>
            <w:r w:rsidRPr="00BC31CD">
              <w:rPr>
                <w:szCs w:val="20"/>
              </w:rPr>
              <w:t>April 2021</w:t>
            </w:r>
          </w:p>
        </w:tc>
      </w:tr>
      <w:tr w:rsidR="00175A0A" w:rsidRPr="00BC31CD" w14:paraId="5DFA601D" w14:textId="77777777" w:rsidTr="005D0AA2">
        <w:trPr>
          <w:trHeight w:val="253"/>
        </w:trPr>
        <w:tc>
          <w:tcPr>
            <w:tcW w:w="5000" w:type="pct"/>
            <w:gridSpan w:val="3"/>
            <w:tcBorders>
              <w:bottom w:val="single" w:sz="4" w:space="0" w:color="auto"/>
            </w:tcBorders>
            <w:vAlign w:val="center"/>
          </w:tcPr>
          <w:p w14:paraId="65FE0B0A" w14:textId="77777777" w:rsidR="00175A0A" w:rsidRPr="00BC31CD" w:rsidRDefault="00175A0A" w:rsidP="005D0AA2">
            <w:pPr>
              <w:pStyle w:val="TableText0"/>
              <w:widowControl w:val="0"/>
              <w:rPr>
                <w:b/>
                <w:bCs w:val="0"/>
                <w:szCs w:val="20"/>
              </w:rPr>
            </w:pPr>
            <w:r w:rsidRPr="00BC31CD">
              <w:rPr>
                <w:b/>
                <w:bCs w:val="0"/>
                <w:szCs w:val="20"/>
              </w:rPr>
              <w:t>Chelation vs</w:t>
            </w:r>
            <w:r w:rsidR="007F60EB" w:rsidRPr="00BC31CD">
              <w:rPr>
                <w:b/>
                <w:bCs w:val="0"/>
                <w:szCs w:val="20"/>
              </w:rPr>
              <w:t>.</w:t>
            </w:r>
            <w:r w:rsidRPr="00BC31CD">
              <w:rPr>
                <w:b/>
                <w:bCs w:val="0"/>
                <w:szCs w:val="20"/>
              </w:rPr>
              <w:t xml:space="preserve"> BSC</w:t>
            </w:r>
          </w:p>
        </w:tc>
      </w:tr>
      <w:tr w:rsidR="00175A0A" w:rsidRPr="00BC31CD" w14:paraId="5B05081F" w14:textId="77777777" w:rsidTr="00CD677E">
        <w:trPr>
          <w:trHeight w:val="253"/>
        </w:trPr>
        <w:tc>
          <w:tcPr>
            <w:tcW w:w="796" w:type="pct"/>
            <w:tcBorders>
              <w:bottom w:val="nil"/>
            </w:tcBorders>
            <w:vAlign w:val="center"/>
          </w:tcPr>
          <w:p w14:paraId="69461E6F" w14:textId="77777777" w:rsidR="00175A0A" w:rsidRPr="00BC31CD" w:rsidRDefault="00175A0A" w:rsidP="005D0AA2">
            <w:pPr>
              <w:pStyle w:val="TableText0"/>
              <w:widowControl w:val="0"/>
              <w:rPr>
                <w:szCs w:val="20"/>
              </w:rPr>
            </w:pPr>
            <w:r w:rsidRPr="00BC31CD">
              <w:rPr>
                <w:rFonts w:cs="Arial"/>
                <w:szCs w:val="20"/>
              </w:rPr>
              <w:t>Goldstein 1968</w:t>
            </w:r>
          </w:p>
        </w:tc>
        <w:tc>
          <w:tcPr>
            <w:tcW w:w="3027" w:type="pct"/>
            <w:tcBorders>
              <w:bottom w:val="nil"/>
            </w:tcBorders>
            <w:vAlign w:val="center"/>
          </w:tcPr>
          <w:p w14:paraId="420A89BA" w14:textId="77777777" w:rsidR="00175A0A" w:rsidRPr="00BC31CD" w:rsidRDefault="00175A0A" w:rsidP="005D0AA2">
            <w:pPr>
              <w:pStyle w:val="TableText0"/>
              <w:widowControl w:val="0"/>
              <w:rPr>
                <w:szCs w:val="20"/>
              </w:rPr>
            </w:pPr>
            <w:r w:rsidRPr="00BC31CD">
              <w:rPr>
                <w:szCs w:val="20"/>
              </w:rPr>
              <w:t>Goldstein NP, Tauxe WN, Mc</w:t>
            </w:r>
            <w:r w:rsidR="005B3088" w:rsidRPr="00BC31CD">
              <w:rPr>
                <w:szCs w:val="20"/>
              </w:rPr>
              <w:t>C</w:t>
            </w:r>
            <w:r w:rsidRPr="00BC31CD">
              <w:rPr>
                <w:szCs w:val="20"/>
              </w:rPr>
              <w:t xml:space="preserve">all JT, Randall RV, Gross JB. What </w:t>
            </w:r>
            <w:r w:rsidR="004942F9" w:rsidRPr="00BC31CD">
              <w:rPr>
                <w:szCs w:val="20"/>
              </w:rPr>
              <w:t>Wilson</w:t>
            </w:r>
            <w:r w:rsidR="005403C0" w:rsidRPr="00BC31CD">
              <w:rPr>
                <w:szCs w:val="20"/>
              </w:rPr>
              <w:t>’s</w:t>
            </w:r>
            <w:r w:rsidR="004942F9" w:rsidRPr="00BC31CD">
              <w:rPr>
                <w:szCs w:val="20"/>
              </w:rPr>
              <w:t xml:space="preserve"> Disease</w:t>
            </w:r>
            <w:r w:rsidRPr="00BC31CD">
              <w:rPr>
                <w:szCs w:val="20"/>
              </w:rPr>
              <w:t xml:space="preserve"> and its treatment have taught us about the metabolism of copper. Observations in 27 cases. </w:t>
            </w:r>
          </w:p>
        </w:tc>
        <w:tc>
          <w:tcPr>
            <w:tcW w:w="1177" w:type="pct"/>
            <w:tcBorders>
              <w:bottom w:val="nil"/>
            </w:tcBorders>
            <w:vAlign w:val="center"/>
          </w:tcPr>
          <w:p w14:paraId="295272A6" w14:textId="77777777" w:rsidR="00175A0A" w:rsidRPr="00BC31CD" w:rsidRDefault="00175A0A" w:rsidP="005D0AA2">
            <w:pPr>
              <w:pStyle w:val="TableText0"/>
              <w:widowControl w:val="0"/>
              <w:rPr>
                <w:szCs w:val="20"/>
              </w:rPr>
            </w:pPr>
            <w:r w:rsidRPr="00BC31CD">
              <w:rPr>
                <w:i/>
                <w:iCs/>
                <w:szCs w:val="20"/>
              </w:rPr>
              <w:t>Med Clin North Am</w:t>
            </w:r>
            <w:r w:rsidRPr="00BC31CD">
              <w:rPr>
                <w:szCs w:val="20"/>
              </w:rPr>
              <w:t xml:space="preserve"> 1968; 52(4): 989-1001.</w:t>
            </w:r>
          </w:p>
        </w:tc>
      </w:tr>
      <w:tr w:rsidR="00175A0A" w:rsidRPr="00BC31CD" w14:paraId="6139EFC5" w14:textId="77777777" w:rsidTr="00CD677E">
        <w:trPr>
          <w:trHeight w:val="253"/>
        </w:trPr>
        <w:tc>
          <w:tcPr>
            <w:tcW w:w="796" w:type="pct"/>
            <w:tcBorders>
              <w:bottom w:val="nil"/>
            </w:tcBorders>
            <w:vAlign w:val="center"/>
          </w:tcPr>
          <w:p w14:paraId="6B15617B" w14:textId="77777777" w:rsidR="00175A0A" w:rsidRPr="00BC31CD" w:rsidRDefault="00175A0A" w:rsidP="005D0AA2">
            <w:pPr>
              <w:pStyle w:val="TableText0"/>
              <w:widowControl w:val="0"/>
              <w:rPr>
                <w:szCs w:val="20"/>
              </w:rPr>
            </w:pPr>
            <w:r w:rsidRPr="00BC31CD">
              <w:rPr>
                <w:rFonts w:cs="Arial"/>
                <w:szCs w:val="20"/>
              </w:rPr>
              <w:t>Sternlieb 1968</w:t>
            </w:r>
          </w:p>
        </w:tc>
        <w:tc>
          <w:tcPr>
            <w:tcW w:w="3027" w:type="pct"/>
            <w:tcBorders>
              <w:bottom w:val="nil"/>
            </w:tcBorders>
            <w:vAlign w:val="center"/>
          </w:tcPr>
          <w:p w14:paraId="2E498BD1" w14:textId="77777777" w:rsidR="00175A0A" w:rsidRPr="00BC31CD" w:rsidRDefault="00175A0A" w:rsidP="005D0AA2">
            <w:pPr>
              <w:pStyle w:val="TableText0"/>
              <w:widowControl w:val="0"/>
              <w:rPr>
                <w:szCs w:val="20"/>
              </w:rPr>
            </w:pPr>
            <w:r w:rsidRPr="00BC31CD">
              <w:rPr>
                <w:szCs w:val="20"/>
              </w:rPr>
              <w:t xml:space="preserve">Sternlieb I, Scheinberg IH. Prevention of </w:t>
            </w:r>
            <w:r w:rsidR="004942F9" w:rsidRPr="00BC31CD">
              <w:rPr>
                <w:szCs w:val="20"/>
              </w:rPr>
              <w:t>Wilson</w:t>
            </w:r>
            <w:r w:rsidR="005403C0" w:rsidRPr="00BC31CD">
              <w:rPr>
                <w:szCs w:val="20"/>
              </w:rPr>
              <w:t>’s</w:t>
            </w:r>
            <w:r w:rsidR="004942F9" w:rsidRPr="00BC31CD">
              <w:rPr>
                <w:szCs w:val="20"/>
              </w:rPr>
              <w:t xml:space="preserve"> Disease</w:t>
            </w:r>
            <w:r w:rsidRPr="00BC31CD">
              <w:rPr>
                <w:szCs w:val="20"/>
              </w:rPr>
              <w:t xml:space="preserve"> in asymptomatic patients. </w:t>
            </w:r>
          </w:p>
        </w:tc>
        <w:tc>
          <w:tcPr>
            <w:tcW w:w="1177" w:type="pct"/>
            <w:tcBorders>
              <w:bottom w:val="nil"/>
            </w:tcBorders>
            <w:vAlign w:val="center"/>
          </w:tcPr>
          <w:p w14:paraId="5685AC90" w14:textId="77777777" w:rsidR="00175A0A" w:rsidRPr="00BC31CD" w:rsidRDefault="001D2DBA" w:rsidP="005D0AA2">
            <w:pPr>
              <w:pStyle w:val="TableText0"/>
              <w:widowControl w:val="0"/>
              <w:rPr>
                <w:szCs w:val="20"/>
              </w:rPr>
            </w:pPr>
            <w:r w:rsidRPr="00BC31CD">
              <w:rPr>
                <w:i/>
                <w:iCs/>
                <w:szCs w:val="20"/>
              </w:rPr>
              <w:t>NEJM</w:t>
            </w:r>
            <w:r w:rsidR="00175A0A" w:rsidRPr="00BC31CD">
              <w:rPr>
                <w:szCs w:val="20"/>
              </w:rPr>
              <w:t xml:space="preserve"> 1968; 278(7): 352-9.</w:t>
            </w:r>
          </w:p>
        </w:tc>
      </w:tr>
      <w:tr w:rsidR="00175A0A" w:rsidRPr="00BC31CD" w14:paraId="3F514236" w14:textId="77777777" w:rsidTr="00CD677E">
        <w:trPr>
          <w:trHeight w:val="253"/>
        </w:trPr>
        <w:tc>
          <w:tcPr>
            <w:tcW w:w="796" w:type="pct"/>
            <w:tcBorders>
              <w:bottom w:val="nil"/>
            </w:tcBorders>
            <w:vAlign w:val="center"/>
          </w:tcPr>
          <w:p w14:paraId="06B04225" w14:textId="77777777" w:rsidR="00175A0A" w:rsidRPr="00BC31CD" w:rsidRDefault="00175A0A" w:rsidP="005D0AA2">
            <w:pPr>
              <w:pStyle w:val="TableText0"/>
              <w:widowControl w:val="0"/>
              <w:rPr>
                <w:szCs w:val="20"/>
              </w:rPr>
            </w:pPr>
            <w:r w:rsidRPr="00BC31CD">
              <w:rPr>
                <w:rFonts w:cs="Arial"/>
                <w:szCs w:val="20"/>
              </w:rPr>
              <w:t>Strickland 1973</w:t>
            </w:r>
          </w:p>
        </w:tc>
        <w:tc>
          <w:tcPr>
            <w:tcW w:w="3027" w:type="pct"/>
            <w:tcBorders>
              <w:bottom w:val="nil"/>
            </w:tcBorders>
            <w:vAlign w:val="center"/>
          </w:tcPr>
          <w:p w14:paraId="32E6364C" w14:textId="77777777" w:rsidR="00175A0A" w:rsidRPr="00BC31CD" w:rsidRDefault="00175A0A" w:rsidP="005D0AA2">
            <w:pPr>
              <w:pStyle w:val="TableText0"/>
              <w:widowControl w:val="0"/>
              <w:rPr>
                <w:szCs w:val="20"/>
              </w:rPr>
            </w:pPr>
            <w:r w:rsidRPr="00BC31CD">
              <w:rPr>
                <w:szCs w:val="20"/>
              </w:rPr>
              <w:t xml:space="preserve">Strickland GT, Frommer D, Leu ML, Pollard R, Sherlock S, Cumings JN. </w:t>
            </w:r>
            <w:r w:rsidR="004942F9" w:rsidRPr="00BC31CD">
              <w:rPr>
                <w:szCs w:val="20"/>
              </w:rPr>
              <w:t>Wilson</w:t>
            </w:r>
            <w:r w:rsidR="005403C0" w:rsidRPr="00BC31CD">
              <w:rPr>
                <w:szCs w:val="20"/>
              </w:rPr>
              <w:t>’s</w:t>
            </w:r>
            <w:r w:rsidR="004942F9" w:rsidRPr="00BC31CD">
              <w:rPr>
                <w:szCs w:val="20"/>
              </w:rPr>
              <w:t xml:space="preserve"> Disease</w:t>
            </w:r>
            <w:r w:rsidRPr="00BC31CD">
              <w:rPr>
                <w:szCs w:val="20"/>
              </w:rPr>
              <w:t xml:space="preserve"> in the United Kingdom and Taiwan. I. General characteristics of 142 cases and prognosis. II. A genetic analysis of 88 cases. </w:t>
            </w:r>
          </w:p>
        </w:tc>
        <w:tc>
          <w:tcPr>
            <w:tcW w:w="1177" w:type="pct"/>
            <w:tcBorders>
              <w:bottom w:val="nil"/>
            </w:tcBorders>
            <w:vAlign w:val="center"/>
          </w:tcPr>
          <w:p w14:paraId="44BDC592" w14:textId="77777777" w:rsidR="00175A0A" w:rsidRPr="00BC31CD" w:rsidRDefault="00175A0A" w:rsidP="005D0AA2">
            <w:pPr>
              <w:pStyle w:val="TableText0"/>
              <w:widowControl w:val="0"/>
              <w:rPr>
                <w:szCs w:val="20"/>
              </w:rPr>
            </w:pPr>
            <w:r w:rsidRPr="00BC31CD">
              <w:rPr>
                <w:i/>
                <w:iCs/>
                <w:szCs w:val="20"/>
              </w:rPr>
              <w:t xml:space="preserve">Q J Med </w:t>
            </w:r>
            <w:r w:rsidRPr="00BC31CD">
              <w:rPr>
                <w:szCs w:val="20"/>
              </w:rPr>
              <w:t>1973; 42(167): 619-38.</w:t>
            </w:r>
          </w:p>
        </w:tc>
      </w:tr>
      <w:tr w:rsidR="00175A0A" w:rsidRPr="00BC31CD" w14:paraId="34CE41CB" w14:textId="77777777" w:rsidTr="00CD677E">
        <w:trPr>
          <w:trHeight w:val="253"/>
        </w:trPr>
        <w:tc>
          <w:tcPr>
            <w:tcW w:w="796" w:type="pct"/>
            <w:tcBorders>
              <w:bottom w:val="single" w:sz="4" w:space="0" w:color="auto"/>
            </w:tcBorders>
            <w:vAlign w:val="center"/>
          </w:tcPr>
          <w:p w14:paraId="2B65F918" w14:textId="77777777" w:rsidR="00175A0A" w:rsidRPr="00BC31CD" w:rsidRDefault="00175A0A" w:rsidP="005D0AA2">
            <w:pPr>
              <w:pStyle w:val="TableText0"/>
              <w:widowControl w:val="0"/>
              <w:rPr>
                <w:rFonts w:cs="Arial"/>
                <w:szCs w:val="20"/>
              </w:rPr>
            </w:pPr>
            <w:r w:rsidRPr="00BC31CD">
              <w:rPr>
                <w:rFonts w:cs="Arial"/>
                <w:szCs w:val="20"/>
              </w:rPr>
              <w:t>Durand 2001</w:t>
            </w:r>
          </w:p>
        </w:tc>
        <w:tc>
          <w:tcPr>
            <w:tcW w:w="3027" w:type="pct"/>
            <w:tcBorders>
              <w:bottom w:val="single" w:sz="4" w:space="0" w:color="auto"/>
            </w:tcBorders>
            <w:vAlign w:val="center"/>
          </w:tcPr>
          <w:p w14:paraId="0211E1A4" w14:textId="77777777" w:rsidR="00175A0A" w:rsidRPr="00BC31CD" w:rsidRDefault="00175A0A" w:rsidP="005D0AA2">
            <w:pPr>
              <w:pStyle w:val="TableText0"/>
              <w:widowControl w:val="0"/>
              <w:rPr>
                <w:szCs w:val="20"/>
              </w:rPr>
            </w:pPr>
            <w:r w:rsidRPr="00BC31CD">
              <w:rPr>
                <w:szCs w:val="20"/>
              </w:rPr>
              <w:t xml:space="preserve">Durand F, Bernuau J, Giostra E, et al. </w:t>
            </w:r>
            <w:r w:rsidR="004942F9" w:rsidRPr="00BC31CD">
              <w:rPr>
                <w:szCs w:val="20"/>
              </w:rPr>
              <w:t>Wilson</w:t>
            </w:r>
            <w:r w:rsidR="005403C0" w:rsidRPr="00BC31CD">
              <w:rPr>
                <w:szCs w:val="20"/>
              </w:rPr>
              <w:t>’s</w:t>
            </w:r>
            <w:r w:rsidR="004942F9" w:rsidRPr="00BC31CD">
              <w:rPr>
                <w:szCs w:val="20"/>
              </w:rPr>
              <w:t xml:space="preserve"> Disease</w:t>
            </w:r>
            <w:r w:rsidRPr="00BC31CD">
              <w:rPr>
                <w:szCs w:val="20"/>
              </w:rPr>
              <w:t xml:space="preserve"> with severe hepatic insufficiency: beneficial effects of early administration of D-penicillamine. </w:t>
            </w:r>
          </w:p>
        </w:tc>
        <w:tc>
          <w:tcPr>
            <w:tcW w:w="1177" w:type="pct"/>
            <w:tcBorders>
              <w:bottom w:val="single" w:sz="4" w:space="0" w:color="auto"/>
            </w:tcBorders>
            <w:vAlign w:val="center"/>
          </w:tcPr>
          <w:p w14:paraId="030A14D8" w14:textId="77777777" w:rsidR="00175A0A" w:rsidRPr="00BC31CD" w:rsidRDefault="00175A0A" w:rsidP="005D0AA2">
            <w:pPr>
              <w:pStyle w:val="TableText0"/>
              <w:widowControl w:val="0"/>
              <w:rPr>
                <w:szCs w:val="20"/>
              </w:rPr>
            </w:pPr>
            <w:r w:rsidRPr="00BC31CD">
              <w:rPr>
                <w:i/>
                <w:iCs/>
                <w:szCs w:val="20"/>
              </w:rPr>
              <w:t>Gut</w:t>
            </w:r>
            <w:r w:rsidRPr="00BC31CD">
              <w:rPr>
                <w:szCs w:val="20"/>
              </w:rPr>
              <w:t xml:space="preserve"> 2001; 48(6): 849-52.</w:t>
            </w:r>
          </w:p>
        </w:tc>
      </w:tr>
      <w:tr w:rsidR="00175A0A" w:rsidRPr="00BC31CD" w14:paraId="293CBE64" w14:textId="77777777" w:rsidTr="00CD677E">
        <w:trPr>
          <w:trHeight w:val="253"/>
        </w:trPr>
        <w:tc>
          <w:tcPr>
            <w:tcW w:w="796" w:type="pct"/>
            <w:vAlign w:val="center"/>
          </w:tcPr>
          <w:p w14:paraId="67BED05F" w14:textId="77777777" w:rsidR="00175A0A" w:rsidRPr="00BC31CD" w:rsidRDefault="00175A0A" w:rsidP="005D0AA2">
            <w:pPr>
              <w:pStyle w:val="TableText0"/>
              <w:widowControl w:val="0"/>
              <w:rPr>
                <w:rFonts w:cs="Arial"/>
                <w:szCs w:val="20"/>
              </w:rPr>
            </w:pPr>
            <w:r w:rsidRPr="00BC31CD">
              <w:rPr>
                <w:rFonts w:cs="Arial"/>
                <w:szCs w:val="20"/>
              </w:rPr>
              <w:t>Scheinberg 1987</w:t>
            </w:r>
          </w:p>
        </w:tc>
        <w:tc>
          <w:tcPr>
            <w:tcW w:w="3027" w:type="pct"/>
            <w:vAlign w:val="center"/>
          </w:tcPr>
          <w:p w14:paraId="1E4CB796" w14:textId="77777777" w:rsidR="00175A0A" w:rsidRPr="00BC31CD" w:rsidRDefault="00CD677E" w:rsidP="005D0AA2">
            <w:pPr>
              <w:pStyle w:val="TableText0"/>
              <w:widowControl w:val="0"/>
              <w:rPr>
                <w:szCs w:val="20"/>
              </w:rPr>
            </w:pPr>
            <w:r w:rsidRPr="00BC31CD">
              <w:rPr>
                <w:szCs w:val="20"/>
              </w:rPr>
              <w:t>Scheinberg IH, Jaffe ME and Sternlieb I</w:t>
            </w:r>
            <w:r w:rsidR="00175A0A" w:rsidRPr="00BC31CD">
              <w:rPr>
                <w:szCs w:val="20"/>
              </w:rPr>
              <w:t xml:space="preserve">. The use of trientine in preventing the effects of interrupting penicillamine therapy in </w:t>
            </w:r>
            <w:r w:rsidR="004942F9" w:rsidRPr="00BC31CD">
              <w:rPr>
                <w:szCs w:val="20"/>
              </w:rPr>
              <w:t>Wilson</w:t>
            </w:r>
            <w:r w:rsidR="005403C0" w:rsidRPr="00BC31CD">
              <w:rPr>
                <w:szCs w:val="20"/>
              </w:rPr>
              <w:t>’s</w:t>
            </w:r>
            <w:r w:rsidR="004942F9" w:rsidRPr="00BC31CD">
              <w:rPr>
                <w:szCs w:val="20"/>
              </w:rPr>
              <w:t xml:space="preserve"> Disease</w:t>
            </w:r>
            <w:r w:rsidR="00175A0A" w:rsidRPr="00BC31CD">
              <w:rPr>
                <w:szCs w:val="20"/>
              </w:rPr>
              <w:t>.</w:t>
            </w:r>
          </w:p>
        </w:tc>
        <w:tc>
          <w:tcPr>
            <w:tcW w:w="1177" w:type="pct"/>
            <w:vAlign w:val="center"/>
          </w:tcPr>
          <w:p w14:paraId="002BBEA0" w14:textId="77777777" w:rsidR="00175A0A" w:rsidRPr="00BC31CD" w:rsidRDefault="00175A0A" w:rsidP="005D0AA2">
            <w:pPr>
              <w:pStyle w:val="TableText0"/>
              <w:widowControl w:val="0"/>
              <w:rPr>
                <w:szCs w:val="20"/>
              </w:rPr>
            </w:pPr>
            <w:r w:rsidRPr="00BC31CD">
              <w:rPr>
                <w:i/>
                <w:iCs/>
                <w:szCs w:val="20"/>
              </w:rPr>
              <w:t xml:space="preserve">NEJM </w:t>
            </w:r>
            <w:r w:rsidRPr="00BC31CD">
              <w:rPr>
                <w:szCs w:val="20"/>
              </w:rPr>
              <w:t>1987;317(4): 209-213</w:t>
            </w:r>
          </w:p>
        </w:tc>
      </w:tr>
      <w:tr w:rsidR="00CD677E" w:rsidRPr="00BC31CD" w14:paraId="1097E16F" w14:textId="77777777" w:rsidTr="00CD677E">
        <w:trPr>
          <w:trHeight w:val="253"/>
        </w:trPr>
        <w:tc>
          <w:tcPr>
            <w:tcW w:w="5000" w:type="pct"/>
            <w:gridSpan w:val="3"/>
            <w:tcBorders>
              <w:bottom w:val="single" w:sz="4" w:space="0" w:color="auto"/>
            </w:tcBorders>
            <w:vAlign w:val="center"/>
          </w:tcPr>
          <w:p w14:paraId="1A60DA00" w14:textId="77777777" w:rsidR="00CD677E" w:rsidRPr="00BC31CD" w:rsidRDefault="00CD677E" w:rsidP="005D0AA2">
            <w:pPr>
              <w:pStyle w:val="TableText0"/>
              <w:widowControl w:val="0"/>
              <w:rPr>
                <w:b/>
                <w:bCs w:val="0"/>
                <w:szCs w:val="20"/>
              </w:rPr>
            </w:pPr>
            <w:r w:rsidRPr="00BC31CD">
              <w:rPr>
                <w:b/>
                <w:bCs w:val="0"/>
                <w:szCs w:val="20"/>
              </w:rPr>
              <w:t>Systematic review</w:t>
            </w:r>
            <w:r w:rsidR="006152B4" w:rsidRPr="00BC31CD">
              <w:rPr>
                <w:b/>
                <w:bCs w:val="0"/>
                <w:szCs w:val="20"/>
              </w:rPr>
              <w:t>/meta-analysis</w:t>
            </w:r>
          </w:p>
        </w:tc>
      </w:tr>
      <w:tr w:rsidR="00C138F3" w:rsidRPr="00BC31CD" w14:paraId="3FFD4F60" w14:textId="77777777" w:rsidTr="00CD677E">
        <w:trPr>
          <w:trHeight w:val="253"/>
        </w:trPr>
        <w:tc>
          <w:tcPr>
            <w:tcW w:w="796" w:type="pct"/>
            <w:tcBorders>
              <w:bottom w:val="single" w:sz="4" w:space="0" w:color="auto"/>
            </w:tcBorders>
            <w:vAlign w:val="center"/>
          </w:tcPr>
          <w:p w14:paraId="2DB011FA" w14:textId="77777777" w:rsidR="00C138F3" w:rsidRPr="00BC31CD" w:rsidRDefault="001D2DBA" w:rsidP="005D0AA2">
            <w:pPr>
              <w:pStyle w:val="TableText0"/>
              <w:widowControl w:val="0"/>
              <w:rPr>
                <w:rFonts w:cs="Arial"/>
                <w:szCs w:val="20"/>
              </w:rPr>
            </w:pPr>
            <w:r w:rsidRPr="00BC31CD">
              <w:rPr>
                <w:szCs w:val="20"/>
              </w:rPr>
              <w:t>Appenzeller-Herzog 2019</w:t>
            </w:r>
          </w:p>
        </w:tc>
        <w:tc>
          <w:tcPr>
            <w:tcW w:w="3027" w:type="pct"/>
            <w:tcBorders>
              <w:bottom w:val="single" w:sz="4" w:space="0" w:color="auto"/>
            </w:tcBorders>
            <w:vAlign w:val="center"/>
          </w:tcPr>
          <w:p w14:paraId="56AE7591" w14:textId="77777777" w:rsidR="00C138F3" w:rsidRPr="00BC31CD" w:rsidRDefault="001D2DBA" w:rsidP="005D0AA2">
            <w:pPr>
              <w:pStyle w:val="TableText0"/>
              <w:widowControl w:val="0"/>
              <w:rPr>
                <w:szCs w:val="20"/>
              </w:rPr>
            </w:pPr>
            <w:r w:rsidRPr="00BC31CD">
              <w:rPr>
                <w:szCs w:val="20"/>
              </w:rPr>
              <w:t>Appenzeller-Herzog C, Mathes T, Heeres MLS, Weiss KH et al. Comparative effectiveness of common therapies for Wilson disease: A systematic review and meta-analysis of controlled studies.</w:t>
            </w:r>
          </w:p>
        </w:tc>
        <w:tc>
          <w:tcPr>
            <w:tcW w:w="1177" w:type="pct"/>
            <w:tcBorders>
              <w:bottom w:val="single" w:sz="4" w:space="0" w:color="auto"/>
            </w:tcBorders>
            <w:vAlign w:val="center"/>
          </w:tcPr>
          <w:p w14:paraId="7DE11C08" w14:textId="77777777" w:rsidR="00C138F3" w:rsidRPr="00BC31CD" w:rsidRDefault="001D2DBA" w:rsidP="005D0AA2">
            <w:pPr>
              <w:pStyle w:val="TableText0"/>
              <w:widowControl w:val="0"/>
              <w:rPr>
                <w:szCs w:val="20"/>
              </w:rPr>
            </w:pPr>
            <w:r w:rsidRPr="00BC31CD">
              <w:rPr>
                <w:i/>
                <w:iCs/>
                <w:szCs w:val="20"/>
              </w:rPr>
              <w:t>Liver Int</w:t>
            </w:r>
            <w:r w:rsidRPr="00BC31CD">
              <w:rPr>
                <w:szCs w:val="20"/>
              </w:rPr>
              <w:t xml:space="preserve"> 2019; 39(11): 2136-2152</w:t>
            </w:r>
          </w:p>
        </w:tc>
      </w:tr>
    </w:tbl>
    <w:p w14:paraId="73DAE213" w14:textId="77777777" w:rsidR="00175A0A" w:rsidRPr="00BC31CD" w:rsidRDefault="00175A0A" w:rsidP="004834E6">
      <w:pPr>
        <w:pStyle w:val="TableFigureFooter"/>
      </w:pPr>
      <w:r w:rsidRPr="00BC31CD">
        <w:t>Source: Table 2.7, p51 of the submission.</w:t>
      </w:r>
    </w:p>
    <w:p w14:paraId="2F1FE8B1" w14:textId="77777777" w:rsidR="008417DA" w:rsidRPr="00BC31CD" w:rsidRDefault="00CD677E" w:rsidP="00927E26">
      <w:pPr>
        <w:pStyle w:val="TableFigureFooter"/>
      </w:pPr>
      <w:r w:rsidRPr="00BC31CD">
        <w:t>BSC = best supportive care; DPA = D-penicillamine</w:t>
      </w:r>
    </w:p>
    <w:p w14:paraId="762E9674" w14:textId="77777777" w:rsidR="00927E26" w:rsidRPr="00BC31CD" w:rsidRDefault="008F120A" w:rsidP="00927E26">
      <w:pPr>
        <w:pStyle w:val="3-BodyText"/>
      </w:pPr>
      <w:r w:rsidRPr="00BC31CD">
        <w:t xml:space="preserve">The key features of the </w:t>
      </w:r>
      <w:r w:rsidR="00621ADA" w:rsidRPr="00BC31CD">
        <w:t>included evidence</w:t>
      </w:r>
      <w:r w:rsidRPr="00BC31CD">
        <w:t xml:space="preserve"> are summarised in the table below.</w:t>
      </w:r>
      <w:r w:rsidR="00611789" w:rsidRPr="00BC31CD">
        <w:t xml:space="preserve"> </w:t>
      </w:r>
      <w:r w:rsidR="008B1843" w:rsidRPr="00BC31CD">
        <w:t>T</w:t>
      </w:r>
      <w:r w:rsidR="00C65108" w:rsidRPr="00BC31CD">
        <w:t xml:space="preserve">he </w:t>
      </w:r>
      <w:r w:rsidR="00621ADA" w:rsidRPr="00BC31CD">
        <w:t xml:space="preserve">risk of bias </w:t>
      </w:r>
      <w:r w:rsidR="00FB79B8" w:rsidRPr="00BC31CD">
        <w:t>wa</w:t>
      </w:r>
      <w:r w:rsidR="00621ADA" w:rsidRPr="00BC31CD">
        <w:t xml:space="preserve">s high </w:t>
      </w:r>
      <w:r w:rsidR="008B1843" w:rsidRPr="00BC31CD">
        <w:t xml:space="preserve">in all the observational studies based on assessment with the ROBINS-1 and Newcastle-Ottawa instruments. </w:t>
      </w:r>
      <w:r w:rsidR="00F25A92" w:rsidRPr="00BC31CD">
        <w:t xml:space="preserve">In some </w:t>
      </w:r>
      <w:r w:rsidR="00FB79B8" w:rsidRPr="00BC31CD">
        <w:t xml:space="preserve">studies </w:t>
      </w:r>
      <w:r w:rsidR="00F25A92" w:rsidRPr="00BC31CD">
        <w:t xml:space="preserve">the claim </w:t>
      </w:r>
      <w:r w:rsidR="00FB597F" w:rsidRPr="00BC31CD">
        <w:t xml:space="preserve">by the submission </w:t>
      </w:r>
      <w:r w:rsidR="00F25A92" w:rsidRPr="00BC31CD">
        <w:t xml:space="preserve">that patients not receiving DPA had received what would be </w:t>
      </w:r>
      <w:r w:rsidR="005D0AA2" w:rsidRPr="00BC31CD">
        <w:t xml:space="preserve">considered </w:t>
      </w:r>
      <w:r w:rsidR="006219FA" w:rsidRPr="00BC31CD">
        <w:t>BSC</w:t>
      </w:r>
      <w:r w:rsidR="00F25A92" w:rsidRPr="00BC31CD">
        <w:t xml:space="preserve"> </w:t>
      </w:r>
      <w:r w:rsidR="00FB597F" w:rsidRPr="00BC31CD">
        <w:t xml:space="preserve">in </w:t>
      </w:r>
      <w:r w:rsidR="00F25A92" w:rsidRPr="00BC31CD">
        <w:t>today</w:t>
      </w:r>
      <w:r w:rsidR="009B3A8C" w:rsidRPr="00BC31CD">
        <w:t>’</w:t>
      </w:r>
      <w:r w:rsidR="00FB597F" w:rsidRPr="00BC31CD">
        <w:t>s setting</w:t>
      </w:r>
      <w:r w:rsidR="00F25A92" w:rsidRPr="00BC31CD">
        <w:t xml:space="preserve"> was not </w:t>
      </w:r>
      <w:r w:rsidR="006219FA" w:rsidRPr="00BC31CD">
        <w:t>reasonable, as given the age of the studies (1968 to 2001), what was used in those studies is not representative of current BSC</w:t>
      </w:r>
      <w:r w:rsidR="00F25A92" w:rsidRPr="00BC31CD">
        <w:t xml:space="preserve">. </w:t>
      </w:r>
      <w:r w:rsidR="00CE1499" w:rsidRPr="00BC31CD">
        <w:t xml:space="preserve">Little of the clinical evidence presented was used in the economic model, with only data </w:t>
      </w:r>
      <w:r w:rsidR="004834E6" w:rsidRPr="00BC31CD">
        <w:t>from Weiss 2013</w:t>
      </w:r>
      <w:r w:rsidR="00DE4EB5" w:rsidRPr="00BC31CD">
        <w:t xml:space="preserve"> and the Appenzeller-Herzog</w:t>
      </w:r>
      <w:r w:rsidR="006152B4" w:rsidRPr="00BC31CD">
        <w:t xml:space="preserve"> 2019</w:t>
      </w:r>
      <w:r w:rsidR="00DE4EB5" w:rsidRPr="00BC31CD">
        <w:t xml:space="preserve"> meta-analysis</w:t>
      </w:r>
      <w:r w:rsidR="004834E6" w:rsidRPr="00BC31CD">
        <w:t xml:space="preserve"> used.</w:t>
      </w:r>
      <w:r w:rsidR="00095FD2" w:rsidRPr="00BC31CD">
        <w:t xml:space="preserve"> Survival data for trientine 4HCl used in the model was sourced from another publication, Sip</w:t>
      </w:r>
      <w:r w:rsidR="00CE1499" w:rsidRPr="00BC31CD">
        <w:t>i</w:t>
      </w:r>
      <w:r w:rsidR="00095FD2" w:rsidRPr="00BC31CD">
        <w:t>la 2020, which was not included in the clinical evidence presented.</w:t>
      </w:r>
    </w:p>
    <w:p w14:paraId="744EDD45" w14:textId="77777777" w:rsidR="007B6EF1" w:rsidRPr="00BC31CD" w:rsidRDefault="007F1017" w:rsidP="005D0AA2">
      <w:pPr>
        <w:pStyle w:val="3-BodyText"/>
        <w:keepNext/>
        <w:numPr>
          <w:ilvl w:val="0"/>
          <w:numId w:val="0"/>
        </w:numPr>
        <w:spacing w:after="0"/>
        <w:ind w:left="720" w:hanging="720"/>
      </w:pPr>
      <w:r w:rsidRPr="00BC31CD">
        <w:rPr>
          <w:rStyle w:val="CommentReference"/>
          <w:szCs w:val="24"/>
        </w:rPr>
        <w:t xml:space="preserve">Table </w:t>
      </w:r>
      <w:r w:rsidR="00622135" w:rsidRPr="00BC31CD">
        <w:rPr>
          <w:rStyle w:val="CommentReference"/>
          <w:szCs w:val="24"/>
        </w:rPr>
        <w:t>3</w:t>
      </w:r>
      <w:r w:rsidRPr="00BC31CD">
        <w:rPr>
          <w:rStyle w:val="CommentReference"/>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5"/>
        <w:gridCol w:w="716"/>
        <w:gridCol w:w="911"/>
        <w:gridCol w:w="718"/>
        <w:gridCol w:w="1991"/>
        <w:gridCol w:w="1788"/>
        <w:gridCol w:w="1748"/>
      </w:tblGrid>
      <w:tr w:rsidR="006152B4" w:rsidRPr="00BC31CD" w14:paraId="71DB680E" w14:textId="77777777" w:rsidTr="00F0251A">
        <w:trPr>
          <w:cantSplit/>
          <w:tblHeader/>
        </w:trPr>
        <w:tc>
          <w:tcPr>
            <w:tcW w:w="636" w:type="pct"/>
            <w:shd w:val="clear" w:color="auto" w:fill="auto"/>
            <w:vAlign w:val="center"/>
          </w:tcPr>
          <w:p w14:paraId="108B8719" w14:textId="77777777" w:rsidR="006152B4" w:rsidRPr="00BC31CD" w:rsidRDefault="006152B4" w:rsidP="005D0AA2">
            <w:pPr>
              <w:pStyle w:val="In-tableHeading"/>
              <w:widowControl w:val="0"/>
              <w:rPr>
                <w:lang w:val="en-AU"/>
              </w:rPr>
            </w:pPr>
            <w:r w:rsidRPr="00BC31CD">
              <w:rPr>
                <w:lang w:val="en-AU"/>
              </w:rPr>
              <w:t>Trial</w:t>
            </w:r>
            <w:r w:rsidR="006503C9" w:rsidRPr="00BC31CD">
              <w:rPr>
                <w:lang w:val="en-AU"/>
              </w:rPr>
              <w:t>/study ID</w:t>
            </w:r>
          </w:p>
        </w:tc>
        <w:tc>
          <w:tcPr>
            <w:tcW w:w="398" w:type="pct"/>
            <w:shd w:val="clear" w:color="auto" w:fill="auto"/>
            <w:vAlign w:val="center"/>
          </w:tcPr>
          <w:p w14:paraId="53CA7444" w14:textId="77777777" w:rsidR="006152B4" w:rsidRPr="00BC31CD" w:rsidRDefault="006152B4" w:rsidP="005D0AA2">
            <w:pPr>
              <w:pStyle w:val="In-tableHeading"/>
              <w:widowControl w:val="0"/>
              <w:jc w:val="center"/>
              <w:rPr>
                <w:lang w:val="en-AU"/>
              </w:rPr>
            </w:pPr>
            <w:r w:rsidRPr="00BC31CD">
              <w:rPr>
                <w:lang w:val="en-AU"/>
              </w:rPr>
              <w:t>N</w:t>
            </w:r>
          </w:p>
        </w:tc>
        <w:tc>
          <w:tcPr>
            <w:tcW w:w="506" w:type="pct"/>
            <w:shd w:val="clear" w:color="auto" w:fill="auto"/>
            <w:vAlign w:val="center"/>
          </w:tcPr>
          <w:p w14:paraId="18DB38A9" w14:textId="77777777" w:rsidR="006152B4" w:rsidRPr="00BC31CD" w:rsidRDefault="006152B4" w:rsidP="005D0AA2">
            <w:pPr>
              <w:pStyle w:val="In-tableHeading"/>
              <w:widowControl w:val="0"/>
              <w:jc w:val="center"/>
              <w:rPr>
                <w:lang w:val="en-AU"/>
              </w:rPr>
            </w:pPr>
            <w:r w:rsidRPr="00BC31CD">
              <w:rPr>
                <w:lang w:val="en-AU"/>
              </w:rPr>
              <w:t>Design</w:t>
            </w:r>
          </w:p>
        </w:tc>
        <w:tc>
          <w:tcPr>
            <w:tcW w:w="399" w:type="pct"/>
            <w:shd w:val="clear" w:color="auto" w:fill="auto"/>
            <w:vAlign w:val="center"/>
          </w:tcPr>
          <w:p w14:paraId="2D196AB6" w14:textId="77777777" w:rsidR="006152B4" w:rsidRPr="00BC31CD" w:rsidRDefault="006152B4" w:rsidP="005D0AA2">
            <w:pPr>
              <w:pStyle w:val="In-tableHeading"/>
              <w:widowControl w:val="0"/>
              <w:jc w:val="center"/>
              <w:rPr>
                <w:lang w:val="en-AU"/>
              </w:rPr>
            </w:pPr>
            <w:r w:rsidRPr="00BC31CD">
              <w:rPr>
                <w:lang w:val="en-AU"/>
              </w:rPr>
              <w:t>Risk of bias</w:t>
            </w:r>
          </w:p>
        </w:tc>
        <w:tc>
          <w:tcPr>
            <w:tcW w:w="1105" w:type="pct"/>
            <w:shd w:val="clear" w:color="auto" w:fill="auto"/>
            <w:vAlign w:val="center"/>
          </w:tcPr>
          <w:p w14:paraId="431F8E40" w14:textId="77777777" w:rsidR="006152B4" w:rsidRPr="00BC31CD" w:rsidRDefault="006152B4" w:rsidP="005D0AA2">
            <w:pPr>
              <w:pStyle w:val="In-tableHeading"/>
              <w:widowControl w:val="0"/>
              <w:jc w:val="center"/>
              <w:rPr>
                <w:lang w:val="en-AU"/>
              </w:rPr>
            </w:pPr>
            <w:r w:rsidRPr="00BC31CD">
              <w:rPr>
                <w:lang w:val="en-AU"/>
              </w:rPr>
              <w:t>Patient population</w:t>
            </w:r>
          </w:p>
        </w:tc>
        <w:tc>
          <w:tcPr>
            <w:tcW w:w="986" w:type="pct"/>
            <w:shd w:val="clear" w:color="auto" w:fill="auto"/>
            <w:vAlign w:val="center"/>
          </w:tcPr>
          <w:p w14:paraId="2CA107B1" w14:textId="77777777" w:rsidR="006152B4" w:rsidRPr="00BC31CD" w:rsidRDefault="006152B4" w:rsidP="005D0AA2">
            <w:pPr>
              <w:pStyle w:val="In-tableHeading"/>
              <w:widowControl w:val="0"/>
              <w:jc w:val="center"/>
              <w:rPr>
                <w:lang w:val="en-AU"/>
              </w:rPr>
            </w:pPr>
            <w:r w:rsidRPr="00BC31CD">
              <w:rPr>
                <w:lang w:val="en-AU"/>
              </w:rPr>
              <w:t>Outcomes reported in submission</w:t>
            </w:r>
          </w:p>
        </w:tc>
        <w:tc>
          <w:tcPr>
            <w:tcW w:w="969" w:type="pct"/>
            <w:shd w:val="clear" w:color="auto" w:fill="auto"/>
            <w:vAlign w:val="center"/>
          </w:tcPr>
          <w:p w14:paraId="38B0CDFE" w14:textId="77777777" w:rsidR="006152B4" w:rsidRPr="00BC31CD" w:rsidRDefault="006152B4" w:rsidP="005D0AA2">
            <w:pPr>
              <w:pStyle w:val="In-tableHeading"/>
              <w:widowControl w:val="0"/>
              <w:jc w:val="center"/>
              <w:rPr>
                <w:lang w:val="en-AU"/>
              </w:rPr>
            </w:pPr>
            <w:r w:rsidRPr="00BC31CD">
              <w:rPr>
                <w:lang w:val="en-AU"/>
              </w:rPr>
              <w:t>Use in modelled evaluation</w:t>
            </w:r>
          </w:p>
        </w:tc>
      </w:tr>
      <w:tr w:rsidR="006152B4" w:rsidRPr="00BC31CD" w14:paraId="250C146E" w14:textId="77777777" w:rsidTr="00F0251A">
        <w:trPr>
          <w:cantSplit/>
        </w:trPr>
        <w:tc>
          <w:tcPr>
            <w:tcW w:w="5000" w:type="pct"/>
            <w:gridSpan w:val="7"/>
            <w:shd w:val="clear" w:color="auto" w:fill="auto"/>
            <w:vAlign w:val="center"/>
          </w:tcPr>
          <w:p w14:paraId="0933D8AD" w14:textId="77777777" w:rsidR="006152B4" w:rsidRPr="00BC31CD" w:rsidRDefault="006152B4" w:rsidP="005D0AA2">
            <w:pPr>
              <w:pStyle w:val="In-tableHeading"/>
              <w:widowControl w:val="0"/>
              <w:rPr>
                <w:bCs/>
                <w:lang w:val="en-AU"/>
              </w:rPr>
            </w:pPr>
            <w:r w:rsidRPr="00BC31CD">
              <w:rPr>
                <w:bCs/>
                <w:szCs w:val="20"/>
                <w:lang w:val="en-AU"/>
              </w:rPr>
              <w:t>Studies of trientine vs. DPA</w:t>
            </w:r>
          </w:p>
        </w:tc>
      </w:tr>
      <w:tr w:rsidR="006152B4" w:rsidRPr="00BC31CD" w14:paraId="7E2B4B01" w14:textId="77777777" w:rsidTr="00F0251A">
        <w:trPr>
          <w:cantSplit/>
        </w:trPr>
        <w:tc>
          <w:tcPr>
            <w:tcW w:w="636" w:type="pct"/>
            <w:shd w:val="clear" w:color="auto" w:fill="auto"/>
            <w:vAlign w:val="center"/>
          </w:tcPr>
          <w:p w14:paraId="5B78808C" w14:textId="77777777" w:rsidR="006152B4" w:rsidRPr="00BC31CD" w:rsidRDefault="006152B4" w:rsidP="005D0AA2">
            <w:pPr>
              <w:pStyle w:val="TableText0"/>
              <w:widowControl w:val="0"/>
            </w:pPr>
            <w:r w:rsidRPr="00BC31CD">
              <w:rPr>
                <w:szCs w:val="20"/>
              </w:rPr>
              <w:t xml:space="preserve">CHELATE </w:t>
            </w:r>
          </w:p>
        </w:tc>
        <w:tc>
          <w:tcPr>
            <w:tcW w:w="398" w:type="pct"/>
            <w:shd w:val="clear" w:color="auto" w:fill="auto"/>
            <w:vAlign w:val="center"/>
          </w:tcPr>
          <w:p w14:paraId="38E86ABA" w14:textId="77777777" w:rsidR="006152B4" w:rsidRPr="00BC31CD" w:rsidRDefault="006152B4" w:rsidP="005D0AA2">
            <w:pPr>
              <w:pStyle w:val="TableText0"/>
              <w:widowControl w:val="0"/>
              <w:jc w:val="center"/>
            </w:pPr>
            <w:r w:rsidRPr="00BC31CD">
              <w:rPr>
                <w:szCs w:val="20"/>
              </w:rPr>
              <w:t>53</w:t>
            </w:r>
          </w:p>
        </w:tc>
        <w:tc>
          <w:tcPr>
            <w:tcW w:w="506" w:type="pct"/>
            <w:shd w:val="clear" w:color="auto" w:fill="auto"/>
            <w:vAlign w:val="center"/>
          </w:tcPr>
          <w:p w14:paraId="475342AD" w14:textId="77777777" w:rsidR="006152B4" w:rsidRPr="00BC31CD" w:rsidRDefault="006152B4" w:rsidP="005D0AA2">
            <w:pPr>
              <w:pStyle w:val="TableText0"/>
              <w:widowControl w:val="0"/>
              <w:jc w:val="center"/>
            </w:pPr>
            <w:r w:rsidRPr="00BC31CD">
              <w:rPr>
                <w:szCs w:val="20"/>
              </w:rPr>
              <w:t>R, OL</w:t>
            </w:r>
          </w:p>
        </w:tc>
        <w:tc>
          <w:tcPr>
            <w:tcW w:w="399" w:type="pct"/>
            <w:shd w:val="clear" w:color="auto" w:fill="auto"/>
            <w:vAlign w:val="center"/>
          </w:tcPr>
          <w:p w14:paraId="6031D045" w14:textId="77777777" w:rsidR="006152B4" w:rsidRPr="00BC31CD" w:rsidRDefault="006152B4" w:rsidP="005D0AA2">
            <w:pPr>
              <w:pStyle w:val="TableText0"/>
              <w:widowControl w:val="0"/>
              <w:jc w:val="center"/>
              <w:rPr>
                <w:i/>
              </w:rPr>
            </w:pPr>
            <w:r w:rsidRPr="00BC31CD">
              <w:rPr>
                <w:szCs w:val="20"/>
              </w:rPr>
              <w:t>Low</w:t>
            </w:r>
          </w:p>
        </w:tc>
        <w:tc>
          <w:tcPr>
            <w:tcW w:w="1105" w:type="pct"/>
            <w:shd w:val="clear" w:color="auto" w:fill="auto"/>
            <w:vAlign w:val="center"/>
          </w:tcPr>
          <w:p w14:paraId="720FD6B5" w14:textId="77777777" w:rsidR="006152B4" w:rsidRPr="00BC31CD" w:rsidRDefault="006152B4" w:rsidP="005D0AA2">
            <w:pPr>
              <w:pStyle w:val="TableText0"/>
              <w:widowControl w:val="0"/>
            </w:pPr>
            <w:r w:rsidRPr="00BC31CD">
              <w:rPr>
                <w:szCs w:val="20"/>
              </w:rPr>
              <w:t>Patients with WD on maintenance treatment with DPA</w:t>
            </w:r>
          </w:p>
        </w:tc>
        <w:tc>
          <w:tcPr>
            <w:tcW w:w="986" w:type="pct"/>
            <w:shd w:val="clear" w:color="auto" w:fill="auto"/>
            <w:vAlign w:val="center"/>
          </w:tcPr>
          <w:p w14:paraId="64ACD051" w14:textId="77777777" w:rsidR="006152B4" w:rsidRPr="00BC31CD" w:rsidRDefault="006152B4" w:rsidP="005D0AA2">
            <w:pPr>
              <w:pStyle w:val="TableText0"/>
              <w:widowControl w:val="0"/>
            </w:pPr>
            <w:r w:rsidRPr="00BC31CD">
              <w:rPr>
                <w:szCs w:val="20"/>
              </w:rPr>
              <w:t>Serum NCC at 36 weeks</w:t>
            </w:r>
          </w:p>
        </w:tc>
        <w:tc>
          <w:tcPr>
            <w:tcW w:w="969" w:type="pct"/>
            <w:shd w:val="clear" w:color="auto" w:fill="auto"/>
            <w:vAlign w:val="center"/>
          </w:tcPr>
          <w:p w14:paraId="54C0A949" w14:textId="77777777" w:rsidR="006152B4" w:rsidRPr="00BC31CD" w:rsidRDefault="006152B4" w:rsidP="005D0AA2">
            <w:pPr>
              <w:pStyle w:val="TableText0"/>
              <w:widowControl w:val="0"/>
              <w:jc w:val="center"/>
            </w:pPr>
            <w:r w:rsidRPr="00BC31CD">
              <w:t>Not used</w:t>
            </w:r>
          </w:p>
        </w:tc>
      </w:tr>
      <w:tr w:rsidR="006152B4" w:rsidRPr="00BC31CD" w14:paraId="722E3CC3" w14:textId="77777777" w:rsidTr="00F0251A">
        <w:trPr>
          <w:cantSplit/>
        </w:trPr>
        <w:tc>
          <w:tcPr>
            <w:tcW w:w="636" w:type="pct"/>
            <w:shd w:val="clear" w:color="auto" w:fill="auto"/>
            <w:vAlign w:val="center"/>
          </w:tcPr>
          <w:p w14:paraId="5DE95E5F" w14:textId="77777777" w:rsidR="006152B4" w:rsidRPr="00BC31CD" w:rsidRDefault="006152B4" w:rsidP="005D0AA2">
            <w:pPr>
              <w:pStyle w:val="TableText0"/>
              <w:widowControl w:val="0"/>
            </w:pPr>
            <w:r w:rsidRPr="00BC31CD">
              <w:rPr>
                <w:szCs w:val="20"/>
              </w:rPr>
              <w:t>Merle 2007</w:t>
            </w:r>
          </w:p>
        </w:tc>
        <w:tc>
          <w:tcPr>
            <w:tcW w:w="398" w:type="pct"/>
            <w:shd w:val="clear" w:color="auto" w:fill="auto"/>
            <w:vAlign w:val="center"/>
          </w:tcPr>
          <w:p w14:paraId="5CD649D6" w14:textId="77777777" w:rsidR="006152B4" w:rsidRPr="00BC31CD" w:rsidRDefault="006152B4" w:rsidP="005D0AA2">
            <w:pPr>
              <w:pStyle w:val="TableText0"/>
              <w:widowControl w:val="0"/>
              <w:jc w:val="center"/>
            </w:pPr>
            <w:r w:rsidRPr="00BC31CD">
              <w:rPr>
                <w:szCs w:val="20"/>
              </w:rPr>
              <w:t>163</w:t>
            </w:r>
          </w:p>
        </w:tc>
        <w:tc>
          <w:tcPr>
            <w:tcW w:w="506" w:type="pct"/>
            <w:shd w:val="clear" w:color="auto" w:fill="auto"/>
            <w:vAlign w:val="center"/>
          </w:tcPr>
          <w:p w14:paraId="23DB8317" w14:textId="77777777" w:rsidR="006152B4" w:rsidRPr="00BC31CD" w:rsidRDefault="006152B4" w:rsidP="005D0AA2">
            <w:pPr>
              <w:pStyle w:val="TableText0"/>
              <w:widowControl w:val="0"/>
              <w:jc w:val="center"/>
            </w:pPr>
            <w:r w:rsidRPr="00BC31CD">
              <w:rPr>
                <w:rFonts w:cs="Arial"/>
                <w:color w:val="000000"/>
                <w:szCs w:val="20"/>
              </w:rPr>
              <w:t>RR</w:t>
            </w:r>
          </w:p>
        </w:tc>
        <w:tc>
          <w:tcPr>
            <w:tcW w:w="399" w:type="pct"/>
            <w:shd w:val="clear" w:color="auto" w:fill="auto"/>
            <w:vAlign w:val="center"/>
          </w:tcPr>
          <w:p w14:paraId="3740D5DC" w14:textId="77777777" w:rsidR="006152B4" w:rsidRPr="00BC31CD" w:rsidRDefault="006152B4" w:rsidP="005D0AA2">
            <w:pPr>
              <w:pStyle w:val="TableText0"/>
              <w:widowControl w:val="0"/>
              <w:jc w:val="center"/>
              <w:rPr>
                <w:i/>
              </w:rPr>
            </w:pPr>
            <w:r w:rsidRPr="00BC31CD">
              <w:rPr>
                <w:szCs w:val="20"/>
              </w:rPr>
              <w:t>High</w:t>
            </w:r>
          </w:p>
        </w:tc>
        <w:tc>
          <w:tcPr>
            <w:tcW w:w="1105" w:type="pct"/>
            <w:shd w:val="clear" w:color="auto" w:fill="auto"/>
            <w:vAlign w:val="center"/>
          </w:tcPr>
          <w:p w14:paraId="4D591DDB" w14:textId="77777777" w:rsidR="006152B4" w:rsidRPr="00BC31CD" w:rsidRDefault="006152B4" w:rsidP="005D0AA2">
            <w:pPr>
              <w:pStyle w:val="TableText0"/>
              <w:widowControl w:val="0"/>
            </w:pPr>
            <w:r w:rsidRPr="00BC31CD">
              <w:rPr>
                <w:szCs w:val="20"/>
              </w:rPr>
              <w:t>Diagnosed WD patients; diagnosis using clinical, biochemical, histological and genetic evidence</w:t>
            </w:r>
          </w:p>
        </w:tc>
        <w:tc>
          <w:tcPr>
            <w:tcW w:w="986" w:type="pct"/>
            <w:shd w:val="clear" w:color="auto" w:fill="auto"/>
            <w:vAlign w:val="center"/>
          </w:tcPr>
          <w:p w14:paraId="6EDB3897" w14:textId="77777777" w:rsidR="006152B4" w:rsidRPr="00BC31CD" w:rsidRDefault="006152B4" w:rsidP="005D0AA2">
            <w:pPr>
              <w:pStyle w:val="TableText0"/>
              <w:widowControl w:val="0"/>
            </w:pPr>
            <w:r w:rsidRPr="00BC31CD">
              <w:t>Hepatic and neurologic/psychiatric symptoms</w:t>
            </w:r>
          </w:p>
          <w:p w14:paraId="6B16F77B" w14:textId="77777777" w:rsidR="006152B4" w:rsidRPr="00BC31CD" w:rsidRDefault="006152B4" w:rsidP="005D0AA2">
            <w:pPr>
              <w:pStyle w:val="TableText0"/>
              <w:widowControl w:val="0"/>
            </w:pPr>
            <w:r w:rsidRPr="00BC31CD">
              <w:t>Long-term treatment outcome</w:t>
            </w:r>
          </w:p>
        </w:tc>
        <w:tc>
          <w:tcPr>
            <w:tcW w:w="969" w:type="pct"/>
            <w:shd w:val="clear" w:color="auto" w:fill="auto"/>
            <w:vAlign w:val="center"/>
          </w:tcPr>
          <w:p w14:paraId="6B2128FC" w14:textId="77777777" w:rsidR="006152B4" w:rsidRPr="00BC31CD" w:rsidRDefault="006152B4" w:rsidP="005D0AA2">
            <w:pPr>
              <w:pStyle w:val="TableText0"/>
              <w:widowControl w:val="0"/>
              <w:jc w:val="center"/>
            </w:pPr>
            <w:r w:rsidRPr="00BC31CD">
              <w:t>Not used</w:t>
            </w:r>
          </w:p>
        </w:tc>
      </w:tr>
      <w:tr w:rsidR="006152B4" w:rsidRPr="00BC31CD" w14:paraId="17BFC518" w14:textId="77777777" w:rsidTr="00F0251A">
        <w:trPr>
          <w:cantSplit/>
        </w:trPr>
        <w:tc>
          <w:tcPr>
            <w:tcW w:w="636" w:type="pct"/>
            <w:shd w:val="clear" w:color="auto" w:fill="auto"/>
            <w:vAlign w:val="center"/>
          </w:tcPr>
          <w:p w14:paraId="72DDF05C" w14:textId="77777777" w:rsidR="006152B4" w:rsidRPr="00BC31CD" w:rsidRDefault="006152B4" w:rsidP="00E25376">
            <w:pPr>
              <w:pStyle w:val="TableText0"/>
              <w:keepNext w:val="0"/>
              <w:widowControl w:val="0"/>
            </w:pPr>
            <w:r w:rsidRPr="00BC31CD">
              <w:rPr>
                <w:szCs w:val="20"/>
              </w:rPr>
              <w:t>Weiss 2013</w:t>
            </w:r>
          </w:p>
        </w:tc>
        <w:tc>
          <w:tcPr>
            <w:tcW w:w="398" w:type="pct"/>
            <w:shd w:val="clear" w:color="auto" w:fill="auto"/>
            <w:vAlign w:val="center"/>
          </w:tcPr>
          <w:p w14:paraId="475AEC70" w14:textId="77777777" w:rsidR="006152B4" w:rsidRPr="00BC31CD" w:rsidRDefault="006152B4" w:rsidP="00E25376">
            <w:pPr>
              <w:pStyle w:val="TableText0"/>
              <w:keepNext w:val="0"/>
              <w:widowControl w:val="0"/>
              <w:jc w:val="center"/>
            </w:pPr>
            <w:r w:rsidRPr="00BC31CD">
              <w:rPr>
                <w:szCs w:val="20"/>
              </w:rPr>
              <w:t>380</w:t>
            </w:r>
          </w:p>
        </w:tc>
        <w:tc>
          <w:tcPr>
            <w:tcW w:w="506" w:type="pct"/>
            <w:shd w:val="clear" w:color="auto" w:fill="auto"/>
            <w:vAlign w:val="center"/>
          </w:tcPr>
          <w:p w14:paraId="062D57A3"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1487BE9E" w14:textId="77777777" w:rsidR="006152B4" w:rsidRPr="00BC31CD" w:rsidRDefault="006152B4" w:rsidP="00E25376">
            <w:pPr>
              <w:pStyle w:val="TableText0"/>
              <w:keepNext w:val="0"/>
              <w:widowControl w:val="0"/>
              <w:jc w:val="center"/>
              <w:rPr>
                <w:i/>
              </w:rPr>
            </w:pPr>
            <w:r w:rsidRPr="00BC31CD">
              <w:rPr>
                <w:szCs w:val="20"/>
              </w:rPr>
              <w:t>High</w:t>
            </w:r>
          </w:p>
        </w:tc>
        <w:tc>
          <w:tcPr>
            <w:tcW w:w="1105" w:type="pct"/>
            <w:shd w:val="clear" w:color="auto" w:fill="auto"/>
            <w:vAlign w:val="center"/>
          </w:tcPr>
          <w:p w14:paraId="36A861EE" w14:textId="77777777" w:rsidR="006152B4" w:rsidRPr="00BC31CD" w:rsidRDefault="006152B4" w:rsidP="00E25376">
            <w:pPr>
              <w:pStyle w:val="TableText0"/>
              <w:keepNext w:val="0"/>
              <w:widowControl w:val="0"/>
              <w:rPr>
                <w:szCs w:val="20"/>
              </w:rPr>
            </w:pPr>
            <w:r w:rsidRPr="00BC31CD">
              <w:rPr>
                <w:szCs w:val="20"/>
              </w:rPr>
              <w:t>Confirmed WD patients (diagnosis was reviewed against Leipzeig score which had to be ≥</w:t>
            </w:r>
            <w:r w:rsidR="00375014" w:rsidRPr="00BC31CD">
              <w:rPr>
                <w:szCs w:val="20"/>
              </w:rPr>
              <w:t xml:space="preserve"> </w:t>
            </w:r>
            <w:r w:rsidRPr="00BC31CD">
              <w:rPr>
                <w:szCs w:val="20"/>
              </w:rPr>
              <w:t>4)</w:t>
            </w:r>
          </w:p>
        </w:tc>
        <w:tc>
          <w:tcPr>
            <w:tcW w:w="986" w:type="pct"/>
            <w:shd w:val="clear" w:color="auto" w:fill="auto"/>
            <w:vAlign w:val="center"/>
          </w:tcPr>
          <w:p w14:paraId="74C1B994" w14:textId="77777777" w:rsidR="006152B4" w:rsidRPr="00BC31CD" w:rsidRDefault="006152B4" w:rsidP="00E25376">
            <w:pPr>
              <w:pStyle w:val="TableText0"/>
              <w:keepNext w:val="0"/>
              <w:widowControl w:val="0"/>
            </w:pPr>
            <w:r w:rsidRPr="00BC31CD">
              <w:t>Neurologic and hepatic symptoms</w:t>
            </w:r>
          </w:p>
          <w:p w14:paraId="46F965F7" w14:textId="77777777" w:rsidR="006152B4" w:rsidRPr="00BC31CD" w:rsidRDefault="006152B4" w:rsidP="00E25376">
            <w:pPr>
              <w:pStyle w:val="TableText0"/>
              <w:keepNext w:val="0"/>
              <w:widowControl w:val="0"/>
            </w:pPr>
            <w:r w:rsidRPr="00BC31CD">
              <w:t>AEs leading to therapy discontinuation</w:t>
            </w:r>
          </w:p>
        </w:tc>
        <w:tc>
          <w:tcPr>
            <w:tcW w:w="969" w:type="pct"/>
            <w:shd w:val="clear" w:color="auto" w:fill="auto"/>
            <w:vAlign w:val="center"/>
          </w:tcPr>
          <w:p w14:paraId="68C990AA" w14:textId="77777777" w:rsidR="006152B4" w:rsidRPr="00BC31CD" w:rsidRDefault="006152B4" w:rsidP="00375014">
            <w:pPr>
              <w:pStyle w:val="TableText0"/>
              <w:keepNext w:val="0"/>
              <w:widowControl w:val="0"/>
              <w:jc w:val="center"/>
            </w:pPr>
            <w:r w:rsidRPr="00BC31CD">
              <w:t xml:space="preserve">Patient characteristics; </w:t>
            </w:r>
            <w:r w:rsidR="00375014" w:rsidRPr="00BC31CD">
              <w:t>T</w:t>
            </w:r>
            <w:r w:rsidRPr="00BC31CD">
              <w:t>ime to treatment discontinuation</w:t>
            </w:r>
          </w:p>
        </w:tc>
      </w:tr>
      <w:tr w:rsidR="006152B4" w:rsidRPr="00BC31CD" w14:paraId="77F116E3" w14:textId="77777777" w:rsidTr="00F0251A">
        <w:trPr>
          <w:cantSplit/>
        </w:trPr>
        <w:tc>
          <w:tcPr>
            <w:tcW w:w="636" w:type="pct"/>
            <w:shd w:val="clear" w:color="auto" w:fill="auto"/>
            <w:vAlign w:val="center"/>
          </w:tcPr>
          <w:p w14:paraId="32F8DC72" w14:textId="77777777" w:rsidR="006152B4" w:rsidRPr="00BC31CD" w:rsidRDefault="006152B4" w:rsidP="00E25376">
            <w:pPr>
              <w:pStyle w:val="TableText0"/>
              <w:keepNext w:val="0"/>
              <w:widowControl w:val="0"/>
            </w:pPr>
            <w:r w:rsidRPr="00BC31CD">
              <w:rPr>
                <w:szCs w:val="20"/>
              </w:rPr>
              <w:t>Pfeiffenberger 2018</w:t>
            </w:r>
          </w:p>
        </w:tc>
        <w:tc>
          <w:tcPr>
            <w:tcW w:w="398" w:type="pct"/>
            <w:shd w:val="clear" w:color="auto" w:fill="auto"/>
            <w:vAlign w:val="center"/>
          </w:tcPr>
          <w:p w14:paraId="102DDA22" w14:textId="77777777" w:rsidR="006152B4" w:rsidRPr="00BC31CD" w:rsidRDefault="006152B4" w:rsidP="00E25376">
            <w:pPr>
              <w:pStyle w:val="TableText0"/>
              <w:keepNext w:val="0"/>
              <w:widowControl w:val="0"/>
              <w:jc w:val="center"/>
            </w:pPr>
            <w:r w:rsidRPr="00BC31CD">
              <w:rPr>
                <w:szCs w:val="20"/>
              </w:rPr>
              <w:t>321</w:t>
            </w:r>
          </w:p>
        </w:tc>
        <w:tc>
          <w:tcPr>
            <w:tcW w:w="506" w:type="pct"/>
            <w:shd w:val="clear" w:color="auto" w:fill="auto"/>
            <w:vAlign w:val="center"/>
          </w:tcPr>
          <w:p w14:paraId="4A16003A"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49137B8C" w14:textId="77777777" w:rsidR="006152B4" w:rsidRPr="00BC31CD" w:rsidRDefault="006152B4" w:rsidP="00E25376">
            <w:pPr>
              <w:pStyle w:val="TableText0"/>
              <w:keepNext w:val="0"/>
              <w:widowControl w:val="0"/>
              <w:jc w:val="center"/>
              <w:rPr>
                <w:i/>
              </w:rPr>
            </w:pPr>
            <w:r w:rsidRPr="00BC31CD">
              <w:rPr>
                <w:szCs w:val="20"/>
              </w:rPr>
              <w:t>High</w:t>
            </w:r>
          </w:p>
        </w:tc>
        <w:tc>
          <w:tcPr>
            <w:tcW w:w="1105" w:type="pct"/>
            <w:shd w:val="clear" w:color="auto" w:fill="auto"/>
            <w:vAlign w:val="center"/>
          </w:tcPr>
          <w:p w14:paraId="0B7798D5" w14:textId="77777777" w:rsidR="006152B4" w:rsidRPr="00BC31CD" w:rsidRDefault="006152B4" w:rsidP="00E25376">
            <w:pPr>
              <w:pStyle w:val="TableText0"/>
              <w:keepNext w:val="0"/>
              <w:widowControl w:val="0"/>
            </w:pPr>
            <w:r w:rsidRPr="00BC31CD">
              <w:rPr>
                <w:szCs w:val="20"/>
              </w:rPr>
              <w:t>Confirmed diagnosis of WD (Leipzeig score ≥</w:t>
            </w:r>
            <w:r w:rsidR="00375014" w:rsidRPr="00BC31CD">
              <w:rPr>
                <w:szCs w:val="20"/>
              </w:rPr>
              <w:t xml:space="preserve"> </w:t>
            </w:r>
            <w:r w:rsidRPr="00BC31CD">
              <w:rPr>
                <w:szCs w:val="20"/>
              </w:rPr>
              <w:t xml:space="preserve">4) </w:t>
            </w:r>
          </w:p>
        </w:tc>
        <w:tc>
          <w:tcPr>
            <w:tcW w:w="986" w:type="pct"/>
            <w:shd w:val="clear" w:color="auto" w:fill="auto"/>
            <w:vAlign w:val="center"/>
          </w:tcPr>
          <w:p w14:paraId="062ED73C" w14:textId="77777777" w:rsidR="006152B4" w:rsidRPr="00BC31CD" w:rsidRDefault="006152B4" w:rsidP="00E25376">
            <w:pPr>
              <w:pStyle w:val="TableText0"/>
            </w:pPr>
            <w:r w:rsidRPr="00BC31CD">
              <w:t>Serum NCC</w:t>
            </w:r>
          </w:p>
          <w:p w14:paraId="4E03C095" w14:textId="77777777" w:rsidR="006152B4" w:rsidRPr="00BC31CD" w:rsidRDefault="006152B4" w:rsidP="00E25376">
            <w:pPr>
              <w:pStyle w:val="TableText0"/>
              <w:keepNext w:val="0"/>
              <w:widowControl w:val="0"/>
            </w:pPr>
            <w:r w:rsidRPr="00BC31CD">
              <w:t>24-hour UCE</w:t>
            </w:r>
          </w:p>
        </w:tc>
        <w:tc>
          <w:tcPr>
            <w:tcW w:w="969" w:type="pct"/>
            <w:shd w:val="clear" w:color="auto" w:fill="auto"/>
            <w:vAlign w:val="center"/>
          </w:tcPr>
          <w:p w14:paraId="00FFFF48" w14:textId="77777777" w:rsidR="006152B4" w:rsidRPr="00BC31CD" w:rsidRDefault="0005589C" w:rsidP="00E25376">
            <w:pPr>
              <w:pStyle w:val="TableText0"/>
              <w:keepNext w:val="0"/>
              <w:widowControl w:val="0"/>
              <w:jc w:val="center"/>
            </w:pPr>
            <w:r w:rsidRPr="00BC31CD">
              <w:t>Not used</w:t>
            </w:r>
          </w:p>
        </w:tc>
      </w:tr>
      <w:tr w:rsidR="006152B4" w:rsidRPr="00BC31CD" w14:paraId="0A5B0BD3" w14:textId="77777777" w:rsidTr="00F0251A">
        <w:trPr>
          <w:cantSplit/>
        </w:trPr>
        <w:tc>
          <w:tcPr>
            <w:tcW w:w="5000" w:type="pct"/>
            <w:gridSpan w:val="7"/>
            <w:shd w:val="clear" w:color="auto" w:fill="auto"/>
            <w:vAlign w:val="center"/>
          </w:tcPr>
          <w:p w14:paraId="77080955" w14:textId="77777777" w:rsidR="006152B4" w:rsidRPr="00BC31CD" w:rsidRDefault="006152B4" w:rsidP="00E25376">
            <w:pPr>
              <w:pStyle w:val="TableText0"/>
              <w:keepNext w:val="0"/>
              <w:widowControl w:val="0"/>
              <w:rPr>
                <w:b/>
                <w:bCs w:val="0"/>
              </w:rPr>
            </w:pPr>
            <w:r w:rsidRPr="00BC31CD">
              <w:rPr>
                <w:b/>
                <w:bCs w:val="0"/>
                <w:szCs w:val="20"/>
              </w:rPr>
              <w:t>Studies of chelation vs. BSC</w:t>
            </w:r>
          </w:p>
        </w:tc>
      </w:tr>
      <w:tr w:rsidR="006152B4" w:rsidRPr="00BC31CD" w14:paraId="302ACAAE" w14:textId="77777777" w:rsidTr="00F0251A">
        <w:trPr>
          <w:cantSplit/>
        </w:trPr>
        <w:tc>
          <w:tcPr>
            <w:tcW w:w="636" w:type="pct"/>
            <w:shd w:val="clear" w:color="auto" w:fill="auto"/>
            <w:vAlign w:val="center"/>
          </w:tcPr>
          <w:p w14:paraId="61E16090" w14:textId="77777777" w:rsidR="006152B4" w:rsidRPr="00BC31CD" w:rsidRDefault="006152B4" w:rsidP="00E25376">
            <w:pPr>
              <w:pStyle w:val="TableText0"/>
              <w:keepNext w:val="0"/>
              <w:widowControl w:val="0"/>
            </w:pPr>
            <w:r w:rsidRPr="00BC31CD">
              <w:rPr>
                <w:szCs w:val="20"/>
              </w:rPr>
              <w:t>Goldstein 1968</w:t>
            </w:r>
          </w:p>
        </w:tc>
        <w:tc>
          <w:tcPr>
            <w:tcW w:w="398" w:type="pct"/>
            <w:shd w:val="clear" w:color="auto" w:fill="auto"/>
            <w:vAlign w:val="center"/>
          </w:tcPr>
          <w:p w14:paraId="1E425605" w14:textId="77777777" w:rsidR="006152B4" w:rsidRPr="00BC31CD" w:rsidRDefault="006152B4" w:rsidP="00E25376">
            <w:pPr>
              <w:pStyle w:val="TableText0"/>
              <w:keepNext w:val="0"/>
              <w:widowControl w:val="0"/>
              <w:jc w:val="center"/>
            </w:pPr>
            <w:r w:rsidRPr="00BC31CD">
              <w:rPr>
                <w:szCs w:val="20"/>
              </w:rPr>
              <w:t>27</w:t>
            </w:r>
          </w:p>
        </w:tc>
        <w:tc>
          <w:tcPr>
            <w:tcW w:w="506" w:type="pct"/>
            <w:shd w:val="clear" w:color="auto" w:fill="auto"/>
            <w:vAlign w:val="center"/>
          </w:tcPr>
          <w:p w14:paraId="71EAD242"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58912303" w14:textId="77777777" w:rsidR="006152B4" w:rsidRPr="00BC31CD" w:rsidRDefault="006152B4" w:rsidP="00E25376">
            <w:pPr>
              <w:pStyle w:val="TableText0"/>
              <w:keepNext w:val="0"/>
              <w:widowControl w:val="0"/>
              <w:jc w:val="center"/>
              <w:rPr>
                <w:i/>
              </w:rPr>
            </w:pPr>
            <w:r w:rsidRPr="00BC31CD">
              <w:rPr>
                <w:szCs w:val="20"/>
              </w:rPr>
              <w:t>High</w:t>
            </w:r>
          </w:p>
        </w:tc>
        <w:tc>
          <w:tcPr>
            <w:tcW w:w="1105" w:type="pct"/>
            <w:vMerge w:val="restart"/>
            <w:shd w:val="clear" w:color="auto" w:fill="auto"/>
            <w:vAlign w:val="center"/>
          </w:tcPr>
          <w:p w14:paraId="52F91FCD" w14:textId="77777777" w:rsidR="006152B4" w:rsidRPr="00BC31CD" w:rsidRDefault="006152B4" w:rsidP="00E25376">
            <w:pPr>
              <w:pStyle w:val="TableText0"/>
              <w:keepNext w:val="0"/>
              <w:widowControl w:val="0"/>
              <w:rPr>
                <w:szCs w:val="20"/>
              </w:rPr>
            </w:pPr>
            <w:r w:rsidRPr="00BC31CD">
              <w:rPr>
                <w:szCs w:val="20"/>
              </w:rPr>
              <w:t>Diagnosed WD patients (based on clinical signs and symptoms, biochemical parameters)</w:t>
            </w:r>
          </w:p>
        </w:tc>
        <w:tc>
          <w:tcPr>
            <w:tcW w:w="986" w:type="pct"/>
            <w:vMerge w:val="restart"/>
            <w:shd w:val="clear" w:color="auto" w:fill="auto"/>
            <w:vAlign w:val="center"/>
          </w:tcPr>
          <w:p w14:paraId="3A45E306" w14:textId="77777777" w:rsidR="006152B4" w:rsidRPr="00BC31CD" w:rsidRDefault="006152B4" w:rsidP="00E25376">
            <w:pPr>
              <w:pStyle w:val="TableText0"/>
            </w:pPr>
            <w:r w:rsidRPr="00BC31CD">
              <w:t>Mortality; presence/absence of symptoms</w:t>
            </w:r>
          </w:p>
        </w:tc>
        <w:tc>
          <w:tcPr>
            <w:tcW w:w="969" w:type="pct"/>
            <w:vMerge w:val="restart"/>
            <w:shd w:val="clear" w:color="auto" w:fill="auto"/>
            <w:vAlign w:val="center"/>
          </w:tcPr>
          <w:p w14:paraId="26233812" w14:textId="77777777" w:rsidR="006152B4" w:rsidRPr="00BC31CD" w:rsidRDefault="006152B4" w:rsidP="00E25376">
            <w:pPr>
              <w:pStyle w:val="TableText0"/>
              <w:keepNext w:val="0"/>
              <w:widowControl w:val="0"/>
              <w:jc w:val="center"/>
            </w:pPr>
            <w:r w:rsidRPr="00BC31CD">
              <w:t>Not used</w:t>
            </w:r>
          </w:p>
        </w:tc>
      </w:tr>
      <w:tr w:rsidR="006152B4" w:rsidRPr="00BC31CD" w14:paraId="7AC3DE95" w14:textId="77777777" w:rsidTr="00F0251A">
        <w:trPr>
          <w:cantSplit/>
        </w:trPr>
        <w:tc>
          <w:tcPr>
            <w:tcW w:w="636" w:type="pct"/>
            <w:shd w:val="clear" w:color="auto" w:fill="auto"/>
            <w:vAlign w:val="center"/>
          </w:tcPr>
          <w:p w14:paraId="74AE3B44" w14:textId="77777777" w:rsidR="006152B4" w:rsidRPr="00BC31CD" w:rsidRDefault="006152B4" w:rsidP="00E25376">
            <w:pPr>
              <w:pStyle w:val="TableText0"/>
              <w:keepNext w:val="0"/>
              <w:widowControl w:val="0"/>
            </w:pPr>
            <w:r w:rsidRPr="00BC31CD">
              <w:rPr>
                <w:szCs w:val="20"/>
              </w:rPr>
              <w:t>Sternlieb 1968</w:t>
            </w:r>
          </w:p>
        </w:tc>
        <w:tc>
          <w:tcPr>
            <w:tcW w:w="398" w:type="pct"/>
            <w:shd w:val="clear" w:color="auto" w:fill="auto"/>
            <w:vAlign w:val="center"/>
          </w:tcPr>
          <w:p w14:paraId="5B249989" w14:textId="77777777" w:rsidR="006152B4" w:rsidRPr="00BC31CD" w:rsidRDefault="006152B4" w:rsidP="00E25376">
            <w:pPr>
              <w:pStyle w:val="TableText0"/>
              <w:keepNext w:val="0"/>
              <w:widowControl w:val="0"/>
              <w:jc w:val="center"/>
            </w:pPr>
            <w:r w:rsidRPr="00BC31CD">
              <w:rPr>
                <w:szCs w:val="20"/>
              </w:rPr>
              <w:t>53</w:t>
            </w:r>
          </w:p>
        </w:tc>
        <w:tc>
          <w:tcPr>
            <w:tcW w:w="506" w:type="pct"/>
            <w:shd w:val="clear" w:color="auto" w:fill="auto"/>
            <w:vAlign w:val="center"/>
          </w:tcPr>
          <w:p w14:paraId="26230419"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2860F911" w14:textId="77777777" w:rsidR="006152B4" w:rsidRPr="00BC31CD" w:rsidRDefault="006152B4" w:rsidP="00E25376">
            <w:pPr>
              <w:pStyle w:val="TableText0"/>
              <w:keepNext w:val="0"/>
              <w:widowControl w:val="0"/>
              <w:jc w:val="center"/>
              <w:rPr>
                <w:i/>
              </w:rPr>
            </w:pPr>
            <w:r w:rsidRPr="00BC31CD">
              <w:rPr>
                <w:szCs w:val="20"/>
              </w:rPr>
              <w:t>High</w:t>
            </w:r>
          </w:p>
        </w:tc>
        <w:tc>
          <w:tcPr>
            <w:tcW w:w="1105" w:type="pct"/>
            <w:vMerge/>
            <w:shd w:val="clear" w:color="auto" w:fill="auto"/>
            <w:vAlign w:val="center"/>
          </w:tcPr>
          <w:p w14:paraId="2B3FCDAE" w14:textId="77777777" w:rsidR="006152B4" w:rsidRPr="00BC31CD" w:rsidRDefault="006152B4" w:rsidP="00E25376">
            <w:pPr>
              <w:pStyle w:val="TableText0"/>
              <w:keepNext w:val="0"/>
              <w:widowControl w:val="0"/>
            </w:pPr>
          </w:p>
        </w:tc>
        <w:tc>
          <w:tcPr>
            <w:tcW w:w="986" w:type="pct"/>
            <w:vMerge/>
            <w:shd w:val="clear" w:color="auto" w:fill="auto"/>
            <w:vAlign w:val="center"/>
          </w:tcPr>
          <w:p w14:paraId="49C25125" w14:textId="77777777" w:rsidR="006152B4" w:rsidRPr="00BC31CD" w:rsidRDefault="006152B4" w:rsidP="00E25376">
            <w:pPr>
              <w:pStyle w:val="TableText0"/>
              <w:keepNext w:val="0"/>
              <w:widowControl w:val="0"/>
            </w:pPr>
          </w:p>
        </w:tc>
        <w:tc>
          <w:tcPr>
            <w:tcW w:w="969" w:type="pct"/>
            <w:vMerge/>
            <w:shd w:val="clear" w:color="auto" w:fill="auto"/>
            <w:vAlign w:val="center"/>
          </w:tcPr>
          <w:p w14:paraId="3EAFD67A" w14:textId="77777777" w:rsidR="006152B4" w:rsidRPr="00BC31CD" w:rsidRDefault="006152B4" w:rsidP="00E25376">
            <w:pPr>
              <w:pStyle w:val="TableText0"/>
              <w:keepNext w:val="0"/>
              <w:widowControl w:val="0"/>
            </w:pPr>
          </w:p>
        </w:tc>
      </w:tr>
      <w:tr w:rsidR="006152B4" w:rsidRPr="00BC31CD" w14:paraId="25A11065" w14:textId="77777777" w:rsidTr="00F0251A">
        <w:trPr>
          <w:cantSplit/>
        </w:trPr>
        <w:tc>
          <w:tcPr>
            <w:tcW w:w="636" w:type="pct"/>
            <w:shd w:val="clear" w:color="auto" w:fill="auto"/>
            <w:vAlign w:val="center"/>
          </w:tcPr>
          <w:p w14:paraId="473EF948" w14:textId="77777777" w:rsidR="006152B4" w:rsidRPr="00BC31CD" w:rsidRDefault="006152B4" w:rsidP="00E25376">
            <w:pPr>
              <w:pStyle w:val="TableText0"/>
              <w:keepNext w:val="0"/>
              <w:widowControl w:val="0"/>
            </w:pPr>
            <w:r w:rsidRPr="00BC31CD">
              <w:rPr>
                <w:szCs w:val="20"/>
              </w:rPr>
              <w:t>Strickland 1973</w:t>
            </w:r>
          </w:p>
        </w:tc>
        <w:tc>
          <w:tcPr>
            <w:tcW w:w="398" w:type="pct"/>
            <w:shd w:val="clear" w:color="auto" w:fill="auto"/>
            <w:vAlign w:val="center"/>
          </w:tcPr>
          <w:p w14:paraId="55EE226F" w14:textId="77777777" w:rsidR="006152B4" w:rsidRPr="00BC31CD" w:rsidRDefault="006152B4" w:rsidP="00E25376">
            <w:pPr>
              <w:pStyle w:val="TableText0"/>
              <w:keepNext w:val="0"/>
              <w:widowControl w:val="0"/>
              <w:jc w:val="center"/>
            </w:pPr>
            <w:r w:rsidRPr="00BC31CD">
              <w:rPr>
                <w:szCs w:val="20"/>
              </w:rPr>
              <w:t>142</w:t>
            </w:r>
          </w:p>
        </w:tc>
        <w:tc>
          <w:tcPr>
            <w:tcW w:w="506" w:type="pct"/>
            <w:shd w:val="clear" w:color="auto" w:fill="auto"/>
            <w:vAlign w:val="center"/>
          </w:tcPr>
          <w:p w14:paraId="2BABF004"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7E238E4F" w14:textId="77777777" w:rsidR="006152B4" w:rsidRPr="00BC31CD" w:rsidRDefault="006152B4" w:rsidP="00E25376">
            <w:pPr>
              <w:pStyle w:val="TableText0"/>
              <w:keepNext w:val="0"/>
              <w:widowControl w:val="0"/>
              <w:jc w:val="center"/>
              <w:rPr>
                <w:i/>
              </w:rPr>
            </w:pPr>
            <w:r w:rsidRPr="00BC31CD">
              <w:rPr>
                <w:szCs w:val="20"/>
              </w:rPr>
              <w:t>High</w:t>
            </w:r>
          </w:p>
        </w:tc>
        <w:tc>
          <w:tcPr>
            <w:tcW w:w="1105" w:type="pct"/>
            <w:vMerge/>
            <w:shd w:val="clear" w:color="auto" w:fill="auto"/>
            <w:vAlign w:val="center"/>
          </w:tcPr>
          <w:p w14:paraId="35176A21" w14:textId="77777777" w:rsidR="006152B4" w:rsidRPr="00BC31CD" w:rsidRDefault="006152B4" w:rsidP="00E25376">
            <w:pPr>
              <w:pStyle w:val="TableText0"/>
              <w:keepNext w:val="0"/>
              <w:widowControl w:val="0"/>
            </w:pPr>
          </w:p>
        </w:tc>
        <w:tc>
          <w:tcPr>
            <w:tcW w:w="986" w:type="pct"/>
            <w:vMerge/>
            <w:shd w:val="clear" w:color="auto" w:fill="auto"/>
            <w:vAlign w:val="center"/>
          </w:tcPr>
          <w:p w14:paraId="5E4F5086" w14:textId="77777777" w:rsidR="006152B4" w:rsidRPr="00BC31CD" w:rsidRDefault="006152B4" w:rsidP="00E25376">
            <w:pPr>
              <w:pStyle w:val="TableText0"/>
              <w:keepNext w:val="0"/>
              <w:widowControl w:val="0"/>
            </w:pPr>
          </w:p>
        </w:tc>
        <w:tc>
          <w:tcPr>
            <w:tcW w:w="969" w:type="pct"/>
            <w:vMerge/>
            <w:shd w:val="clear" w:color="auto" w:fill="auto"/>
            <w:vAlign w:val="center"/>
          </w:tcPr>
          <w:p w14:paraId="23D10B09" w14:textId="77777777" w:rsidR="006152B4" w:rsidRPr="00BC31CD" w:rsidRDefault="006152B4" w:rsidP="00E25376">
            <w:pPr>
              <w:pStyle w:val="TableText0"/>
              <w:keepNext w:val="0"/>
              <w:widowControl w:val="0"/>
            </w:pPr>
          </w:p>
        </w:tc>
      </w:tr>
      <w:tr w:rsidR="006152B4" w:rsidRPr="00BC31CD" w14:paraId="00F45968" w14:textId="77777777" w:rsidTr="00F0251A">
        <w:trPr>
          <w:cantSplit/>
        </w:trPr>
        <w:tc>
          <w:tcPr>
            <w:tcW w:w="636" w:type="pct"/>
            <w:shd w:val="clear" w:color="auto" w:fill="auto"/>
            <w:vAlign w:val="center"/>
          </w:tcPr>
          <w:p w14:paraId="2EFEA80B" w14:textId="77777777" w:rsidR="006152B4" w:rsidRPr="00BC31CD" w:rsidRDefault="006152B4" w:rsidP="00E25376">
            <w:pPr>
              <w:pStyle w:val="TableText0"/>
              <w:keepNext w:val="0"/>
              <w:widowControl w:val="0"/>
            </w:pPr>
            <w:r w:rsidRPr="00BC31CD">
              <w:rPr>
                <w:szCs w:val="20"/>
              </w:rPr>
              <w:t>Durand 2001</w:t>
            </w:r>
          </w:p>
        </w:tc>
        <w:tc>
          <w:tcPr>
            <w:tcW w:w="398" w:type="pct"/>
            <w:shd w:val="clear" w:color="auto" w:fill="auto"/>
            <w:vAlign w:val="center"/>
          </w:tcPr>
          <w:p w14:paraId="7A816E0E" w14:textId="77777777" w:rsidR="006152B4" w:rsidRPr="00BC31CD" w:rsidRDefault="006152B4" w:rsidP="00E25376">
            <w:pPr>
              <w:pStyle w:val="TableText0"/>
              <w:keepNext w:val="0"/>
              <w:widowControl w:val="0"/>
              <w:jc w:val="center"/>
            </w:pPr>
            <w:r w:rsidRPr="00BC31CD">
              <w:rPr>
                <w:szCs w:val="20"/>
              </w:rPr>
              <w:t>17</w:t>
            </w:r>
          </w:p>
        </w:tc>
        <w:tc>
          <w:tcPr>
            <w:tcW w:w="506" w:type="pct"/>
            <w:shd w:val="clear" w:color="auto" w:fill="auto"/>
            <w:vAlign w:val="center"/>
          </w:tcPr>
          <w:p w14:paraId="52681AE7"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7EDCE7A8" w14:textId="77777777" w:rsidR="006152B4" w:rsidRPr="00BC31CD" w:rsidRDefault="006152B4" w:rsidP="00E25376">
            <w:pPr>
              <w:pStyle w:val="TableText0"/>
              <w:keepNext w:val="0"/>
              <w:widowControl w:val="0"/>
              <w:jc w:val="center"/>
              <w:rPr>
                <w:i/>
              </w:rPr>
            </w:pPr>
            <w:r w:rsidRPr="00BC31CD">
              <w:rPr>
                <w:szCs w:val="20"/>
              </w:rPr>
              <w:t>High</w:t>
            </w:r>
          </w:p>
        </w:tc>
        <w:tc>
          <w:tcPr>
            <w:tcW w:w="1105" w:type="pct"/>
            <w:vMerge w:val="restart"/>
            <w:shd w:val="clear" w:color="auto" w:fill="auto"/>
            <w:vAlign w:val="center"/>
          </w:tcPr>
          <w:p w14:paraId="7BB00CC4" w14:textId="77777777" w:rsidR="006152B4" w:rsidRPr="00BC31CD" w:rsidRDefault="006152B4" w:rsidP="00E25376">
            <w:pPr>
              <w:pStyle w:val="TableText0"/>
              <w:keepNext w:val="0"/>
              <w:widowControl w:val="0"/>
            </w:pPr>
            <w:r w:rsidRPr="00BC31CD">
              <w:rPr>
                <w:szCs w:val="20"/>
              </w:rPr>
              <w:t>Diagnosed WD patients (based on clinical signs and symptoms, biochemical parameters, family history)</w:t>
            </w:r>
          </w:p>
        </w:tc>
        <w:tc>
          <w:tcPr>
            <w:tcW w:w="986" w:type="pct"/>
            <w:vMerge/>
            <w:shd w:val="clear" w:color="auto" w:fill="auto"/>
            <w:vAlign w:val="center"/>
          </w:tcPr>
          <w:p w14:paraId="2BE6BB68" w14:textId="77777777" w:rsidR="006152B4" w:rsidRPr="00BC31CD" w:rsidRDefault="006152B4" w:rsidP="00E25376">
            <w:pPr>
              <w:pStyle w:val="TableText0"/>
              <w:keepNext w:val="0"/>
              <w:widowControl w:val="0"/>
            </w:pPr>
          </w:p>
        </w:tc>
        <w:tc>
          <w:tcPr>
            <w:tcW w:w="969" w:type="pct"/>
            <w:vMerge/>
            <w:shd w:val="clear" w:color="auto" w:fill="auto"/>
            <w:vAlign w:val="center"/>
          </w:tcPr>
          <w:p w14:paraId="4DB05687" w14:textId="77777777" w:rsidR="006152B4" w:rsidRPr="00BC31CD" w:rsidRDefault="006152B4" w:rsidP="00E25376">
            <w:pPr>
              <w:pStyle w:val="TableText0"/>
              <w:keepNext w:val="0"/>
              <w:widowControl w:val="0"/>
            </w:pPr>
          </w:p>
        </w:tc>
      </w:tr>
      <w:tr w:rsidR="006152B4" w:rsidRPr="00BC31CD" w14:paraId="45707D6F" w14:textId="77777777" w:rsidTr="00F0251A">
        <w:trPr>
          <w:cantSplit/>
        </w:trPr>
        <w:tc>
          <w:tcPr>
            <w:tcW w:w="636" w:type="pct"/>
            <w:shd w:val="clear" w:color="auto" w:fill="auto"/>
            <w:vAlign w:val="center"/>
          </w:tcPr>
          <w:p w14:paraId="39168E86" w14:textId="77777777" w:rsidR="006152B4" w:rsidRPr="00BC31CD" w:rsidRDefault="006152B4" w:rsidP="00E25376">
            <w:pPr>
              <w:pStyle w:val="TableText0"/>
              <w:keepNext w:val="0"/>
              <w:widowControl w:val="0"/>
            </w:pPr>
            <w:r w:rsidRPr="00BC31CD">
              <w:rPr>
                <w:szCs w:val="20"/>
              </w:rPr>
              <w:t>Scheinberg,</w:t>
            </w:r>
            <w:r w:rsidR="00611789" w:rsidRPr="00BC31CD">
              <w:rPr>
                <w:szCs w:val="20"/>
              </w:rPr>
              <w:t xml:space="preserve"> </w:t>
            </w:r>
            <w:r w:rsidRPr="00BC31CD">
              <w:rPr>
                <w:szCs w:val="20"/>
              </w:rPr>
              <w:t>1987</w:t>
            </w:r>
          </w:p>
        </w:tc>
        <w:tc>
          <w:tcPr>
            <w:tcW w:w="398" w:type="pct"/>
            <w:shd w:val="clear" w:color="auto" w:fill="auto"/>
            <w:vAlign w:val="center"/>
          </w:tcPr>
          <w:p w14:paraId="316676CF" w14:textId="77777777" w:rsidR="006152B4" w:rsidRPr="00BC31CD" w:rsidRDefault="006152B4" w:rsidP="00E25376">
            <w:pPr>
              <w:pStyle w:val="TableText0"/>
              <w:keepNext w:val="0"/>
              <w:widowControl w:val="0"/>
              <w:jc w:val="center"/>
            </w:pPr>
            <w:r w:rsidRPr="00BC31CD">
              <w:rPr>
                <w:szCs w:val="20"/>
              </w:rPr>
              <w:t>24</w:t>
            </w:r>
          </w:p>
        </w:tc>
        <w:tc>
          <w:tcPr>
            <w:tcW w:w="506" w:type="pct"/>
            <w:shd w:val="clear" w:color="auto" w:fill="auto"/>
            <w:vAlign w:val="center"/>
          </w:tcPr>
          <w:p w14:paraId="42E8B71E" w14:textId="77777777" w:rsidR="006152B4" w:rsidRPr="00BC31CD" w:rsidRDefault="006152B4" w:rsidP="00E25376">
            <w:pPr>
              <w:pStyle w:val="TableText0"/>
              <w:keepNext w:val="0"/>
              <w:widowControl w:val="0"/>
              <w:jc w:val="center"/>
            </w:pPr>
            <w:r w:rsidRPr="00BC31CD">
              <w:rPr>
                <w:rFonts w:cs="Arial"/>
                <w:color w:val="000000"/>
                <w:szCs w:val="20"/>
              </w:rPr>
              <w:t>RR</w:t>
            </w:r>
          </w:p>
        </w:tc>
        <w:tc>
          <w:tcPr>
            <w:tcW w:w="399" w:type="pct"/>
            <w:shd w:val="clear" w:color="auto" w:fill="auto"/>
            <w:vAlign w:val="center"/>
          </w:tcPr>
          <w:p w14:paraId="74C5E485" w14:textId="77777777" w:rsidR="006152B4" w:rsidRPr="00BC31CD" w:rsidRDefault="006152B4" w:rsidP="00E25376">
            <w:pPr>
              <w:pStyle w:val="TableText0"/>
              <w:keepNext w:val="0"/>
              <w:widowControl w:val="0"/>
              <w:jc w:val="center"/>
              <w:rPr>
                <w:i/>
              </w:rPr>
            </w:pPr>
            <w:r w:rsidRPr="00BC31CD">
              <w:rPr>
                <w:szCs w:val="20"/>
              </w:rPr>
              <w:t>High</w:t>
            </w:r>
          </w:p>
        </w:tc>
        <w:tc>
          <w:tcPr>
            <w:tcW w:w="1105" w:type="pct"/>
            <w:vMerge/>
            <w:shd w:val="clear" w:color="auto" w:fill="auto"/>
            <w:vAlign w:val="center"/>
          </w:tcPr>
          <w:p w14:paraId="66DCAE5C" w14:textId="77777777" w:rsidR="006152B4" w:rsidRPr="00BC31CD" w:rsidRDefault="006152B4" w:rsidP="00E25376">
            <w:pPr>
              <w:pStyle w:val="TableText0"/>
              <w:keepNext w:val="0"/>
              <w:widowControl w:val="0"/>
            </w:pPr>
          </w:p>
        </w:tc>
        <w:tc>
          <w:tcPr>
            <w:tcW w:w="986" w:type="pct"/>
            <w:vMerge/>
            <w:shd w:val="clear" w:color="auto" w:fill="auto"/>
            <w:vAlign w:val="center"/>
          </w:tcPr>
          <w:p w14:paraId="3B19FCED" w14:textId="77777777" w:rsidR="006152B4" w:rsidRPr="00BC31CD" w:rsidRDefault="006152B4" w:rsidP="00E25376">
            <w:pPr>
              <w:pStyle w:val="TableText0"/>
              <w:keepNext w:val="0"/>
              <w:widowControl w:val="0"/>
            </w:pPr>
          </w:p>
        </w:tc>
        <w:tc>
          <w:tcPr>
            <w:tcW w:w="969" w:type="pct"/>
            <w:vMerge/>
            <w:shd w:val="clear" w:color="auto" w:fill="auto"/>
            <w:vAlign w:val="center"/>
          </w:tcPr>
          <w:p w14:paraId="6F08F373" w14:textId="77777777" w:rsidR="006152B4" w:rsidRPr="00BC31CD" w:rsidRDefault="006152B4" w:rsidP="00E25376">
            <w:pPr>
              <w:pStyle w:val="TableText0"/>
              <w:keepNext w:val="0"/>
              <w:widowControl w:val="0"/>
            </w:pPr>
          </w:p>
        </w:tc>
      </w:tr>
      <w:tr w:rsidR="006152B4" w:rsidRPr="00BC31CD" w14:paraId="2BCBF6E9" w14:textId="77777777" w:rsidTr="00F0251A">
        <w:trPr>
          <w:cantSplit/>
        </w:trPr>
        <w:tc>
          <w:tcPr>
            <w:tcW w:w="5000" w:type="pct"/>
            <w:gridSpan w:val="7"/>
            <w:shd w:val="clear" w:color="auto" w:fill="auto"/>
            <w:vAlign w:val="center"/>
          </w:tcPr>
          <w:p w14:paraId="0788F281" w14:textId="77777777" w:rsidR="006152B4" w:rsidRPr="00BC31CD" w:rsidRDefault="006152B4" w:rsidP="00E25376">
            <w:pPr>
              <w:pStyle w:val="TableText0"/>
              <w:keepNext w:val="0"/>
              <w:widowControl w:val="0"/>
              <w:rPr>
                <w:b/>
                <w:bCs w:val="0"/>
              </w:rPr>
            </w:pPr>
            <w:r w:rsidRPr="00BC31CD">
              <w:rPr>
                <w:b/>
                <w:bCs w:val="0"/>
              </w:rPr>
              <w:t>Systematic review/meta-analysis</w:t>
            </w:r>
          </w:p>
        </w:tc>
      </w:tr>
      <w:tr w:rsidR="006152B4" w:rsidRPr="00BC31CD" w14:paraId="3DF40A28" w14:textId="77777777" w:rsidTr="00F0251A">
        <w:trPr>
          <w:cantSplit/>
        </w:trPr>
        <w:tc>
          <w:tcPr>
            <w:tcW w:w="636" w:type="pct"/>
            <w:shd w:val="clear" w:color="auto" w:fill="auto"/>
            <w:vAlign w:val="center"/>
          </w:tcPr>
          <w:p w14:paraId="4ACC1D63" w14:textId="77777777" w:rsidR="006152B4" w:rsidRPr="00BC31CD" w:rsidRDefault="006152B4" w:rsidP="00E25376">
            <w:pPr>
              <w:pStyle w:val="TableText0"/>
              <w:keepNext w:val="0"/>
              <w:widowControl w:val="0"/>
            </w:pPr>
            <w:r w:rsidRPr="00BC31CD">
              <w:rPr>
                <w:szCs w:val="20"/>
              </w:rPr>
              <w:t>Appenzeller-Herzog 2019</w:t>
            </w:r>
          </w:p>
        </w:tc>
        <w:tc>
          <w:tcPr>
            <w:tcW w:w="398" w:type="pct"/>
            <w:shd w:val="clear" w:color="auto" w:fill="auto"/>
            <w:vAlign w:val="center"/>
          </w:tcPr>
          <w:p w14:paraId="13904984" w14:textId="77777777" w:rsidR="006152B4" w:rsidRPr="00BC31CD" w:rsidRDefault="006152B4" w:rsidP="00E25376">
            <w:pPr>
              <w:pStyle w:val="TableText0"/>
              <w:keepNext w:val="0"/>
              <w:widowControl w:val="0"/>
              <w:jc w:val="center"/>
              <w:rPr>
                <w:rFonts w:cs="Arial"/>
                <w:color w:val="000000"/>
                <w:szCs w:val="20"/>
              </w:rPr>
            </w:pPr>
            <w:r w:rsidRPr="00BC31CD">
              <w:rPr>
                <w:rFonts w:cs="Arial"/>
                <w:color w:val="000000"/>
                <w:szCs w:val="20"/>
              </w:rPr>
              <w:t xml:space="preserve">23 studies; </w:t>
            </w:r>
          </w:p>
          <w:p w14:paraId="21610BAC" w14:textId="77777777" w:rsidR="006152B4" w:rsidRPr="00BC31CD" w:rsidRDefault="006152B4" w:rsidP="00E25376">
            <w:pPr>
              <w:pStyle w:val="TableText0"/>
              <w:keepNext w:val="0"/>
              <w:widowControl w:val="0"/>
              <w:jc w:val="center"/>
            </w:pPr>
            <w:r w:rsidRPr="00BC31CD">
              <w:rPr>
                <w:rFonts w:cs="Arial"/>
                <w:color w:val="000000"/>
                <w:szCs w:val="20"/>
              </w:rPr>
              <w:t>2</w:t>
            </w:r>
            <w:r w:rsidR="00085949" w:rsidRPr="00BC31CD">
              <w:rPr>
                <w:rFonts w:cs="Arial"/>
                <w:color w:val="000000"/>
                <w:szCs w:val="20"/>
              </w:rPr>
              <w:t>,</w:t>
            </w:r>
            <w:r w:rsidRPr="00BC31CD">
              <w:rPr>
                <w:rFonts w:cs="Arial"/>
                <w:color w:val="000000"/>
                <w:szCs w:val="20"/>
              </w:rPr>
              <w:t>055 patients</w:t>
            </w:r>
          </w:p>
        </w:tc>
        <w:tc>
          <w:tcPr>
            <w:tcW w:w="506" w:type="pct"/>
            <w:shd w:val="clear" w:color="auto" w:fill="auto"/>
            <w:vAlign w:val="center"/>
          </w:tcPr>
          <w:p w14:paraId="23097A3C" w14:textId="77777777" w:rsidR="006152B4" w:rsidRPr="00BC31CD" w:rsidRDefault="006152B4" w:rsidP="00E25376">
            <w:pPr>
              <w:pStyle w:val="TableText0"/>
              <w:keepNext w:val="0"/>
              <w:widowControl w:val="0"/>
              <w:jc w:val="center"/>
            </w:pPr>
            <w:r w:rsidRPr="00BC31CD">
              <w:t>SR</w:t>
            </w:r>
          </w:p>
        </w:tc>
        <w:tc>
          <w:tcPr>
            <w:tcW w:w="399" w:type="pct"/>
            <w:shd w:val="clear" w:color="auto" w:fill="auto"/>
            <w:vAlign w:val="center"/>
          </w:tcPr>
          <w:p w14:paraId="3DA324D7" w14:textId="77777777" w:rsidR="006152B4" w:rsidRPr="00BC31CD" w:rsidRDefault="006152B4" w:rsidP="00E25376">
            <w:pPr>
              <w:pStyle w:val="TableText0"/>
              <w:keepNext w:val="0"/>
              <w:widowControl w:val="0"/>
              <w:jc w:val="center"/>
            </w:pPr>
            <w:r w:rsidRPr="00BC31CD">
              <w:rPr>
                <w:szCs w:val="20"/>
              </w:rPr>
              <w:t>High</w:t>
            </w:r>
            <w:r w:rsidRPr="00BC31CD">
              <w:rPr>
                <w:szCs w:val="20"/>
                <w:vertAlign w:val="superscript"/>
              </w:rPr>
              <w:t>a</w:t>
            </w:r>
          </w:p>
        </w:tc>
        <w:tc>
          <w:tcPr>
            <w:tcW w:w="1105" w:type="pct"/>
            <w:shd w:val="clear" w:color="auto" w:fill="auto"/>
            <w:vAlign w:val="center"/>
          </w:tcPr>
          <w:p w14:paraId="36C92C2A" w14:textId="77777777" w:rsidR="006152B4" w:rsidRPr="00BC31CD" w:rsidRDefault="006152B4" w:rsidP="00E25376">
            <w:pPr>
              <w:pStyle w:val="TableText0"/>
              <w:keepNext w:val="0"/>
              <w:widowControl w:val="0"/>
            </w:pPr>
            <w:r w:rsidRPr="00BC31CD">
              <w:t>WD patients treated with DPA, trientine, TTM or zinc</w:t>
            </w:r>
          </w:p>
        </w:tc>
        <w:tc>
          <w:tcPr>
            <w:tcW w:w="986" w:type="pct"/>
            <w:shd w:val="clear" w:color="auto" w:fill="auto"/>
            <w:vAlign w:val="center"/>
          </w:tcPr>
          <w:p w14:paraId="5EB01BDA" w14:textId="77777777" w:rsidR="006152B4" w:rsidRPr="00BC31CD" w:rsidRDefault="006152B4" w:rsidP="00E25376">
            <w:pPr>
              <w:pStyle w:val="TableText0"/>
              <w:keepNext w:val="0"/>
              <w:widowControl w:val="0"/>
            </w:pPr>
            <w:r w:rsidRPr="00BC31CD">
              <w:t>Mortality; asymptomatic/improved</w:t>
            </w:r>
          </w:p>
        </w:tc>
        <w:tc>
          <w:tcPr>
            <w:tcW w:w="969" w:type="pct"/>
            <w:shd w:val="clear" w:color="auto" w:fill="auto"/>
            <w:vAlign w:val="center"/>
          </w:tcPr>
          <w:p w14:paraId="252956CF" w14:textId="77777777" w:rsidR="006152B4" w:rsidRPr="00BC31CD" w:rsidRDefault="006152B4" w:rsidP="00375014">
            <w:pPr>
              <w:pStyle w:val="TableText0"/>
              <w:keepNext w:val="0"/>
              <w:widowControl w:val="0"/>
              <w:jc w:val="center"/>
            </w:pPr>
            <w:r w:rsidRPr="00BC31CD">
              <w:t xml:space="preserve">Inverse of OR for </w:t>
            </w:r>
            <w:r w:rsidR="00095FD2" w:rsidRPr="00BC31CD">
              <w:t>B</w:t>
            </w:r>
            <w:r w:rsidR="007C4F63" w:rsidRPr="00BC31CD">
              <w:t>SC</w:t>
            </w:r>
            <w:r w:rsidR="00095FD2" w:rsidRPr="00BC31CD">
              <w:t xml:space="preserve"> </w:t>
            </w:r>
            <w:r w:rsidRPr="00BC31CD">
              <w:t>survival</w:t>
            </w:r>
          </w:p>
        </w:tc>
      </w:tr>
    </w:tbl>
    <w:p w14:paraId="56367AE5" w14:textId="77777777" w:rsidR="006152B4" w:rsidRPr="00BC31CD" w:rsidRDefault="006152B4" w:rsidP="006152B4">
      <w:pPr>
        <w:pStyle w:val="NormalWeb"/>
        <w:spacing w:before="0" w:after="0"/>
        <w:rPr>
          <w:rFonts w:ascii="Arial Narrow" w:hAnsi="Arial Narrow"/>
          <w:sz w:val="18"/>
          <w:szCs w:val="18"/>
          <w:lang w:val="en-AU"/>
        </w:rPr>
      </w:pPr>
      <w:r w:rsidRPr="00BC31CD">
        <w:rPr>
          <w:rFonts w:ascii="Arial Narrow" w:hAnsi="Arial Narrow"/>
          <w:sz w:val="18"/>
          <w:szCs w:val="18"/>
          <w:lang w:val="en-AU"/>
        </w:rPr>
        <w:t>Source: Table 2-13, p</w:t>
      </w:r>
      <w:r w:rsidR="00393074" w:rsidRPr="00BC31CD">
        <w:rPr>
          <w:rFonts w:ascii="Arial Narrow" w:hAnsi="Arial Narrow"/>
          <w:sz w:val="18"/>
          <w:szCs w:val="18"/>
          <w:lang w:val="en-AU"/>
        </w:rPr>
        <w:t>59</w:t>
      </w:r>
      <w:r w:rsidRPr="00BC31CD">
        <w:rPr>
          <w:rFonts w:ascii="Arial Narrow" w:hAnsi="Arial Narrow"/>
          <w:sz w:val="18"/>
          <w:szCs w:val="18"/>
          <w:lang w:val="en-AU"/>
        </w:rPr>
        <w:t>; Table 2-18, p</w:t>
      </w:r>
      <w:r w:rsidR="00393074" w:rsidRPr="00BC31CD">
        <w:rPr>
          <w:rFonts w:ascii="Arial Narrow" w:hAnsi="Arial Narrow"/>
          <w:sz w:val="18"/>
          <w:szCs w:val="18"/>
          <w:lang w:val="en-AU"/>
        </w:rPr>
        <w:t>66 of the submission.</w:t>
      </w:r>
    </w:p>
    <w:p w14:paraId="03157F48" w14:textId="77777777" w:rsidR="006152B4" w:rsidRPr="00BC31CD" w:rsidRDefault="006152B4" w:rsidP="006152B4">
      <w:pPr>
        <w:pStyle w:val="NormalWeb"/>
        <w:spacing w:before="0" w:after="0"/>
        <w:rPr>
          <w:rFonts w:ascii="Arial Narrow" w:hAnsi="Arial Narrow"/>
          <w:sz w:val="18"/>
          <w:szCs w:val="18"/>
          <w:lang w:val="en-AU"/>
        </w:rPr>
      </w:pPr>
      <w:r w:rsidRPr="00BC31CD">
        <w:rPr>
          <w:rFonts w:ascii="Arial Narrow" w:hAnsi="Arial Narrow"/>
          <w:sz w:val="18"/>
          <w:szCs w:val="18"/>
          <w:lang w:val="en-AU"/>
        </w:rPr>
        <w:t xml:space="preserve">AE = adverse event; </w:t>
      </w:r>
      <w:r w:rsidR="00FB597F" w:rsidRPr="00BC31CD">
        <w:rPr>
          <w:rFonts w:ascii="Arial Narrow" w:hAnsi="Arial Narrow"/>
          <w:sz w:val="18"/>
          <w:szCs w:val="18"/>
          <w:lang w:val="en-AU"/>
        </w:rPr>
        <w:t xml:space="preserve">BSC = best supportive care; </w:t>
      </w:r>
      <w:r w:rsidRPr="00BC31CD">
        <w:rPr>
          <w:rFonts w:ascii="Arial Narrow" w:hAnsi="Arial Narrow"/>
          <w:sz w:val="18"/>
          <w:szCs w:val="18"/>
          <w:lang w:val="en-AU"/>
        </w:rPr>
        <w:t xml:space="preserve">DPA = D-penicillamine; NCC = non-ceruloplasmin bound copper concentration; OL = open label; OR = odds ratio; </w:t>
      </w:r>
      <w:r w:rsidR="00375014" w:rsidRPr="00BC31CD">
        <w:rPr>
          <w:rFonts w:ascii="Arial Narrow" w:hAnsi="Arial Narrow"/>
          <w:sz w:val="18"/>
          <w:szCs w:val="18"/>
          <w:lang w:val="en-AU"/>
        </w:rPr>
        <w:t xml:space="preserve">R = randomised; </w:t>
      </w:r>
      <w:r w:rsidRPr="00BC31CD">
        <w:rPr>
          <w:rFonts w:ascii="Arial Narrow" w:hAnsi="Arial Narrow"/>
          <w:sz w:val="18"/>
          <w:szCs w:val="18"/>
          <w:lang w:val="en-AU"/>
        </w:rPr>
        <w:t xml:space="preserve">RR = retrospective review; SR = systematic review; </w:t>
      </w:r>
      <w:r w:rsidRPr="00BC31CD">
        <w:rPr>
          <w:rFonts w:ascii="Arial Narrow" w:hAnsi="Arial Narrow" w:cs="Calibri"/>
          <w:sz w:val="18"/>
          <w:szCs w:val="18"/>
          <w:lang w:val="en-AU"/>
        </w:rPr>
        <w:t xml:space="preserve">TTM = tetrathiomolybdate; </w:t>
      </w:r>
      <w:r w:rsidRPr="00BC31CD">
        <w:rPr>
          <w:rFonts w:ascii="Arial Narrow" w:hAnsi="Arial Narrow"/>
          <w:sz w:val="18"/>
          <w:szCs w:val="18"/>
          <w:lang w:val="en-AU"/>
        </w:rPr>
        <w:t xml:space="preserve">UCE = urinary copper excretion; WD = Wilson </w:t>
      </w:r>
      <w:r w:rsidR="00B7789C" w:rsidRPr="00BC31CD">
        <w:rPr>
          <w:rFonts w:ascii="Arial Narrow" w:hAnsi="Arial Narrow"/>
          <w:sz w:val="18"/>
          <w:szCs w:val="18"/>
          <w:lang w:val="en-AU"/>
        </w:rPr>
        <w:t>D</w:t>
      </w:r>
      <w:r w:rsidRPr="00BC31CD">
        <w:rPr>
          <w:rFonts w:ascii="Arial Narrow" w:hAnsi="Arial Narrow"/>
          <w:sz w:val="18"/>
          <w:szCs w:val="18"/>
          <w:lang w:val="en-AU"/>
        </w:rPr>
        <w:t>isease</w:t>
      </w:r>
    </w:p>
    <w:p w14:paraId="6AC0A9B2" w14:textId="77777777" w:rsidR="006152B4" w:rsidRPr="00BC31CD" w:rsidRDefault="006152B4" w:rsidP="00590965">
      <w:pPr>
        <w:tabs>
          <w:tab w:val="left" w:pos="142"/>
        </w:tabs>
        <w:spacing w:after="120"/>
      </w:pPr>
      <w:r w:rsidRPr="00BC31CD">
        <w:rPr>
          <w:rFonts w:ascii="Arial Narrow" w:hAnsi="Arial Narrow"/>
          <w:sz w:val="18"/>
          <w:szCs w:val="18"/>
          <w:vertAlign w:val="superscript"/>
        </w:rPr>
        <w:t>a</w:t>
      </w:r>
      <w:r w:rsidRPr="00BC31CD">
        <w:rPr>
          <w:rFonts w:ascii="Arial Narrow" w:hAnsi="Arial Narrow" w:cs="Calibri"/>
          <w:sz w:val="18"/>
          <w:szCs w:val="18"/>
          <w:vertAlign w:val="superscript"/>
        </w:rPr>
        <w:t xml:space="preserve"> </w:t>
      </w:r>
      <w:r w:rsidRPr="00BC31CD">
        <w:rPr>
          <w:rFonts w:ascii="Arial Narrow" w:hAnsi="Arial Narrow" w:cs="Calibri"/>
          <w:sz w:val="18"/>
          <w:szCs w:val="18"/>
        </w:rPr>
        <w:tab/>
        <w:t>While the systematic review was appropriately conducted, risk of bias remains high as the included studies were all high risk of bias.</w:t>
      </w:r>
    </w:p>
    <w:p w14:paraId="7C3B08E0" w14:textId="77777777" w:rsidR="00381F7D" w:rsidRPr="00BC31CD" w:rsidRDefault="00381F7D" w:rsidP="00905F97"/>
    <w:p w14:paraId="7FD069D7" w14:textId="0BD0548B" w:rsidR="00927E26" w:rsidRPr="00BC31CD" w:rsidRDefault="00927E26" w:rsidP="00927E26">
      <w:pPr>
        <w:pStyle w:val="3-BodyText"/>
        <w:rPr>
          <w:color w:val="0066FF"/>
        </w:rPr>
      </w:pPr>
      <w:r w:rsidRPr="00BC31CD">
        <w:t>As noted above, the</w:t>
      </w:r>
      <w:r w:rsidR="00BC11F3" w:rsidRPr="00BC31CD">
        <w:t xml:space="preserve"> presented</w:t>
      </w:r>
      <w:r w:rsidRPr="00BC31CD">
        <w:t xml:space="preserve"> studies were selected from a number of observational studies in the published literature</w:t>
      </w:r>
      <w:r w:rsidR="00BC11F3" w:rsidRPr="00BC31CD">
        <w:t>. T</w:t>
      </w:r>
      <w:r w:rsidRPr="00BC31CD">
        <w:t xml:space="preserve">he submission </w:t>
      </w:r>
      <w:r w:rsidR="00BC11F3" w:rsidRPr="00BC31CD">
        <w:t xml:space="preserve">also </w:t>
      </w:r>
      <w:r w:rsidRPr="00BC31CD">
        <w:t>referred to several other</w:t>
      </w:r>
      <w:r w:rsidR="00BC11F3" w:rsidRPr="00BC31CD">
        <w:t xml:space="preserve"> </w:t>
      </w:r>
      <w:r w:rsidRPr="00BC31CD">
        <w:t>s</w:t>
      </w:r>
      <w:r w:rsidR="00BC11F3" w:rsidRPr="00BC31CD">
        <w:t>tudies</w:t>
      </w:r>
      <w:r w:rsidRPr="00BC31CD">
        <w:t xml:space="preserve"> but did not present them in detail. It appear</w:t>
      </w:r>
      <w:r w:rsidR="00755CF1" w:rsidRPr="00BC31CD">
        <w:t>ed</w:t>
      </w:r>
      <w:r w:rsidRPr="00BC31CD">
        <w:t xml:space="preserve"> that there </w:t>
      </w:r>
      <w:r w:rsidR="00755CF1" w:rsidRPr="00BC31CD">
        <w:t>we</w:t>
      </w:r>
      <w:r w:rsidRPr="00BC31CD">
        <w:t>re only two or three centres recruiting patients for studies and that many of the publications included data from the same patients. The table below summarises all the published studies that were identified during the evaluation as possibly relevant and attempts to identify the different patient cohorts that are included in the different publications. All of the most recent studies appear to come from the Heidelberg group. It is noted that the systematic review (Appenzeller-Herzog, 2019) is a meta-analysis of case series, rather than of controlled trials.</w:t>
      </w:r>
    </w:p>
    <w:p w14:paraId="79794FAB" w14:textId="52481C1E" w:rsidR="00927E26" w:rsidRPr="00BC31CD" w:rsidRDefault="00927E26" w:rsidP="0022407D">
      <w:pPr>
        <w:pStyle w:val="TableFigureHeading"/>
      </w:pPr>
      <w:r w:rsidRPr="00BC31CD">
        <w:t xml:space="preserve">Table </w:t>
      </w:r>
      <w:r w:rsidR="0022407D" w:rsidRPr="00BC31CD">
        <w:t>4</w:t>
      </w:r>
      <w:r w:rsidRPr="00BC31CD">
        <w:t xml:space="preserve">: </w:t>
      </w:r>
      <w:r w:rsidR="0022407D" w:rsidRPr="00BC31CD">
        <w:t>Relationships between principal published observational studies</w:t>
      </w:r>
    </w:p>
    <w:tbl>
      <w:tblPr>
        <w:tblStyle w:val="TableGrid"/>
        <w:tblW w:w="9067" w:type="dxa"/>
        <w:tblCellMar>
          <w:left w:w="28" w:type="dxa"/>
          <w:right w:w="28" w:type="dxa"/>
        </w:tblCellMar>
        <w:tblLook w:val="04A0" w:firstRow="1" w:lastRow="0" w:firstColumn="1" w:lastColumn="0" w:noHBand="0" w:noVBand="1"/>
        <w:tblCaption w:val="Table 4: Relationships between principal published observational studies"/>
      </w:tblPr>
      <w:tblGrid>
        <w:gridCol w:w="1292"/>
        <w:gridCol w:w="1822"/>
        <w:gridCol w:w="1276"/>
        <w:gridCol w:w="4677"/>
      </w:tblGrid>
      <w:tr w:rsidR="0022407D" w:rsidRPr="00BC31CD" w14:paraId="7F28F1BD" w14:textId="77777777" w:rsidTr="00A54CE8">
        <w:trPr>
          <w:tblHeader/>
        </w:trPr>
        <w:tc>
          <w:tcPr>
            <w:tcW w:w="1292" w:type="dxa"/>
            <w:vAlign w:val="center"/>
          </w:tcPr>
          <w:p w14:paraId="3DF248FC" w14:textId="77777777" w:rsidR="0022407D" w:rsidRPr="00BC31CD" w:rsidRDefault="0022407D" w:rsidP="00E25376">
            <w:pPr>
              <w:pStyle w:val="TableText0"/>
              <w:keepNext w:val="0"/>
              <w:widowControl w:val="0"/>
              <w:rPr>
                <w:b/>
                <w:bCs w:val="0"/>
              </w:rPr>
            </w:pPr>
            <w:r w:rsidRPr="00BC31CD">
              <w:rPr>
                <w:b/>
                <w:bCs w:val="0"/>
              </w:rPr>
              <w:t>Reference</w:t>
            </w:r>
          </w:p>
        </w:tc>
        <w:tc>
          <w:tcPr>
            <w:tcW w:w="1822" w:type="dxa"/>
            <w:vAlign w:val="center"/>
          </w:tcPr>
          <w:p w14:paraId="12E6BAC0" w14:textId="77777777" w:rsidR="0022407D" w:rsidRPr="00BC31CD" w:rsidRDefault="0022407D" w:rsidP="00E25376">
            <w:pPr>
              <w:pStyle w:val="TableText0"/>
              <w:keepNext w:val="0"/>
              <w:widowControl w:val="0"/>
              <w:jc w:val="center"/>
              <w:rPr>
                <w:b/>
                <w:bCs w:val="0"/>
              </w:rPr>
            </w:pPr>
            <w:r w:rsidRPr="00BC31CD">
              <w:rPr>
                <w:b/>
                <w:bCs w:val="0"/>
              </w:rPr>
              <w:t>Centre</w:t>
            </w:r>
          </w:p>
        </w:tc>
        <w:tc>
          <w:tcPr>
            <w:tcW w:w="1276" w:type="dxa"/>
            <w:vAlign w:val="center"/>
          </w:tcPr>
          <w:p w14:paraId="38970B00" w14:textId="77777777" w:rsidR="0022407D" w:rsidRPr="00BC31CD" w:rsidRDefault="0022407D" w:rsidP="00E25376">
            <w:pPr>
              <w:pStyle w:val="TableText0"/>
              <w:keepNext w:val="0"/>
              <w:widowControl w:val="0"/>
              <w:jc w:val="center"/>
              <w:rPr>
                <w:b/>
                <w:bCs w:val="0"/>
              </w:rPr>
            </w:pPr>
            <w:r w:rsidRPr="00BC31CD">
              <w:rPr>
                <w:b/>
                <w:bCs w:val="0"/>
              </w:rPr>
              <w:t>Period of study</w:t>
            </w:r>
          </w:p>
        </w:tc>
        <w:tc>
          <w:tcPr>
            <w:tcW w:w="4677" w:type="dxa"/>
            <w:vAlign w:val="center"/>
          </w:tcPr>
          <w:p w14:paraId="158DE222" w14:textId="77777777" w:rsidR="0022407D" w:rsidRPr="00BC31CD" w:rsidRDefault="0022407D" w:rsidP="00E25376">
            <w:pPr>
              <w:pStyle w:val="TableText0"/>
              <w:keepNext w:val="0"/>
              <w:widowControl w:val="0"/>
              <w:jc w:val="center"/>
              <w:rPr>
                <w:b/>
                <w:bCs w:val="0"/>
              </w:rPr>
            </w:pPr>
            <w:r w:rsidRPr="00BC31CD">
              <w:rPr>
                <w:b/>
                <w:bCs w:val="0"/>
              </w:rPr>
              <w:t>N and notes</w:t>
            </w:r>
          </w:p>
        </w:tc>
      </w:tr>
      <w:tr w:rsidR="0022407D" w:rsidRPr="00BC31CD" w14:paraId="23E84899" w14:textId="77777777" w:rsidTr="00A54CE8">
        <w:tc>
          <w:tcPr>
            <w:tcW w:w="1292" w:type="dxa"/>
            <w:vAlign w:val="center"/>
          </w:tcPr>
          <w:p w14:paraId="60CED31F" w14:textId="77777777" w:rsidR="0022407D" w:rsidRPr="00BC31CD" w:rsidRDefault="0022407D" w:rsidP="00E25376">
            <w:pPr>
              <w:pStyle w:val="TableText0"/>
              <w:keepNext w:val="0"/>
              <w:widowControl w:val="0"/>
            </w:pPr>
            <w:r w:rsidRPr="00BC31CD">
              <w:t>Goldstein 1968</w:t>
            </w:r>
            <w:r w:rsidRPr="00BC31CD">
              <w:rPr>
                <w:vertAlign w:val="superscript"/>
              </w:rPr>
              <w:t>a</w:t>
            </w:r>
          </w:p>
        </w:tc>
        <w:tc>
          <w:tcPr>
            <w:tcW w:w="1822" w:type="dxa"/>
            <w:vAlign w:val="center"/>
          </w:tcPr>
          <w:p w14:paraId="79864904" w14:textId="77777777" w:rsidR="0022407D" w:rsidRPr="00BC31CD" w:rsidRDefault="0022407D" w:rsidP="00E25376">
            <w:pPr>
              <w:pStyle w:val="TableText0"/>
              <w:keepNext w:val="0"/>
              <w:widowControl w:val="0"/>
            </w:pPr>
            <w:r w:rsidRPr="00BC31CD">
              <w:t>Not reported</w:t>
            </w:r>
          </w:p>
        </w:tc>
        <w:tc>
          <w:tcPr>
            <w:tcW w:w="1276" w:type="dxa"/>
            <w:vAlign w:val="center"/>
          </w:tcPr>
          <w:p w14:paraId="2FAC08DA" w14:textId="77777777" w:rsidR="0022407D" w:rsidRPr="00BC31CD" w:rsidRDefault="0022407D" w:rsidP="00E25376">
            <w:pPr>
              <w:pStyle w:val="TableText0"/>
              <w:keepNext w:val="0"/>
              <w:widowControl w:val="0"/>
            </w:pPr>
            <w:r w:rsidRPr="00BC31CD">
              <w:t>Not reported</w:t>
            </w:r>
          </w:p>
        </w:tc>
        <w:tc>
          <w:tcPr>
            <w:tcW w:w="4677" w:type="dxa"/>
            <w:vAlign w:val="center"/>
          </w:tcPr>
          <w:p w14:paraId="75DC6A55" w14:textId="77777777" w:rsidR="0022407D" w:rsidRPr="00BC31CD" w:rsidRDefault="0022407D" w:rsidP="00E25376">
            <w:pPr>
              <w:pStyle w:val="TableText0"/>
              <w:keepNext w:val="0"/>
              <w:widowControl w:val="0"/>
            </w:pPr>
            <w:r w:rsidRPr="00BC31CD">
              <w:t>27; 4/27 not treated with DPA but reason not reported</w:t>
            </w:r>
          </w:p>
        </w:tc>
      </w:tr>
      <w:tr w:rsidR="0022407D" w:rsidRPr="00BC31CD" w14:paraId="56F4A74D" w14:textId="77777777" w:rsidTr="00A54CE8">
        <w:tc>
          <w:tcPr>
            <w:tcW w:w="1292" w:type="dxa"/>
            <w:vAlign w:val="center"/>
          </w:tcPr>
          <w:p w14:paraId="2135EA07" w14:textId="77777777" w:rsidR="0022407D" w:rsidRPr="00BC31CD" w:rsidRDefault="0022407D" w:rsidP="00E25376">
            <w:pPr>
              <w:pStyle w:val="TableText0"/>
              <w:keepNext w:val="0"/>
              <w:widowControl w:val="0"/>
            </w:pPr>
            <w:r w:rsidRPr="00BC31CD">
              <w:t>Sternlieb 1968</w:t>
            </w:r>
            <w:r w:rsidRPr="00BC31CD">
              <w:rPr>
                <w:vertAlign w:val="superscript"/>
              </w:rPr>
              <w:t xml:space="preserve"> a</w:t>
            </w:r>
          </w:p>
        </w:tc>
        <w:tc>
          <w:tcPr>
            <w:tcW w:w="1822" w:type="dxa"/>
            <w:vAlign w:val="center"/>
          </w:tcPr>
          <w:p w14:paraId="2C5FDD38" w14:textId="77777777" w:rsidR="0022407D" w:rsidRPr="00BC31CD" w:rsidRDefault="0022407D" w:rsidP="00E25376">
            <w:pPr>
              <w:pStyle w:val="TableText0"/>
              <w:keepNext w:val="0"/>
              <w:widowControl w:val="0"/>
            </w:pPr>
            <w:r w:rsidRPr="00BC31CD">
              <w:t>New York;</w:t>
            </w:r>
            <w:r w:rsidR="00BC11F3" w:rsidRPr="00BC31CD">
              <w:t xml:space="preserve"> </w:t>
            </w:r>
            <w:r w:rsidRPr="00BC31CD">
              <w:t>?</w:t>
            </w:r>
            <w:r w:rsidR="00BC11F3" w:rsidRPr="00BC31CD">
              <w:t xml:space="preserve"> </w:t>
            </w:r>
            <w:r w:rsidRPr="00BC31CD">
              <w:t>others</w:t>
            </w:r>
          </w:p>
        </w:tc>
        <w:tc>
          <w:tcPr>
            <w:tcW w:w="1276" w:type="dxa"/>
            <w:vAlign w:val="center"/>
          </w:tcPr>
          <w:p w14:paraId="74B67C8A" w14:textId="77777777" w:rsidR="0022407D" w:rsidRPr="00BC31CD" w:rsidRDefault="0022407D" w:rsidP="00E25376">
            <w:pPr>
              <w:pStyle w:val="TableText0"/>
              <w:keepNext w:val="0"/>
              <w:widowControl w:val="0"/>
            </w:pPr>
            <w:r w:rsidRPr="00BC31CD">
              <w:t>Not reported</w:t>
            </w:r>
          </w:p>
        </w:tc>
        <w:tc>
          <w:tcPr>
            <w:tcW w:w="4677" w:type="dxa"/>
            <w:vAlign w:val="center"/>
          </w:tcPr>
          <w:p w14:paraId="17D4BA1D" w14:textId="77777777" w:rsidR="0022407D" w:rsidRPr="00BC31CD" w:rsidRDefault="0022407D" w:rsidP="00E25376">
            <w:pPr>
              <w:pStyle w:val="TableText0"/>
              <w:keepNext w:val="0"/>
              <w:widowControl w:val="0"/>
            </w:pPr>
            <w:r w:rsidRPr="00BC31CD">
              <w:t xml:space="preserve">174; 121 were symptomatic patients whose records were adequate to determine age at onset of symptoms; 53 were asymptomatic patients </w:t>
            </w:r>
          </w:p>
        </w:tc>
      </w:tr>
      <w:tr w:rsidR="0022407D" w:rsidRPr="00BC31CD" w14:paraId="3FE1527A" w14:textId="77777777" w:rsidTr="00A54CE8">
        <w:tc>
          <w:tcPr>
            <w:tcW w:w="1292" w:type="dxa"/>
            <w:vAlign w:val="center"/>
          </w:tcPr>
          <w:p w14:paraId="02C31ABB" w14:textId="77777777" w:rsidR="0022407D" w:rsidRPr="00BC31CD" w:rsidRDefault="0022407D" w:rsidP="00E25376">
            <w:pPr>
              <w:pStyle w:val="TableText0"/>
              <w:keepNext w:val="0"/>
              <w:widowControl w:val="0"/>
            </w:pPr>
            <w:r w:rsidRPr="00BC31CD">
              <w:t>Strickland 1973</w:t>
            </w:r>
            <w:r w:rsidRPr="00BC31CD">
              <w:rPr>
                <w:vertAlign w:val="superscript"/>
              </w:rPr>
              <w:t xml:space="preserve"> a</w:t>
            </w:r>
          </w:p>
        </w:tc>
        <w:tc>
          <w:tcPr>
            <w:tcW w:w="1822" w:type="dxa"/>
            <w:vAlign w:val="center"/>
          </w:tcPr>
          <w:p w14:paraId="11E51EAD" w14:textId="77777777" w:rsidR="0022407D" w:rsidRPr="00BC31CD" w:rsidRDefault="0022407D" w:rsidP="00E25376">
            <w:pPr>
              <w:pStyle w:val="TableText0"/>
              <w:keepNext w:val="0"/>
              <w:widowControl w:val="0"/>
            </w:pPr>
            <w:r w:rsidRPr="00BC31CD">
              <w:t>UK and Taiwan</w:t>
            </w:r>
          </w:p>
        </w:tc>
        <w:tc>
          <w:tcPr>
            <w:tcW w:w="1276" w:type="dxa"/>
            <w:vAlign w:val="center"/>
          </w:tcPr>
          <w:p w14:paraId="1DD682CE" w14:textId="77777777" w:rsidR="0022407D" w:rsidRPr="00BC31CD" w:rsidRDefault="0022407D" w:rsidP="00E25376">
            <w:pPr>
              <w:pStyle w:val="TableText0"/>
              <w:keepNext w:val="0"/>
              <w:widowControl w:val="0"/>
            </w:pPr>
            <w:r w:rsidRPr="00BC31CD">
              <w:t xml:space="preserve">Not reported </w:t>
            </w:r>
          </w:p>
        </w:tc>
        <w:tc>
          <w:tcPr>
            <w:tcW w:w="4677" w:type="dxa"/>
            <w:vAlign w:val="center"/>
          </w:tcPr>
          <w:p w14:paraId="4964ECE8" w14:textId="77777777" w:rsidR="0022407D" w:rsidRPr="00BC31CD" w:rsidRDefault="0022407D" w:rsidP="00E25376">
            <w:pPr>
              <w:pStyle w:val="TableText0"/>
              <w:keepNext w:val="0"/>
              <w:widowControl w:val="0"/>
            </w:pPr>
            <w:r w:rsidRPr="00BC31CD">
              <w:t>142 (87 UK, 55 Taiwan); 21/36 patients not treated with DPA were diagnosed retrospectively</w:t>
            </w:r>
          </w:p>
        </w:tc>
      </w:tr>
      <w:tr w:rsidR="0022407D" w:rsidRPr="00BC31CD" w14:paraId="467E7F3F" w14:textId="77777777" w:rsidTr="00A54CE8">
        <w:tc>
          <w:tcPr>
            <w:tcW w:w="1292" w:type="dxa"/>
            <w:vAlign w:val="center"/>
          </w:tcPr>
          <w:p w14:paraId="4225F620" w14:textId="77777777" w:rsidR="0022407D" w:rsidRPr="00BC31CD" w:rsidRDefault="0022407D" w:rsidP="00E25376">
            <w:pPr>
              <w:pStyle w:val="TableText0"/>
              <w:keepNext w:val="0"/>
              <w:widowControl w:val="0"/>
            </w:pPr>
            <w:r w:rsidRPr="00BC31CD">
              <w:t>Scheinberg 1987</w:t>
            </w:r>
          </w:p>
        </w:tc>
        <w:tc>
          <w:tcPr>
            <w:tcW w:w="1822" w:type="dxa"/>
            <w:vAlign w:val="center"/>
          </w:tcPr>
          <w:p w14:paraId="4560015E" w14:textId="77777777" w:rsidR="0022407D" w:rsidRPr="00BC31CD" w:rsidRDefault="0022407D" w:rsidP="00E25376">
            <w:pPr>
              <w:pStyle w:val="TableText0"/>
              <w:keepNext w:val="0"/>
              <w:widowControl w:val="0"/>
            </w:pPr>
            <w:r w:rsidRPr="00BC31CD">
              <w:t>New York; ?</w:t>
            </w:r>
            <w:r w:rsidR="00BC11F3" w:rsidRPr="00BC31CD">
              <w:t xml:space="preserve"> </w:t>
            </w:r>
            <w:r w:rsidRPr="00BC31CD">
              <w:t>others</w:t>
            </w:r>
          </w:p>
        </w:tc>
        <w:tc>
          <w:tcPr>
            <w:tcW w:w="1276" w:type="dxa"/>
            <w:vAlign w:val="center"/>
          </w:tcPr>
          <w:p w14:paraId="0F214187" w14:textId="77777777" w:rsidR="0022407D" w:rsidRPr="00BC31CD" w:rsidRDefault="0022407D" w:rsidP="00E25376">
            <w:pPr>
              <w:pStyle w:val="TableText0"/>
              <w:keepNext w:val="0"/>
              <w:widowControl w:val="0"/>
            </w:pPr>
            <w:r w:rsidRPr="00BC31CD">
              <w:t>Not reported</w:t>
            </w:r>
          </w:p>
        </w:tc>
        <w:tc>
          <w:tcPr>
            <w:tcW w:w="4677" w:type="dxa"/>
            <w:vAlign w:val="center"/>
          </w:tcPr>
          <w:p w14:paraId="09DB8B5F" w14:textId="77777777" w:rsidR="0022407D" w:rsidRPr="00BC31CD" w:rsidRDefault="0022407D" w:rsidP="00E25376">
            <w:pPr>
              <w:pStyle w:val="TableText0"/>
              <w:keepNext w:val="0"/>
              <w:widowControl w:val="0"/>
            </w:pPr>
            <w:r w:rsidRPr="00BC31CD">
              <w:t>11 patients stopped DPA against medical advice, did not receive trientine for unstated reasons, were (apparently) not followed up, and represented with advanced disease; 13 patients stopped DPA on medical advice and received trientine</w:t>
            </w:r>
          </w:p>
        </w:tc>
      </w:tr>
      <w:tr w:rsidR="0022407D" w:rsidRPr="00BC31CD" w14:paraId="621C0BB4" w14:textId="77777777" w:rsidTr="00A54CE8">
        <w:tc>
          <w:tcPr>
            <w:tcW w:w="1292" w:type="dxa"/>
            <w:vAlign w:val="center"/>
          </w:tcPr>
          <w:p w14:paraId="7DE47584" w14:textId="77777777" w:rsidR="0022407D" w:rsidRPr="00BC31CD" w:rsidRDefault="0022407D" w:rsidP="00E25376">
            <w:pPr>
              <w:pStyle w:val="TableText0"/>
              <w:keepNext w:val="0"/>
              <w:widowControl w:val="0"/>
            </w:pPr>
            <w:r w:rsidRPr="00BC31CD">
              <w:t>Durand 2001</w:t>
            </w:r>
            <w:r w:rsidRPr="00BC31CD">
              <w:rPr>
                <w:vertAlign w:val="superscript"/>
              </w:rPr>
              <w:t xml:space="preserve"> a</w:t>
            </w:r>
          </w:p>
        </w:tc>
        <w:tc>
          <w:tcPr>
            <w:tcW w:w="1822" w:type="dxa"/>
            <w:vAlign w:val="center"/>
          </w:tcPr>
          <w:p w14:paraId="407D3CCB" w14:textId="77777777" w:rsidR="0022407D" w:rsidRPr="00BC31CD" w:rsidRDefault="0022407D" w:rsidP="00E25376">
            <w:pPr>
              <w:pStyle w:val="TableText0"/>
              <w:keepNext w:val="0"/>
              <w:widowControl w:val="0"/>
            </w:pPr>
            <w:r w:rsidRPr="00BC31CD">
              <w:t>Paris, Geneva, Jerusalem</w:t>
            </w:r>
          </w:p>
        </w:tc>
        <w:tc>
          <w:tcPr>
            <w:tcW w:w="1276" w:type="dxa"/>
            <w:vAlign w:val="center"/>
          </w:tcPr>
          <w:p w14:paraId="1F920AB2" w14:textId="77777777" w:rsidR="0022407D" w:rsidRPr="00BC31CD" w:rsidRDefault="0022407D" w:rsidP="00E25376">
            <w:pPr>
              <w:pStyle w:val="TableText0"/>
              <w:keepNext w:val="0"/>
              <w:widowControl w:val="0"/>
            </w:pPr>
            <w:r w:rsidRPr="00BC31CD">
              <w:t>1969-1999</w:t>
            </w:r>
          </w:p>
        </w:tc>
        <w:tc>
          <w:tcPr>
            <w:tcW w:w="4677" w:type="dxa"/>
            <w:vAlign w:val="center"/>
          </w:tcPr>
          <w:p w14:paraId="40B10510" w14:textId="77777777" w:rsidR="0022407D" w:rsidRPr="00BC31CD" w:rsidRDefault="0022407D" w:rsidP="00E25376">
            <w:pPr>
              <w:pStyle w:val="TableText0"/>
              <w:keepNext w:val="0"/>
              <w:widowControl w:val="0"/>
            </w:pPr>
            <w:r w:rsidRPr="00BC31CD">
              <w:t>17 (Geneva 1, Jerusalem 2); first presentation with advanced liver disease: eligibility required symptoms &lt;</w:t>
            </w:r>
            <w:r w:rsidR="002E185D" w:rsidRPr="00BC31CD">
              <w:t xml:space="preserve"> </w:t>
            </w:r>
            <w:r w:rsidRPr="00BC31CD">
              <w:t>2 mo</w:t>
            </w:r>
            <w:r w:rsidR="002E185D" w:rsidRPr="00BC31CD">
              <w:t>nths</w:t>
            </w:r>
            <w:r w:rsidRPr="00BC31CD">
              <w:t xml:space="preserve"> before admission, </w:t>
            </w:r>
            <w:r w:rsidRPr="00BC31CD">
              <w:rPr>
                <w:b/>
                <w:bCs w:val="0"/>
              </w:rPr>
              <w:t>and</w:t>
            </w:r>
            <w:r w:rsidRPr="00BC31CD">
              <w:t xml:space="preserve"> </w:t>
            </w:r>
            <w:r w:rsidR="0072451A" w:rsidRPr="00BC31CD">
              <w:t>haemolytic</w:t>
            </w:r>
            <w:r w:rsidRPr="00BC31CD">
              <w:t xml:space="preserve"> </w:t>
            </w:r>
            <w:r w:rsidR="0072451A" w:rsidRPr="00BC31CD">
              <w:t>anaemia</w:t>
            </w:r>
            <w:r w:rsidRPr="00BC31CD">
              <w:t xml:space="preserve"> </w:t>
            </w:r>
            <w:r w:rsidRPr="00BC31CD">
              <w:rPr>
                <w:b/>
                <w:bCs w:val="0"/>
              </w:rPr>
              <w:t>and</w:t>
            </w:r>
            <w:r w:rsidRPr="00BC31CD">
              <w:t xml:space="preserve"> “prothrombin &lt; 50% normal” at admission</w:t>
            </w:r>
          </w:p>
        </w:tc>
      </w:tr>
      <w:tr w:rsidR="0022407D" w:rsidRPr="00BC31CD" w14:paraId="5BB6C3C9" w14:textId="77777777" w:rsidTr="00A54CE8">
        <w:tc>
          <w:tcPr>
            <w:tcW w:w="1292" w:type="dxa"/>
            <w:vAlign w:val="center"/>
          </w:tcPr>
          <w:p w14:paraId="68F9F0E0" w14:textId="77777777" w:rsidR="0022407D" w:rsidRPr="00BC31CD" w:rsidRDefault="0022407D" w:rsidP="00E25376">
            <w:pPr>
              <w:pStyle w:val="TableText0"/>
              <w:keepNext w:val="0"/>
              <w:widowControl w:val="0"/>
            </w:pPr>
            <w:r w:rsidRPr="00BC31CD">
              <w:t>Merle 2007</w:t>
            </w:r>
          </w:p>
        </w:tc>
        <w:tc>
          <w:tcPr>
            <w:tcW w:w="1822" w:type="dxa"/>
            <w:vAlign w:val="center"/>
          </w:tcPr>
          <w:p w14:paraId="579A9E36" w14:textId="77777777" w:rsidR="0022407D" w:rsidRPr="00BC31CD" w:rsidRDefault="0022407D" w:rsidP="00E25376">
            <w:pPr>
              <w:pStyle w:val="TableText0"/>
              <w:keepNext w:val="0"/>
              <w:widowControl w:val="0"/>
            </w:pPr>
            <w:r w:rsidRPr="00BC31CD">
              <w:t>Heidelberg</w:t>
            </w:r>
          </w:p>
        </w:tc>
        <w:tc>
          <w:tcPr>
            <w:tcW w:w="1276" w:type="dxa"/>
            <w:vAlign w:val="center"/>
          </w:tcPr>
          <w:p w14:paraId="61B4597A" w14:textId="77777777" w:rsidR="0022407D" w:rsidRPr="00BC31CD" w:rsidRDefault="0022407D" w:rsidP="00E25376">
            <w:pPr>
              <w:pStyle w:val="TableText0"/>
              <w:keepNext w:val="0"/>
              <w:widowControl w:val="0"/>
            </w:pPr>
            <w:r w:rsidRPr="00BC31CD">
              <w:t>2000-2005</w:t>
            </w:r>
          </w:p>
        </w:tc>
        <w:tc>
          <w:tcPr>
            <w:tcW w:w="4677" w:type="dxa"/>
            <w:vAlign w:val="center"/>
          </w:tcPr>
          <w:p w14:paraId="5ED991AF" w14:textId="77777777" w:rsidR="0022407D" w:rsidRPr="00BC31CD" w:rsidRDefault="0022407D" w:rsidP="00E25376">
            <w:pPr>
              <w:pStyle w:val="TableText0"/>
              <w:keepNext w:val="0"/>
              <w:widowControl w:val="0"/>
            </w:pPr>
            <w:r w:rsidRPr="00BC31CD">
              <w:t>163; “either diagnosed or had a previously established diagnosis confirmed” in the period of study, so not an inception cohort; reports “side-effects” on DPA, trientine and zinc</w:t>
            </w:r>
          </w:p>
        </w:tc>
      </w:tr>
      <w:tr w:rsidR="0022407D" w:rsidRPr="00BC31CD" w14:paraId="66DFB1ED" w14:textId="77777777" w:rsidTr="00A54CE8">
        <w:tc>
          <w:tcPr>
            <w:tcW w:w="1292" w:type="dxa"/>
            <w:vAlign w:val="center"/>
          </w:tcPr>
          <w:p w14:paraId="0D81CE5D" w14:textId="77777777" w:rsidR="0022407D" w:rsidRPr="00BC31CD" w:rsidRDefault="0022407D" w:rsidP="00E25376">
            <w:pPr>
              <w:pStyle w:val="TableText0"/>
              <w:keepNext w:val="0"/>
              <w:widowControl w:val="0"/>
            </w:pPr>
            <w:r w:rsidRPr="00BC31CD">
              <w:t>Weiss 2011</w:t>
            </w:r>
          </w:p>
        </w:tc>
        <w:tc>
          <w:tcPr>
            <w:tcW w:w="1822" w:type="dxa"/>
            <w:vAlign w:val="center"/>
          </w:tcPr>
          <w:p w14:paraId="47D67F2E" w14:textId="77777777" w:rsidR="0022407D" w:rsidRPr="00BC31CD" w:rsidRDefault="0022407D" w:rsidP="00E25376">
            <w:pPr>
              <w:pStyle w:val="TableText0"/>
              <w:keepNext w:val="0"/>
              <w:widowControl w:val="0"/>
            </w:pPr>
            <w:r w:rsidRPr="00BC31CD">
              <w:t>Heidelberg and Vienna</w:t>
            </w:r>
          </w:p>
        </w:tc>
        <w:tc>
          <w:tcPr>
            <w:tcW w:w="1276" w:type="dxa"/>
            <w:vAlign w:val="center"/>
          </w:tcPr>
          <w:p w14:paraId="0AD9E6CC" w14:textId="77777777" w:rsidR="0022407D" w:rsidRPr="00BC31CD" w:rsidRDefault="0022407D" w:rsidP="00E25376">
            <w:pPr>
              <w:pStyle w:val="TableText0"/>
              <w:keepNext w:val="0"/>
              <w:widowControl w:val="0"/>
            </w:pPr>
            <w:r w:rsidRPr="00BC31CD">
              <w:t>1954-2008</w:t>
            </w:r>
          </w:p>
        </w:tc>
        <w:tc>
          <w:tcPr>
            <w:tcW w:w="4677" w:type="dxa"/>
            <w:vAlign w:val="center"/>
          </w:tcPr>
          <w:p w14:paraId="6477E6D7" w14:textId="77777777" w:rsidR="0022407D" w:rsidRPr="00BC31CD" w:rsidRDefault="0022407D" w:rsidP="00E25376">
            <w:pPr>
              <w:pStyle w:val="TableText0"/>
              <w:keepNext w:val="0"/>
              <w:widowControl w:val="0"/>
            </w:pPr>
            <w:r w:rsidRPr="00BC31CD">
              <w:t xml:space="preserve">288 (65 in Vienna); median follow-up 17 years, so probably includes patients reported by Merle; reports discontinuation and treatment failure of zinc, DPA and trientine treatment </w:t>
            </w:r>
          </w:p>
        </w:tc>
      </w:tr>
      <w:tr w:rsidR="0022407D" w:rsidRPr="00BC31CD" w14:paraId="5C337997" w14:textId="77777777" w:rsidTr="00A54CE8">
        <w:tc>
          <w:tcPr>
            <w:tcW w:w="1292" w:type="dxa"/>
            <w:vAlign w:val="center"/>
          </w:tcPr>
          <w:p w14:paraId="2EB9B98D" w14:textId="77777777" w:rsidR="0022407D" w:rsidRPr="00BC31CD" w:rsidRDefault="0022407D" w:rsidP="00E25376">
            <w:pPr>
              <w:pStyle w:val="TableText0"/>
              <w:keepNext w:val="0"/>
              <w:widowControl w:val="0"/>
            </w:pPr>
            <w:r w:rsidRPr="00BC31CD">
              <w:t>Weiss 2013</w:t>
            </w:r>
          </w:p>
        </w:tc>
        <w:tc>
          <w:tcPr>
            <w:tcW w:w="1822" w:type="dxa"/>
            <w:vAlign w:val="center"/>
          </w:tcPr>
          <w:p w14:paraId="261011A5" w14:textId="77777777" w:rsidR="0022407D" w:rsidRPr="00BC31CD" w:rsidRDefault="0022407D" w:rsidP="00E25376">
            <w:pPr>
              <w:pStyle w:val="TableText0"/>
              <w:keepNext w:val="0"/>
              <w:widowControl w:val="0"/>
            </w:pPr>
            <w:r w:rsidRPr="00BC31CD">
              <w:t>Heidelberg, Dresden, Dusseldorf, Vienna, Graz, Linz, EUROWilson Registry</w:t>
            </w:r>
          </w:p>
        </w:tc>
        <w:tc>
          <w:tcPr>
            <w:tcW w:w="1276" w:type="dxa"/>
            <w:vAlign w:val="center"/>
          </w:tcPr>
          <w:p w14:paraId="51819BFD" w14:textId="77777777" w:rsidR="0022407D" w:rsidRPr="00BC31CD" w:rsidRDefault="0022407D" w:rsidP="00E25376">
            <w:pPr>
              <w:pStyle w:val="TableText0"/>
              <w:keepNext w:val="0"/>
              <w:widowControl w:val="0"/>
            </w:pPr>
            <w:r w:rsidRPr="00BC31CD">
              <w:t>Not reported</w:t>
            </w:r>
          </w:p>
        </w:tc>
        <w:tc>
          <w:tcPr>
            <w:tcW w:w="4677" w:type="dxa"/>
            <w:vAlign w:val="center"/>
          </w:tcPr>
          <w:p w14:paraId="744A29D3" w14:textId="77777777" w:rsidR="0022407D" w:rsidRPr="00BC31CD" w:rsidRDefault="0022407D" w:rsidP="00E25376">
            <w:pPr>
              <w:pStyle w:val="TableText0"/>
              <w:keepNext w:val="0"/>
              <w:widowControl w:val="0"/>
            </w:pPr>
            <w:r w:rsidRPr="00BC31CD">
              <w:t>405 (25 Registry); numbers per centre not reported, but probably mostly patients reported by Merle and Weiss, 2011; reports treatment outcomes and adverse effects leading to discontinuation</w:t>
            </w:r>
          </w:p>
        </w:tc>
      </w:tr>
      <w:tr w:rsidR="0022407D" w:rsidRPr="00BC31CD" w14:paraId="1643BB4F" w14:textId="77777777" w:rsidTr="00A54CE8">
        <w:tc>
          <w:tcPr>
            <w:tcW w:w="1292" w:type="dxa"/>
            <w:vAlign w:val="center"/>
          </w:tcPr>
          <w:p w14:paraId="3DCC6C19" w14:textId="77777777" w:rsidR="0022407D" w:rsidRPr="00BC31CD" w:rsidRDefault="0022407D" w:rsidP="00E25376">
            <w:pPr>
              <w:pStyle w:val="TableText0"/>
              <w:keepNext w:val="0"/>
              <w:widowControl w:val="0"/>
            </w:pPr>
            <w:r w:rsidRPr="00BC31CD">
              <w:t>Pfeiffenberger 2018</w:t>
            </w:r>
          </w:p>
        </w:tc>
        <w:tc>
          <w:tcPr>
            <w:tcW w:w="1822" w:type="dxa"/>
            <w:vAlign w:val="center"/>
          </w:tcPr>
          <w:p w14:paraId="665BD78B" w14:textId="77777777" w:rsidR="0022407D" w:rsidRPr="00BC31CD" w:rsidRDefault="0022407D" w:rsidP="00E25376">
            <w:pPr>
              <w:pStyle w:val="TableText0"/>
              <w:keepNext w:val="0"/>
              <w:widowControl w:val="0"/>
            </w:pPr>
            <w:r w:rsidRPr="00BC31CD">
              <w:t>Heidelberg</w:t>
            </w:r>
          </w:p>
        </w:tc>
        <w:tc>
          <w:tcPr>
            <w:tcW w:w="1276" w:type="dxa"/>
            <w:vAlign w:val="center"/>
          </w:tcPr>
          <w:p w14:paraId="6C68CEE1" w14:textId="77777777" w:rsidR="0022407D" w:rsidRPr="00BC31CD" w:rsidRDefault="0022407D" w:rsidP="00E25376">
            <w:pPr>
              <w:pStyle w:val="TableText0"/>
              <w:keepNext w:val="0"/>
              <w:widowControl w:val="0"/>
            </w:pPr>
            <w:r w:rsidRPr="00BC31CD">
              <w:t>2003-2015</w:t>
            </w:r>
          </w:p>
        </w:tc>
        <w:tc>
          <w:tcPr>
            <w:tcW w:w="4677" w:type="dxa"/>
            <w:vAlign w:val="center"/>
          </w:tcPr>
          <w:p w14:paraId="0BD57059" w14:textId="77777777" w:rsidR="0022407D" w:rsidRPr="00BC31CD" w:rsidRDefault="0022407D" w:rsidP="00E25376">
            <w:pPr>
              <w:pStyle w:val="TableText0"/>
              <w:keepNext w:val="0"/>
              <w:widowControl w:val="0"/>
            </w:pPr>
            <w:r w:rsidRPr="00BC31CD">
              <w:t>321; overlap with previous Heidelberg series unclear; only NCC and 24hr UCE reported</w:t>
            </w:r>
          </w:p>
        </w:tc>
      </w:tr>
      <w:tr w:rsidR="0022407D" w:rsidRPr="00BC31CD" w14:paraId="383237C5" w14:textId="77777777" w:rsidTr="00A54CE8">
        <w:tc>
          <w:tcPr>
            <w:tcW w:w="1292" w:type="dxa"/>
            <w:vAlign w:val="center"/>
          </w:tcPr>
          <w:p w14:paraId="3F758949" w14:textId="77777777" w:rsidR="0022407D" w:rsidRPr="00BC31CD" w:rsidRDefault="0022407D" w:rsidP="00E25376">
            <w:pPr>
              <w:pStyle w:val="TableText0"/>
              <w:keepNext w:val="0"/>
              <w:widowControl w:val="0"/>
            </w:pPr>
            <w:r w:rsidRPr="00BC31CD">
              <w:t>Weiss 2018 (Abstract)</w:t>
            </w:r>
          </w:p>
        </w:tc>
        <w:tc>
          <w:tcPr>
            <w:tcW w:w="1822" w:type="dxa"/>
            <w:vAlign w:val="center"/>
          </w:tcPr>
          <w:p w14:paraId="1B208938" w14:textId="77777777" w:rsidR="0022407D" w:rsidRPr="00BC31CD" w:rsidRDefault="0022407D" w:rsidP="00E25376">
            <w:pPr>
              <w:pStyle w:val="TableText0"/>
              <w:keepNext w:val="0"/>
              <w:widowControl w:val="0"/>
            </w:pPr>
            <w:r w:rsidRPr="00BC31CD">
              <w:t>Heidelberg, Athens, Milan, London</w:t>
            </w:r>
          </w:p>
        </w:tc>
        <w:tc>
          <w:tcPr>
            <w:tcW w:w="1276" w:type="dxa"/>
            <w:vAlign w:val="center"/>
          </w:tcPr>
          <w:p w14:paraId="4A3CD8B3" w14:textId="77777777" w:rsidR="0022407D" w:rsidRPr="00BC31CD" w:rsidRDefault="0022407D" w:rsidP="00E25376">
            <w:pPr>
              <w:pStyle w:val="TableText0"/>
              <w:keepNext w:val="0"/>
              <w:widowControl w:val="0"/>
            </w:pPr>
            <w:r w:rsidRPr="00BC31CD">
              <w:t>Not reported</w:t>
            </w:r>
          </w:p>
        </w:tc>
        <w:tc>
          <w:tcPr>
            <w:tcW w:w="4677" w:type="dxa"/>
            <w:vAlign w:val="center"/>
          </w:tcPr>
          <w:p w14:paraId="1B521D14" w14:textId="77777777" w:rsidR="0022407D" w:rsidRPr="00BC31CD" w:rsidRDefault="0022407D" w:rsidP="00E25376">
            <w:pPr>
              <w:pStyle w:val="TableText0"/>
              <w:keepNext w:val="0"/>
              <w:widowControl w:val="0"/>
            </w:pPr>
            <w:r w:rsidRPr="00BC31CD">
              <w:t>77; trientine treatment following DPA withdrawal; not an inception cohort and overlap with previous Heidelberg series unclear</w:t>
            </w:r>
          </w:p>
        </w:tc>
      </w:tr>
      <w:tr w:rsidR="0022407D" w:rsidRPr="00BC31CD" w14:paraId="23B7D1BC" w14:textId="77777777" w:rsidTr="00A54CE8">
        <w:tc>
          <w:tcPr>
            <w:tcW w:w="1292" w:type="dxa"/>
            <w:vAlign w:val="center"/>
          </w:tcPr>
          <w:p w14:paraId="7992608C" w14:textId="77777777" w:rsidR="0022407D" w:rsidRPr="00BC31CD" w:rsidRDefault="0022407D" w:rsidP="00E25376">
            <w:pPr>
              <w:pStyle w:val="TableText0"/>
              <w:keepNext w:val="0"/>
              <w:widowControl w:val="0"/>
            </w:pPr>
            <w:r w:rsidRPr="00BC31CD">
              <w:t>Weiss 2019 (Abstract)</w:t>
            </w:r>
          </w:p>
        </w:tc>
        <w:tc>
          <w:tcPr>
            <w:tcW w:w="1822" w:type="dxa"/>
            <w:vAlign w:val="center"/>
          </w:tcPr>
          <w:p w14:paraId="7F8ECED8" w14:textId="77777777" w:rsidR="0022407D" w:rsidRPr="00BC31CD" w:rsidRDefault="0022407D" w:rsidP="00E25376">
            <w:pPr>
              <w:pStyle w:val="TableText0"/>
              <w:keepNext w:val="0"/>
              <w:widowControl w:val="0"/>
            </w:pPr>
            <w:r w:rsidRPr="00BC31CD">
              <w:t>Heidelberg</w:t>
            </w:r>
          </w:p>
        </w:tc>
        <w:tc>
          <w:tcPr>
            <w:tcW w:w="1276" w:type="dxa"/>
            <w:vAlign w:val="center"/>
          </w:tcPr>
          <w:p w14:paraId="24A23B91" w14:textId="77777777" w:rsidR="0022407D" w:rsidRPr="00BC31CD" w:rsidRDefault="0022407D" w:rsidP="00E25376">
            <w:pPr>
              <w:pStyle w:val="TableText0"/>
              <w:keepNext w:val="0"/>
              <w:widowControl w:val="0"/>
            </w:pPr>
            <w:r w:rsidRPr="00BC31CD">
              <w:t>Not reported</w:t>
            </w:r>
          </w:p>
        </w:tc>
        <w:tc>
          <w:tcPr>
            <w:tcW w:w="4677" w:type="dxa"/>
            <w:vAlign w:val="center"/>
          </w:tcPr>
          <w:p w14:paraId="7ED3F054" w14:textId="77777777" w:rsidR="0022407D" w:rsidRPr="00BC31CD" w:rsidRDefault="0022407D" w:rsidP="00E25376">
            <w:pPr>
              <w:pStyle w:val="TableText0"/>
              <w:keepNext w:val="0"/>
              <w:widowControl w:val="0"/>
            </w:pPr>
            <w:r w:rsidRPr="00BC31CD">
              <w:t>52; continuation of Weiss, 2018, but how 52 patients were selected is not reported</w:t>
            </w:r>
          </w:p>
        </w:tc>
      </w:tr>
    </w:tbl>
    <w:p w14:paraId="5DF5DFA7" w14:textId="77777777" w:rsidR="0022407D" w:rsidRPr="00BC31CD" w:rsidRDefault="0022407D" w:rsidP="0022407D">
      <w:pPr>
        <w:pStyle w:val="TableFigureFooter"/>
      </w:pPr>
      <w:r w:rsidRPr="00BC31CD">
        <w:t>Source: Compiled from publications.</w:t>
      </w:r>
    </w:p>
    <w:p w14:paraId="3C91F903" w14:textId="77777777" w:rsidR="0022407D" w:rsidRPr="00BC31CD" w:rsidRDefault="0022407D" w:rsidP="0022407D">
      <w:pPr>
        <w:pStyle w:val="TableFigureFooter"/>
        <w:spacing w:after="0"/>
      </w:pPr>
      <w:r w:rsidRPr="00BC31CD">
        <w:rPr>
          <w:szCs w:val="18"/>
        </w:rPr>
        <w:t>DPA = D-penicillamine; NCC = non-ceruloplasmin bound copper concentration; UCE = urinary copper excretion</w:t>
      </w:r>
      <w:r w:rsidRPr="00BC31CD">
        <w:t xml:space="preserve"> </w:t>
      </w:r>
    </w:p>
    <w:p w14:paraId="470ABEC8" w14:textId="77777777" w:rsidR="00927E26" w:rsidRPr="00BC31CD" w:rsidRDefault="0022407D" w:rsidP="0022407D">
      <w:pPr>
        <w:pStyle w:val="Tablefooter0"/>
        <w:tabs>
          <w:tab w:val="left" w:pos="142"/>
        </w:tabs>
        <w:spacing w:before="0" w:after="120"/>
      </w:pPr>
      <w:r w:rsidRPr="00BC31CD">
        <w:rPr>
          <w:vertAlign w:val="superscript"/>
        </w:rPr>
        <w:t>a</w:t>
      </w:r>
      <w:r w:rsidRPr="00BC31CD">
        <w:rPr>
          <w:vertAlign w:val="superscript"/>
        </w:rPr>
        <w:tab/>
      </w:r>
      <w:r w:rsidRPr="00BC31CD">
        <w:t xml:space="preserve"> Included in Appenzeller-Herzog 2019 meta-analysis.</w:t>
      </w:r>
    </w:p>
    <w:p w14:paraId="0245DE92" w14:textId="77777777" w:rsidR="007F1017" w:rsidRPr="00BC31CD" w:rsidRDefault="008B1843" w:rsidP="008B1843">
      <w:pPr>
        <w:pStyle w:val="3-BodyText"/>
      </w:pPr>
      <w:r w:rsidRPr="00BC31CD">
        <w:t xml:space="preserve">In the context of an old product and a rare disease, the lack of randomised trials </w:t>
      </w:r>
      <w:r w:rsidR="008E7737" w:rsidRPr="00BC31CD">
        <w:t xml:space="preserve">for trientine </w:t>
      </w:r>
      <w:r w:rsidR="00BC11F3" w:rsidRPr="00BC31CD">
        <w:t>wa</w:t>
      </w:r>
      <w:r w:rsidRPr="00BC31CD">
        <w:t xml:space="preserve">s understandable. However, given the overall quality of evidence, any </w:t>
      </w:r>
      <w:r w:rsidR="008E7737" w:rsidRPr="00BC31CD">
        <w:t xml:space="preserve">attempt to estimate an </w:t>
      </w:r>
      <w:r w:rsidRPr="00BC31CD">
        <w:t xml:space="preserve">effect size </w:t>
      </w:r>
      <w:r w:rsidR="008E7737" w:rsidRPr="00BC31CD">
        <w:t>for use</w:t>
      </w:r>
      <w:r w:rsidRPr="00BC31CD">
        <w:t xml:space="preserve"> as the basis of a cost-effectiveness claim</w:t>
      </w:r>
      <w:r w:rsidR="008E7737" w:rsidRPr="00BC31CD">
        <w:t>,</w:t>
      </w:r>
      <w:r w:rsidRPr="00BC31CD">
        <w:t xml:space="preserve"> and thus a basis for setting a price</w:t>
      </w:r>
      <w:r w:rsidR="008E7737" w:rsidRPr="00BC31CD">
        <w:t>,</w:t>
      </w:r>
      <w:r w:rsidRPr="00BC31CD">
        <w:t xml:space="preserve"> </w:t>
      </w:r>
      <w:r w:rsidR="00BC11F3" w:rsidRPr="00BC31CD">
        <w:t>would be</w:t>
      </w:r>
      <w:r w:rsidRPr="00BC31CD">
        <w:t xml:space="preserve"> extremely uncertain. </w:t>
      </w:r>
    </w:p>
    <w:p w14:paraId="4D782755" w14:textId="77777777" w:rsidR="00845964" w:rsidRPr="00BC31CD" w:rsidRDefault="00845964" w:rsidP="008B1843">
      <w:pPr>
        <w:pStyle w:val="3-BodyText"/>
      </w:pPr>
      <w:r w:rsidRPr="00BC31CD">
        <w:t xml:space="preserve">The </w:t>
      </w:r>
      <w:r w:rsidR="006503C9" w:rsidRPr="00BC31CD">
        <w:t xml:space="preserve">evaluators questioned </w:t>
      </w:r>
      <w:r w:rsidRPr="00BC31CD">
        <w:t xml:space="preserve">whether an alternative approach to the </w:t>
      </w:r>
      <w:r w:rsidR="008E7737" w:rsidRPr="00BC31CD">
        <w:t xml:space="preserve">economic </w:t>
      </w:r>
      <w:r w:rsidRPr="00BC31CD">
        <w:t xml:space="preserve">evaluation would be more appropriate, such as </w:t>
      </w:r>
      <w:r w:rsidR="008E7737" w:rsidRPr="00BC31CD">
        <w:t xml:space="preserve">a </w:t>
      </w:r>
      <w:r w:rsidRPr="00BC31CD">
        <w:t xml:space="preserve">cost minimisation </w:t>
      </w:r>
      <w:r w:rsidR="008E7737" w:rsidRPr="00BC31CD">
        <w:t xml:space="preserve">analysis </w:t>
      </w:r>
      <w:r w:rsidRPr="00BC31CD">
        <w:t>versus DPA for both initial treatment and maintenance in a first line population,</w:t>
      </w:r>
      <w:r w:rsidR="00DD5E96" w:rsidRPr="00BC31CD">
        <w:t xml:space="preserve"> notwithstanding the TGA indication;</w:t>
      </w:r>
      <w:r w:rsidRPr="00BC31CD">
        <w:t xml:space="preserve"> or </w:t>
      </w:r>
      <w:r w:rsidR="008E7737" w:rsidRPr="00BC31CD">
        <w:t xml:space="preserve">a </w:t>
      </w:r>
      <w:r w:rsidRPr="00BC31CD">
        <w:t>cost</w:t>
      </w:r>
      <w:r w:rsidR="00F040AC" w:rsidRPr="00BC31CD">
        <w:t>-</w:t>
      </w:r>
      <w:r w:rsidRPr="00BC31CD">
        <w:t xml:space="preserve">effectiveness </w:t>
      </w:r>
      <w:r w:rsidR="008E7737" w:rsidRPr="00BC31CD">
        <w:t xml:space="preserve">analysis </w:t>
      </w:r>
      <w:r w:rsidRPr="00BC31CD">
        <w:t>versus zinc in maintenance trea</w:t>
      </w:r>
      <w:r w:rsidR="00DE2475" w:rsidRPr="00BC31CD">
        <w:t>t</w:t>
      </w:r>
      <w:r w:rsidRPr="00BC31CD">
        <w:t>ment populations. The first comparison might be adequately supported by the existing published studies despite their limitations</w:t>
      </w:r>
      <w:r w:rsidR="008E7737" w:rsidRPr="00BC31CD">
        <w:t>;</w:t>
      </w:r>
      <w:r w:rsidRPr="00BC31CD">
        <w:t xml:space="preserve"> the second might depend more on the result</w:t>
      </w:r>
      <w:r w:rsidR="00EE1CDC" w:rsidRPr="00BC31CD">
        <w:t>s</w:t>
      </w:r>
      <w:r w:rsidRPr="00BC31CD">
        <w:t xml:space="preserve"> of the ongoing studies.</w:t>
      </w:r>
      <w:r w:rsidR="00611789" w:rsidRPr="00BC31CD">
        <w:t xml:space="preserve"> </w:t>
      </w:r>
      <w:r w:rsidR="00EE1CDC" w:rsidRPr="00BC31CD">
        <w:t>The PSCR stated that the TGA indication should not be ignored and that a cost-minimised price for trientine 4HCl versus DPA would not be commercially viable.</w:t>
      </w:r>
    </w:p>
    <w:p w14:paraId="1589CCBD" w14:textId="77777777" w:rsidR="00B60939" w:rsidRPr="00BC31CD" w:rsidRDefault="00B60939" w:rsidP="00EC5836">
      <w:pPr>
        <w:pStyle w:val="4-SubsectionHeading"/>
      </w:pPr>
      <w:bookmarkStart w:id="16" w:name="_Toc22897641"/>
      <w:bookmarkStart w:id="17" w:name="_Toc82002233"/>
      <w:r w:rsidRPr="00BC31CD">
        <w:t>Comparative effectiveness</w:t>
      </w:r>
      <w:bookmarkEnd w:id="16"/>
      <w:bookmarkEnd w:id="17"/>
    </w:p>
    <w:p w14:paraId="62802582" w14:textId="77777777" w:rsidR="00B95333" w:rsidRPr="00BC31CD" w:rsidRDefault="00EE1CDC" w:rsidP="00EE1CDC">
      <w:pPr>
        <w:pStyle w:val="3-BodyText"/>
      </w:pPr>
      <w:r w:rsidRPr="00BC31CD">
        <w:t xml:space="preserve">The observational studies comparing trientine and DPA were difficult to interpret because of inconsistent reporting and the poor quality of the studies. </w:t>
      </w:r>
    </w:p>
    <w:p w14:paraId="692BC491" w14:textId="77777777" w:rsidR="00EE1CDC" w:rsidRPr="00BC31CD" w:rsidRDefault="00EE1CDC" w:rsidP="00EE1CDC">
      <w:pPr>
        <w:pStyle w:val="3-BodyText"/>
      </w:pPr>
      <w:r w:rsidRPr="00BC31CD">
        <w:t xml:space="preserve">The CHELATE randomised trial, although a good quality trial, </w:t>
      </w:r>
      <w:r w:rsidR="00B95333" w:rsidRPr="00BC31CD">
        <w:t xml:space="preserve">which compared trientine 4HCl to DPA in patients stabilised on DPA, </w:t>
      </w:r>
      <w:r w:rsidRPr="00BC31CD">
        <w:t xml:space="preserve">included patients receiving maintenance treatment who were not intolerant of DPA, i.e. a population that was not consistent with the listing proposed for the PBS. Thus, the results simply supported the claim that DPA and trientine treatment both result in urinary copper excretion probably sufficient to prevent copper re-accumulation in the maintenance phase of treatment. </w:t>
      </w:r>
    </w:p>
    <w:p w14:paraId="4F20CE6F" w14:textId="336B9543" w:rsidR="00905F97" w:rsidRPr="00BC31CD" w:rsidRDefault="00EE1CDC" w:rsidP="00905F97">
      <w:pPr>
        <w:pStyle w:val="3-BodyText"/>
        <w:rPr>
          <w:rFonts w:ascii="Arial Narrow" w:hAnsi="Arial Narrow"/>
          <w:b/>
          <w:bCs/>
          <w:sz w:val="20"/>
          <w:szCs w:val="20"/>
        </w:rPr>
      </w:pPr>
      <w:r w:rsidRPr="00BC31CD">
        <w:t xml:space="preserve">The meta-analysis comparing chelation and BSC presented in the submission (adapted from the published systematic review by Appenzeller-Herzog 2019 </w:t>
      </w:r>
      <w:r w:rsidR="00B95333" w:rsidRPr="00BC31CD">
        <w:t>to</w:t>
      </w:r>
      <w:r w:rsidRPr="00BC31CD">
        <w:t xml:space="preserve"> includ</w:t>
      </w:r>
      <w:r w:rsidR="00B95333" w:rsidRPr="00BC31CD">
        <w:t>e</w:t>
      </w:r>
      <w:r w:rsidRPr="00BC31CD">
        <w:t xml:space="preserve"> results from Scheinberg 1987) confirmed that chelation was more effective</w:t>
      </w:r>
      <w:r w:rsidRPr="00BC31CD">
        <w:rPr>
          <w:color w:val="0066FF"/>
        </w:rPr>
        <w:t xml:space="preserve"> </w:t>
      </w:r>
      <w:r w:rsidRPr="00BC31CD">
        <w:t xml:space="preserve">than no treatment with respect to mortality (see Figure </w:t>
      </w:r>
      <w:r w:rsidR="00AC23B1" w:rsidRPr="00BC31CD">
        <w:t>1</w:t>
      </w:r>
      <w:r w:rsidRPr="00BC31CD">
        <w:t xml:space="preserve">) but were of insufficient quality to be used to </w:t>
      </w:r>
      <w:r w:rsidR="00B75F75" w:rsidRPr="00BC31CD">
        <w:t xml:space="preserve">accurately </w:t>
      </w:r>
      <w:r w:rsidRPr="00BC31CD">
        <w:t xml:space="preserve">estimate an effect size. In addition, during the evaluation it was not possible to replicate the data reported in the submission from two of the five studies (Goldstein 1968 and Sternlieb 1968) that were presented in the Appenzeller-Herzog 2019 meta-analysis. </w:t>
      </w:r>
      <w:r w:rsidR="00AC23B1" w:rsidRPr="00BC31CD">
        <w:t>The PSCR noted that the results of the individual studies provided a relatively constant effect size with a low level of heterogeneity between the studies (I</w:t>
      </w:r>
      <w:r w:rsidR="00AC23B1" w:rsidRPr="00BC31CD">
        <w:rPr>
          <w:vertAlign w:val="superscript"/>
        </w:rPr>
        <w:t>2</w:t>
      </w:r>
      <w:r w:rsidR="00AC23B1" w:rsidRPr="00BC31CD">
        <w:t xml:space="preserve"> = 0%).</w:t>
      </w:r>
      <w:r w:rsidR="00B75F75" w:rsidRPr="00BC31CD">
        <w:t xml:space="preserve"> </w:t>
      </w:r>
    </w:p>
    <w:p w14:paraId="389C5769" w14:textId="77777777" w:rsidR="00905F97" w:rsidRPr="00BC31CD" w:rsidRDefault="00EE1CDC" w:rsidP="00905F97">
      <w:pPr>
        <w:pStyle w:val="3-BodyText"/>
        <w:numPr>
          <w:ilvl w:val="0"/>
          <w:numId w:val="0"/>
        </w:numPr>
        <w:rPr>
          <w:rFonts w:ascii="Arial Narrow" w:hAnsi="Arial Narrow"/>
          <w:b/>
          <w:bCs/>
          <w:sz w:val="20"/>
          <w:szCs w:val="20"/>
        </w:rPr>
      </w:pPr>
      <w:r w:rsidRPr="00BC31CD">
        <w:rPr>
          <w:rFonts w:ascii="Arial Narrow" w:hAnsi="Arial Narrow"/>
          <w:b/>
          <w:bCs/>
          <w:sz w:val="20"/>
          <w:szCs w:val="20"/>
        </w:rPr>
        <w:t xml:space="preserve">Figure </w:t>
      </w:r>
      <w:r w:rsidR="00AC23B1" w:rsidRPr="00BC31CD">
        <w:rPr>
          <w:rFonts w:ascii="Arial Narrow" w:hAnsi="Arial Narrow"/>
          <w:b/>
          <w:bCs/>
          <w:sz w:val="20"/>
          <w:szCs w:val="20"/>
        </w:rPr>
        <w:t>1</w:t>
      </w:r>
      <w:r w:rsidRPr="00BC31CD">
        <w:rPr>
          <w:rFonts w:ascii="Arial Narrow" w:hAnsi="Arial Narrow"/>
          <w:b/>
          <w:bCs/>
          <w:sz w:val="20"/>
          <w:szCs w:val="20"/>
        </w:rPr>
        <w:t>: Forest plot of meta-analysis of mortality outcomes</w:t>
      </w:r>
      <w:r w:rsidR="008D1B81" w:rsidRPr="00BC31CD">
        <w:rPr>
          <w:rFonts w:ascii="Arial Narrow" w:hAnsi="Arial Narrow"/>
          <w:b/>
          <w:bCs/>
          <w:sz w:val="20"/>
          <w:szCs w:val="20"/>
        </w:rPr>
        <w:t xml:space="preserve"> between DPA and no treatment</w:t>
      </w:r>
    </w:p>
    <w:p w14:paraId="60D21DE0" w14:textId="77777777" w:rsidR="00EE1CDC" w:rsidRPr="00BC31CD" w:rsidRDefault="00EE1CDC" w:rsidP="00905F97">
      <w:pPr>
        <w:pStyle w:val="3-BodyText"/>
        <w:numPr>
          <w:ilvl w:val="0"/>
          <w:numId w:val="0"/>
        </w:numPr>
        <w:rPr>
          <w:rFonts w:ascii="Arial Narrow" w:hAnsi="Arial Narrow"/>
          <w:b/>
          <w:bCs/>
          <w:i/>
          <w:iCs/>
          <w:sz w:val="20"/>
          <w:szCs w:val="20"/>
        </w:rPr>
      </w:pPr>
      <w:r w:rsidRPr="00BC31CD">
        <w:rPr>
          <w:i/>
          <w:iCs/>
          <w:noProof/>
        </w:rPr>
        <w:drawing>
          <wp:inline distT="0" distB="0" distL="0" distR="0" wp14:anchorId="38C48E57" wp14:editId="67956C68">
            <wp:extent cx="5305426" cy="1447800"/>
            <wp:effectExtent l="0" t="0" r="9525"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05426" cy="1447800"/>
                    </a:xfrm>
                    <a:prstGeom prst="rect">
                      <a:avLst/>
                    </a:prstGeom>
                  </pic:spPr>
                </pic:pic>
              </a:graphicData>
            </a:graphic>
          </wp:inline>
        </w:drawing>
      </w:r>
    </w:p>
    <w:p w14:paraId="77D10632" w14:textId="77777777" w:rsidR="00EE1CDC" w:rsidRPr="00BC31CD" w:rsidRDefault="00EE1CDC" w:rsidP="00EE1CDC">
      <w:pPr>
        <w:pStyle w:val="TableFooter"/>
      </w:pPr>
      <w:r w:rsidRPr="00BC31CD">
        <w:t>Source: Figure 2.6, p69 of the submission.</w:t>
      </w:r>
    </w:p>
    <w:p w14:paraId="28E7949E" w14:textId="77777777" w:rsidR="00B95333" w:rsidRPr="00BC31CD" w:rsidRDefault="00B95333" w:rsidP="00EE1CDC">
      <w:pPr>
        <w:pStyle w:val="TableFooter"/>
        <w:rPr>
          <w:i/>
          <w:iCs/>
        </w:rPr>
      </w:pPr>
    </w:p>
    <w:p w14:paraId="573D2CF7" w14:textId="77777777" w:rsidR="00B75F75" w:rsidRPr="00BC31CD" w:rsidRDefault="00B75F75" w:rsidP="00B75F75">
      <w:pPr>
        <w:pStyle w:val="3-BodyText"/>
      </w:pPr>
      <w:r w:rsidRPr="00BC31CD">
        <w:t>The ESC considered the clinical evidence to be of poor quality and the treatment effect in the proposed PBS population remained uncertain given the na</w:t>
      </w:r>
      <w:r w:rsidR="00EB4192" w:rsidRPr="00BC31CD">
        <w:t>ture of the studies and the age of the data</w:t>
      </w:r>
      <w:r w:rsidR="00AC5F18" w:rsidRPr="00BC31CD">
        <w:t>. H</w:t>
      </w:r>
      <w:r w:rsidRPr="00BC31CD">
        <w:t>owever</w:t>
      </w:r>
      <w:r w:rsidR="00AC5F18" w:rsidRPr="00BC31CD">
        <w:t>,</w:t>
      </w:r>
      <w:r w:rsidRPr="00BC31CD">
        <w:t xml:space="preserve"> the ESC acknowledged that the effect size shown across the studies comparing chelation to no chelation was consistent and also reflected the known benefit of chelating agents as life-saving treatment in clinical practice.</w:t>
      </w:r>
    </w:p>
    <w:p w14:paraId="60F2E914" w14:textId="77777777" w:rsidR="00B60939" w:rsidRPr="00BC31CD" w:rsidRDefault="00905F97" w:rsidP="00D86231">
      <w:pPr>
        <w:pStyle w:val="4-SubsectionHeading"/>
      </w:pPr>
      <w:bookmarkStart w:id="18" w:name="_Toc22897642"/>
      <w:bookmarkStart w:id="19" w:name="_Toc82002234"/>
      <w:r w:rsidRPr="00BC31CD">
        <w:t>C</w:t>
      </w:r>
      <w:r w:rsidR="00B60939" w:rsidRPr="00BC31CD">
        <w:t>omparative harms</w:t>
      </w:r>
      <w:bookmarkEnd w:id="18"/>
      <w:bookmarkEnd w:id="19"/>
    </w:p>
    <w:p w14:paraId="61E48CF0" w14:textId="77777777" w:rsidR="00B60939" w:rsidRPr="00BC31CD" w:rsidRDefault="005410F5" w:rsidP="00D86231">
      <w:pPr>
        <w:pStyle w:val="3-BodyText"/>
      </w:pPr>
      <w:r w:rsidRPr="00BC31CD">
        <w:t>Adverse events as reported in the C</w:t>
      </w:r>
      <w:r w:rsidR="00622135" w:rsidRPr="00BC31CD">
        <w:t>HELATE</w:t>
      </w:r>
      <w:r w:rsidRPr="00BC31CD">
        <w:t xml:space="preserve"> trial are shown below.</w:t>
      </w:r>
    </w:p>
    <w:p w14:paraId="17FFC9E0" w14:textId="77777777" w:rsidR="005410F5" w:rsidRPr="00BC31CD" w:rsidRDefault="00173565" w:rsidP="005410F5">
      <w:pPr>
        <w:pStyle w:val="TableFigureHeading"/>
        <w:rPr>
          <w:lang w:bidi="en-US"/>
        </w:rPr>
      </w:pPr>
      <w:r w:rsidRPr="00BC31CD">
        <w:rPr>
          <w:rStyle w:val="CommentReference"/>
          <w:b/>
          <w:szCs w:val="24"/>
        </w:rPr>
        <w:t xml:space="preserve">Table </w:t>
      </w:r>
      <w:r w:rsidR="00BE69FA" w:rsidRPr="00BC31CD">
        <w:rPr>
          <w:rStyle w:val="CommentReference"/>
          <w:b/>
          <w:szCs w:val="24"/>
        </w:rPr>
        <w:t>5</w:t>
      </w:r>
      <w:r w:rsidR="005D26B4" w:rsidRPr="00BC31CD">
        <w:rPr>
          <w:rStyle w:val="CommentReference"/>
          <w:b/>
          <w:szCs w:val="24"/>
        </w:rPr>
        <w:t>:</w:t>
      </w:r>
      <w:r w:rsidR="00BC591F" w:rsidRPr="00BC31CD">
        <w:rPr>
          <w:rStyle w:val="CommentReference"/>
          <w:b/>
          <w:szCs w:val="24"/>
        </w:rPr>
        <w:t xml:space="preserve"> </w:t>
      </w:r>
      <w:r w:rsidR="007F60EB" w:rsidRPr="00BC31CD">
        <w:t xml:space="preserve">Summary of </w:t>
      </w:r>
      <w:r w:rsidR="00375014" w:rsidRPr="00BC31CD">
        <w:t>TEAEs</w:t>
      </w:r>
      <w:r w:rsidR="007F60EB" w:rsidRPr="00BC31CD">
        <w:t xml:space="preserve"> in the CHELATE trial</w:t>
      </w:r>
    </w:p>
    <w:tbl>
      <w:tblPr>
        <w:tblStyle w:val="TableGrid"/>
        <w:tblW w:w="5000" w:type="pct"/>
        <w:tblCellMar>
          <w:left w:w="28" w:type="dxa"/>
          <w:right w:w="28" w:type="dxa"/>
        </w:tblCellMar>
        <w:tblLook w:val="04A0" w:firstRow="1" w:lastRow="0" w:firstColumn="1" w:lastColumn="0" w:noHBand="0" w:noVBand="1"/>
        <w:tblCaption w:val="Table 5: Summary of TEAEs in the CHELATE trial"/>
      </w:tblPr>
      <w:tblGrid>
        <w:gridCol w:w="2896"/>
        <w:gridCol w:w="1742"/>
        <w:gridCol w:w="1598"/>
        <w:gridCol w:w="1450"/>
        <w:gridCol w:w="1331"/>
      </w:tblGrid>
      <w:tr w:rsidR="007F60EB" w:rsidRPr="00BC31CD" w14:paraId="53389965" w14:textId="77777777" w:rsidTr="00173E64">
        <w:trPr>
          <w:tblHeader/>
        </w:trPr>
        <w:tc>
          <w:tcPr>
            <w:tcW w:w="1606" w:type="pct"/>
            <w:vMerge w:val="restart"/>
            <w:tcBorders>
              <w:top w:val="single" w:sz="4" w:space="0" w:color="auto"/>
              <w:left w:val="single" w:sz="4" w:space="0" w:color="auto"/>
              <w:right w:val="single" w:sz="4" w:space="0" w:color="auto"/>
            </w:tcBorders>
            <w:vAlign w:val="center"/>
          </w:tcPr>
          <w:p w14:paraId="4AF0656D" w14:textId="77777777" w:rsidR="007F60EB" w:rsidRPr="00BC31CD" w:rsidRDefault="007F60EB" w:rsidP="00E25376">
            <w:pPr>
              <w:pStyle w:val="TableText0"/>
            </w:pPr>
          </w:p>
        </w:tc>
        <w:tc>
          <w:tcPr>
            <w:tcW w:w="1851" w:type="pct"/>
            <w:gridSpan w:val="2"/>
            <w:tcBorders>
              <w:top w:val="single" w:sz="4" w:space="0" w:color="auto"/>
              <w:left w:val="single" w:sz="4" w:space="0" w:color="auto"/>
              <w:bottom w:val="single" w:sz="4" w:space="0" w:color="auto"/>
              <w:right w:val="single" w:sz="4" w:space="0" w:color="auto"/>
            </w:tcBorders>
            <w:vAlign w:val="center"/>
          </w:tcPr>
          <w:p w14:paraId="036FD247" w14:textId="77777777" w:rsidR="007F60EB" w:rsidRPr="00BC31CD" w:rsidRDefault="007F60EB" w:rsidP="00E25376">
            <w:pPr>
              <w:pStyle w:val="In-tableHeading"/>
              <w:jc w:val="center"/>
              <w:rPr>
                <w:lang w:val="en-AU"/>
              </w:rPr>
            </w:pPr>
            <w:r w:rsidRPr="00BC31CD">
              <w:rPr>
                <w:lang w:val="en-AU"/>
              </w:rPr>
              <w:t xml:space="preserve">Penicillamine baseline period </w:t>
            </w:r>
          </w:p>
          <w:p w14:paraId="73E2B2CD" w14:textId="77777777" w:rsidR="007F60EB" w:rsidRPr="00BC31CD" w:rsidRDefault="007F60EB" w:rsidP="00E25376">
            <w:pPr>
              <w:pStyle w:val="In-tableHeading"/>
              <w:jc w:val="center"/>
              <w:rPr>
                <w:lang w:val="en-AU"/>
              </w:rPr>
            </w:pPr>
            <w:r w:rsidRPr="00BC31CD">
              <w:rPr>
                <w:lang w:val="en-AU"/>
              </w:rPr>
              <w:t>(all patients received DPA - 12 weeks)</w:t>
            </w:r>
          </w:p>
        </w:tc>
        <w:tc>
          <w:tcPr>
            <w:tcW w:w="1542" w:type="pct"/>
            <w:gridSpan w:val="2"/>
            <w:tcBorders>
              <w:top w:val="single" w:sz="4" w:space="0" w:color="auto"/>
              <w:left w:val="single" w:sz="4" w:space="0" w:color="auto"/>
              <w:bottom w:val="single" w:sz="4" w:space="0" w:color="auto"/>
              <w:right w:val="single" w:sz="4" w:space="0" w:color="auto"/>
            </w:tcBorders>
            <w:vAlign w:val="center"/>
          </w:tcPr>
          <w:p w14:paraId="5AF2477A" w14:textId="77777777" w:rsidR="007F60EB" w:rsidRPr="00BC31CD" w:rsidRDefault="007F60EB" w:rsidP="00E25376">
            <w:pPr>
              <w:pStyle w:val="In-tableHeading"/>
              <w:jc w:val="center"/>
              <w:rPr>
                <w:lang w:val="en-AU"/>
              </w:rPr>
            </w:pPr>
            <w:r w:rsidRPr="00BC31CD">
              <w:rPr>
                <w:lang w:val="en-AU"/>
              </w:rPr>
              <w:t>Post-randomisation period</w:t>
            </w:r>
          </w:p>
          <w:p w14:paraId="1BACE778" w14:textId="77777777" w:rsidR="007F60EB" w:rsidRPr="00BC31CD" w:rsidRDefault="007F60EB" w:rsidP="00E25376">
            <w:pPr>
              <w:pStyle w:val="TableText0"/>
              <w:jc w:val="center"/>
              <w:rPr>
                <w:b/>
                <w:bCs w:val="0"/>
              </w:rPr>
            </w:pPr>
            <w:r w:rsidRPr="00BC31CD">
              <w:rPr>
                <w:b/>
                <w:bCs w:val="0"/>
              </w:rPr>
              <w:t>(24 weeks)</w:t>
            </w:r>
          </w:p>
        </w:tc>
      </w:tr>
      <w:tr w:rsidR="007F60EB" w:rsidRPr="00BC31CD" w14:paraId="5927F29D" w14:textId="77777777" w:rsidTr="00173E64">
        <w:trPr>
          <w:tblHeader/>
        </w:trPr>
        <w:tc>
          <w:tcPr>
            <w:tcW w:w="1606" w:type="pct"/>
            <w:vMerge/>
            <w:tcBorders>
              <w:left w:val="single" w:sz="4" w:space="0" w:color="auto"/>
              <w:bottom w:val="single" w:sz="4" w:space="0" w:color="auto"/>
              <w:right w:val="single" w:sz="4" w:space="0" w:color="auto"/>
            </w:tcBorders>
            <w:vAlign w:val="center"/>
          </w:tcPr>
          <w:p w14:paraId="3D619760" w14:textId="77777777" w:rsidR="007F60EB" w:rsidRPr="00BC31CD" w:rsidRDefault="007F60EB" w:rsidP="00E25376">
            <w:pPr>
              <w:pStyle w:val="TableText0"/>
            </w:pPr>
          </w:p>
        </w:tc>
        <w:tc>
          <w:tcPr>
            <w:tcW w:w="966" w:type="pct"/>
            <w:tcBorders>
              <w:top w:val="single" w:sz="4" w:space="0" w:color="auto"/>
              <w:left w:val="single" w:sz="4" w:space="0" w:color="auto"/>
              <w:bottom w:val="single" w:sz="4" w:space="0" w:color="auto"/>
              <w:right w:val="single" w:sz="4" w:space="0" w:color="auto"/>
            </w:tcBorders>
            <w:vAlign w:val="center"/>
          </w:tcPr>
          <w:p w14:paraId="63F915FD" w14:textId="77777777" w:rsidR="007F60EB" w:rsidRPr="00BC31CD" w:rsidRDefault="007F60EB" w:rsidP="00E25376">
            <w:pPr>
              <w:pStyle w:val="TableText0"/>
              <w:jc w:val="center"/>
              <w:rPr>
                <w:b/>
                <w:bCs w:val="0"/>
              </w:rPr>
            </w:pPr>
            <w:r w:rsidRPr="00BC31CD">
              <w:rPr>
                <w:b/>
                <w:bCs w:val="0"/>
              </w:rPr>
              <w:t>DPA</w:t>
            </w:r>
            <w:r w:rsidRPr="00BC31CD">
              <w:rPr>
                <w:b/>
                <w:bCs w:val="0"/>
                <w:vertAlign w:val="superscript"/>
              </w:rPr>
              <w:t xml:space="preserve">a </w:t>
            </w:r>
            <w:r w:rsidR="00A54CE8" w:rsidRPr="00BC31CD">
              <w:rPr>
                <w:b/>
                <w:bCs w:val="0"/>
                <w:vertAlign w:val="superscript"/>
              </w:rPr>
              <w:br/>
            </w:r>
            <w:r w:rsidRPr="00BC31CD">
              <w:rPr>
                <w:b/>
                <w:bCs w:val="0"/>
              </w:rPr>
              <w:t>(N=27)</w:t>
            </w:r>
          </w:p>
        </w:tc>
        <w:tc>
          <w:tcPr>
            <w:tcW w:w="886" w:type="pct"/>
            <w:tcBorders>
              <w:top w:val="single" w:sz="4" w:space="0" w:color="auto"/>
              <w:left w:val="single" w:sz="4" w:space="0" w:color="auto"/>
              <w:bottom w:val="single" w:sz="4" w:space="0" w:color="auto"/>
              <w:right w:val="single" w:sz="4" w:space="0" w:color="auto"/>
            </w:tcBorders>
            <w:vAlign w:val="center"/>
          </w:tcPr>
          <w:p w14:paraId="65CD7C20" w14:textId="77777777" w:rsidR="007F60EB" w:rsidRPr="00BC31CD" w:rsidRDefault="007F60EB" w:rsidP="00E25376">
            <w:pPr>
              <w:pStyle w:val="TableText0"/>
              <w:jc w:val="center"/>
              <w:rPr>
                <w:b/>
                <w:bCs w:val="0"/>
              </w:rPr>
            </w:pPr>
            <w:r w:rsidRPr="00BC31CD">
              <w:rPr>
                <w:b/>
                <w:bCs w:val="0"/>
                <w:lang w:bidi="en-US"/>
              </w:rPr>
              <w:t>Trientine 4HCl</w:t>
            </w:r>
            <w:r w:rsidRPr="00BC31CD">
              <w:rPr>
                <w:b/>
                <w:bCs w:val="0"/>
                <w:vertAlign w:val="superscript"/>
              </w:rPr>
              <w:t xml:space="preserve">a </w:t>
            </w:r>
            <w:r w:rsidR="00A54CE8" w:rsidRPr="00BC31CD">
              <w:rPr>
                <w:b/>
                <w:bCs w:val="0"/>
                <w:vertAlign w:val="superscript"/>
              </w:rPr>
              <w:br/>
            </w:r>
            <w:r w:rsidRPr="00BC31CD">
              <w:rPr>
                <w:b/>
                <w:bCs w:val="0"/>
              </w:rPr>
              <w:t>(N=26)</w:t>
            </w:r>
          </w:p>
        </w:tc>
        <w:tc>
          <w:tcPr>
            <w:tcW w:w="804" w:type="pct"/>
            <w:tcBorders>
              <w:top w:val="single" w:sz="4" w:space="0" w:color="auto"/>
              <w:left w:val="single" w:sz="4" w:space="0" w:color="auto"/>
              <w:bottom w:val="single" w:sz="4" w:space="0" w:color="auto"/>
              <w:right w:val="single" w:sz="4" w:space="0" w:color="auto"/>
            </w:tcBorders>
            <w:vAlign w:val="center"/>
          </w:tcPr>
          <w:p w14:paraId="171FC313" w14:textId="77777777" w:rsidR="007F60EB" w:rsidRPr="00BC31CD" w:rsidRDefault="007F60EB" w:rsidP="00E25376">
            <w:pPr>
              <w:pStyle w:val="TableText0"/>
              <w:jc w:val="center"/>
              <w:rPr>
                <w:b/>
                <w:bCs w:val="0"/>
              </w:rPr>
            </w:pPr>
            <w:r w:rsidRPr="00BC31CD">
              <w:rPr>
                <w:b/>
                <w:bCs w:val="0"/>
              </w:rPr>
              <w:t xml:space="preserve">DPA </w:t>
            </w:r>
            <w:r w:rsidR="00A54CE8" w:rsidRPr="00BC31CD">
              <w:rPr>
                <w:b/>
                <w:bCs w:val="0"/>
              </w:rPr>
              <w:br/>
            </w:r>
            <w:r w:rsidRPr="00BC31CD">
              <w:rPr>
                <w:b/>
                <w:bCs w:val="0"/>
              </w:rPr>
              <w:t>(N=27)</w:t>
            </w:r>
          </w:p>
        </w:tc>
        <w:tc>
          <w:tcPr>
            <w:tcW w:w="738" w:type="pct"/>
            <w:tcBorders>
              <w:top w:val="single" w:sz="4" w:space="0" w:color="auto"/>
              <w:left w:val="single" w:sz="4" w:space="0" w:color="auto"/>
              <w:bottom w:val="single" w:sz="4" w:space="0" w:color="auto"/>
              <w:right w:val="single" w:sz="4" w:space="0" w:color="auto"/>
            </w:tcBorders>
            <w:vAlign w:val="center"/>
          </w:tcPr>
          <w:p w14:paraId="388B7583" w14:textId="77777777" w:rsidR="007F60EB" w:rsidRPr="00BC31CD" w:rsidRDefault="007F60EB" w:rsidP="00E25376">
            <w:pPr>
              <w:pStyle w:val="TableText0"/>
              <w:jc w:val="center"/>
              <w:rPr>
                <w:b/>
                <w:bCs w:val="0"/>
              </w:rPr>
            </w:pPr>
            <w:r w:rsidRPr="00BC31CD">
              <w:rPr>
                <w:b/>
                <w:bCs w:val="0"/>
                <w:lang w:bidi="en-US"/>
              </w:rPr>
              <w:t>Trientine 4HC</w:t>
            </w:r>
            <w:r w:rsidR="00A54CE8" w:rsidRPr="00BC31CD">
              <w:rPr>
                <w:b/>
                <w:bCs w:val="0"/>
                <w:lang w:bidi="en-US"/>
              </w:rPr>
              <w:t>l</w:t>
            </w:r>
            <w:r w:rsidRPr="00BC31CD">
              <w:rPr>
                <w:b/>
                <w:bCs w:val="0"/>
              </w:rPr>
              <w:t xml:space="preserve"> </w:t>
            </w:r>
            <w:r w:rsidR="00A54CE8" w:rsidRPr="00BC31CD">
              <w:rPr>
                <w:b/>
                <w:bCs w:val="0"/>
              </w:rPr>
              <w:br/>
            </w:r>
            <w:r w:rsidRPr="00BC31CD">
              <w:rPr>
                <w:b/>
                <w:bCs w:val="0"/>
              </w:rPr>
              <w:t>(N=26)</w:t>
            </w:r>
          </w:p>
        </w:tc>
      </w:tr>
      <w:tr w:rsidR="007F60EB" w:rsidRPr="00BC31CD" w14:paraId="35F45B29"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6C934A92" w14:textId="77777777" w:rsidR="007F60EB" w:rsidRPr="00BC31CD" w:rsidRDefault="007F60EB" w:rsidP="00E25376">
            <w:pPr>
              <w:pStyle w:val="TableText0"/>
            </w:pPr>
            <w:r w:rsidRPr="00BC31CD">
              <w:t>TEAEs</w:t>
            </w:r>
          </w:p>
        </w:tc>
        <w:tc>
          <w:tcPr>
            <w:tcW w:w="966" w:type="pct"/>
            <w:tcBorders>
              <w:top w:val="single" w:sz="4" w:space="0" w:color="auto"/>
              <w:left w:val="single" w:sz="4" w:space="0" w:color="auto"/>
              <w:bottom w:val="single" w:sz="4" w:space="0" w:color="auto"/>
              <w:right w:val="single" w:sz="4" w:space="0" w:color="auto"/>
            </w:tcBorders>
            <w:vAlign w:val="center"/>
            <w:hideMark/>
          </w:tcPr>
          <w:p w14:paraId="69A0C590" w14:textId="77777777" w:rsidR="007F60EB" w:rsidRPr="00BC31CD" w:rsidRDefault="007F60EB" w:rsidP="00E25376">
            <w:pPr>
              <w:pStyle w:val="TableText0"/>
              <w:jc w:val="center"/>
            </w:pPr>
            <w:r w:rsidRPr="00BC31CD">
              <w:t>16 (59.3%)</w:t>
            </w:r>
          </w:p>
        </w:tc>
        <w:tc>
          <w:tcPr>
            <w:tcW w:w="886" w:type="pct"/>
            <w:tcBorders>
              <w:top w:val="single" w:sz="4" w:space="0" w:color="auto"/>
              <w:left w:val="single" w:sz="4" w:space="0" w:color="auto"/>
              <w:bottom w:val="single" w:sz="4" w:space="0" w:color="auto"/>
              <w:right w:val="single" w:sz="4" w:space="0" w:color="auto"/>
            </w:tcBorders>
            <w:vAlign w:val="center"/>
            <w:hideMark/>
          </w:tcPr>
          <w:p w14:paraId="57C80F56" w14:textId="77777777" w:rsidR="007F60EB" w:rsidRPr="00BC31CD" w:rsidRDefault="007F60EB" w:rsidP="00E25376">
            <w:pPr>
              <w:pStyle w:val="TableText0"/>
              <w:jc w:val="center"/>
            </w:pPr>
            <w:r w:rsidRPr="00BC31CD">
              <w:t>13 (50.0%)</w:t>
            </w:r>
          </w:p>
        </w:tc>
        <w:tc>
          <w:tcPr>
            <w:tcW w:w="804" w:type="pct"/>
            <w:tcBorders>
              <w:top w:val="single" w:sz="4" w:space="0" w:color="auto"/>
              <w:left w:val="single" w:sz="4" w:space="0" w:color="auto"/>
              <w:bottom w:val="single" w:sz="4" w:space="0" w:color="auto"/>
              <w:right w:val="single" w:sz="4" w:space="0" w:color="auto"/>
            </w:tcBorders>
            <w:vAlign w:val="center"/>
            <w:hideMark/>
          </w:tcPr>
          <w:p w14:paraId="310130E8" w14:textId="77777777" w:rsidR="007F60EB" w:rsidRPr="00BC31CD" w:rsidRDefault="007F60EB" w:rsidP="00E25376">
            <w:pPr>
              <w:pStyle w:val="TableText0"/>
              <w:jc w:val="center"/>
            </w:pPr>
            <w:r w:rsidRPr="00BC31CD">
              <w:t>17 (63.0%)</w:t>
            </w:r>
          </w:p>
        </w:tc>
        <w:tc>
          <w:tcPr>
            <w:tcW w:w="738" w:type="pct"/>
            <w:tcBorders>
              <w:top w:val="single" w:sz="4" w:space="0" w:color="auto"/>
              <w:left w:val="single" w:sz="4" w:space="0" w:color="auto"/>
              <w:bottom w:val="single" w:sz="4" w:space="0" w:color="auto"/>
              <w:right w:val="single" w:sz="4" w:space="0" w:color="auto"/>
            </w:tcBorders>
            <w:vAlign w:val="center"/>
            <w:hideMark/>
          </w:tcPr>
          <w:p w14:paraId="15BE05E2" w14:textId="77777777" w:rsidR="007F60EB" w:rsidRPr="00BC31CD" w:rsidRDefault="007F60EB" w:rsidP="00E25376">
            <w:pPr>
              <w:pStyle w:val="TableText0"/>
              <w:jc w:val="center"/>
            </w:pPr>
            <w:r w:rsidRPr="00BC31CD">
              <w:t>14 (53.8%)</w:t>
            </w:r>
          </w:p>
        </w:tc>
      </w:tr>
      <w:tr w:rsidR="007F60EB" w:rsidRPr="00BC31CD" w14:paraId="774242C9"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7A5A063D" w14:textId="77777777" w:rsidR="007F60EB" w:rsidRPr="00BC31CD" w:rsidRDefault="007F60EB" w:rsidP="00E25376">
            <w:pPr>
              <w:pStyle w:val="TableText0"/>
            </w:pPr>
            <w:r w:rsidRPr="00BC31CD">
              <w:t>TEAE severity</w:t>
            </w:r>
          </w:p>
          <w:p w14:paraId="6AAE43E6" w14:textId="4BE71339" w:rsidR="007F60EB" w:rsidRPr="00BC31CD" w:rsidRDefault="007F60EB" w:rsidP="00E25376">
            <w:pPr>
              <w:pStyle w:val="TableText0"/>
            </w:pPr>
            <w:r w:rsidRPr="00BC31CD">
              <w:t>Mild</w:t>
            </w:r>
          </w:p>
          <w:p w14:paraId="3A6FC491" w14:textId="7F8710C2" w:rsidR="007F60EB" w:rsidRPr="00BC31CD" w:rsidRDefault="007F60EB" w:rsidP="00E25376">
            <w:pPr>
              <w:pStyle w:val="TableText0"/>
            </w:pPr>
            <w:r w:rsidRPr="00BC31CD">
              <w:t>Moderate</w:t>
            </w:r>
          </w:p>
          <w:p w14:paraId="6CD4CBBC" w14:textId="7E8CCF40" w:rsidR="007F60EB" w:rsidRPr="00BC31CD" w:rsidRDefault="007F60EB" w:rsidP="00E25376">
            <w:pPr>
              <w:pStyle w:val="TableText0"/>
            </w:pPr>
            <w:r w:rsidRPr="00BC31CD">
              <w:t>Severe</w:t>
            </w:r>
          </w:p>
        </w:tc>
        <w:tc>
          <w:tcPr>
            <w:tcW w:w="966" w:type="pct"/>
            <w:tcBorders>
              <w:top w:val="single" w:sz="4" w:space="0" w:color="auto"/>
              <w:left w:val="single" w:sz="4" w:space="0" w:color="auto"/>
              <w:bottom w:val="single" w:sz="4" w:space="0" w:color="auto"/>
              <w:right w:val="single" w:sz="4" w:space="0" w:color="auto"/>
            </w:tcBorders>
            <w:vAlign w:val="center"/>
          </w:tcPr>
          <w:p w14:paraId="3A98DC11" w14:textId="77777777" w:rsidR="007F60EB" w:rsidRPr="00BC31CD" w:rsidRDefault="007F60EB" w:rsidP="00E25376">
            <w:pPr>
              <w:pStyle w:val="TableText0"/>
              <w:jc w:val="center"/>
            </w:pPr>
          </w:p>
          <w:p w14:paraId="153F39E4" w14:textId="77777777" w:rsidR="007F60EB" w:rsidRPr="00BC31CD" w:rsidRDefault="007F60EB" w:rsidP="00E25376">
            <w:pPr>
              <w:pStyle w:val="TableText0"/>
              <w:jc w:val="center"/>
            </w:pPr>
            <w:r w:rsidRPr="00BC31CD">
              <w:t>11 (40.7%)</w:t>
            </w:r>
          </w:p>
          <w:p w14:paraId="359C9EC5" w14:textId="77777777" w:rsidR="007F60EB" w:rsidRPr="00BC31CD" w:rsidRDefault="007F60EB" w:rsidP="00E25376">
            <w:pPr>
              <w:pStyle w:val="TableText0"/>
              <w:jc w:val="center"/>
            </w:pPr>
            <w:r w:rsidRPr="00BC31CD">
              <w:t>5 (18.5%)</w:t>
            </w:r>
          </w:p>
          <w:p w14:paraId="5483B538" w14:textId="77777777" w:rsidR="007F60EB" w:rsidRPr="00BC31CD" w:rsidRDefault="007F60EB" w:rsidP="00E25376">
            <w:pPr>
              <w:pStyle w:val="TableText0"/>
              <w:jc w:val="center"/>
            </w:pPr>
            <w:r w:rsidRPr="00BC31CD">
              <w:t>0</w:t>
            </w:r>
          </w:p>
        </w:tc>
        <w:tc>
          <w:tcPr>
            <w:tcW w:w="886" w:type="pct"/>
            <w:tcBorders>
              <w:top w:val="single" w:sz="4" w:space="0" w:color="auto"/>
              <w:left w:val="single" w:sz="4" w:space="0" w:color="auto"/>
              <w:bottom w:val="single" w:sz="4" w:space="0" w:color="auto"/>
              <w:right w:val="single" w:sz="4" w:space="0" w:color="auto"/>
            </w:tcBorders>
            <w:vAlign w:val="center"/>
          </w:tcPr>
          <w:p w14:paraId="5BCC1463" w14:textId="77777777" w:rsidR="007F60EB" w:rsidRPr="00BC31CD" w:rsidRDefault="007F60EB" w:rsidP="00E25376">
            <w:pPr>
              <w:pStyle w:val="TableText0"/>
              <w:jc w:val="center"/>
            </w:pPr>
          </w:p>
          <w:p w14:paraId="3F36FB26" w14:textId="77777777" w:rsidR="007F60EB" w:rsidRPr="00BC31CD" w:rsidRDefault="007F60EB" w:rsidP="00E25376">
            <w:pPr>
              <w:pStyle w:val="TableText0"/>
              <w:jc w:val="center"/>
            </w:pPr>
            <w:r w:rsidRPr="00BC31CD">
              <w:t>7 (26.9%)</w:t>
            </w:r>
          </w:p>
          <w:p w14:paraId="3B4DAAD6" w14:textId="77777777" w:rsidR="007F60EB" w:rsidRPr="00BC31CD" w:rsidRDefault="007F60EB" w:rsidP="00E25376">
            <w:pPr>
              <w:pStyle w:val="TableText0"/>
              <w:jc w:val="center"/>
            </w:pPr>
            <w:r w:rsidRPr="00BC31CD">
              <w:t>6 (23.1%)</w:t>
            </w:r>
          </w:p>
          <w:p w14:paraId="2D9F98E7" w14:textId="77777777" w:rsidR="007F60EB" w:rsidRPr="00BC31CD" w:rsidRDefault="007F60EB" w:rsidP="00E25376">
            <w:pPr>
              <w:pStyle w:val="TableText0"/>
              <w:jc w:val="center"/>
            </w:pPr>
            <w:r w:rsidRPr="00BC31CD">
              <w:t>0</w:t>
            </w:r>
          </w:p>
        </w:tc>
        <w:tc>
          <w:tcPr>
            <w:tcW w:w="804" w:type="pct"/>
            <w:tcBorders>
              <w:top w:val="single" w:sz="4" w:space="0" w:color="auto"/>
              <w:left w:val="single" w:sz="4" w:space="0" w:color="auto"/>
              <w:bottom w:val="single" w:sz="4" w:space="0" w:color="auto"/>
              <w:right w:val="single" w:sz="4" w:space="0" w:color="auto"/>
            </w:tcBorders>
            <w:vAlign w:val="center"/>
          </w:tcPr>
          <w:p w14:paraId="5EB9A27E" w14:textId="77777777" w:rsidR="007F60EB" w:rsidRPr="00BC31CD" w:rsidRDefault="007F60EB" w:rsidP="00E25376">
            <w:pPr>
              <w:pStyle w:val="TableText0"/>
              <w:jc w:val="center"/>
            </w:pPr>
          </w:p>
          <w:p w14:paraId="129BAE0B" w14:textId="77777777" w:rsidR="007F60EB" w:rsidRPr="00BC31CD" w:rsidRDefault="007F60EB" w:rsidP="00E25376">
            <w:pPr>
              <w:pStyle w:val="TableText0"/>
              <w:jc w:val="center"/>
            </w:pPr>
            <w:r w:rsidRPr="00BC31CD">
              <w:t>9 (33.3%)</w:t>
            </w:r>
          </w:p>
          <w:p w14:paraId="79708F8B" w14:textId="77777777" w:rsidR="007F60EB" w:rsidRPr="00BC31CD" w:rsidRDefault="007F60EB" w:rsidP="00E25376">
            <w:pPr>
              <w:pStyle w:val="TableText0"/>
              <w:jc w:val="center"/>
            </w:pPr>
            <w:r w:rsidRPr="00BC31CD">
              <w:t>8 (29.6%)</w:t>
            </w:r>
          </w:p>
          <w:p w14:paraId="6E3FC67F" w14:textId="77777777" w:rsidR="007F60EB" w:rsidRPr="00BC31CD" w:rsidRDefault="007F60EB" w:rsidP="00E25376">
            <w:pPr>
              <w:pStyle w:val="TableText0"/>
              <w:jc w:val="center"/>
            </w:pPr>
            <w:r w:rsidRPr="00BC31CD">
              <w:t>0</w:t>
            </w:r>
          </w:p>
        </w:tc>
        <w:tc>
          <w:tcPr>
            <w:tcW w:w="738" w:type="pct"/>
            <w:tcBorders>
              <w:top w:val="single" w:sz="4" w:space="0" w:color="auto"/>
              <w:left w:val="single" w:sz="4" w:space="0" w:color="auto"/>
              <w:bottom w:val="single" w:sz="4" w:space="0" w:color="auto"/>
              <w:right w:val="single" w:sz="4" w:space="0" w:color="auto"/>
            </w:tcBorders>
            <w:vAlign w:val="center"/>
          </w:tcPr>
          <w:p w14:paraId="1FAEF1D8" w14:textId="77777777" w:rsidR="007F60EB" w:rsidRPr="00BC31CD" w:rsidRDefault="007F60EB" w:rsidP="00E25376">
            <w:pPr>
              <w:pStyle w:val="TableText0"/>
              <w:jc w:val="center"/>
            </w:pPr>
          </w:p>
          <w:p w14:paraId="1580C11D" w14:textId="77777777" w:rsidR="007F60EB" w:rsidRPr="00BC31CD" w:rsidRDefault="007F60EB" w:rsidP="00E25376">
            <w:pPr>
              <w:pStyle w:val="TableText0"/>
              <w:jc w:val="center"/>
            </w:pPr>
            <w:r w:rsidRPr="00BC31CD">
              <w:t>8 (30.8%)</w:t>
            </w:r>
          </w:p>
          <w:p w14:paraId="077D409E" w14:textId="77777777" w:rsidR="007F60EB" w:rsidRPr="00BC31CD" w:rsidRDefault="007F60EB" w:rsidP="00E25376">
            <w:pPr>
              <w:pStyle w:val="TableText0"/>
              <w:jc w:val="center"/>
            </w:pPr>
            <w:r w:rsidRPr="00BC31CD">
              <w:t>6 (23.1%)</w:t>
            </w:r>
          </w:p>
          <w:p w14:paraId="6B24A106" w14:textId="77777777" w:rsidR="007F60EB" w:rsidRPr="00BC31CD" w:rsidRDefault="007F60EB" w:rsidP="00E25376">
            <w:pPr>
              <w:pStyle w:val="TableText0"/>
              <w:jc w:val="center"/>
            </w:pPr>
            <w:r w:rsidRPr="00BC31CD">
              <w:t>0</w:t>
            </w:r>
          </w:p>
        </w:tc>
      </w:tr>
      <w:tr w:rsidR="007F60EB" w:rsidRPr="00BC31CD" w14:paraId="5E5990DD"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44091088" w14:textId="77777777" w:rsidR="007F60EB" w:rsidRPr="00BC31CD" w:rsidRDefault="007F60EB" w:rsidP="00E25376">
            <w:pPr>
              <w:pStyle w:val="TableText0"/>
            </w:pPr>
            <w:r w:rsidRPr="00BC31CD">
              <w:t>Treatment-related TEAE</w:t>
            </w:r>
          </w:p>
        </w:tc>
        <w:tc>
          <w:tcPr>
            <w:tcW w:w="966" w:type="pct"/>
            <w:tcBorders>
              <w:top w:val="single" w:sz="4" w:space="0" w:color="auto"/>
              <w:left w:val="single" w:sz="4" w:space="0" w:color="auto"/>
              <w:bottom w:val="single" w:sz="4" w:space="0" w:color="auto"/>
              <w:right w:val="single" w:sz="4" w:space="0" w:color="auto"/>
            </w:tcBorders>
            <w:vAlign w:val="center"/>
            <w:hideMark/>
          </w:tcPr>
          <w:p w14:paraId="2ACC0075" w14:textId="77777777" w:rsidR="007F60EB" w:rsidRPr="00BC31CD" w:rsidRDefault="007F60EB" w:rsidP="00E25376">
            <w:pPr>
              <w:pStyle w:val="TableText0"/>
              <w:jc w:val="center"/>
            </w:pPr>
            <w:r w:rsidRPr="00BC31CD">
              <w:t>4 (14.8%)</w:t>
            </w:r>
          </w:p>
        </w:tc>
        <w:tc>
          <w:tcPr>
            <w:tcW w:w="886" w:type="pct"/>
            <w:tcBorders>
              <w:top w:val="single" w:sz="4" w:space="0" w:color="auto"/>
              <w:left w:val="single" w:sz="4" w:space="0" w:color="auto"/>
              <w:bottom w:val="single" w:sz="4" w:space="0" w:color="auto"/>
              <w:right w:val="single" w:sz="4" w:space="0" w:color="auto"/>
            </w:tcBorders>
            <w:vAlign w:val="center"/>
            <w:hideMark/>
          </w:tcPr>
          <w:p w14:paraId="6F3A542E" w14:textId="77777777" w:rsidR="007F60EB" w:rsidRPr="00BC31CD" w:rsidRDefault="007F60EB" w:rsidP="00E25376">
            <w:pPr>
              <w:pStyle w:val="TableText0"/>
              <w:jc w:val="center"/>
            </w:pPr>
            <w:r w:rsidRPr="00BC31CD">
              <w:t>5 (19.2%)</w:t>
            </w:r>
          </w:p>
        </w:tc>
        <w:tc>
          <w:tcPr>
            <w:tcW w:w="804" w:type="pct"/>
            <w:tcBorders>
              <w:top w:val="single" w:sz="4" w:space="0" w:color="auto"/>
              <w:left w:val="single" w:sz="4" w:space="0" w:color="auto"/>
              <w:bottom w:val="single" w:sz="4" w:space="0" w:color="auto"/>
              <w:right w:val="single" w:sz="4" w:space="0" w:color="auto"/>
            </w:tcBorders>
            <w:vAlign w:val="center"/>
            <w:hideMark/>
          </w:tcPr>
          <w:p w14:paraId="2BBC5416" w14:textId="77777777" w:rsidR="007F60EB" w:rsidRPr="00BC31CD" w:rsidRDefault="007F60EB" w:rsidP="00E25376">
            <w:pPr>
              <w:pStyle w:val="TableText0"/>
              <w:jc w:val="center"/>
            </w:pPr>
            <w:r w:rsidRPr="00BC31CD">
              <w:t>3 (11.1%)</w:t>
            </w:r>
          </w:p>
        </w:tc>
        <w:tc>
          <w:tcPr>
            <w:tcW w:w="738" w:type="pct"/>
            <w:tcBorders>
              <w:top w:val="single" w:sz="4" w:space="0" w:color="auto"/>
              <w:left w:val="single" w:sz="4" w:space="0" w:color="auto"/>
              <w:bottom w:val="single" w:sz="4" w:space="0" w:color="auto"/>
              <w:right w:val="single" w:sz="4" w:space="0" w:color="auto"/>
            </w:tcBorders>
            <w:vAlign w:val="center"/>
            <w:hideMark/>
          </w:tcPr>
          <w:p w14:paraId="72F28EB4" w14:textId="77777777" w:rsidR="007F60EB" w:rsidRPr="00BC31CD" w:rsidRDefault="007F60EB" w:rsidP="00E25376">
            <w:pPr>
              <w:pStyle w:val="TableText0"/>
              <w:jc w:val="center"/>
            </w:pPr>
            <w:r w:rsidRPr="00BC31CD">
              <w:t>9 (30.8%)</w:t>
            </w:r>
          </w:p>
        </w:tc>
      </w:tr>
      <w:tr w:rsidR="007F60EB" w:rsidRPr="00BC31CD" w14:paraId="7BDCBA9A"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2D1769B2" w14:textId="77777777" w:rsidR="007F60EB" w:rsidRPr="00BC31CD" w:rsidRDefault="007F60EB" w:rsidP="00E25376">
            <w:pPr>
              <w:pStyle w:val="TableText0"/>
            </w:pPr>
            <w:r w:rsidRPr="00BC31CD">
              <w:t>SAEs</w:t>
            </w:r>
          </w:p>
        </w:tc>
        <w:tc>
          <w:tcPr>
            <w:tcW w:w="966" w:type="pct"/>
            <w:tcBorders>
              <w:top w:val="single" w:sz="4" w:space="0" w:color="auto"/>
              <w:left w:val="single" w:sz="4" w:space="0" w:color="auto"/>
              <w:bottom w:val="single" w:sz="4" w:space="0" w:color="auto"/>
              <w:right w:val="single" w:sz="4" w:space="0" w:color="auto"/>
            </w:tcBorders>
            <w:vAlign w:val="center"/>
            <w:hideMark/>
          </w:tcPr>
          <w:p w14:paraId="763E8B5B" w14:textId="77777777" w:rsidR="007F60EB" w:rsidRPr="00BC31CD" w:rsidRDefault="007F60EB" w:rsidP="00E25376">
            <w:pPr>
              <w:pStyle w:val="TableText0"/>
              <w:jc w:val="center"/>
            </w:pPr>
            <w:r w:rsidRPr="00BC31CD">
              <w:t>1 (3.7%)</w:t>
            </w:r>
          </w:p>
        </w:tc>
        <w:tc>
          <w:tcPr>
            <w:tcW w:w="886" w:type="pct"/>
            <w:tcBorders>
              <w:top w:val="single" w:sz="4" w:space="0" w:color="auto"/>
              <w:left w:val="single" w:sz="4" w:space="0" w:color="auto"/>
              <w:bottom w:val="single" w:sz="4" w:space="0" w:color="auto"/>
              <w:right w:val="single" w:sz="4" w:space="0" w:color="auto"/>
            </w:tcBorders>
            <w:vAlign w:val="center"/>
            <w:hideMark/>
          </w:tcPr>
          <w:p w14:paraId="58751D04" w14:textId="77777777" w:rsidR="007F60EB" w:rsidRPr="00BC31CD" w:rsidRDefault="007F60EB" w:rsidP="00E25376">
            <w:pPr>
              <w:pStyle w:val="TableText0"/>
              <w:jc w:val="center"/>
            </w:pPr>
            <w:r w:rsidRPr="00BC31CD">
              <w:t>1 (3.8%)</w:t>
            </w:r>
          </w:p>
        </w:tc>
        <w:tc>
          <w:tcPr>
            <w:tcW w:w="804" w:type="pct"/>
            <w:tcBorders>
              <w:top w:val="single" w:sz="4" w:space="0" w:color="auto"/>
              <w:left w:val="single" w:sz="4" w:space="0" w:color="auto"/>
              <w:bottom w:val="single" w:sz="4" w:space="0" w:color="auto"/>
              <w:right w:val="single" w:sz="4" w:space="0" w:color="auto"/>
            </w:tcBorders>
            <w:vAlign w:val="center"/>
            <w:hideMark/>
          </w:tcPr>
          <w:p w14:paraId="1FE6FF24" w14:textId="77777777" w:rsidR="007F60EB" w:rsidRPr="00BC31CD" w:rsidRDefault="007F60EB" w:rsidP="00E25376">
            <w:pPr>
              <w:pStyle w:val="TableText0"/>
              <w:jc w:val="center"/>
            </w:pPr>
            <w:r w:rsidRPr="00BC31CD">
              <w:t>3 (11.1%)</w:t>
            </w:r>
          </w:p>
        </w:tc>
        <w:tc>
          <w:tcPr>
            <w:tcW w:w="738" w:type="pct"/>
            <w:tcBorders>
              <w:top w:val="single" w:sz="4" w:space="0" w:color="auto"/>
              <w:left w:val="single" w:sz="4" w:space="0" w:color="auto"/>
              <w:bottom w:val="single" w:sz="4" w:space="0" w:color="auto"/>
              <w:right w:val="single" w:sz="4" w:space="0" w:color="auto"/>
            </w:tcBorders>
            <w:vAlign w:val="center"/>
            <w:hideMark/>
          </w:tcPr>
          <w:p w14:paraId="7BD6D600" w14:textId="77777777" w:rsidR="007F60EB" w:rsidRPr="00BC31CD" w:rsidRDefault="007F60EB" w:rsidP="00E25376">
            <w:pPr>
              <w:pStyle w:val="TableText0"/>
              <w:jc w:val="center"/>
            </w:pPr>
            <w:r w:rsidRPr="00BC31CD">
              <w:t>0</w:t>
            </w:r>
          </w:p>
        </w:tc>
      </w:tr>
      <w:tr w:rsidR="007F60EB" w:rsidRPr="00BC31CD" w14:paraId="1B12EE30"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5DEFA8D8" w14:textId="77777777" w:rsidR="007F60EB" w:rsidRPr="00BC31CD" w:rsidRDefault="007F60EB" w:rsidP="00E25376">
            <w:pPr>
              <w:pStyle w:val="TableText0"/>
            </w:pPr>
            <w:r w:rsidRPr="00BC31CD">
              <w:t>Treatment-related SAEs</w:t>
            </w:r>
          </w:p>
        </w:tc>
        <w:tc>
          <w:tcPr>
            <w:tcW w:w="966" w:type="pct"/>
            <w:tcBorders>
              <w:top w:val="single" w:sz="4" w:space="0" w:color="auto"/>
              <w:left w:val="single" w:sz="4" w:space="0" w:color="auto"/>
              <w:bottom w:val="single" w:sz="4" w:space="0" w:color="auto"/>
              <w:right w:val="single" w:sz="4" w:space="0" w:color="auto"/>
            </w:tcBorders>
            <w:vAlign w:val="center"/>
            <w:hideMark/>
          </w:tcPr>
          <w:p w14:paraId="4E2D4CE5" w14:textId="77777777" w:rsidR="007F60EB" w:rsidRPr="00BC31CD" w:rsidRDefault="007F60EB" w:rsidP="00E25376">
            <w:pPr>
              <w:pStyle w:val="TableText0"/>
              <w:jc w:val="center"/>
            </w:pPr>
            <w:r w:rsidRPr="00BC31CD">
              <w:t>0</w:t>
            </w:r>
          </w:p>
        </w:tc>
        <w:tc>
          <w:tcPr>
            <w:tcW w:w="886" w:type="pct"/>
            <w:tcBorders>
              <w:top w:val="single" w:sz="4" w:space="0" w:color="auto"/>
              <w:left w:val="single" w:sz="4" w:space="0" w:color="auto"/>
              <w:bottom w:val="single" w:sz="4" w:space="0" w:color="auto"/>
              <w:right w:val="single" w:sz="4" w:space="0" w:color="auto"/>
            </w:tcBorders>
            <w:vAlign w:val="center"/>
            <w:hideMark/>
          </w:tcPr>
          <w:p w14:paraId="3AEBD2A5" w14:textId="77777777" w:rsidR="007F60EB" w:rsidRPr="00BC31CD" w:rsidRDefault="007F60EB" w:rsidP="00E25376">
            <w:pPr>
              <w:pStyle w:val="TableText0"/>
              <w:jc w:val="center"/>
            </w:pPr>
            <w:r w:rsidRPr="00BC31CD">
              <w:t>0</w:t>
            </w:r>
          </w:p>
        </w:tc>
        <w:tc>
          <w:tcPr>
            <w:tcW w:w="804" w:type="pct"/>
            <w:tcBorders>
              <w:top w:val="single" w:sz="4" w:space="0" w:color="auto"/>
              <w:left w:val="single" w:sz="4" w:space="0" w:color="auto"/>
              <w:bottom w:val="single" w:sz="4" w:space="0" w:color="auto"/>
              <w:right w:val="single" w:sz="4" w:space="0" w:color="auto"/>
            </w:tcBorders>
            <w:vAlign w:val="center"/>
            <w:hideMark/>
          </w:tcPr>
          <w:p w14:paraId="03FCDB89" w14:textId="77777777" w:rsidR="007F60EB" w:rsidRPr="00BC31CD" w:rsidRDefault="007F60EB" w:rsidP="00E25376">
            <w:pPr>
              <w:pStyle w:val="TableText0"/>
              <w:jc w:val="center"/>
            </w:pPr>
            <w:r w:rsidRPr="00BC31CD">
              <w:t>1 (3.7%)</w:t>
            </w:r>
          </w:p>
        </w:tc>
        <w:tc>
          <w:tcPr>
            <w:tcW w:w="738" w:type="pct"/>
            <w:tcBorders>
              <w:top w:val="single" w:sz="4" w:space="0" w:color="auto"/>
              <w:left w:val="single" w:sz="4" w:space="0" w:color="auto"/>
              <w:bottom w:val="single" w:sz="4" w:space="0" w:color="auto"/>
              <w:right w:val="single" w:sz="4" w:space="0" w:color="auto"/>
            </w:tcBorders>
            <w:vAlign w:val="center"/>
            <w:hideMark/>
          </w:tcPr>
          <w:p w14:paraId="167ED736" w14:textId="77777777" w:rsidR="007F60EB" w:rsidRPr="00BC31CD" w:rsidRDefault="007F60EB" w:rsidP="00E25376">
            <w:pPr>
              <w:pStyle w:val="TableText0"/>
              <w:jc w:val="center"/>
            </w:pPr>
            <w:r w:rsidRPr="00BC31CD">
              <w:t>0</w:t>
            </w:r>
          </w:p>
        </w:tc>
      </w:tr>
      <w:tr w:rsidR="007F60EB" w:rsidRPr="00BC31CD" w14:paraId="42D81145"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40486A6C" w14:textId="77777777" w:rsidR="007F60EB" w:rsidRPr="00BC31CD" w:rsidRDefault="007F60EB" w:rsidP="00E25376">
            <w:pPr>
              <w:pStyle w:val="TableText0"/>
            </w:pPr>
            <w:r w:rsidRPr="00BC31CD">
              <w:t>Fatal TEAE</w:t>
            </w:r>
          </w:p>
        </w:tc>
        <w:tc>
          <w:tcPr>
            <w:tcW w:w="966" w:type="pct"/>
            <w:tcBorders>
              <w:top w:val="single" w:sz="4" w:space="0" w:color="auto"/>
              <w:left w:val="single" w:sz="4" w:space="0" w:color="auto"/>
              <w:bottom w:val="single" w:sz="4" w:space="0" w:color="auto"/>
              <w:right w:val="single" w:sz="4" w:space="0" w:color="auto"/>
            </w:tcBorders>
            <w:vAlign w:val="center"/>
            <w:hideMark/>
          </w:tcPr>
          <w:p w14:paraId="352799E9" w14:textId="77777777" w:rsidR="007F60EB" w:rsidRPr="00BC31CD" w:rsidRDefault="007F60EB" w:rsidP="00E25376">
            <w:pPr>
              <w:pStyle w:val="TableText0"/>
              <w:jc w:val="center"/>
            </w:pPr>
            <w:r w:rsidRPr="00BC31CD">
              <w:t>0</w:t>
            </w:r>
          </w:p>
        </w:tc>
        <w:tc>
          <w:tcPr>
            <w:tcW w:w="886" w:type="pct"/>
            <w:tcBorders>
              <w:top w:val="single" w:sz="4" w:space="0" w:color="auto"/>
              <w:left w:val="single" w:sz="4" w:space="0" w:color="auto"/>
              <w:bottom w:val="single" w:sz="4" w:space="0" w:color="auto"/>
              <w:right w:val="single" w:sz="4" w:space="0" w:color="auto"/>
            </w:tcBorders>
            <w:vAlign w:val="center"/>
            <w:hideMark/>
          </w:tcPr>
          <w:p w14:paraId="4B484FF8" w14:textId="77777777" w:rsidR="007F60EB" w:rsidRPr="00BC31CD" w:rsidRDefault="007F60EB" w:rsidP="00E25376">
            <w:pPr>
              <w:pStyle w:val="TableText0"/>
              <w:jc w:val="center"/>
            </w:pPr>
            <w:r w:rsidRPr="00BC31CD">
              <w:t>0</w:t>
            </w:r>
          </w:p>
        </w:tc>
        <w:tc>
          <w:tcPr>
            <w:tcW w:w="804" w:type="pct"/>
            <w:tcBorders>
              <w:top w:val="single" w:sz="4" w:space="0" w:color="auto"/>
              <w:left w:val="single" w:sz="4" w:space="0" w:color="auto"/>
              <w:bottom w:val="single" w:sz="4" w:space="0" w:color="auto"/>
              <w:right w:val="single" w:sz="4" w:space="0" w:color="auto"/>
            </w:tcBorders>
            <w:vAlign w:val="center"/>
            <w:hideMark/>
          </w:tcPr>
          <w:p w14:paraId="3030AC25" w14:textId="77777777" w:rsidR="007F60EB" w:rsidRPr="00BC31CD" w:rsidRDefault="007F60EB" w:rsidP="00E25376">
            <w:pPr>
              <w:pStyle w:val="TableText0"/>
              <w:jc w:val="center"/>
            </w:pPr>
            <w:r w:rsidRPr="00BC31CD">
              <w:t>0</w:t>
            </w:r>
          </w:p>
        </w:tc>
        <w:tc>
          <w:tcPr>
            <w:tcW w:w="738" w:type="pct"/>
            <w:tcBorders>
              <w:top w:val="single" w:sz="4" w:space="0" w:color="auto"/>
              <w:left w:val="single" w:sz="4" w:space="0" w:color="auto"/>
              <w:bottom w:val="single" w:sz="4" w:space="0" w:color="auto"/>
              <w:right w:val="single" w:sz="4" w:space="0" w:color="auto"/>
            </w:tcBorders>
            <w:vAlign w:val="center"/>
            <w:hideMark/>
          </w:tcPr>
          <w:p w14:paraId="5648D31E" w14:textId="77777777" w:rsidR="007F60EB" w:rsidRPr="00BC31CD" w:rsidRDefault="007F60EB" w:rsidP="00E25376">
            <w:pPr>
              <w:pStyle w:val="TableText0"/>
              <w:jc w:val="center"/>
            </w:pPr>
            <w:r w:rsidRPr="00BC31CD">
              <w:t>0</w:t>
            </w:r>
          </w:p>
        </w:tc>
      </w:tr>
      <w:tr w:rsidR="007F60EB" w:rsidRPr="00BC31CD" w14:paraId="3029860D" w14:textId="77777777" w:rsidTr="00E83D9F">
        <w:tc>
          <w:tcPr>
            <w:tcW w:w="1606" w:type="pct"/>
            <w:tcBorders>
              <w:top w:val="single" w:sz="4" w:space="0" w:color="auto"/>
              <w:left w:val="single" w:sz="4" w:space="0" w:color="auto"/>
              <w:bottom w:val="single" w:sz="4" w:space="0" w:color="auto"/>
              <w:right w:val="single" w:sz="4" w:space="0" w:color="auto"/>
            </w:tcBorders>
            <w:vAlign w:val="center"/>
            <w:hideMark/>
          </w:tcPr>
          <w:p w14:paraId="761B6911" w14:textId="77777777" w:rsidR="007F60EB" w:rsidRPr="00BC31CD" w:rsidRDefault="007F60EB" w:rsidP="00E25376">
            <w:pPr>
              <w:pStyle w:val="TableText0"/>
              <w:rPr>
                <w:vertAlign w:val="superscript"/>
              </w:rPr>
            </w:pPr>
            <w:r w:rsidRPr="00BC31CD">
              <w:t>TEAEs leading to dose modification</w:t>
            </w:r>
            <w:r w:rsidRPr="00BC31CD">
              <w:rPr>
                <w:vertAlign w:val="superscript"/>
              </w:rPr>
              <w:t>b</w:t>
            </w:r>
          </w:p>
        </w:tc>
        <w:tc>
          <w:tcPr>
            <w:tcW w:w="966" w:type="pct"/>
            <w:tcBorders>
              <w:top w:val="single" w:sz="4" w:space="0" w:color="auto"/>
              <w:left w:val="single" w:sz="4" w:space="0" w:color="auto"/>
              <w:bottom w:val="single" w:sz="4" w:space="0" w:color="auto"/>
              <w:right w:val="single" w:sz="4" w:space="0" w:color="auto"/>
            </w:tcBorders>
            <w:vAlign w:val="center"/>
            <w:hideMark/>
          </w:tcPr>
          <w:p w14:paraId="149AABB0" w14:textId="77777777" w:rsidR="007F60EB" w:rsidRPr="00BC31CD" w:rsidRDefault="007F60EB" w:rsidP="00E25376">
            <w:pPr>
              <w:pStyle w:val="TableText0"/>
              <w:jc w:val="center"/>
            </w:pPr>
            <w:r w:rsidRPr="00BC31CD">
              <w:t>1 (3.7%)</w:t>
            </w:r>
          </w:p>
        </w:tc>
        <w:tc>
          <w:tcPr>
            <w:tcW w:w="886" w:type="pct"/>
            <w:tcBorders>
              <w:top w:val="single" w:sz="4" w:space="0" w:color="auto"/>
              <w:left w:val="single" w:sz="4" w:space="0" w:color="auto"/>
              <w:bottom w:val="single" w:sz="4" w:space="0" w:color="auto"/>
              <w:right w:val="single" w:sz="4" w:space="0" w:color="auto"/>
            </w:tcBorders>
            <w:vAlign w:val="center"/>
            <w:hideMark/>
          </w:tcPr>
          <w:p w14:paraId="0CB931D1" w14:textId="77777777" w:rsidR="007F60EB" w:rsidRPr="00BC31CD" w:rsidRDefault="007F60EB" w:rsidP="00E25376">
            <w:pPr>
              <w:pStyle w:val="TableText0"/>
              <w:jc w:val="center"/>
            </w:pPr>
            <w:r w:rsidRPr="00BC31CD">
              <w:t>1 (3.8%)</w:t>
            </w:r>
          </w:p>
        </w:tc>
        <w:tc>
          <w:tcPr>
            <w:tcW w:w="804" w:type="pct"/>
            <w:tcBorders>
              <w:top w:val="single" w:sz="4" w:space="0" w:color="auto"/>
              <w:left w:val="single" w:sz="4" w:space="0" w:color="auto"/>
              <w:bottom w:val="single" w:sz="4" w:space="0" w:color="auto"/>
              <w:right w:val="single" w:sz="4" w:space="0" w:color="auto"/>
            </w:tcBorders>
            <w:vAlign w:val="center"/>
            <w:hideMark/>
          </w:tcPr>
          <w:p w14:paraId="37B8DF37" w14:textId="77777777" w:rsidR="007F60EB" w:rsidRPr="00BC31CD" w:rsidRDefault="007F60EB" w:rsidP="00E25376">
            <w:pPr>
              <w:pStyle w:val="TableText0"/>
              <w:jc w:val="center"/>
            </w:pPr>
            <w:r w:rsidRPr="00BC31CD">
              <w:t>2 (7.4%)</w:t>
            </w:r>
          </w:p>
        </w:tc>
        <w:tc>
          <w:tcPr>
            <w:tcW w:w="738" w:type="pct"/>
            <w:tcBorders>
              <w:top w:val="single" w:sz="4" w:space="0" w:color="auto"/>
              <w:left w:val="single" w:sz="4" w:space="0" w:color="auto"/>
              <w:bottom w:val="single" w:sz="4" w:space="0" w:color="auto"/>
              <w:right w:val="single" w:sz="4" w:space="0" w:color="auto"/>
            </w:tcBorders>
            <w:vAlign w:val="center"/>
            <w:hideMark/>
          </w:tcPr>
          <w:p w14:paraId="4A5814FA" w14:textId="77777777" w:rsidR="007F60EB" w:rsidRPr="00BC31CD" w:rsidRDefault="007F60EB" w:rsidP="00E25376">
            <w:pPr>
              <w:pStyle w:val="TableText0"/>
              <w:jc w:val="center"/>
            </w:pPr>
            <w:r w:rsidRPr="00BC31CD">
              <w:t>2 (7.7%)</w:t>
            </w:r>
          </w:p>
        </w:tc>
      </w:tr>
    </w:tbl>
    <w:p w14:paraId="44086249" w14:textId="77777777" w:rsidR="007F60EB" w:rsidRPr="00BC31CD" w:rsidRDefault="007F60EB" w:rsidP="007F60EB">
      <w:pPr>
        <w:pStyle w:val="Tablefooter0"/>
        <w:spacing w:before="0" w:after="0"/>
        <w:rPr>
          <w:sz w:val="18"/>
          <w:szCs w:val="18"/>
        </w:rPr>
      </w:pPr>
      <w:r w:rsidRPr="00BC31CD">
        <w:rPr>
          <w:sz w:val="18"/>
          <w:szCs w:val="18"/>
        </w:rPr>
        <w:t xml:space="preserve">Source: Table 2.30, p84 of the submission. </w:t>
      </w:r>
    </w:p>
    <w:p w14:paraId="10AF61E4" w14:textId="77777777" w:rsidR="007F60EB" w:rsidRPr="00BC31CD" w:rsidRDefault="007F60EB" w:rsidP="007F60EB">
      <w:pPr>
        <w:tabs>
          <w:tab w:val="left" w:pos="142"/>
        </w:tabs>
        <w:rPr>
          <w:rFonts w:ascii="Arial Narrow" w:hAnsi="Arial Narrow"/>
          <w:sz w:val="18"/>
          <w:szCs w:val="18"/>
        </w:rPr>
      </w:pPr>
      <w:r w:rsidRPr="00BC31CD">
        <w:rPr>
          <w:rFonts w:ascii="Arial Narrow" w:hAnsi="Arial Narrow"/>
          <w:sz w:val="18"/>
          <w:szCs w:val="18"/>
        </w:rPr>
        <w:t>4HCl = tetrahydrochloride; DPA = D-penicillamine; SAE = serious adverse event; TEAE = treatment-emergent adverse event</w:t>
      </w:r>
      <w:r w:rsidRPr="00BC31CD">
        <w:rPr>
          <w:rFonts w:ascii="Arial Narrow" w:hAnsi="Arial Narrow"/>
          <w:sz w:val="18"/>
          <w:szCs w:val="18"/>
        </w:rPr>
        <w:br/>
      </w:r>
      <w:r w:rsidRPr="00BC31CD">
        <w:rPr>
          <w:rFonts w:ascii="Arial Narrow" w:hAnsi="Arial Narrow"/>
          <w:sz w:val="18"/>
          <w:szCs w:val="18"/>
          <w:vertAlign w:val="superscript"/>
        </w:rPr>
        <w:t>a</w:t>
      </w:r>
      <w:r w:rsidRPr="00BC31CD">
        <w:rPr>
          <w:rFonts w:ascii="Arial Narrow" w:hAnsi="Arial Narrow"/>
          <w:sz w:val="18"/>
          <w:szCs w:val="18"/>
        </w:rPr>
        <w:tab/>
        <w:t>Treatment assignment in the post-randomisation period.</w:t>
      </w:r>
    </w:p>
    <w:p w14:paraId="334B135D" w14:textId="77777777" w:rsidR="007F60EB" w:rsidRPr="00BC31CD" w:rsidRDefault="007F60EB" w:rsidP="007F60EB">
      <w:pPr>
        <w:tabs>
          <w:tab w:val="left" w:pos="142"/>
        </w:tabs>
        <w:rPr>
          <w:rFonts w:ascii="Arial Narrow" w:hAnsi="Arial Narrow"/>
          <w:sz w:val="18"/>
          <w:szCs w:val="18"/>
        </w:rPr>
      </w:pPr>
      <w:r w:rsidRPr="00BC31CD">
        <w:rPr>
          <w:rFonts w:ascii="Arial Narrow" w:hAnsi="Arial Narrow"/>
          <w:sz w:val="18"/>
          <w:szCs w:val="18"/>
          <w:vertAlign w:val="superscript"/>
        </w:rPr>
        <w:t>b</w:t>
      </w:r>
      <w:r w:rsidRPr="00BC31CD">
        <w:rPr>
          <w:rFonts w:ascii="Arial Narrow" w:hAnsi="Arial Narrow"/>
          <w:sz w:val="18"/>
          <w:szCs w:val="18"/>
        </w:rPr>
        <w:tab/>
        <w:t>Dose increase, decrease, interruption or withdrawal.</w:t>
      </w:r>
    </w:p>
    <w:p w14:paraId="62329EB7" w14:textId="77777777" w:rsidR="005D5337" w:rsidRPr="00BC31CD" w:rsidRDefault="005D5337" w:rsidP="005D5337"/>
    <w:p w14:paraId="4AFFBAB5" w14:textId="77777777" w:rsidR="00EA67A3" w:rsidRPr="00BC31CD" w:rsidRDefault="00EA67A3" w:rsidP="005D5337">
      <w:pPr>
        <w:pStyle w:val="3-BodyText"/>
      </w:pPr>
      <w:r w:rsidRPr="00BC31CD">
        <w:t>Adverse events</w:t>
      </w:r>
      <w:r w:rsidR="005A3954" w:rsidRPr="00BC31CD">
        <w:t xml:space="preserve"> </w:t>
      </w:r>
      <w:r w:rsidRPr="00BC31CD">
        <w:t>were common</w:t>
      </w:r>
      <w:r w:rsidR="002E185D" w:rsidRPr="00BC31CD">
        <w:t>; however</w:t>
      </w:r>
      <w:r w:rsidRPr="00BC31CD">
        <w:t xml:space="preserve">, there were no treatment-related severe adverse events </w:t>
      </w:r>
      <w:r w:rsidR="002E185D" w:rsidRPr="00BC31CD">
        <w:t>in</w:t>
      </w:r>
      <w:r w:rsidRPr="00BC31CD">
        <w:t xml:space="preserve"> trientine 4HCl-treated patients. </w:t>
      </w:r>
      <w:r w:rsidR="005A3954" w:rsidRPr="00BC31CD">
        <w:t xml:space="preserve">The submission reported the following </w:t>
      </w:r>
      <w:r w:rsidR="002E185D" w:rsidRPr="00BC31CD">
        <w:t>adverse events</w:t>
      </w:r>
      <w:r w:rsidR="005A3954" w:rsidRPr="00BC31CD">
        <w:t xml:space="preserve"> in trientine 4HCl-treated patients in the post-randomisation period: abdominal pain, abnormal</w:t>
      </w:r>
      <w:r w:rsidR="0072451A" w:rsidRPr="00BC31CD">
        <w:t>/soft</w:t>
      </w:r>
      <w:r w:rsidR="005A3954" w:rsidRPr="00BC31CD">
        <w:t xml:space="preserve"> faeces soft, dry mouth, alanine aminotransferase (ALT) increased, alopecia and rash/rash generalised.</w:t>
      </w:r>
      <w:r w:rsidR="00611789" w:rsidRPr="00BC31CD">
        <w:t xml:space="preserve"> </w:t>
      </w:r>
      <w:r w:rsidR="005A3954" w:rsidRPr="00BC31CD">
        <w:t>Only one patient discontinued trial treatment because of an adverse event (a patient receiving trientine 4HCl who developed a rash; CSR p73).</w:t>
      </w:r>
    </w:p>
    <w:p w14:paraId="4FAA7EA1" w14:textId="77777777" w:rsidR="005D26B4" w:rsidRPr="00BC31CD" w:rsidRDefault="00985A3F" w:rsidP="00985A3F">
      <w:pPr>
        <w:pStyle w:val="3-BodyText"/>
      </w:pPr>
      <w:r w:rsidRPr="00BC31CD">
        <w:t xml:space="preserve">Reporting of </w:t>
      </w:r>
      <w:r w:rsidR="002E185D" w:rsidRPr="00BC31CD">
        <w:t>adverse events</w:t>
      </w:r>
      <w:r w:rsidRPr="00BC31CD">
        <w:t xml:space="preserve"> in the observational studies was heterogenous</w:t>
      </w:r>
      <w:r w:rsidR="002E185D" w:rsidRPr="00BC31CD">
        <w:t>,</w:t>
      </w:r>
      <w:r w:rsidRPr="00BC31CD">
        <w:t xml:space="preserve"> so precise estimates of events are uncertain.</w:t>
      </w:r>
      <w:r w:rsidR="00611789" w:rsidRPr="00BC31CD">
        <w:t xml:space="preserve"> </w:t>
      </w:r>
    </w:p>
    <w:p w14:paraId="5AC8CE43" w14:textId="77777777" w:rsidR="007F1017" w:rsidRPr="00BC31CD" w:rsidRDefault="007F1017" w:rsidP="00D86231">
      <w:pPr>
        <w:pStyle w:val="4-SubsectionHeading"/>
      </w:pPr>
      <w:bookmarkStart w:id="20" w:name="_Toc22897643"/>
      <w:bookmarkStart w:id="21" w:name="_Toc82002235"/>
      <w:r w:rsidRPr="00BC31CD">
        <w:t>Benefits/harms</w:t>
      </w:r>
      <w:bookmarkEnd w:id="20"/>
      <w:bookmarkEnd w:id="21"/>
    </w:p>
    <w:p w14:paraId="649DD022" w14:textId="77777777" w:rsidR="007F1017" w:rsidRPr="00BC31CD" w:rsidRDefault="00E926A5" w:rsidP="00D2155B">
      <w:pPr>
        <w:pStyle w:val="3-BodyText"/>
      </w:pPr>
      <w:r w:rsidRPr="00BC31CD">
        <w:rPr>
          <w:snapToGrid/>
        </w:rPr>
        <w:t xml:space="preserve">The naïve indirect comparison presented in the submission did not allow for a </w:t>
      </w:r>
      <w:r w:rsidR="0085309D" w:rsidRPr="00BC31CD">
        <w:rPr>
          <w:snapToGrid/>
        </w:rPr>
        <w:t xml:space="preserve">quantitative </w:t>
      </w:r>
      <w:r w:rsidRPr="00BC31CD">
        <w:rPr>
          <w:snapToGrid/>
        </w:rPr>
        <w:t xml:space="preserve">comparison of the benefits and harms of </w:t>
      </w:r>
      <w:r w:rsidR="00D852EB" w:rsidRPr="00BC31CD">
        <w:rPr>
          <w:snapToGrid/>
        </w:rPr>
        <w:t xml:space="preserve">trientine </w:t>
      </w:r>
      <w:r w:rsidR="00590965" w:rsidRPr="00BC31CD">
        <w:rPr>
          <w:snapToGrid/>
        </w:rPr>
        <w:t>4HCl</w:t>
      </w:r>
      <w:r w:rsidRPr="00BC31CD">
        <w:rPr>
          <w:snapToGrid/>
        </w:rPr>
        <w:t xml:space="preserve"> and </w:t>
      </w:r>
      <w:r w:rsidR="00590965" w:rsidRPr="00BC31CD">
        <w:rPr>
          <w:snapToGrid/>
        </w:rPr>
        <w:t>BSC</w:t>
      </w:r>
      <w:r w:rsidRPr="00BC31CD">
        <w:rPr>
          <w:snapToGrid/>
        </w:rPr>
        <w:t>. Accordingly, a benefits/harms table has not been presented.</w:t>
      </w:r>
    </w:p>
    <w:p w14:paraId="1546827E" w14:textId="77777777" w:rsidR="00B60939" w:rsidRPr="00BC31CD" w:rsidRDefault="00B60939" w:rsidP="00E9094A">
      <w:pPr>
        <w:pStyle w:val="4-SubsectionHeading"/>
      </w:pPr>
      <w:bookmarkStart w:id="22" w:name="_Toc22897644"/>
      <w:bookmarkStart w:id="23" w:name="_Toc82002236"/>
      <w:r w:rsidRPr="00BC31CD">
        <w:t>Clinical claim</w:t>
      </w:r>
      <w:bookmarkEnd w:id="22"/>
      <w:bookmarkEnd w:id="23"/>
    </w:p>
    <w:p w14:paraId="4D08E2F4" w14:textId="77777777" w:rsidR="00755CF1" w:rsidRPr="00BC31CD" w:rsidRDefault="005F7588" w:rsidP="00755CF1">
      <w:pPr>
        <w:pStyle w:val="3-BodyText"/>
        <w:rPr>
          <w:rFonts w:eastAsia="Calibri"/>
        </w:rPr>
      </w:pPr>
      <w:r w:rsidRPr="00BC31CD">
        <w:rPr>
          <w:rFonts w:eastAsia="Calibri"/>
        </w:rPr>
        <w:t>The submission</w:t>
      </w:r>
      <w:r w:rsidR="00BE4D4F" w:rsidRPr="00BC31CD">
        <w:rPr>
          <w:rFonts w:eastAsia="Calibri"/>
        </w:rPr>
        <w:t xml:space="preserve"> claimed that trientine and DPA were non-inferior, based on observational studies comparing trientine 2HCl and DPA, and then claimed that chelation therapy is superior to BSC, based on DPA studies. </w:t>
      </w:r>
      <w:r w:rsidR="009A6500" w:rsidRPr="00BC31CD">
        <w:rPr>
          <w:rFonts w:eastAsia="Calibri"/>
        </w:rPr>
        <w:t xml:space="preserve">Noting the acceptance by TGA of the equivalence of </w:t>
      </w:r>
      <w:r w:rsidR="00905F97" w:rsidRPr="00BC31CD">
        <w:rPr>
          <w:rFonts w:eastAsia="Calibri"/>
        </w:rPr>
        <w:t xml:space="preserve">between </w:t>
      </w:r>
      <w:r w:rsidR="009A6500" w:rsidRPr="00BC31CD">
        <w:rPr>
          <w:rFonts w:eastAsia="Calibri"/>
        </w:rPr>
        <w:t>trientine 4HCl to trientine 2HCl, t</w:t>
      </w:r>
      <w:r w:rsidR="00BE4D4F" w:rsidRPr="00BC31CD">
        <w:rPr>
          <w:rFonts w:eastAsia="Calibri"/>
        </w:rPr>
        <w:t>he submission therefore</w:t>
      </w:r>
      <w:r w:rsidRPr="00BC31CD">
        <w:rPr>
          <w:rFonts w:eastAsia="Calibri"/>
        </w:rPr>
        <w:t xml:space="preserve"> described </w:t>
      </w:r>
      <w:r w:rsidR="00590965" w:rsidRPr="00BC31CD">
        <w:rPr>
          <w:rFonts w:eastAsia="Calibri"/>
        </w:rPr>
        <w:t xml:space="preserve">trientine </w:t>
      </w:r>
      <w:r w:rsidR="004834E6" w:rsidRPr="00BC31CD">
        <w:rPr>
          <w:rFonts w:eastAsia="Calibri"/>
        </w:rPr>
        <w:t>4HC</w:t>
      </w:r>
      <w:r w:rsidR="00590965" w:rsidRPr="00BC31CD">
        <w:rPr>
          <w:rFonts w:eastAsia="Calibri"/>
        </w:rPr>
        <w:t>l</w:t>
      </w:r>
      <w:r w:rsidRPr="00BC31CD">
        <w:rPr>
          <w:rFonts w:eastAsia="Calibri"/>
        </w:rPr>
        <w:t xml:space="preserve"> as superior in terms of effectiveness compared to</w:t>
      </w:r>
      <w:r w:rsidR="004834E6" w:rsidRPr="00BC31CD">
        <w:rPr>
          <w:rFonts w:eastAsia="Calibri"/>
        </w:rPr>
        <w:t xml:space="preserve"> </w:t>
      </w:r>
      <w:r w:rsidR="00590965" w:rsidRPr="00BC31CD">
        <w:rPr>
          <w:rFonts w:eastAsia="Calibri"/>
        </w:rPr>
        <w:t>BSC</w:t>
      </w:r>
      <w:r w:rsidRPr="00BC31CD">
        <w:rPr>
          <w:rFonts w:eastAsia="Calibri"/>
        </w:rPr>
        <w:t xml:space="preserve">. </w:t>
      </w:r>
      <w:r w:rsidR="006619C4" w:rsidRPr="00BC31CD">
        <w:rPr>
          <w:rFonts w:eastAsia="Calibri"/>
        </w:rPr>
        <w:t>The ESC considered that t</w:t>
      </w:r>
      <w:r w:rsidRPr="00BC31CD">
        <w:rPr>
          <w:rFonts w:eastAsia="Calibri"/>
        </w:rPr>
        <w:t xml:space="preserve">his claim </w:t>
      </w:r>
      <w:r w:rsidR="004834E6" w:rsidRPr="00BC31CD">
        <w:rPr>
          <w:rFonts w:eastAsia="Calibri"/>
        </w:rPr>
        <w:t>c</w:t>
      </w:r>
      <w:r w:rsidR="00D16470" w:rsidRPr="00BC31CD">
        <w:rPr>
          <w:rFonts w:eastAsia="Calibri"/>
        </w:rPr>
        <w:t>ould</w:t>
      </w:r>
      <w:r w:rsidR="004834E6" w:rsidRPr="00BC31CD">
        <w:rPr>
          <w:rFonts w:eastAsia="Calibri"/>
        </w:rPr>
        <w:t xml:space="preserve"> be accepted on the basis of </w:t>
      </w:r>
      <w:r w:rsidR="00B227E6" w:rsidRPr="00BC31CD">
        <w:t>chelation treatment with either DPA or trientine having been accepted as effective and potentially lifesaving in the treatment of WD for approximately 50 years</w:t>
      </w:r>
      <w:r w:rsidR="00D16470" w:rsidRPr="00BC31CD">
        <w:rPr>
          <w:rFonts w:eastAsia="Calibri"/>
        </w:rPr>
        <w:t xml:space="preserve">; however, </w:t>
      </w:r>
      <w:r w:rsidR="004834E6" w:rsidRPr="00BC31CD">
        <w:rPr>
          <w:rFonts w:eastAsia="Calibri"/>
        </w:rPr>
        <w:t xml:space="preserve">the poor quality of the </w:t>
      </w:r>
      <w:r w:rsidR="00B227E6" w:rsidRPr="00BC31CD">
        <w:rPr>
          <w:rFonts w:eastAsia="Calibri"/>
        </w:rPr>
        <w:t xml:space="preserve">available </w:t>
      </w:r>
      <w:r w:rsidR="004834E6" w:rsidRPr="00BC31CD">
        <w:rPr>
          <w:rFonts w:eastAsia="Calibri"/>
        </w:rPr>
        <w:t>studies mean</w:t>
      </w:r>
      <w:r w:rsidR="00D16470" w:rsidRPr="00BC31CD">
        <w:rPr>
          <w:rFonts w:eastAsia="Calibri"/>
        </w:rPr>
        <w:t>t</w:t>
      </w:r>
      <w:r w:rsidR="004834E6" w:rsidRPr="00BC31CD">
        <w:rPr>
          <w:rFonts w:eastAsia="Calibri"/>
        </w:rPr>
        <w:t xml:space="preserve"> that </w:t>
      </w:r>
      <w:r w:rsidR="00483DAE" w:rsidRPr="00BC31CD">
        <w:rPr>
          <w:rFonts w:eastAsia="Calibri"/>
        </w:rPr>
        <w:t>the</w:t>
      </w:r>
      <w:r w:rsidR="004834E6" w:rsidRPr="00BC31CD">
        <w:rPr>
          <w:rFonts w:eastAsia="Calibri"/>
        </w:rPr>
        <w:t xml:space="preserve"> estimation of </w:t>
      </w:r>
      <w:r w:rsidR="00A33324" w:rsidRPr="00BC31CD">
        <w:rPr>
          <w:rFonts w:eastAsia="Calibri"/>
        </w:rPr>
        <w:t xml:space="preserve">an </w:t>
      </w:r>
      <w:r w:rsidR="004834E6" w:rsidRPr="00BC31CD">
        <w:rPr>
          <w:rFonts w:eastAsia="Calibri"/>
        </w:rPr>
        <w:t xml:space="preserve">effect size </w:t>
      </w:r>
      <w:r w:rsidR="00D16470" w:rsidRPr="00BC31CD">
        <w:rPr>
          <w:rFonts w:eastAsia="Calibri"/>
        </w:rPr>
        <w:t>wa</w:t>
      </w:r>
      <w:r w:rsidR="004834E6" w:rsidRPr="00BC31CD">
        <w:rPr>
          <w:rFonts w:eastAsia="Calibri"/>
        </w:rPr>
        <w:t>s unreliable</w:t>
      </w:r>
      <w:r w:rsidR="00D16470" w:rsidRPr="00BC31CD">
        <w:rPr>
          <w:rFonts w:eastAsia="Calibri"/>
        </w:rPr>
        <w:t xml:space="preserve">. In addition, </w:t>
      </w:r>
      <w:r w:rsidR="004834E6" w:rsidRPr="00BC31CD">
        <w:rPr>
          <w:rFonts w:eastAsia="Calibri"/>
        </w:rPr>
        <w:t>the care described in the observational studies of chelation v</w:t>
      </w:r>
      <w:r w:rsidR="00A33324" w:rsidRPr="00BC31CD">
        <w:rPr>
          <w:rFonts w:eastAsia="Calibri"/>
        </w:rPr>
        <w:t>ersu</w:t>
      </w:r>
      <w:r w:rsidR="004834E6" w:rsidRPr="00BC31CD">
        <w:rPr>
          <w:rFonts w:eastAsia="Calibri"/>
        </w:rPr>
        <w:t xml:space="preserve">s </w:t>
      </w:r>
      <w:r w:rsidR="002448D7" w:rsidRPr="00BC31CD">
        <w:rPr>
          <w:rFonts w:eastAsia="Calibri"/>
        </w:rPr>
        <w:t>BSC</w:t>
      </w:r>
      <w:r w:rsidR="004834E6" w:rsidRPr="00BC31CD">
        <w:rPr>
          <w:rFonts w:eastAsia="Calibri"/>
        </w:rPr>
        <w:t xml:space="preserve"> </w:t>
      </w:r>
      <w:r w:rsidR="00D16470" w:rsidRPr="00BC31CD">
        <w:rPr>
          <w:rFonts w:eastAsia="Calibri"/>
        </w:rPr>
        <w:t>wa</w:t>
      </w:r>
      <w:r w:rsidR="004834E6" w:rsidRPr="00BC31CD">
        <w:rPr>
          <w:rFonts w:eastAsia="Calibri"/>
        </w:rPr>
        <w:t>s unlikely to be consistent with contemporary clinical practice.</w:t>
      </w:r>
      <w:r w:rsidR="00BC591F" w:rsidRPr="00BC31CD">
        <w:rPr>
          <w:rFonts w:eastAsia="Calibri"/>
        </w:rPr>
        <w:t xml:space="preserve"> </w:t>
      </w:r>
      <w:r w:rsidR="00755CF1" w:rsidRPr="00BC31CD">
        <w:rPr>
          <w:iCs/>
        </w:rPr>
        <w:t>The</w:t>
      </w:r>
      <w:r w:rsidR="00755CF1" w:rsidRPr="00BC31CD">
        <w:rPr>
          <w:szCs w:val="20"/>
        </w:rPr>
        <w:t xml:space="preserve"> PBAC considered that the claim of superior comparative effectiveness, although reasonable, was poorly supported by the data.</w:t>
      </w:r>
    </w:p>
    <w:p w14:paraId="68F799E8" w14:textId="77777777" w:rsidR="005F7588" w:rsidRPr="00BC31CD" w:rsidRDefault="00554AC5" w:rsidP="00E9094A">
      <w:pPr>
        <w:pStyle w:val="3-BodyText"/>
        <w:rPr>
          <w:rFonts w:eastAsia="Calibri"/>
        </w:rPr>
      </w:pPr>
      <w:r w:rsidRPr="00BC31CD">
        <w:rPr>
          <w:rFonts w:eastAsia="Calibri"/>
        </w:rPr>
        <w:t xml:space="preserve">The ESC noted that if trientine 4HCl was non-inferior to DPA, as claimed in the submission, then the price of trientine 4HCl should be more comparable to that of DPA. </w:t>
      </w:r>
    </w:p>
    <w:p w14:paraId="7DD84F5D" w14:textId="77777777" w:rsidR="00FC1173" w:rsidRPr="00BC31CD" w:rsidRDefault="005F7588" w:rsidP="00483E1C">
      <w:pPr>
        <w:pStyle w:val="3-BodyText"/>
        <w:rPr>
          <w:rFonts w:eastAsia="Calibri"/>
        </w:rPr>
      </w:pPr>
      <w:r w:rsidRPr="00BC31CD">
        <w:rPr>
          <w:rFonts w:eastAsia="Calibri"/>
        </w:rPr>
        <w:t>The</w:t>
      </w:r>
      <w:r w:rsidRPr="00BC31CD">
        <w:rPr>
          <w:rFonts w:eastAsia="Calibri"/>
          <w:snapToGrid/>
        </w:rPr>
        <w:t xml:space="preserve"> submission described </w:t>
      </w:r>
      <w:r w:rsidR="00F053F7" w:rsidRPr="00BC31CD">
        <w:rPr>
          <w:rFonts w:eastAsia="Calibri"/>
          <w:snapToGrid/>
        </w:rPr>
        <w:t xml:space="preserve">trientine </w:t>
      </w:r>
      <w:r w:rsidR="004834E6" w:rsidRPr="00BC31CD">
        <w:rPr>
          <w:rFonts w:eastAsia="Calibri"/>
          <w:snapToGrid/>
        </w:rPr>
        <w:t>4HC</w:t>
      </w:r>
      <w:r w:rsidR="00F053F7" w:rsidRPr="00BC31CD">
        <w:rPr>
          <w:rFonts w:eastAsia="Calibri"/>
          <w:snapToGrid/>
        </w:rPr>
        <w:t>l</w:t>
      </w:r>
      <w:r w:rsidRPr="00BC31CD">
        <w:rPr>
          <w:rFonts w:eastAsia="Calibri"/>
          <w:snapToGrid/>
        </w:rPr>
        <w:t xml:space="preserve"> as inferior in term</w:t>
      </w:r>
      <w:r w:rsidR="00156F8F" w:rsidRPr="00BC31CD">
        <w:rPr>
          <w:rFonts w:eastAsia="Calibri"/>
          <w:snapToGrid/>
        </w:rPr>
        <w:t>s</w:t>
      </w:r>
      <w:r w:rsidRPr="00BC31CD">
        <w:rPr>
          <w:rFonts w:eastAsia="Calibri"/>
          <w:snapToGrid/>
        </w:rPr>
        <w:t xml:space="preserve"> of safety compared to</w:t>
      </w:r>
      <w:r w:rsidR="004834E6" w:rsidRPr="00BC31CD">
        <w:rPr>
          <w:rFonts w:eastAsia="Calibri"/>
          <w:snapToGrid/>
        </w:rPr>
        <w:t xml:space="preserve"> </w:t>
      </w:r>
      <w:r w:rsidR="00F053F7" w:rsidRPr="00BC31CD">
        <w:rPr>
          <w:rFonts w:eastAsia="Calibri"/>
          <w:snapToGrid/>
        </w:rPr>
        <w:t>BSC</w:t>
      </w:r>
      <w:r w:rsidRPr="00BC31CD">
        <w:rPr>
          <w:rFonts w:eastAsia="Calibri"/>
          <w:snapToGrid/>
        </w:rPr>
        <w:t xml:space="preserve">. </w:t>
      </w:r>
      <w:r w:rsidR="00191F5C" w:rsidRPr="00BC31CD">
        <w:rPr>
          <w:rFonts w:eastAsia="Calibri"/>
          <w:snapToGrid/>
        </w:rPr>
        <w:t xml:space="preserve">The </w:t>
      </w:r>
      <w:r w:rsidR="00ED7910" w:rsidRPr="00BC31CD">
        <w:rPr>
          <w:rFonts w:eastAsia="Calibri"/>
          <w:snapToGrid/>
        </w:rPr>
        <w:t>PBAC considered that this claim</w:t>
      </w:r>
      <w:r w:rsidR="00755CF1" w:rsidRPr="00BC31CD">
        <w:rPr>
          <w:rFonts w:eastAsia="Calibri"/>
        </w:rPr>
        <w:t xml:space="preserve"> </w:t>
      </w:r>
      <w:r w:rsidR="00755CF1" w:rsidRPr="00BC31CD">
        <w:t xml:space="preserve">was probably reasonable on the basis of extensive use of and experience with trientine but was poorly </w:t>
      </w:r>
      <w:r w:rsidR="00B86E95" w:rsidRPr="00BC31CD">
        <w:t xml:space="preserve">supported </w:t>
      </w:r>
      <w:r w:rsidR="00B86E95" w:rsidRPr="00BC31CD">
        <w:rPr>
          <w:rFonts w:eastAsia="Calibri"/>
          <w:snapToGrid/>
        </w:rPr>
        <w:t xml:space="preserve">by </w:t>
      </w:r>
      <w:r w:rsidR="00ED7910" w:rsidRPr="00BC31CD">
        <w:rPr>
          <w:rFonts w:eastAsia="Calibri"/>
          <w:snapToGrid/>
        </w:rPr>
        <w:t>the evidence presented.</w:t>
      </w:r>
      <w:r w:rsidR="00483E1C" w:rsidRPr="00BC31CD">
        <w:rPr>
          <w:rFonts w:eastAsia="Calibri"/>
          <w:snapToGrid/>
        </w:rPr>
        <w:t xml:space="preserve"> </w:t>
      </w:r>
    </w:p>
    <w:p w14:paraId="6E69AD2D" w14:textId="77777777" w:rsidR="00DA660D" w:rsidRPr="00BC31CD" w:rsidRDefault="00DA660D" w:rsidP="00DA660D">
      <w:pPr>
        <w:pStyle w:val="4-SubsectionHeading"/>
      </w:pPr>
      <w:bookmarkStart w:id="24" w:name="_Toc22898857"/>
      <w:bookmarkStart w:id="25" w:name="_Toc82002237"/>
      <w:r w:rsidRPr="00BC31CD">
        <w:t>Economic analysis</w:t>
      </w:r>
      <w:bookmarkEnd w:id="24"/>
      <w:bookmarkEnd w:id="25"/>
      <w:r w:rsidRPr="00BC31CD">
        <w:t xml:space="preserve"> </w:t>
      </w:r>
    </w:p>
    <w:p w14:paraId="67258411" w14:textId="77777777" w:rsidR="001E5027" w:rsidRPr="00BC31CD" w:rsidRDefault="001E5027" w:rsidP="00DA660D">
      <w:pPr>
        <w:pStyle w:val="3-BodyText"/>
        <w:rPr>
          <w:b/>
          <w:bCs/>
        </w:rPr>
      </w:pPr>
      <w:r w:rsidRPr="00BC31CD">
        <w:t xml:space="preserve">The submission presented a cost-utility analysis comparing trientine 4HCl </w:t>
      </w:r>
      <w:r w:rsidR="00DE3BA5" w:rsidRPr="00BC31CD">
        <w:t xml:space="preserve">with </w:t>
      </w:r>
      <w:r w:rsidRPr="00BC31CD">
        <w:t xml:space="preserve">BSC. As noted above, while historical </w:t>
      </w:r>
      <w:r w:rsidR="00B227E6" w:rsidRPr="00BC31CD">
        <w:t xml:space="preserve">use </w:t>
      </w:r>
      <w:r w:rsidRPr="00BC31CD">
        <w:t>indicate</w:t>
      </w:r>
      <w:r w:rsidR="00B227E6" w:rsidRPr="00BC31CD">
        <w:t>d</w:t>
      </w:r>
      <w:r w:rsidRPr="00BC31CD">
        <w:t xml:space="preserve"> that trientine 4HCl </w:t>
      </w:r>
      <w:r w:rsidR="00EC6503" w:rsidRPr="00BC31CD">
        <w:t>wa</w:t>
      </w:r>
      <w:r w:rsidRPr="00BC31CD">
        <w:t>s superior to BSC in terms of effectiveness, the poor quality of the studies mean</w:t>
      </w:r>
      <w:r w:rsidR="00EC6503" w:rsidRPr="00BC31CD">
        <w:t>t</w:t>
      </w:r>
      <w:r w:rsidRPr="00BC31CD">
        <w:t xml:space="preserve"> that </w:t>
      </w:r>
      <w:r w:rsidR="00483DAE" w:rsidRPr="00BC31CD">
        <w:t>the</w:t>
      </w:r>
      <w:r w:rsidRPr="00BC31CD">
        <w:t xml:space="preserve"> estimation of </w:t>
      </w:r>
      <w:r w:rsidR="00A33324" w:rsidRPr="00BC31CD">
        <w:t xml:space="preserve">an </w:t>
      </w:r>
      <w:r w:rsidRPr="00BC31CD">
        <w:t xml:space="preserve">effect size </w:t>
      </w:r>
      <w:r w:rsidR="00EC6503" w:rsidRPr="00BC31CD">
        <w:t>wa</w:t>
      </w:r>
      <w:r w:rsidRPr="00BC31CD">
        <w:t>s unreliable.</w:t>
      </w:r>
      <w:r w:rsidR="00611789" w:rsidRPr="00BC31CD">
        <w:t xml:space="preserve"> </w:t>
      </w:r>
    </w:p>
    <w:p w14:paraId="25486F99" w14:textId="77777777" w:rsidR="001E5027" w:rsidRPr="00BC31CD" w:rsidRDefault="001E5027" w:rsidP="00A075D1">
      <w:pPr>
        <w:pStyle w:val="3-BodyText"/>
        <w:rPr>
          <w:b/>
          <w:bCs/>
        </w:rPr>
      </w:pPr>
      <w:r w:rsidRPr="00BC31CD">
        <w:t>The table below outlines the model structure and key inputs.</w:t>
      </w:r>
    </w:p>
    <w:p w14:paraId="66EDF7E1" w14:textId="77777777" w:rsidR="00DA660D" w:rsidRPr="00BC31CD" w:rsidRDefault="00DA660D" w:rsidP="00A33324">
      <w:pPr>
        <w:pStyle w:val="TableFigureHeading"/>
        <w:rPr>
          <w:rStyle w:val="CommentReference"/>
          <w:b/>
          <w:szCs w:val="24"/>
        </w:rPr>
      </w:pPr>
      <w:r w:rsidRPr="00BC31CD">
        <w:rPr>
          <w:rStyle w:val="CommentReference"/>
          <w:b/>
          <w:szCs w:val="24"/>
        </w:rPr>
        <w:t xml:space="preserve">Table </w:t>
      </w:r>
      <w:r w:rsidR="00B454C4" w:rsidRPr="00BC31CD">
        <w:rPr>
          <w:rStyle w:val="CommentReference"/>
          <w:b/>
          <w:szCs w:val="24"/>
        </w:rPr>
        <w:t>6</w:t>
      </w:r>
      <w:r w:rsidRPr="00BC31CD">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18"/>
        <w:gridCol w:w="6499"/>
      </w:tblGrid>
      <w:tr w:rsidR="00DA660D" w:rsidRPr="00BC31CD" w14:paraId="440FB23C" w14:textId="77777777" w:rsidTr="00E83D9F">
        <w:trPr>
          <w:tblHeader/>
        </w:trPr>
        <w:tc>
          <w:tcPr>
            <w:tcW w:w="1396" w:type="pct"/>
            <w:shd w:val="clear" w:color="auto" w:fill="auto"/>
            <w:vAlign w:val="center"/>
          </w:tcPr>
          <w:p w14:paraId="524B4E86" w14:textId="77777777" w:rsidR="00DA660D" w:rsidRPr="00BC31CD" w:rsidRDefault="00DA660D" w:rsidP="00A33324">
            <w:pPr>
              <w:pStyle w:val="In-tableHeading"/>
              <w:widowControl w:val="0"/>
              <w:rPr>
                <w:lang w:val="en-AU"/>
              </w:rPr>
            </w:pPr>
            <w:r w:rsidRPr="00BC31CD">
              <w:rPr>
                <w:lang w:val="en-AU"/>
              </w:rPr>
              <w:t>Component</w:t>
            </w:r>
          </w:p>
        </w:tc>
        <w:tc>
          <w:tcPr>
            <w:tcW w:w="3604" w:type="pct"/>
            <w:shd w:val="clear" w:color="auto" w:fill="auto"/>
            <w:vAlign w:val="center"/>
          </w:tcPr>
          <w:p w14:paraId="2E105814" w14:textId="77777777" w:rsidR="00DA660D" w:rsidRPr="00BC31CD" w:rsidRDefault="00DA660D" w:rsidP="00A33324">
            <w:pPr>
              <w:pStyle w:val="In-tableHeading"/>
              <w:widowControl w:val="0"/>
              <w:rPr>
                <w:lang w:val="en-AU"/>
              </w:rPr>
            </w:pPr>
            <w:r w:rsidRPr="00BC31CD">
              <w:rPr>
                <w:lang w:val="en-AU"/>
              </w:rPr>
              <w:t>Summary</w:t>
            </w:r>
          </w:p>
        </w:tc>
      </w:tr>
      <w:tr w:rsidR="00DA660D" w:rsidRPr="00BC31CD" w14:paraId="54495596" w14:textId="77777777" w:rsidTr="00E83D9F">
        <w:tc>
          <w:tcPr>
            <w:tcW w:w="1396" w:type="pct"/>
            <w:shd w:val="clear" w:color="auto" w:fill="auto"/>
            <w:vAlign w:val="center"/>
          </w:tcPr>
          <w:p w14:paraId="29357FC4" w14:textId="77777777" w:rsidR="00DA660D" w:rsidRPr="00BC31CD" w:rsidRDefault="00DA660D" w:rsidP="00A33324">
            <w:pPr>
              <w:pStyle w:val="TableText0"/>
              <w:widowControl w:val="0"/>
            </w:pPr>
            <w:r w:rsidRPr="00BC31CD">
              <w:t>Treatments</w:t>
            </w:r>
          </w:p>
        </w:tc>
        <w:tc>
          <w:tcPr>
            <w:tcW w:w="3604" w:type="pct"/>
            <w:shd w:val="clear" w:color="auto" w:fill="auto"/>
            <w:vAlign w:val="center"/>
          </w:tcPr>
          <w:p w14:paraId="04733F20" w14:textId="77777777" w:rsidR="00DA660D" w:rsidRPr="00BC31CD" w:rsidRDefault="00DE5527" w:rsidP="00A33324">
            <w:pPr>
              <w:pStyle w:val="TableText0"/>
              <w:widowControl w:val="0"/>
            </w:pPr>
            <w:r w:rsidRPr="00BC31CD">
              <w:t>Trientine 4HCl versus BSC</w:t>
            </w:r>
          </w:p>
        </w:tc>
      </w:tr>
      <w:tr w:rsidR="00DA660D" w:rsidRPr="00BC31CD" w14:paraId="3CE6243F" w14:textId="77777777" w:rsidTr="00E83D9F">
        <w:tc>
          <w:tcPr>
            <w:tcW w:w="1396" w:type="pct"/>
            <w:shd w:val="clear" w:color="auto" w:fill="auto"/>
            <w:vAlign w:val="center"/>
          </w:tcPr>
          <w:p w14:paraId="1C6546B8" w14:textId="77777777" w:rsidR="00DA660D" w:rsidRPr="00BC31CD" w:rsidRDefault="00DA660D" w:rsidP="00A33324">
            <w:pPr>
              <w:pStyle w:val="TableText0"/>
              <w:widowControl w:val="0"/>
            </w:pPr>
            <w:r w:rsidRPr="00BC31CD">
              <w:t>Time horizon</w:t>
            </w:r>
          </w:p>
        </w:tc>
        <w:tc>
          <w:tcPr>
            <w:tcW w:w="3604" w:type="pct"/>
            <w:shd w:val="clear" w:color="auto" w:fill="auto"/>
            <w:vAlign w:val="center"/>
          </w:tcPr>
          <w:p w14:paraId="7456B18B" w14:textId="77777777" w:rsidR="00DA660D" w:rsidRPr="00BC31CD" w:rsidRDefault="00DE5527" w:rsidP="00A33324">
            <w:pPr>
              <w:pStyle w:val="TableText0"/>
              <w:widowControl w:val="0"/>
            </w:pPr>
            <w:r w:rsidRPr="00BC31CD">
              <w:t>Lifetime (80 years)</w:t>
            </w:r>
            <w:r w:rsidR="006831D2" w:rsidRPr="00BC31CD">
              <w:t>, with a starting age of 20 years.</w:t>
            </w:r>
          </w:p>
        </w:tc>
      </w:tr>
      <w:tr w:rsidR="00DA660D" w:rsidRPr="00BC31CD" w14:paraId="59F1CCE1" w14:textId="77777777" w:rsidTr="00E83D9F">
        <w:tc>
          <w:tcPr>
            <w:tcW w:w="1396" w:type="pct"/>
            <w:shd w:val="clear" w:color="auto" w:fill="auto"/>
            <w:vAlign w:val="center"/>
          </w:tcPr>
          <w:p w14:paraId="64095D60" w14:textId="77777777" w:rsidR="00DA660D" w:rsidRPr="00BC31CD" w:rsidRDefault="00DA660D" w:rsidP="00A33324">
            <w:pPr>
              <w:pStyle w:val="TableText0"/>
              <w:widowControl w:val="0"/>
            </w:pPr>
            <w:r w:rsidRPr="00BC31CD">
              <w:t>Outcomes</w:t>
            </w:r>
          </w:p>
        </w:tc>
        <w:tc>
          <w:tcPr>
            <w:tcW w:w="3604" w:type="pct"/>
            <w:shd w:val="clear" w:color="auto" w:fill="auto"/>
            <w:vAlign w:val="center"/>
          </w:tcPr>
          <w:p w14:paraId="56501992" w14:textId="77777777" w:rsidR="00DA660D" w:rsidRPr="00BC31CD" w:rsidRDefault="00DE5527" w:rsidP="00A33324">
            <w:pPr>
              <w:pStyle w:val="TableText0"/>
              <w:widowControl w:val="0"/>
            </w:pPr>
            <w:r w:rsidRPr="00BC31CD">
              <w:t>QALYs, LYs, liver transplant and death.</w:t>
            </w:r>
            <w:r w:rsidR="00611789" w:rsidRPr="00BC31CD">
              <w:t xml:space="preserve"> </w:t>
            </w:r>
            <w:r w:rsidRPr="00BC31CD">
              <w:t>Liver transplant was included only as a sensitivity analysis.</w:t>
            </w:r>
          </w:p>
        </w:tc>
      </w:tr>
      <w:tr w:rsidR="00DA660D" w:rsidRPr="00BC31CD" w14:paraId="60D48AE2" w14:textId="77777777" w:rsidTr="00E83D9F">
        <w:tc>
          <w:tcPr>
            <w:tcW w:w="1396" w:type="pct"/>
            <w:shd w:val="clear" w:color="auto" w:fill="auto"/>
            <w:vAlign w:val="center"/>
          </w:tcPr>
          <w:p w14:paraId="2C4DC196" w14:textId="77777777" w:rsidR="00DA660D" w:rsidRPr="00BC31CD" w:rsidRDefault="00DA660D" w:rsidP="00A33324">
            <w:pPr>
              <w:pStyle w:val="TableText0"/>
              <w:widowControl w:val="0"/>
            </w:pPr>
            <w:r w:rsidRPr="00BC31CD">
              <w:t>Methods used to generate results</w:t>
            </w:r>
          </w:p>
        </w:tc>
        <w:tc>
          <w:tcPr>
            <w:tcW w:w="3604" w:type="pct"/>
            <w:shd w:val="clear" w:color="auto" w:fill="auto"/>
            <w:vAlign w:val="center"/>
          </w:tcPr>
          <w:p w14:paraId="3E0855E8" w14:textId="77777777" w:rsidR="00DA660D" w:rsidRPr="00BC31CD" w:rsidRDefault="00DE5527" w:rsidP="00A33324">
            <w:pPr>
              <w:pStyle w:val="TableText0"/>
              <w:widowControl w:val="0"/>
            </w:pPr>
            <w:r w:rsidRPr="00BC31CD">
              <w:t>Markov model</w:t>
            </w:r>
          </w:p>
        </w:tc>
      </w:tr>
      <w:tr w:rsidR="00DA660D" w:rsidRPr="00BC31CD" w14:paraId="18F9A4F1" w14:textId="77777777" w:rsidTr="00E83D9F">
        <w:tc>
          <w:tcPr>
            <w:tcW w:w="1396" w:type="pct"/>
            <w:shd w:val="clear" w:color="auto" w:fill="auto"/>
            <w:vAlign w:val="center"/>
          </w:tcPr>
          <w:p w14:paraId="54E0E5A1" w14:textId="77777777" w:rsidR="00DA660D" w:rsidRPr="00BC31CD" w:rsidRDefault="00DA660D" w:rsidP="00A33324">
            <w:pPr>
              <w:pStyle w:val="TableText0"/>
              <w:widowControl w:val="0"/>
            </w:pPr>
            <w:r w:rsidRPr="00BC31CD">
              <w:t>Health states</w:t>
            </w:r>
          </w:p>
        </w:tc>
        <w:tc>
          <w:tcPr>
            <w:tcW w:w="3604" w:type="pct"/>
            <w:shd w:val="clear" w:color="auto" w:fill="auto"/>
            <w:vAlign w:val="center"/>
          </w:tcPr>
          <w:p w14:paraId="52D6300C" w14:textId="77777777" w:rsidR="00DE5527" w:rsidRPr="00BC31CD" w:rsidRDefault="00DE5527" w:rsidP="00A33324">
            <w:pPr>
              <w:pStyle w:val="TableText0"/>
            </w:pPr>
            <w:r w:rsidRPr="00BC31CD">
              <w:t>Three health states: on treatment, untreated and dead.</w:t>
            </w:r>
          </w:p>
          <w:p w14:paraId="7DFE1F09" w14:textId="77777777" w:rsidR="00DA660D" w:rsidRPr="00BC31CD" w:rsidRDefault="00DE5527" w:rsidP="00A33324">
            <w:pPr>
              <w:pStyle w:val="TableText0"/>
              <w:widowControl w:val="0"/>
            </w:pPr>
            <w:r w:rsidRPr="00BC31CD">
              <w:t>Two additional health states were included for sensitivity analyses: post liver transplant year 1; post liver transplant subsequent years</w:t>
            </w:r>
          </w:p>
        </w:tc>
      </w:tr>
      <w:tr w:rsidR="00DA660D" w:rsidRPr="00BC31CD" w14:paraId="6DB638E0" w14:textId="77777777" w:rsidTr="00E83D9F">
        <w:tc>
          <w:tcPr>
            <w:tcW w:w="1396" w:type="pct"/>
            <w:shd w:val="clear" w:color="auto" w:fill="auto"/>
            <w:vAlign w:val="center"/>
          </w:tcPr>
          <w:p w14:paraId="3C397104" w14:textId="77777777" w:rsidR="00DA660D" w:rsidRPr="00BC31CD" w:rsidRDefault="00DA660D" w:rsidP="00A33324">
            <w:pPr>
              <w:pStyle w:val="TableText0"/>
              <w:widowControl w:val="0"/>
            </w:pPr>
            <w:r w:rsidRPr="00BC31CD">
              <w:t>Cycle length</w:t>
            </w:r>
          </w:p>
        </w:tc>
        <w:tc>
          <w:tcPr>
            <w:tcW w:w="3604" w:type="pct"/>
            <w:shd w:val="clear" w:color="auto" w:fill="auto"/>
            <w:vAlign w:val="center"/>
          </w:tcPr>
          <w:p w14:paraId="02B17A87" w14:textId="77777777" w:rsidR="00DA660D" w:rsidRPr="00BC31CD" w:rsidRDefault="00DE5527" w:rsidP="00A33324">
            <w:pPr>
              <w:pStyle w:val="TableText0"/>
              <w:widowControl w:val="0"/>
            </w:pPr>
            <w:r w:rsidRPr="00BC31CD">
              <w:t xml:space="preserve">1 </w:t>
            </w:r>
            <w:r w:rsidR="00DA660D" w:rsidRPr="00BC31CD">
              <w:t>year</w:t>
            </w:r>
          </w:p>
        </w:tc>
      </w:tr>
      <w:tr w:rsidR="00DA660D" w:rsidRPr="00BC31CD" w14:paraId="0861AA6E" w14:textId="77777777" w:rsidTr="00E83D9F">
        <w:tc>
          <w:tcPr>
            <w:tcW w:w="1396" w:type="pct"/>
            <w:shd w:val="clear" w:color="auto" w:fill="auto"/>
            <w:vAlign w:val="center"/>
          </w:tcPr>
          <w:p w14:paraId="02B0CD30" w14:textId="77777777" w:rsidR="00DE5527" w:rsidRPr="00BC31CD" w:rsidRDefault="00DA660D" w:rsidP="00A33324">
            <w:pPr>
              <w:pStyle w:val="TableText0"/>
              <w:widowControl w:val="0"/>
            </w:pPr>
            <w:r w:rsidRPr="00BC31CD">
              <w:t xml:space="preserve">Transition probabilities </w:t>
            </w:r>
          </w:p>
          <w:p w14:paraId="53BC4C87" w14:textId="77777777" w:rsidR="00DA660D" w:rsidRPr="00BC31CD" w:rsidRDefault="00DA660D" w:rsidP="00A33324">
            <w:pPr>
              <w:pStyle w:val="TableText0"/>
              <w:widowControl w:val="0"/>
            </w:pPr>
          </w:p>
        </w:tc>
        <w:tc>
          <w:tcPr>
            <w:tcW w:w="3604" w:type="pct"/>
            <w:shd w:val="clear" w:color="auto" w:fill="auto"/>
            <w:vAlign w:val="center"/>
          </w:tcPr>
          <w:p w14:paraId="79D0C9AF" w14:textId="77777777" w:rsidR="0092720E" w:rsidRPr="00BC31CD" w:rsidRDefault="0092720E" w:rsidP="00A33324">
            <w:pPr>
              <w:pStyle w:val="TableText0"/>
            </w:pPr>
            <w:r w:rsidRPr="00BC31CD">
              <w:t>Mortality: Australian lifetables, adjusted to reflect a WD population using Sipila 2020 and BSC mortality based on Appenzeller-Herzog 2019.</w:t>
            </w:r>
          </w:p>
          <w:p w14:paraId="59D62BF8" w14:textId="77777777" w:rsidR="00DA660D" w:rsidRPr="00BC31CD" w:rsidRDefault="0092720E" w:rsidP="00A33324">
            <w:pPr>
              <w:pStyle w:val="TableText0"/>
              <w:widowControl w:val="0"/>
            </w:pPr>
            <w:r w:rsidRPr="00BC31CD">
              <w:t>Treatment discontinuation: Weiss 2013.</w:t>
            </w:r>
          </w:p>
        </w:tc>
      </w:tr>
      <w:tr w:rsidR="00DA660D" w:rsidRPr="00BC31CD" w14:paraId="102C768C" w14:textId="77777777" w:rsidTr="00E83D9F">
        <w:tc>
          <w:tcPr>
            <w:tcW w:w="1396" w:type="pct"/>
            <w:tcBorders>
              <w:bottom w:val="single" w:sz="4" w:space="0" w:color="auto"/>
            </w:tcBorders>
            <w:shd w:val="clear" w:color="auto" w:fill="auto"/>
            <w:vAlign w:val="center"/>
          </w:tcPr>
          <w:p w14:paraId="25D3EF91" w14:textId="77777777" w:rsidR="00DA660D" w:rsidRPr="00BC31CD" w:rsidRDefault="00DA660D" w:rsidP="00A33324">
            <w:pPr>
              <w:pStyle w:val="TableText0"/>
              <w:widowControl w:val="0"/>
            </w:pPr>
            <w:r w:rsidRPr="00BC31CD">
              <w:t>Extrapolation method</w:t>
            </w:r>
          </w:p>
        </w:tc>
        <w:tc>
          <w:tcPr>
            <w:tcW w:w="3604" w:type="pct"/>
            <w:tcBorders>
              <w:bottom w:val="single" w:sz="4" w:space="0" w:color="auto"/>
            </w:tcBorders>
            <w:shd w:val="clear" w:color="auto" w:fill="auto"/>
            <w:vAlign w:val="center"/>
          </w:tcPr>
          <w:p w14:paraId="4E9A4A98" w14:textId="77777777" w:rsidR="00DA660D" w:rsidRPr="00BC31CD" w:rsidRDefault="00DE5527" w:rsidP="00A33324">
            <w:pPr>
              <w:pStyle w:val="TableText0"/>
              <w:widowControl w:val="0"/>
            </w:pPr>
            <w:r w:rsidRPr="00BC31CD">
              <w:t>Extrapolation was not used</w:t>
            </w:r>
            <w:r w:rsidR="00B227E6" w:rsidRPr="00BC31CD">
              <w:t>; constant treatment effect applied</w:t>
            </w:r>
            <w:r w:rsidR="0092720E" w:rsidRPr="00BC31CD">
              <w:t>.</w:t>
            </w:r>
          </w:p>
        </w:tc>
      </w:tr>
      <w:tr w:rsidR="00DA660D" w:rsidRPr="00BC31CD" w14:paraId="3BD9D852" w14:textId="77777777" w:rsidTr="00E83D9F">
        <w:tc>
          <w:tcPr>
            <w:tcW w:w="1396" w:type="pct"/>
            <w:shd w:val="clear" w:color="auto" w:fill="auto"/>
            <w:vAlign w:val="center"/>
          </w:tcPr>
          <w:p w14:paraId="14CC9DB9" w14:textId="77777777" w:rsidR="00DA660D" w:rsidRPr="00BC31CD" w:rsidRDefault="00DA660D" w:rsidP="00A33324">
            <w:pPr>
              <w:pStyle w:val="TableText0"/>
              <w:widowControl w:val="0"/>
            </w:pPr>
            <w:r w:rsidRPr="00BC31CD">
              <w:t>Health related quality of life</w:t>
            </w:r>
          </w:p>
        </w:tc>
        <w:tc>
          <w:tcPr>
            <w:tcW w:w="3604" w:type="pct"/>
            <w:shd w:val="clear" w:color="auto" w:fill="auto"/>
            <w:vAlign w:val="center"/>
          </w:tcPr>
          <w:p w14:paraId="08CB72EA" w14:textId="77777777" w:rsidR="006D44E7" w:rsidRPr="00BC31CD" w:rsidRDefault="006D44E7" w:rsidP="00A33324">
            <w:pPr>
              <w:pStyle w:val="TableText0"/>
              <w:widowControl w:val="0"/>
            </w:pPr>
            <w:r w:rsidRPr="00BC31CD">
              <w:t>Literature-based (Schaefer 2016)</w:t>
            </w:r>
          </w:p>
          <w:p w14:paraId="00043109" w14:textId="77777777" w:rsidR="00DA660D" w:rsidRPr="00BC31CD" w:rsidRDefault="0092720E" w:rsidP="00A33324">
            <w:pPr>
              <w:pStyle w:val="TableText0"/>
              <w:widowControl w:val="0"/>
            </w:pPr>
            <w:r w:rsidRPr="00BC31CD">
              <w:t>On t</w:t>
            </w:r>
            <w:r w:rsidR="006D44E7" w:rsidRPr="00BC31CD">
              <w:t>reat</w:t>
            </w:r>
            <w:r w:rsidRPr="00BC31CD">
              <w:t>ment</w:t>
            </w:r>
            <w:r w:rsidR="006D44E7" w:rsidRPr="00BC31CD">
              <w:t xml:space="preserve">: 0.86; </w:t>
            </w:r>
            <w:r w:rsidRPr="00BC31CD">
              <w:t>unt</w:t>
            </w:r>
            <w:r w:rsidR="006D44E7" w:rsidRPr="00BC31CD">
              <w:t>reated: 0.65</w:t>
            </w:r>
          </w:p>
        </w:tc>
      </w:tr>
      <w:tr w:rsidR="00483DAE" w:rsidRPr="00BC31CD" w14:paraId="6362888D" w14:textId="77777777" w:rsidTr="00E83D9F">
        <w:tc>
          <w:tcPr>
            <w:tcW w:w="1396" w:type="pct"/>
            <w:shd w:val="clear" w:color="auto" w:fill="auto"/>
            <w:vAlign w:val="center"/>
          </w:tcPr>
          <w:p w14:paraId="2F4CA885" w14:textId="77777777" w:rsidR="00483DAE" w:rsidRPr="00BC31CD" w:rsidRDefault="00483DAE" w:rsidP="00A33324">
            <w:pPr>
              <w:pStyle w:val="TableText0"/>
              <w:widowControl w:val="0"/>
            </w:pPr>
            <w:r w:rsidRPr="00BC31CD">
              <w:t>Discount rate</w:t>
            </w:r>
          </w:p>
        </w:tc>
        <w:tc>
          <w:tcPr>
            <w:tcW w:w="3604" w:type="pct"/>
            <w:shd w:val="clear" w:color="auto" w:fill="auto"/>
            <w:vAlign w:val="center"/>
          </w:tcPr>
          <w:p w14:paraId="2AE9B8C8" w14:textId="77777777" w:rsidR="00483DAE" w:rsidRPr="00BC31CD" w:rsidRDefault="00483DAE" w:rsidP="00A33324">
            <w:pPr>
              <w:pStyle w:val="TableText0"/>
              <w:widowControl w:val="0"/>
            </w:pPr>
            <w:r w:rsidRPr="00BC31CD">
              <w:t>5%</w:t>
            </w:r>
          </w:p>
        </w:tc>
      </w:tr>
    </w:tbl>
    <w:p w14:paraId="561D7664" w14:textId="77777777" w:rsidR="00DA660D" w:rsidRPr="00BC31CD" w:rsidRDefault="00DA660D" w:rsidP="00DA660D">
      <w:pPr>
        <w:pStyle w:val="TableFigureFooter"/>
      </w:pPr>
      <w:r w:rsidRPr="00BC31CD">
        <w:t xml:space="preserve">Source: </w:t>
      </w:r>
      <w:r w:rsidR="0092720E" w:rsidRPr="00BC31CD">
        <w:t>Table 3-1, p97; Table 3-16, p121 of the submission</w:t>
      </w:r>
    </w:p>
    <w:p w14:paraId="4353CD1E" w14:textId="77777777" w:rsidR="0092720E" w:rsidRPr="00BC31CD" w:rsidRDefault="0092720E" w:rsidP="00DA660D">
      <w:pPr>
        <w:pStyle w:val="TableFigureFooter"/>
      </w:pPr>
      <w:r w:rsidRPr="00BC31CD">
        <w:t xml:space="preserve">4HCl = tetrahydrochloride; BSC = best supportive care; LY = life year; QALY = quality adjusted life year; WD = Wilson </w:t>
      </w:r>
      <w:r w:rsidR="00B7789C" w:rsidRPr="00BC31CD">
        <w:t>Disease</w:t>
      </w:r>
    </w:p>
    <w:p w14:paraId="00F0DC3B" w14:textId="77777777" w:rsidR="002E367F" w:rsidRPr="00BC31CD" w:rsidRDefault="002E367F" w:rsidP="00DA660D">
      <w:pPr>
        <w:pStyle w:val="3-BodyText"/>
      </w:pPr>
      <w:r w:rsidRPr="00BC31CD">
        <w:t>The following diagram sets out the structure of the economic model and key inputs.</w:t>
      </w:r>
    </w:p>
    <w:p w14:paraId="333D7F3A" w14:textId="77777777" w:rsidR="002E367F" w:rsidRPr="00BC31CD" w:rsidRDefault="002E367F" w:rsidP="002E367F">
      <w:pPr>
        <w:pStyle w:val="3-BodyText"/>
        <w:keepNext/>
        <w:numPr>
          <w:ilvl w:val="0"/>
          <w:numId w:val="0"/>
        </w:numPr>
        <w:spacing w:after="0"/>
      </w:pPr>
      <w:r w:rsidRPr="00BC31CD">
        <w:rPr>
          <w:rStyle w:val="CommentReference"/>
          <w:szCs w:val="24"/>
        </w:rPr>
        <w:t xml:space="preserve">Figure </w:t>
      </w:r>
      <w:r w:rsidR="00AC23B1" w:rsidRPr="00BC31CD">
        <w:rPr>
          <w:rStyle w:val="CommentReference"/>
          <w:szCs w:val="24"/>
        </w:rPr>
        <w:t>2</w:t>
      </w:r>
      <w:r w:rsidRPr="00BC31CD">
        <w:rPr>
          <w:rStyle w:val="CommentReference"/>
          <w:szCs w:val="24"/>
        </w:rPr>
        <w:t xml:space="preserve">: </w:t>
      </w:r>
      <w:r w:rsidRPr="00BC31CD">
        <w:rPr>
          <w:rFonts w:ascii="Arial Narrow" w:hAnsi="Arial Narrow"/>
          <w:b/>
          <w:bCs/>
          <w:sz w:val="20"/>
          <w:szCs w:val="20"/>
        </w:rPr>
        <w:t>Movement across the model health states</w:t>
      </w:r>
    </w:p>
    <w:p w14:paraId="5946ABF6" w14:textId="77777777" w:rsidR="002E367F" w:rsidRPr="00BC31CD" w:rsidRDefault="002E367F" w:rsidP="002E367F">
      <w:pPr>
        <w:pStyle w:val="3-BodyText"/>
        <w:keepNext/>
        <w:numPr>
          <w:ilvl w:val="0"/>
          <w:numId w:val="0"/>
        </w:numPr>
      </w:pPr>
      <w:r w:rsidRPr="00BC31CD">
        <w:rPr>
          <w:noProof/>
        </w:rPr>
        <mc:AlternateContent>
          <mc:Choice Requires="wpg">
            <w:drawing>
              <wp:inline distT="0" distB="0" distL="0" distR="0" wp14:anchorId="6A6CB296" wp14:editId="4D3926B1">
                <wp:extent cx="5530777" cy="2753771"/>
                <wp:effectExtent l="19050" t="0" r="13335" b="27940"/>
                <wp:docPr id="11" name="Group 11" title="Figure 2: Movement across the model health states"/>
                <wp:cNvGraphicFramePr/>
                <a:graphic xmlns:a="http://schemas.openxmlformats.org/drawingml/2006/main">
                  <a:graphicData uri="http://schemas.microsoft.com/office/word/2010/wordprocessingGroup">
                    <wpg:wgp>
                      <wpg:cNvGrpSpPr/>
                      <wpg:grpSpPr>
                        <a:xfrm>
                          <a:off x="0" y="0"/>
                          <a:ext cx="5530777" cy="2753771"/>
                          <a:chOff x="0" y="0"/>
                          <a:chExt cx="5676900" cy="3289300"/>
                        </a:xfrm>
                      </wpg:grpSpPr>
                      <wps:wsp>
                        <wps:cNvPr id="12" name="Text Box 12"/>
                        <wps:cNvSpPr txBox="1"/>
                        <wps:spPr>
                          <a:xfrm>
                            <a:off x="2260600" y="2870200"/>
                            <a:ext cx="1028700" cy="419100"/>
                          </a:xfrm>
                          <a:prstGeom prst="rect">
                            <a:avLst/>
                          </a:prstGeom>
                          <a:solidFill>
                            <a:schemeClr val="lt1"/>
                          </a:solidFill>
                          <a:ln w="28575" cmpd="dbl">
                            <a:solidFill>
                              <a:srgbClr val="00B050"/>
                            </a:solidFill>
                          </a:ln>
                        </wps:spPr>
                        <wps:txbx>
                          <w:txbxContent>
                            <w:p w14:paraId="280CA6CA" w14:textId="77777777" w:rsidR="006C6AE0" w:rsidRPr="0097389D" w:rsidRDefault="006C6AE0" w:rsidP="002E367F">
                              <w:pPr>
                                <w:jc w:val="center"/>
                                <w:rPr>
                                  <w:rFonts w:ascii="Arial Narrow" w:hAnsi="Arial Narrow"/>
                                  <w:b/>
                                  <w:bCs/>
                                  <w:sz w:val="20"/>
                                  <w:szCs w:val="20"/>
                                </w:rPr>
                              </w:pPr>
                              <w:r w:rsidRPr="0097389D">
                                <w:rPr>
                                  <w:rFonts w:ascii="Arial Narrow" w:hAnsi="Arial Narrow"/>
                                  <w:b/>
                                  <w:bCs/>
                                  <w:sz w:val="20"/>
                                  <w:szCs w:val="20"/>
                                </w:rPr>
                                <w:t>Death</w:t>
                              </w:r>
                            </w:p>
                            <w:p w14:paraId="08675B51" w14:textId="77777777" w:rsidR="006C6AE0" w:rsidRPr="0097389D" w:rsidRDefault="006C6AE0" w:rsidP="002E367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2159000" y="1143000"/>
                            <a:ext cx="1358900" cy="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ircular Arrow 18"/>
                        <wps:cNvSpPr/>
                        <wps:spPr>
                          <a:xfrm>
                            <a:off x="0" y="0"/>
                            <a:ext cx="419100" cy="609600"/>
                          </a:xfrm>
                          <a:prstGeom prst="circularArrow">
                            <a:avLst/>
                          </a:prstGeom>
                          <a:ln w="6350" cmpd="sng">
                            <a:solidFill>
                              <a:schemeClr val="dk1">
                                <a:shade val="50000"/>
                                <a:alpha val="92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342900"/>
                            <a:ext cx="2159000" cy="1727200"/>
                          </a:xfrm>
                          <a:prstGeom prst="rect">
                            <a:avLst/>
                          </a:prstGeom>
                          <a:solidFill>
                            <a:schemeClr val="lt1"/>
                          </a:solidFill>
                          <a:ln w="28575" cmpd="dbl">
                            <a:solidFill>
                              <a:srgbClr val="00B050"/>
                            </a:solidFill>
                          </a:ln>
                        </wps:spPr>
                        <wps:txbx>
                          <w:txbxContent>
                            <w:p w14:paraId="717687C2" w14:textId="77777777" w:rsidR="006C6AE0" w:rsidRPr="0097389D" w:rsidRDefault="006C6AE0" w:rsidP="002E367F">
                              <w:pPr>
                                <w:jc w:val="center"/>
                                <w:rPr>
                                  <w:rFonts w:ascii="Arial Narrow" w:hAnsi="Arial Narrow"/>
                                  <w:b/>
                                  <w:bCs/>
                                  <w:sz w:val="20"/>
                                  <w:szCs w:val="20"/>
                                </w:rPr>
                              </w:pPr>
                              <w:r w:rsidRPr="0097389D">
                                <w:rPr>
                                  <w:rFonts w:ascii="Arial Narrow" w:hAnsi="Arial Narrow"/>
                                  <w:b/>
                                  <w:bCs/>
                                  <w:sz w:val="20"/>
                                  <w:szCs w:val="20"/>
                                </w:rPr>
                                <w:t xml:space="preserve">Trientine 4HCl </w:t>
                              </w:r>
                              <w:r w:rsidRPr="0097389D">
                                <w:rPr>
                                  <w:rFonts w:ascii="Arial Narrow" w:hAnsi="Arial Narrow"/>
                                  <w:sz w:val="20"/>
                                  <w:szCs w:val="20"/>
                                </w:rPr>
                                <w:t>(on treatment)</w:t>
                              </w:r>
                            </w:p>
                            <w:p w14:paraId="6B430540" w14:textId="77777777" w:rsidR="006C6AE0" w:rsidRPr="0097389D" w:rsidRDefault="006C6AE0" w:rsidP="002E367F">
                              <w:pPr>
                                <w:rPr>
                                  <w:rFonts w:ascii="Arial Narrow" w:hAnsi="Arial Narrow"/>
                                  <w:sz w:val="20"/>
                                  <w:szCs w:val="20"/>
                                </w:rPr>
                              </w:pPr>
                            </w:p>
                            <w:p w14:paraId="052D6682" w14:textId="77777777" w:rsidR="006C6AE0" w:rsidRPr="0097389D" w:rsidRDefault="006C6AE0" w:rsidP="00A33324">
                              <w:pPr>
                                <w:jc w:val="left"/>
                                <w:rPr>
                                  <w:rFonts w:ascii="Arial Narrow" w:hAnsi="Arial Narrow"/>
                                  <w:sz w:val="20"/>
                                  <w:szCs w:val="20"/>
                                </w:rPr>
                              </w:pPr>
                              <w:r w:rsidRPr="0097389D">
                                <w:rPr>
                                  <w:rFonts w:ascii="Arial Narrow" w:hAnsi="Arial Narrow"/>
                                  <w:b/>
                                  <w:bCs/>
                                  <w:color w:val="7030A0"/>
                                  <w:sz w:val="20"/>
                                  <w:szCs w:val="20"/>
                                </w:rPr>
                                <w:t>Mortality:</w:t>
                              </w:r>
                              <w:r w:rsidRPr="0097389D">
                                <w:rPr>
                                  <w:rFonts w:ascii="Arial Narrow" w:hAnsi="Arial Narrow"/>
                                  <w:sz w:val="20"/>
                                  <w:szCs w:val="20"/>
                                </w:rPr>
                                <w:t xml:space="preserve"> Based on Australian lifetables plus HR = 2.92 sourced from Sipila 2020.</w:t>
                              </w:r>
                            </w:p>
                            <w:p w14:paraId="39C23F40" w14:textId="77777777" w:rsidR="006C6AE0" w:rsidRPr="0097389D" w:rsidRDefault="006C6AE0" w:rsidP="002E367F">
                              <w:pPr>
                                <w:rPr>
                                  <w:rFonts w:ascii="Arial Narrow" w:hAnsi="Arial Narrow"/>
                                  <w:sz w:val="20"/>
                                  <w:szCs w:val="20"/>
                                </w:rPr>
                              </w:pPr>
                            </w:p>
                            <w:p w14:paraId="6C0152AA" w14:textId="77777777" w:rsidR="006C6AE0" w:rsidRPr="0097389D" w:rsidRDefault="006C6AE0" w:rsidP="00A33324">
                              <w:pPr>
                                <w:jc w:val="left"/>
                                <w:rPr>
                                  <w:rFonts w:ascii="Arial Narrow" w:hAnsi="Arial Narrow"/>
                                  <w:sz w:val="20"/>
                                  <w:szCs w:val="20"/>
                                </w:rPr>
                              </w:pPr>
                              <w:r w:rsidRPr="0097389D">
                                <w:rPr>
                                  <w:rFonts w:ascii="Arial Narrow" w:hAnsi="Arial Narrow"/>
                                  <w:b/>
                                  <w:bCs/>
                                  <w:color w:val="7030A0"/>
                                  <w:sz w:val="20"/>
                                  <w:szCs w:val="20"/>
                                </w:rPr>
                                <w:t>Treatment discontinuation:</w:t>
                              </w:r>
                              <w:r w:rsidRPr="0097389D">
                                <w:rPr>
                                  <w:rFonts w:ascii="Arial Narrow" w:hAnsi="Arial Narrow"/>
                                  <w:color w:val="7030A0"/>
                                  <w:sz w:val="20"/>
                                  <w:szCs w:val="20"/>
                                </w:rPr>
                                <w:t xml:space="preserve"> </w:t>
                              </w:r>
                              <w:r w:rsidRPr="0097389D">
                                <w:rPr>
                                  <w:rFonts w:ascii="Arial Narrow" w:hAnsi="Arial Narrow"/>
                                  <w:sz w:val="20"/>
                                  <w:szCs w:val="20"/>
                                </w:rPr>
                                <w:t xml:space="preserve">Based on discontinuation due to AEs in Weiss 2013. </w:t>
                              </w:r>
                            </w:p>
                            <w:p w14:paraId="09CD2A7D" w14:textId="77777777" w:rsidR="006C6AE0" w:rsidRPr="0097389D" w:rsidRDefault="006C6AE0" w:rsidP="002E367F">
                              <w:pPr>
                                <w:rPr>
                                  <w:rFonts w:ascii="Arial Narrow" w:hAnsi="Arial Narrow"/>
                                  <w:sz w:val="20"/>
                                  <w:szCs w:val="20"/>
                                </w:rPr>
                              </w:pPr>
                            </w:p>
                            <w:p w14:paraId="1EE3B216" w14:textId="77777777" w:rsidR="006C6AE0" w:rsidRPr="0097389D" w:rsidRDefault="006C6AE0" w:rsidP="002E367F">
                              <w:pPr>
                                <w:rPr>
                                  <w:rFonts w:ascii="Arial Narrow" w:hAnsi="Arial Narrow"/>
                                  <w:sz w:val="20"/>
                                  <w:szCs w:val="20"/>
                                </w:rPr>
                              </w:pPr>
                            </w:p>
                            <w:p w14:paraId="2033C412" w14:textId="77777777" w:rsidR="006C6AE0" w:rsidRPr="0097389D" w:rsidRDefault="006C6AE0" w:rsidP="002E367F">
                              <w:pPr>
                                <w:rPr>
                                  <w:rFonts w:ascii="Arial Narrow" w:hAnsi="Arial Narrow"/>
                                  <w:sz w:val="20"/>
                                  <w:szCs w:val="20"/>
                                </w:rPr>
                              </w:pPr>
                            </w:p>
                            <w:p w14:paraId="7CF5A45A" w14:textId="77777777" w:rsidR="006C6AE0" w:rsidRPr="0097389D" w:rsidRDefault="006C6AE0" w:rsidP="002E367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ircular Arrow 20"/>
                        <wps:cNvSpPr/>
                        <wps:spPr>
                          <a:xfrm>
                            <a:off x="3517900" y="0"/>
                            <a:ext cx="419100" cy="609600"/>
                          </a:xfrm>
                          <a:prstGeom prst="circularArrow">
                            <a:avLst/>
                          </a:prstGeom>
                          <a:ln w="6350" cmpd="sng">
                            <a:solidFill>
                              <a:schemeClr val="dk1">
                                <a:shade val="50000"/>
                                <a:alpha val="92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3517900" y="342900"/>
                            <a:ext cx="2159000" cy="1727200"/>
                          </a:xfrm>
                          <a:prstGeom prst="rect">
                            <a:avLst/>
                          </a:prstGeom>
                          <a:solidFill>
                            <a:schemeClr val="lt1"/>
                          </a:solidFill>
                          <a:ln w="28575" cmpd="dbl">
                            <a:solidFill>
                              <a:srgbClr val="00B050"/>
                            </a:solidFill>
                          </a:ln>
                        </wps:spPr>
                        <wps:txbx>
                          <w:txbxContent>
                            <w:p w14:paraId="345082ED" w14:textId="77777777" w:rsidR="006C6AE0" w:rsidRPr="0097389D" w:rsidRDefault="006C6AE0" w:rsidP="002E367F">
                              <w:pPr>
                                <w:jc w:val="center"/>
                                <w:rPr>
                                  <w:rFonts w:ascii="Arial Narrow" w:hAnsi="Arial Narrow"/>
                                  <w:b/>
                                  <w:bCs/>
                                  <w:sz w:val="20"/>
                                  <w:szCs w:val="20"/>
                                </w:rPr>
                              </w:pPr>
                              <w:r w:rsidRPr="0097389D">
                                <w:rPr>
                                  <w:rFonts w:ascii="Arial Narrow" w:hAnsi="Arial Narrow"/>
                                  <w:b/>
                                  <w:bCs/>
                                  <w:sz w:val="20"/>
                                  <w:szCs w:val="20"/>
                                </w:rPr>
                                <w:t xml:space="preserve">BSC </w:t>
                              </w:r>
                              <w:r w:rsidRPr="0097389D">
                                <w:rPr>
                                  <w:rFonts w:ascii="Arial Narrow" w:hAnsi="Arial Narrow"/>
                                  <w:sz w:val="20"/>
                                  <w:szCs w:val="20"/>
                                </w:rPr>
                                <w:t>(untreated)</w:t>
                              </w:r>
                            </w:p>
                            <w:p w14:paraId="0FBB99BD" w14:textId="77777777" w:rsidR="006C6AE0" w:rsidRPr="0097389D" w:rsidRDefault="006C6AE0" w:rsidP="002E367F">
                              <w:pPr>
                                <w:rPr>
                                  <w:rFonts w:ascii="Arial Narrow" w:hAnsi="Arial Narrow"/>
                                  <w:sz w:val="20"/>
                                  <w:szCs w:val="20"/>
                                </w:rPr>
                              </w:pPr>
                            </w:p>
                            <w:p w14:paraId="2B05A0C2" w14:textId="756358EC" w:rsidR="006C6AE0" w:rsidRDefault="006C6AE0" w:rsidP="00A33324">
                              <w:pPr>
                                <w:jc w:val="left"/>
                                <w:rPr>
                                  <w:rFonts w:ascii="Arial Narrow" w:hAnsi="Arial Narrow"/>
                                  <w:sz w:val="20"/>
                                  <w:szCs w:val="20"/>
                                </w:rPr>
                              </w:pPr>
                              <w:r w:rsidRPr="0097389D">
                                <w:rPr>
                                  <w:rFonts w:ascii="Arial Narrow" w:hAnsi="Arial Narrow"/>
                                  <w:b/>
                                  <w:bCs/>
                                  <w:color w:val="7030A0"/>
                                  <w:sz w:val="20"/>
                                  <w:szCs w:val="20"/>
                                </w:rPr>
                                <w:t>Mortality:</w:t>
                              </w:r>
                              <w:r w:rsidRPr="0097389D">
                                <w:rPr>
                                  <w:rFonts w:ascii="Arial Narrow" w:hAnsi="Arial Narrow"/>
                                  <w:sz w:val="20"/>
                                  <w:szCs w:val="20"/>
                                </w:rPr>
                                <w:t xml:space="preserve"> Based on Australian lifetables</w:t>
                              </w:r>
                              <w:r>
                                <w:rPr>
                                  <w:rFonts w:ascii="Arial Narrow" w:hAnsi="Arial Narrow"/>
                                  <w:sz w:val="20"/>
                                  <w:szCs w:val="20"/>
                                </w:rPr>
                                <w:t xml:space="preserve"> plus HR = 2.92 sourced from Sipila 2020 </w:t>
                              </w:r>
                            </w:p>
                            <w:p w14:paraId="11F4F5B1" w14:textId="77777777" w:rsidR="006C6AE0" w:rsidRPr="0097389D" w:rsidRDefault="006C6AE0" w:rsidP="00A33324">
                              <w:pPr>
                                <w:jc w:val="left"/>
                                <w:rPr>
                                  <w:rFonts w:ascii="Arial Narrow" w:hAnsi="Arial Narrow"/>
                                  <w:sz w:val="20"/>
                                  <w:szCs w:val="20"/>
                                </w:rPr>
                              </w:pPr>
                              <w:r w:rsidRPr="0097389D">
                                <w:rPr>
                                  <w:rFonts w:ascii="Arial Narrow" w:hAnsi="Arial Narrow"/>
                                  <w:sz w:val="20"/>
                                  <w:szCs w:val="20"/>
                                </w:rPr>
                                <w:t>plus OR = 76.92 (inverse of OR = 0.013 in Appenzeller-Herzog 2019).</w:t>
                              </w:r>
                            </w:p>
                            <w:p w14:paraId="7D823827" w14:textId="77777777" w:rsidR="006C6AE0" w:rsidRPr="0097389D" w:rsidRDefault="006C6AE0" w:rsidP="002E367F">
                              <w:pPr>
                                <w:rPr>
                                  <w:rFonts w:ascii="Arial Narrow" w:hAnsi="Arial Narrow"/>
                                  <w:sz w:val="20"/>
                                  <w:szCs w:val="20"/>
                                </w:rPr>
                              </w:pPr>
                            </w:p>
                            <w:p w14:paraId="07B11A7F" w14:textId="77777777" w:rsidR="006C6AE0" w:rsidRPr="0097389D" w:rsidRDefault="006C6AE0" w:rsidP="002E367F">
                              <w:pPr>
                                <w:rPr>
                                  <w:rFonts w:ascii="Arial Narrow" w:hAnsi="Arial Narrow"/>
                                  <w:sz w:val="20"/>
                                  <w:szCs w:val="20"/>
                                </w:rPr>
                              </w:pPr>
                            </w:p>
                            <w:p w14:paraId="30522406" w14:textId="77777777" w:rsidR="006C6AE0" w:rsidRPr="0097389D" w:rsidRDefault="006C6AE0" w:rsidP="002E367F">
                              <w:pPr>
                                <w:rPr>
                                  <w:rFonts w:ascii="Arial Narrow" w:hAnsi="Arial Narrow"/>
                                  <w:sz w:val="20"/>
                                  <w:szCs w:val="20"/>
                                </w:rPr>
                              </w:pPr>
                            </w:p>
                            <w:p w14:paraId="5A3CC242" w14:textId="77777777" w:rsidR="006C6AE0" w:rsidRPr="0097389D" w:rsidRDefault="006C6AE0" w:rsidP="002E367F">
                              <w:pPr>
                                <w:rPr>
                                  <w:rFonts w:ascii="Arial Narrow" w:hAnsi="Arial Narrow"/>
                                  <w:sz w:val="20"/>
                                  <w:szCs w:val="20"/>
                                </w:rPr>
                              </w:pPr>
                            </w:p>
                            <w:p w14:paraId="67F55423" w14:textId="77777777" w:rsidR="006C6AE0" w:rsidRPr="0097389D" w:rsidRDefault="006C6AE0" w:rsidP="002E367F">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H="1">
                            <a:off x="3073400" y="2070100"/>
                            <a:ext cx="1473200" cy="73660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736600" y="2070100"/>
                            <a:ext cx="1676400" cy="73660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A6CB296" id="Group 11" o:spid="_x0000_s1026" alt="Title: Figure 2: Movement across the model health states" style="width:435.5pt;height:216.85pt;mso-position-horizontal-relative:char;mso-position-vertical-relative:line" coordsize="56769,3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YiQAUAAEQdAAAOAAAAZHJzL2Uyb0RvYy54bWzsWVtv2zYUfh+w/0DofbEuthUbcYrUbboB&#10;WRssGfpMS5QljCI1ko6d/vqdQ4rypXbcZECxZn6xxfvhd75z0dHFm1XNyQNTupJiEkRnYUCYyGRe&#10;ifkk+PP++pfzgGhDRU65FGwSPDIdvLn8+aeLZTNmsSwlz5kisInQ42UzCUpjmnGvp7OS1VSfyYYJ&#10;GCykqqmBppr3ckWXsHvNe3EYDntLqfJGyYxpDb3v3GBwafcvCpaZT0WhmSF8EoBsxv4q+zvD397l&#10;BR3PFW3KKmvFoC+QoqaVgEO7rd5RQ8lCVV9tVVeZkloW5iyTdU8WRZUxewe4TRTu3OaDkovG3mU+&#10;Xs6bDiaAdgenF2+bfXy4VaTKQXdRQAStQUf2WIJtUxkOHdfVfKEYicfkd/nAaiYMoXgNTUzJSC1z&#10;xknJKDcl6tqAigHWZTMfw+4fVHPX3Kq2Y+5aiNSqUDX+AwZkZRXy2CmErQzJoHMwSMI0TQOSwVic&#10;DpI0jZzKshL0+tW6rHzvVw7T4SgEjePKJD4fJdAAIXr+4B7K14mzbIB+eo2w/ncI35W0YVZxGjHw&#10;CMce4Xu84Fu5IlHsoLLTECdiVtAP2vD9Gjr3wBXHw3CI90NgztMQbMEB46GLQuxuAehHo2jn/nTc&#10;KG0+MFkTfJgECmzFUpg+3GjjoPJTUAAteZVfV5zbBtonm3JFHihYFjdWXgB3axYXZIniDdIBKKJu&#10;gGX5jNtDtuZpNZ91e4Xh23DgdbUxDTbnAhSIqnKg4JNZzVaWW3o8k/kjAKikM3LdZNcV3OyGanNL&#10;FVg1gAGeynyCn4JLkAzIbJ8CUkr1ZV8/zgcqwGhAluAlJoH+e0EVCwj/TQBJRlG/D9sa2+gP0hga&#10;anNktjkiFvVUAlxgWSCdfcT5hvvHQsn6Mzi0KzwVhqjI4OxJYPzj1DjfBQ4xY1dXdhI4koaaG3HX&#10;ZLg1qgf1dr/6TFXTKtcALT5KT0s63tGxm4srhbxaGFlUlgAIsEO1xR1MBA37e9hK4m3lzihazUtD&#10;rpSSSzKVQgBTpSJR4m0ETGwqWh/jyeHtvHMwcTQAhwCggsVEUR/8wa7FJIPzzmV4Anov5S2hxVO3&#10;QnXSONx3YEXrQlCdHSRRCry21vOEKZnVXlMytOLvRU7MYwMO2aiKijlnCMB+u9DmkTN39h+sAAdv&#10;fYo9fNt0aZaBP/dncgGzcVYBht4tbKV+amE7H5cyG3afs7hbYU+WwnSL60pI5TDbPn0NU+Hme8/g&#10;7r1mLiLUMvZ7URdSHhdIp5XKFpyqlrrR+QZhu6B4kLCOqjskbT25DWvDcIQhwHHgAFGzVgRrPBbI&#10;Jzk6TICiravWYn6Urflfjvi6pDlzsWAAhtUKTXlTUtc7ggDlRbXJHQYPS96jLn4fleN9nHhKGAxN&#10;nkGtzexjensbP9PJjvs6kJ/J8vXCFzB8HVOPMPxVRrzMqP9fzBt5x7HOD0c7LuNb80PnPJJ+jBEN&#10;yAtuuc2MuziImXGUxpCzeMM84EN+3MzQvdh4CE8J4itKEDHT3htlYQD4jiEf0sLjUTYZRKnN+sAa&#10;dizlFGtt2niKtets8hRrbeL1479fxl21q4u10LXtOL411m66kFPEhSJPV9Q6RdzXFHG78uXBkkzc&#10;af5wSYYUvGp+9ZWqtvoLZd6kD3moLWeGKZTCd2Jx1E8TTFTti2+aDI+++J4qNMF2aeeZ767bi1/w&#10;/vofrtDEQ587HmbycCMYHC8utow8TF/4HGH5jS9dJ/q+2gKj/aoEn+psian9rIjfAjfb8Lz58fPy&#10;HwAAAP//AwBQSwMEFAAGAAgAAAAhAD7DKVbcAAAABQEAAA8AAABkcnMvZG93bnJldi54bWxMj0FL&#10;w0AQhe+C/2EZwZvdxKgtMZtSinoqQltBvE2TaRKanQ3ZbZL+e0cvennweMN732TLybZqoN43jg3E&#10;swgUceHKhisDH/vXuwUoH5BLbB2TgQt5WObXVxmmpRt5S8MuVEpK2KdooA6hS7X2RU0W/cx1xJId&#10;XW8xiO0rXfY4Srlt9X0UPWmLDctCjR2taypOu7M18DbiuEril2FzOq4vX/vH989NTMbc3kyrZ1CB&#10;pvB3DD/4gg65MB3cmUuvWgPySPhVyRbzWOzBwEOSzEHnmf5Pn38DAAD//wMAUEsBAi0AFAAGAAgA&#10;AAAhALaDOJL+AAAA4QEAABMAAAAAAAAAAAAAAAAAAAAAAFtDb250ZW50X1R5cGVzXS54bWxQSwEC&#10;LQAUAAYACAAAACEAOP0h/9YAAACUAQAACwAAAAAAAAAAAAAAAAAvAQAAX3JlbHMvLnJlbHNQSwEC&#10;LQAUAAYACAAAACEArE82IkAFAABEHQAADgAAAAAAAAAAAAAAAAAuAgAAZHJzL2Uyb0RvYy54bWxQ&#10;SwECLQAUAAYACAAAACEAPsMpVtwAAAAFAQAADwAAAAAAAAAAAAAAAACaBwAAZHJzL2Rvd25yZXYu&#10;eG1sUEsFBgAAAAAEAAQA8wAAAKMIAAAAAA==&#10;">
                <v:shapetype id="_x0000_t202" coordsize="21600,21600" o:spt="202" path="m,l,21600r21600,l21600,xe">
                  <v:stroke joinstyle="miter"/>
                  <v:path gradientshapeok="t" o:connecttype="rect"/>
                </v:shapetype>
                <v:shape id="Text Box 12" o:spid="_x0000_s1027" type="#_x0000_t202" style="position:absolute;left:22606;top:28702;width:10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yF9wgAAANsAAAAPAAAAZHJzL2Rvd25yZXYueG1sRE9Ni8Iw&#10;EL0L+x/CLHhZNFWkrNUosiDKgoiuF29DMzalzaTbRO3+eyMseJvH+5z5srO1uFHrS8cKRsMEBHHu&#10;dMmFgtPPevAJwgdkjbVjUvBHHpaLt94cM+3ufKDbMRQihrDPUIEJocmk9Lkhi37oGuLIXVxrMUTY&#10;FlK3eI/htpbjJEmlxZJjg8GGvgzl1fFqFew3fm/95Pu3SFfmo0qrczrdNUr137vVDESgLrzE/+6t&#10;jvPH8PwlHiAXDwAAAP//AwBQSwECLQAUAAYACAAAACEA2+H2y+4AAACFAQAAEwAAAAAAAAAAAAAA&#10;AAAAAAAAW0NvbnRlbnRfVHlwZXNdLnhtbFBLAQItABQABgAIAAAAIQBa9CxbvwAAABUBAAALAAAA&#10;AAAAAAAAAAAAAB8BAABfcmVscy8ucmVsc1BLAQItABQABgAIAAAAIQBQGyF9wgAAANsAAAAPAAAA&#10;AAAAAAAAAAAAAAcCAABkcnMvZG93bnJldi54bWxQSwUGAAAAAAMAAwC3AAAA9gIAAAAA&#10;" fillcolor="white [3201]" strokecolor="#00b050" strokeweight="2.25pt">
                  <v:stroke linestyle="thinThin"/>
                  <v:textbox>
                    <w:txbxContent>
                      <w:p w14:paraId="280CA6CA" w14:textId="77777777" w:rsidR="006C6AE0" w:rsidRPr="0097389D" w:rsidRDefault="006C6AE0" w:rsidP="002E367F">
                        <w:pPr>
                          <w:jc w:val="center"/>
                          <w:rPr>
                            <w:rFonts w:ascii="Arial Narrow" w:hAnsi="Arial Narrow"/>
                            <w:b/>
                            <w:bCs/>
                            <w:sz w:val="20"/>
                            <w:szCs w:val="20"/>
                          </w:rPr>
                        </w:pPr>
                        <w:r w:rsidRPr="0097389D">
                          <w:rPr>
                            <w:rFonts w:ascii="Arial Narrow" w:hAnsi="Arial Narrow"/>
                            <w:b/>
                            <w:bCs/>
                            <w:sz w:val="20"/>
                            <w:szCs w:val="20"/>
                          </w:rPr>
                          <w:t>Death</w:t>
                        </w:r>
                      </w:p>
                      <w:p w14:paraId="08675B51" w14:textId="77777777" w:rsidR="006C6AE0" w:rsidRPr="0097389D" w:rsidRDefault="006C6AE0" w:rsidP="002E367F">
                        <w:pPr>
                          <w:rPr>
                            <w:rFonts w:ascii="Arial Narrow" w:hAnsi="Arial Narrow"/>
                            <w:sz w:val="20"/>
                            <w:szCs w:val="20"/>
                          </w:rPr>
                        </w:pPr>
                      </w:p>
                    </w:txbxContent>
                  </v:textbox>
                </v:shape>
                <v:shapetype id="_x0000_t32" coordsize="21600,21600" o:spt="32" o:oned="t" path="m,l21600,21600e" filled="f">
                  <v:path arrowok="t" fillok="f" o:connecttype="none"/>
                  <o:lock v:ext="edit" shapetype="t"/>
                </v:shapetype>
                <v:shape id="Straight Arrow Connector 13" o:spid="_x0000_s1028" type="#_x0000_t32" style="position:absolute;left:21590;top:11430;width:13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fbwQAAANsAAAAPAAAAZHJzL2Rvd25yZXYueG1sRE/dasIw&#10;FL4XfIdwhN2IJttASjWKc2z0auDPAxyaYxttTkoTa/f2iyDs7nx8v2e1GVwjeuqC9azhda5AEJfe&#10;WK40nI5fswxEiMgGG8+k4ZcCbNbj0Qpz4++8p/4QK5FCOOSooY6xzaUMZU0Ow9y3xIk7+85hTLCr&#10;pOnwnsJdI9+UWkiHllNDjS3taiqvh5vT8KH29nbMpnY3/fn+zOSlUH1faP0yGbZLEJGG+C9+uguT&#10;5r/D45d0gFz/AQAA//8DAFBLAQItABQABgAIAAAAIQDb4fbL7gAAAIUBAAATAAAAAAAAAAAAAAAA&#10;AAAAAABbQ29udGVudF9UeXBlc10ueG1sUEsBAi0AFAAGAAgAAAAhAFr0LFu/AAAAFQEAAAsAAAAA&#10;AAAAAAAAAAAAHwEAAF9yZWxzLy5yZWxzUEsBAi0AFAAGAAgAAAAhAOZTJ9vBAAAA2wAAAA8AAAAA&#10;AAAAAAAAAAAABwIAAGRycy9kb3ducmV2LnhtbFBLBQYAAAAAAwADALcAAAD1AgAAAAA=&#10;" strokecolor="black [3213]" strokeweight="2.5pt">
                  <v:stroke endarrow="block"/>
                </v:shape>
                <v:shape id="Circular Arrow 18" o:spid="_x0000_s1029" style="position:absolute;width:4191;height:6096;visibility:visible;mso-wrap-style:square;v-text-anchor:middle" coordsize="4191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HNwgAAANsAAAAPAAAAZHJzL2Rvd25yZXYueG1sRI9Bi8Iw&#10;EIXvgv8hzII3TdeDSDWKCAVBFHQXz0Mz23RtJqWJtf77ncOCtxnem/e+WW8H36ieulgHNvA5y0AR&#10;l8HWXBn4/iqmS1AxIVtsApOBF0XYbsajNeY2PPlC/TVVSkI45mjApdTmWsfSkcc4Cy2xaD+h85hk&#10;7SptO3xKuG/0PMsW2mPN0uCwpb2j8n59eAPpOH/8Huuif+nsUtzOJ+f23hkz+Rh2K1CJhvQ2/18f&#10;rOALrPwiA+jNHwAAAP//AwBQSwECLQAUAAYACAAAACEA2+H2y+4AAACFAQAAEwAAAAAAAAAAAAAA&#10;AAAAAAAAW0NvbnRlbnRfVHlwZXNdLnhtbFBLAQItABQABgAIAAAAIQBa9CxbvwAAABUBAAALAAAA&#10;AAAAAAAAAAAAAB8BAABfcmVscy8ucmVsc1BLAQItABQABgAIAAAAIQDPuuHNwgAAANsAAAAPAAAA&#10;AAAAAAAAAAAAAAcCAABkcnMvZG93bnJldi54bWxQSwUGAAAAAAMAAwC3AAAA9gIAAAAA&#10;" path="m26194,304800c26194,173911,86157,60670,170301,32652,270919,-852,369951,98122,389555,251776r26038,l366713,304800,310818,251776r26052,c318755,122000,239857,47399,166803,90970,114006,122459,78581,208321,78581,304800r-52387,xe" fillcolor="black [3200]" strokecolor="black [1600]" strokeweight=".5pt">
                  <v:stroke opacity="60395f"/>
                  <v:path arrowok="t" o:connecttype="custom" o:connectlocs="26194,304800;170301,32652;389555,251776;415593,251776;366713,304800;310818,251776;336870,251776;166803,90970;78581,304800;26194,304800" o:connectangles="0,0,0,0,0,0,0,0,0,0"/>
                </v:shape>
                <v:shape id="Text Box 19" o:spid="_x0000_s1030" type="#_x0000_t202" style="position:absolute;top:3429;width:21590;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MMwgAAANsAAAAPAAAAZHJzL2Rvd25yZXYueG1sRE9Ni8Iw&#10;EL0L/ocwC16WNV2RotUosiDKgoi6F29DM9uUNpPaRO3+eyMseJvH+5z5srO1uFHrS8cKPocJCOLc&#10;6ZILBT+n9ccEhA/IGmvHpOCPPCwX/d4cM+3ufKDbMRQihrDPUIEJocmk9Lkhi37oGuLI/brWYoiw&#10;LaRu8R7DbS1HSZJKiyXHBoMNfRnKq+PVKthv/N768felSFfmvUqrczrdNUoN3rrVDESgLrzE/+6t&#10;jvOn8PwlHiAXDwAAAP//AwBQSwECLQAUAAYACAAAACEA2+H2y+4AAACFAQAAEwAAAAAAAAAAAAAA&#10;AAAAAAAAW0NvbnRlbnRfVHlwZXNdLnhtbFBLAQItABQABgAIAAAAIQBa9CxbvwAAABUBAAALAAAA&#10;AAAAAAAAAAAAAB8BAABfcmVscy8ucmVsc1BLAQItABQABgAIAAAAIQBev7MMwgAAANsAAAAPAAAA&#10;AAAAAAAAAAAAAAcCAABkcnMvZG93bnJldi54bWxQSwUGAAAAAAMAAwC3AAAA9gIAAAAA&#10;" fillcolor="white [3201]" strokecolor="#00b050" strokeweight="2.25pt">
                  <v:stroke linestyle="thinThin"/>
                  <v:textbox>
                    <w:txbxContent>
                      <w:p w14:paraId="717687C2" w14:textId="77777777" w:rsidR="006C6AE0" w:rsidRPr="0097389D" w:rsidRDefault="006C6AE0" w:rsidP="002E367F">
                        <w:pPr>
                          <w:jc w:val="center"/>
                          <w:rPr>
                            <w:rFonts w:ascii="Arial Narrow" w:hAnsi="Arial Narrow"/>
                            <w:b/>
                            <w:bCs/>
                            <w:sz w:val="20"/>
                            <w:szCs w:val="20"/>
                          </w:rPr>
                        </w:pPr>
                        <w:r w:rsidRPr="0097389D">
                          <w:rPr>
                            <w:rFonts w:ascii="Arial Narrow" w:hAnsi="Arial Narrow"/>
                            <w:b/>
                            <w:bCs/>
                            <w:sz w:val="20"/>
                            <w:szCs w:val="20"/>
                          </w:rPr>
                          <w:t xml:space="preserve">Trientine 4HCl </w:t>
                        </w:r>
                        <w:r w:rsidRPr="0097389D">
                          <w:rPr>
                            <w:rFonts w:ascii="Arial Narrow" w:hAnsi="Arial Narrow"/>
                            <w:sz w:val="20"/>
                            <w:szCs w:val="20"/>
                          </w:rPr>
                          <w:t>(on treatment)</w:t>
                        </w:r>
                      </w:p>
                      <w:p w14:paraId="6B430540" w14:textId="77777777" w:rsidR="006C6AE0" w:rsidRPr="0097389D" w:rsidRDefault="006C6AE0" w:rsidP="002E367F">
                        <w:pPr>
                          <w:rPr>
                            <w:rFonts w:ascii="Arial Narrow" w:hAnsi="Arial Narrow"/>
                            <w:sz w:val="20"/>
                            <w:szCs w:val="20"/>
                          </w:rPr>
                        </w:pPr>
                      </w:p>
                      <w:p w14:paraId="052D6682" w14:textId="77777777" w:rsidR="006C6AE0" w:rsidRPr="0097389D" w:rsidRDefault="006C6AE0" w:rsidP="00A33324">
                        <w:pPr>
                          <w:jc w:val="left"/>
                          <w:rPr>
                            <w:rFonts w:ascii="Arial Narrow" w:hAnsi="Arial Narrow"/>
                            <w:sz w:val="20"/>
                            <w:szCs w:val="20"/>
                          </w:rPr>
                        </w:pPr>
                        <w:r w:rsidRPr="0097389D">
                          <w:rPr>
                            <w:rFonts w:ascii="Arial Narrow" w:hAnsi="Arial Narrow"/>
                            <w:b/>
                            <w:bCs/>
                            <w:color w:val="7030A0"/>
                            <w:sz w:val="20"/>
                            <w:szCs w:val="20"/>
                          </w:rPr>
                          <w:t>Mortality:</w:t>
                        </w:r>
                        <w:r w:rsidRPr="0097389D">
                          <w:rPr>
                            <w:rFonts w:ascii="Arial Narrow" w:hAnsi="Arial Narrow"/>
                            <w:sz w:val="20"/>
                            <w:szCs w:val="20"/>
                          </w:rPr>
                          <w:t xml:space="preserve"> Based on Australian lifetables plus HR = 2.92 sourced from Sipila 2020.</w:t>
                        </w:r>
                      </w:p>
                      <w:p w14:paraId="39C23F40" w14:textId="77777777" w:rsidR="006C6AE0" w:rsidRPr="0097389D" w:rsidRDefault="006C6AE0" w:rsidP="002E367F">
                        <w:pPr>
                          <w:rPr>
                            <w:rFonts w:ascii="Arial Narrow" w:hAnsi="Arial Narrow"/>
                            <w:sz w:val="20"/>
                            <w:szCs w:val="20"/>
                          </w:rPr>
                        </w:pPr>
                      </w:p>
                      <w:p w14:paraId="6C0152AA" w14:textId="77777777" w:rsidR="006C6AE0" w:rsidRPr="0097389D" w:rsidRDefault="006C6AE0" w:rsidP="00A33324">
                        <w:pPr>
                          <w:jc w:val="left"/>
                          <w:rPr>
                            <w:rFonts w:ascii="Arial Narrow" w:hAnsi="Arial Narrow"/>
                            <w:sz w:val="20"/>
                            <w:szCs w:val="20"/>
                          </w:rPr>
                        </w:pPr>
                        <w:r w:rsidRPr="0097389D">
                          <w:rPr>
                            <w:rFonts w:ascii="Arial Narrow" w:hAnsi="Arial Narrow"/>
                            <w:b/>
                            <w:bCs/>
                            <w:color w:val="7030A0"/>
                            <w:sz w:val="20"/>
                            <w:szCs w:val="20"/>
                          </w:rPr>
                          <w:t>Treatment discontinuation:</w:t>
                        </w:r>
                        <w:r w:rsidRPr="0097389D">
                          <w:rPr>
                            <w:rFonts w:ascii="Arial Narrow" w:hAnsi="Arial Narrow"/>
                            <w:color w:val="7030A0"/>
                            <w:sz w:val="20"/>
                            <w:szCs w:val="20"/>
                          </w:rPr>
                          <w:t xml:space="preserve"> </w:t>
                        </w:r>
                        <w:r w:rsidRPr="0097389D">
                          <w:rPr>
                            <w:rFonts w:ascii="Arial Narrow" w:hAnsi="Arial Narrow"/>
                            <w:sz w:val="20"/>
                            <w:szCs w:val="20"/>
                          </w:rPr>
                          <w:t xml:space="preserve">Based on discontinuation due to AEs in Weiss 2013. </w:t>
                        </w:r>
                      </w:p>
                      <w:p w14:paraId="09CD2A7D" w14:textId="77777777" w:rsidR="006C6AE0" w:rsidRPr="0097389D" w:rsidRDefault="006C6AE0" w:rsidP="002E367F">
                        <w:pPr>
                          <w:rPr>
                            <w:rFonts w:ascii="Arial Narrow" w:hAnsi="Arial Narrow"/>
                            <w:sz w:val="20"/>
                            <w:szCs w:val="20"/>
                          </w:rPr>
                        </w:pPr>
                      </w:p>
                      <w:p w14:paraId="1EE3B216" w14:textId="77777777" w:rsidR="006C6AE0" w:rsidRPr="0097389D" w:rsidRDefault="006C6AE0" w:rsidP="002E367F">
                        <w:pPr>
                          <w:rPr>
                            <w:rFonts w:ascii="Arial Narrow" w:hAnsi="Arial Narrow"/>
                            <w:sz w:val="20"/>
                            <w:szCs w:val="20"/>
                          </w:rPr>
                        </w:pPr>
                      </w:p>
                      <w:p w14:paraId="2033C412" w14:textId="77777777" w:rsidR="006C6AE0" w:rsidRPr="0097389D" w:rsidRDefault="006C6AE0" w:rsidP="002E367F">
                        <w:pPr>
                          <w:rPr>
                            <w:rFonts w:ascii="Arial Narrow" w:hAnsi="Arial Narrow"/>
                            <w:sz w:val="20"/>
                            <w:szCs w:val="20"/>
                          </w:rPr>
                        </w:pPr>
                      </w:p>
                      <w:p w14:paraId="7CF5A45A" w14:textId="77777777" w:rsidR="006C6AE0" w:rsidRPr="0097389D" w:rsidRDefault="006C6AE0" w:rsidP="002E367F">
                        <w:pPr>
                          <w:rPr>
                            <w:rFonts w:ascii="Arial Narrow" w:hAnsi="Arial Narrow"/>
                            <w:sz w:val="20"/>
                            <w:szCs w:val="20"/>
                          </w:rPr>
                        </w:pPr>
                      </w:p>
                    </w:txbxContent>
                  </v:textbox>
                </v:shape>
                <v:shape id="Circular Arrow 20" o:spid="_x0000_s1031" style="position:absolute;left:35179;width:4191;height:6096;visibility:visible;mso-wrap-style:square;v-text-anchor:middle" coordsize="4191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d2vwAAANsAAAAPAAAAZHJzL2Rvd25yZXYueG1sRE/Pa4Mw&#10;FL4P+j+EV9htjfUwimsqQxAK0oJu7Pwwb8bNvIiJ1v73y2HQ48f3+5ivdhALTb53rGC/S0AQt073&#10;3Cn4/ChfDiB8QNY4OCYFd/KQnzZPR8y0u3FNSxM6EUPYZ6jAhDBmUvrWkEW/cyNx5L7dZDFEOHVS&#10;T3iL4XaQaZK8Sos9xwaDIxWG2t9mtgpClc4/VV8ud5nU5df1YkxhjVLP2/X9DUSgNTzE/+6zVpDG&#10;9fFL/AHy9AcAAP//AwBQSwECLQAUAAYACAAAACEA2+H2y+4AAACFAQAAEwAAAAAAAAAAAAAAAAAA&#10;AAAAW0NvbnRlbnRfVHlwZXNdLnhtbFBLAQItABQABgAIAAAAIQBa9CxbvwAAABUBAAALAAAAAAAA&#10;AAAAAAAAAB8BAABfcmVscy8ucmVsc1BLAQItABQABgAIAAAAIQD/oCd2vwAAANsAAAAPAAAAAAAA&#10;AAAAAAAAAAcCAABkcnMvZG93bnJldi54bWxQSwUGAAAAAAMAAwC3AAAA8wIAAAAA&#10;" path="m26194,304800c26194,173911,86157,60670,170301,32652,270919,-852,369951,98122,389555,251776r26038,l366713,304800,310818,251776r26052,c318755,122000,239857,47399,166803,90970,114006,122459,78581,208321,78581,304800r-52387,xe" fillcolor="black [3200]" strokecolor="black [1600]" strokeweight=".5pt">
                  <v:stroke opacity="60395f"/>
                  <v:path arrowok="t" o:connecttype="custom" o:connectlocs="26194,304800;170301,32652;389555,251776;415593,251776;366713,304800;310818,251776;336870,251776;166803,90970;78581,304800;26194,304800" o:connectangles="0,0,0,0,0,0,0,0,0,0"/>
                </v:shape>
                <v:shape id="Text Box 21" o:spid="_x0000_s1032" type="#_x0000_t202" style="position:absolute;left:35179;top:3429;width:21590;height:1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W3xQAAANsAAAAPAAAAZHJzL2Rvd25yZXYueG1sRI9Ba8JA&#10;FITvBf/D8gpeim4UCTV1E6RQFKFI1Utvj+xrNiT7NmZXjf/eLRR6HGbmG2ZVDLYVV+p97VjBbJqA&#10;IC6drrlScDp+TF5B+ICssXVMCu7kochHTyvMtLvxF10PoRIRwj5DBSaELpPSl4Ys+qnriKP343qL&#10;Icq+krrHW4TbVs6TJJUWa44LBjt6N1Q2h4tVsN/4vfWL3blK1+alSZvvdPnZKTV+HtZvIAIN4T/8&#10;195qBfMZ/H6JP0DmDwAAAP//AwBQSwECLQAUAAYACAAAACEA2+H2y+4AAACFAQAAEwAAAAAAAAAA&#10;AAAAAAAAAAAAW0NvbnRlbnRfVHlwZXNdLnhtbFBLAQItABQABgAIAAAAIQBa9CxbvwAAABUBAAAL&#10;AAAAAAAAAAAAAAAAAB8BAABfcmVscy8ucmVsc1BLAQItABQABgAIAAAAIQBupXW3xQAAANsAAAAP&#10;AAAAAAAAAAAAAAAAAAcCAABkcnMvZG93bnJldi54bWxQSwUGAAAAAAMAAwC3AAAA+QIAAAAA&#10;" fillcolor="white [3201]" strokecolor="#00b050" strokeweight="2.25pt">
                  <v:stroke linestyle="thinThin"/>
                  <v:textbox>
                    <w:txbxContent>
                      <w:p w14:paraId="345082ED" w14:textId="77777777" w:rsidR="006C6AE0" w:rsidRPr="0097389D" w:rsidRDefault="006C6AE0" w:rsidP="002E367F">
                        <w:pPr>
                          <w:jc w:val="center"/>
                          <w:rPr>
                            <w:rFonts w:ascii="Arial Narrow" w:hAnsi="Arial Narrow"/>
                            <w:b/>
                            <w:bCs/>
                            <w:sz w:val="20"/>
                            <w:szCs w:val="20"/>
                          </w:rPr>
                        </w:pPr>
                        <w:r w:rsidRPr="0097389D">
                          <w:rPr>
                            <w:rFonts w:ascii="Arial Narrow" w:hAnsi="Arial Narrow"/>
                            <w:b/>
                            <w:bCs/>
                            <w:sz w:val="20"/>
                            <w:szCs w:val="20"/>
                          </w:rPr>
                          <w:t xml:space="preserve">BSC </w:t>
                        </w:r>
                        <w:r w:rsidRPr="0097389D">
                          <w:rPr>
                            <w:rFonts w:ascii="Arial Narrow" w:hAnsi="Arial Narrow"/>
                            <w:sz w:val="20"/>
                            <w:szCs w:val="20"/>
                          </w:rPr>
                          <w:t>(untreated)</w:t>
                        </w:r>
                      </w:p>
                      <w:p w14:paraId="0FBB99BD" w14:textId="77777777" w:rsidR="006C6AE0" w:rsidRPr="0097389D" w:rsidRDefault="006C6AE0" w:rsidP="002E367F">
                        <w:pPr>
                          <w:rPr>
                            <w:rFonts w:ascii="Arial Narrow" w:hAnsi="Arial Narrow"/>
                            <w:sz w:val="20"/>
                            <w:szCs w:val="20"/>
                          </w:rPr>
                        </w:pPr>
                      </w:p>
                      <w:p w14:paraId="2B05A0C2" w14:textId="756358EC" w:rsidR="006C6AE0" w:rsidRDefault="006C6AE0" w:rsidP="00A33324">
                        <w:pPr>
                          <w:jc w:val="left"/>
                          <w:rPr>
                            <w:rFonts w:ascii="Arial Narrow" w:hAnsi="Arial Narrow"/>
                            <w:sz w:val="20"/>
                            <w:szCs w:val="20"/>
                          </w:rPr>
                        </w:pPr>
                        <w:r w:rsidRPr="0097389D">
                          <w:rPr>
                            <w:rFonts w:ascii="Arial Narrow" w:hAnsi="Arial Narrow"/>
                            <w:b/>
                            <w:bCs/>
                            <w:color w:val="7030A0"/>
                            <w:sz w:val="20"/>
                            <w:szCs w:val="20"/>
                          </w:rPr>
                          <w:t>Mortality:</w:t>
                        </w:r>
                        <w:r w:rsidRPr="0097389D">
                          <w:rPr>
                            <w:rFonts w:ascii="Arial Narrow" w:hAnsi="Arial Narrow"/>
                            <w:sz w:val="20"/>
                            <w:szCs w:val="20"/>
                          </w:rPr>
                          <w:t xml:space="preserve"> Based on Australian lifetables</w:t>
                        </w:r>
                        <w:r>
                          <w:rPr>
                            <w:rFonts w:ascii="Arial Narrow" w:hAnsi="Arial Narrow"/>
                            <w:sz w:val="20"/>
                            <w:szCs w:val="20"/>
                          </w:rPr>
                          <w:t xml:space="preserve"> plus HR = 2.92 sourced from Sipila 2020 </w:t>
                        </w:r>
                      </w:p>
                      <w:p w14:paraId="11F4F5B1" w14:textId="77777777" w:rsidR="006C6AE0" w:rsidRPr="0097389D" w:rsidRDefault="006C6AE0" w:rsidP="00A33324">
                        <w:pPr>
                          <w:jc w:val="left"/>
                          <w:rPr>
                            <w:rFonts w:ascii="Arial Narrow" w:hAnsi="Arial Narrow"/>
                            <w:sz w:val="20"/>
                            <w:szCs w:val="20"/>
                          </w:rPr>
                        </w:pPr>
                        <w:r w:rsidRPr="0097389D">
                          <w:rPr>
                            <w:rFonts w:ascii="Arial Narrow" w:hAnsi="Arial Narrow"/>
                            <w:sz w:val="20"/>
                            <w:szCs w:val="20"/>
                          </w:rPr>
                          <w:t>plus OR = 76.92 (inverse of OR = 0.013 in Appenzeller-Herzog 2019).</w:t>
                        </w:r>
                      </w:p>
                      <w:p w14:paraId="7D823827" w14:textId="77777777" w:rsidR="006C6AE0" w:rsidRPr="0097389D" w:rsidRDefault="006C6AE0" w:rsidP="002E367F">
                        <w:pPr>
                          <w:rPr>
                            <w:rFonts w:ascii="Arial Narrow" w:hAnsi="Arial Narrow"/>
                            <w:sz w:val="20"/>
                            <w:szCs w:val="20"/>
                          </w:rPr>
                        </w:pPr>
                      </w:p>
                      <w:p w14:paraId="07B11A7F" w14:textId="77777777" w:rsidR="006C6AE0" w:rsidRPr="0097389D" w:rsidRDefault="006C6AE0" w:rsidP="002E367F">
                        <w:pPr>
                          <w:rPr>
                            <w:rFonts w:ascii="Arial Narrow" w:hAnsi="Arial Narrow"/>
                            <w:sz w:val="20"/>
                            <w:szCs w:val="20"/>
                          </w:rPr>
                        </w:pPr>
                      </w:p>
                      <w:p w14:paraId="30522406" w14:textId="77777777" w:rsidR="006C6AE0" w:rsidRPr="0097389D" w:rsidRDefault="006C6AE0" w:rsidP="002E367F">
                        <w:pPr>
                          <w:rPr>
                            <w:rFonts w:ascii="Arial Narrow" w:hAnsi="Arial Narrow"/>
                            <w:sz w:val="20"/>
                            <w:szCs w:val="20"/>
                          </w:rPr>
                        </w:pPr>
                      </w:p>
                      <w:p w14:paraId="5A3CC242" w14:textId="77777777" w:rsidR="006C6AE0" w:rsidRPr="0097389D" w:rsidRDefault="006C6AE0" w:rsidP="002E367F">
                        <w:pPr>
                          <w:rPr>
                            <w:rFonts w:ascii="Arial Narrow" w:hAnsi="Arial Narrow"/>
                            <w:sz w:val="20"/>
                            <w:szCs w:val="20"/>
                          </w:rPr>
                        </w:pPr>
                      </w:p>
                      <w:p w14:paraId="67F55423" w14:textId="77777777" w:rsidR="006C6AE0" w:rsidRPr="0097389D" w:rsidRDefault="006C6AE0" w:rsidP="002E367F">
                        <w:pPr>
                          <w:rPr>
                            <w:rFonts w:ascii="Arial Narrow" w:hAnsi="Arial Narrow"/>
                            <w:sz w:val="20"/>
                            <w:szCs w:val="20"/>
                          </w:rPr>
                        </w:pPr>
                      </w:p>
                    </w:txbxContent>
                  </v:textbox>
                </v:shape>
                <v:shape id="Straight Arrow Connector 22" o:spid="_x0000_s1033" type="#_x0000_t32" style="position:absolute;left:30734;top:20701;width:14732;height:7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JowgAAANsAAAAPAAAAZHJzL2Rvd25yZXYueG1sRI/disIw&#10;FITvBd8hHGFvZE23Fypdo7iCsOiNfw9wtjnbFpuTksRafXojCF4OM/MNM1t0phYtOV9ZVvA1SkAQ&#10;51ZXXCg4HdefUxA+IGusLZOCG3lYzPu9GWbaXnlP7SEUIkLYZ6igDKHJpPR5SQb9yDbE0fu3zmCI&#10;0hVSO7xGuKllmiRjabDiuFBiQ6uS8vPhYhT8TDbbHa7ciX07lG6f6PvfRCv1MeiW3yACdeEdfrV/&#10;tYI0heeX+APk/AEAAP//AwBQSwECLQAUAAYACAAAACEA2+H2y+4AAACFAQAAEwAAAAAAAAAAAAAA&#10;AAAAAAAAW0NvbnRlbnRfVHlwZXNdLnhtbFBLAQItABQABgAIAAAAIQBa9CxbvwAAABUBAAALAAAA&#10;AAAAAAAAAAAAAB8BAABfcmVscy8ucmVsc1BLAQItABQABgAIAAAAIQBoqJJowgAAANsAAAAPAAAA&#10;AAAAAAAAAAAAAAcCAABkcnMvZG93bnJldi54bWxQSwUGAAAAAAMAAwC3AAAA9gIAAAAA&#10;" strokecolor="black [3213]" strokeweight="2.5pt">
                  <v:stroke endarrow="block"/>
                </v:shape>
                <v:shape id="Straight Arrow Connector 26" o:spid="_x0000_s1034" type="#_x0000_t32" style="position:absolute;left:7366;top:20701;width:16764;height:7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7+wwAAANsAAAAPAAAAZHJzL2Rvd25yZXYueG1sRI/disIw&#10;FITvBd8hHGFvZE30Qko1yq6yS68W/HmAQ3O2jTYnpYm1+/ZGWPBymJlvmPV2cI3oqQvWs4b5TIEg&#10;Lr2xXGk4n77eMxAhIhtsPJOGPwqw3YxHa8yNv/OB+mOsRIJwyFFDHWObSxnKmhyGmW+Jk/frO4cx&#10;ya6SpsN7grtGLpRaSoeW00KNLe1qKq/Hm9PwqQ72dsqmdjf9+d5n8lKovi+0fpsMHysQkYb4Cv+3&#10;C6NhsYTnl/QD5OYBAAD//wMAUEsBAi0AFAAGAAgAAAAhANvh9svuAAAAhQEAABMAAAAAAAAAAAAA&#10;AAAAAAAAAFtDb250ZW50X1R5cGVzXS54bWxQSwECLQAUAAYACAAAACEAWvQsW78AAAAVAQAACwAA&#10;AAAAAAAAAAAAAAAfAQAAX3JlbHMvLnJlbHNQSwECLQAUAAYACAAAACEAOEhO/sMAAADbAAAADwAA&#10;AAAAAAAAAAAAAAAHAgAAZHJzL2Rvd25yZXYueG1sUEsFBgAAAAADAAMAtwAAAPcCAAAAAA==&#10;" strokecolor="black [3213]" strokeweight="2.5pt">
                  <v:stroke endarrow="block"/>
                </v:shape>
                <w10:anchorlock/>
              </v:group>
            </w:pict>
          </mc:Fallback>
        </mc:AlternateContent>
      </w:r>
    </w:p>
    <w:p w14:paraId="073FE42F" w14:textId="77777777" w:rsidR="002E367F" w:rsidRPr="00BC31CD" w:rsidRDefault="002E367F" w:rsidP="002E367F">
      <w:pPr>
        <w:keepNext/>
        <w:rPr>
          <w:rFonts w:ascii="Arial Narrow" w:hAnsi="Arial Narrow"/>
          <w:sz w:val="18"/>
          <w:szCs w:val="18"/>
        </w:rPr>
      </w:pPr>
      <w:r w:rsidRPr="00BC31CD">
        <w:rPr>
          <w:rFonts w:ascii="Arial Narrow" w:hAnsi="Arial Narrow"/>
          <w:sz w:val="18"/>
          <w:szCs w:val="18"/>
        </w:rPr>
        <w:t>Source: Developed during the evaluation.</w:t>
      </w:r>
    </w:p>
    <w:p w14:paraId="392198C5" w14:textId="77777777" w:rsidR="002E367F" w:rsidRPr="00BC31CD" w:rsidRDefault="002E367F" w:rsidP="0022407D">
      <w:pPr>
        <w:pStyle w:val="3-BodyText"/>
        <w:keepNext/>
        <w:numPr>
          <w:ilvl w:val="0"/>
          <w:numId w:val="0"/>
        </w:numPr>
      </w:pPr>
      <w:r w:rsidRPr="00BC31CD">
        <w:rPr>
          <w:rFonts w:ascii="Arial Narrow" w:hAnsi="Arial Narrow"/>
          <w:sz w:val="18"/>
          <w:szCs w:val="18"/>
        </w:rPr>
        <w:t>4HCl = tetrahydrochloride; BSC = best supportive care; HR</w:t>
      </w:r>
      <w:r w:rsidR="00A33324" w:rsidRPr="00BC31CD">
        <w:rPr>
          <w:rFonts w:ascii="Arial Narrow" w:hAnsi="Arial Narrow"/>
          <w:sz w:val="18"/>
          <w:szCs w:val="18"/>
        </w:rPr>
        <w:t xml:space="preserve"> </w:t>
      </w:r>
      <w:r w:rsidRPr="00BC31CD">
        <w:rPr>
          <w:rFonts w:ascii="Arial Narrow" w:hAnsi="Arial Narrow"/>
          <w:sz w:val="18"/>
          <w:szCs w:val="18"/>
        </w:rPr>
        <w:t>=</w:t>
      </w:r>
      <w:r w:rsidR="00A33324" w:rsidRPr="00BC31CD">
        <w:rPr>
          <w:rFonts w:ascii="Arial Narrow" w:hAnsi="Arial Narrow"/>
          <w:sz w:val="18"/>
          <w:szCs w:val="18"/>
        </w:rPr>
        <w:t xml:space="preserve"> </w:t>
      </w:r>
      <w:r w:rsidRPr="00BC31CD">
        <w:rPr>
          <w:rFonts w:ascii="Arial Narrow" w:hAnsi="Arial Narrow"/>
          <w:sz w:val="18"/>
          <w:szCs w:val="18"/>
        </w:rPr>
        <w:t>hazard ratio; OR</w:t>
      </w:r>
      <w:r w:rsidR="00A33324" w:rsidRPr="00BC31CD">
        <w:rPr>
          <w:rFonts w:ascii="Arial Narrow" w:hAnsi="Arial Narrow"/>
          <w:sz w:val="18"/>
          <w:szCs w:val="18"/>
        </w:rPr>
        <w:t xml:space="preserve"> </w:t>
      </w:r>
      <w:r w:rsidRPr="00BC31CD">
        <w:rPr>
          <w:rFonts w:ascii="Arial Narrow" w:hAnsi="Arial Narrow"/>
          <w:sz w:val="18"/>
          <w:szCs w:val="18"/>
        </w:rPr>
        <w:t>=</w:t>
      </w:r>
      <w:r w:rsidR="00A33324" w:rsidRPr="00BC31CD">
        <w:rPr>
          <w:rFonts w:ascii="Arial Narrow" w:hAnsi="Arial Narrow"/>
          <w:sz w:val="18"/>
          <w:szCs w:val="18"/>
        </w:rPr>
        <w:t xml:space="preserve"> </w:t>
      </w:r>
      <w:r w:rsidRPr="00BC31CD">
        <w:rPr>
          <w:rFonts w:ascii="Arial Narrow" w:hAnsi="Arial Narrow"/>
          <w:sz w:val="18"/>
          <w:szCs w:val="18"/>
        </w:rPr>
        <w:t>odds ratio</w:t>
      </w:r>
    </w:p>
    <w:p w14:paraId="58EE9229" w14:textId="77777777" w:rsidR="000D387E" w:rsidRPr="00BC31CD" w:rsidRDefault="000D387E" w:rsidP="00DA660D">
      <w:pPr>
        <w:pStyle w:val="3-BodyText"/>
      </w:pPr>
      <w:r w:rsidRPr="00BC31CD">
        <w:t>The PSCR stated that little clinical evidence was required as the economic model was very simple in its structure and was predicated on the proven claim that chelation therapy improves life expectancy relative to no chelation therapy. The PSCR stated that therefore, the only clinical evidence required for the economic model was the extent or magnitude to which life expectancy is improved. The ESC considered that the economic model was overly simplistic (e.g. it was missing liver transplant states) resulting in structural uncertainties.</w:t>
      </w:r>
    </w:p>
    <w:p w14:paraId="536A0B81" w14:textId="77777777" w:rsidR="000D784A" w:rsidRPr="00BC31CD" w:rsidRDefault="00575ECC" w:rsidP="00DA660D">
      <w:pPr>
        <w:pStyle w:val="3-BodyText"/>
      </w:pPr>
      <w:r w:rsidRPr="00BC31CD">
        <w:t>While a Markov model was used, and survival was a key component of the model, the application of mortality in the model was not standard as</w:t>
      </w:r>
      <w:r w:rsidR="008777C5" w:rsidRPr="00BC31CD">
        <w:t xml:space="preserve"> extrapolation was </w:t>
      </w:r>
      <w:r w:rsidR="002E367F" w:rsidRPr="00BC31CD">
        <w:t>not applied</w:t>
      </w:r>
      <w:r w:rsidR="008777C5" w:rsidRPr="00BC31CD">
        <w:t xml:space="preserve"> over the 80</w:t>
      </w:r>
      <w:r w:rsidR="00483DAE" w:rsidRPr="00BC31CD">
        <w:t>-</w:t>
      </w:r>
      <w:r w:rsidR="008777C5" w:rsidRPr="00BC31CD">
        <w:t>year model duration</w:t>
      </w:r>
      <w:r w:rsidR="000D784A" w:rsidRPr="00BC31CD">
        <w:t>.</w:t>
      </w:r>
      <w:r w:rsidR="00611789" w:rsidRPr="00BC31CD">
        <w:t xml:space="preserve"> </w:t>
      </w:r>
      <w:r w:rsidR="000D784A" w:rsidRPr="00BC31CD">
        <w:t xml:space="preserve">Instead, survival was based on </w:t>
      </w:r>
      <w:r w:rsidR="00007191" w:rsidRPr="00BC31CD">
        <w:t>a constant</w:t>
      </w:r>
      <w:r w:rsidR="00EC6503" w:rsidRPr="00BC31CD">
        <w:t xml:space="preserve"> hazard ratio (</w:t>
      </w:r>
      <w:r w:rsidR="000D784A" w:rsidRPr="00BC31CD">
        <w:t>HR</w:t>
      </w:r>
      <w:r w:rsidR="00EC6503" w:rsidRPr="00BC31CD">
        <w:t>)</w:t>
      </w:r>
      <w:r w:rsidR="000D784A" w:rsidRPr="00BC31CD">
        <w:t xml:space="preserve"> </w:t>
      </w:r>
      <w:r w:rsidR="003A1CC5" w:rsidRPr="00BC31CD">
        <w:t xml:space="preserve">value </w:t>
      </w:r>
      <w:r w:rsidR="00A33324" w:rsidRPr="00BC31CD">
        <w:t xml:space="preserve">for trientine 4HCl patients </w:t>
      </w:r>
      <w:r w:rsidR="000D784A" w:rsidRPr="00BC31CD">
        <w:t xml:space="preserve">and </w:t>
      </w:r>
      <w:r w:rsidR="00EC6503" w:rsidRPr="00BC31CD">
        <w:t>odds ratio (</w:t>
      </w:r>
      <w:r w:rsidR="000D784A" w:rsidRPr="00BC31CD">
        <w:t>O</w:t>
      </w:r>
      <w:r w:rsidR="00EC6503" w:rsidRPr="00BC31CD">
        <w:t>R)</w:t>
      </w:r>
      <w:r w:rsidR="000D784A" w:rsidRPr="00BC31CD">
        <w:t xml:space="preserve"> </w:t>
      </w:r>
      <w:r w:rsidR="003A1CC5" w:rsidRPr="00BC31CD">
        <w:t xml:space="preserve">value </w:t>
      </w:r>
      <w:r w:rsidR="00A33324" w:rsidRPr="00BC31CD">
        <w:t>for BSC patient</w:t>
      </w:r>
      <w:r w:rsidR="003A1CC5" w:rsidRPr="00BC31CD">
        <w:t>s</w:t>
      </w:r>
      <w:r w:rsidR="00A33324" w:rsidRPr="00BC31CD">
        <w:t xml:space="preserve"> </w:t>
      </w:r>
      <w:r w:rsidR="000D784A" w:rsidRPr="00BC31CD">
        <w:t>across the lifetime model duration</w:t>
      </w:r>
      <w:r w:rsidR="00483DAE" w:rsidRPr="00BC31CD">
        <w:t xml:space="preserve"> (see Figure </w:t>
      </w:r>
      <w:r w:rsidR="00AC23B1" w:rsidRPr="00BC31CD">
        <w:t>3</w:t>
      </w:r>
      <w:r w:rsidR="00483DAE" w:rsidRPr="00BC31CD">
        <w:t>)</w:t>
      </w:r>
      <w:r w:rsidR="000D784A" w:rsidRPr="00BC31CD">
        <w:t>.</w:t>
      </w:r>
      <w:r w:rsidR="00611789" w:rsidRPr="00BC31CD">
        <w:t xml:space="preserve"> </w:t>
      </w:r>
      <w:r w:rsidR="000D784A" w:rsidRPr="00BC31CD">
        <w:t>While the model incorporate</w:t>
      </w:r>
      <w:r w:rsidR="00EC6503" w:rsidRPr="00BC31CD">
        <w:t>d</w:t>
      </w:r>
      <w:r w:rsidR="000D784A" w:rsidRPr="00BC31CD">
        <w:t xml:space="preserve"> lifetable-based mortality, </w:t>
      </w:r>
      <w:r w:rsidR="00A33324" w:rsidRPr="00BC31CD">
        <w:t xml:space="preserve">the assumption that </w:t>
      </w:r>
      <w:r w:rsidR="00007191" w:rsidRPr="00BC31CD">
        <w:t xml:space="preserve">a constant </w:t>
      </w:r>
      <w:r w:rsidR="000D784A" w:rsidRPr="00BC31CD">
        <w:t xml:space="preserve">mortality risk is applied to lifetable values across the 80 years of the model </w:t>
      </w:r>
      <w:r w:rsidR="00BD5BE1" w:rsidRPr="00BC31CD">
        <w:t>wa</w:t>
      </w:r>
      <w:r w:rsidR="000D784A" w:rsidRPr="00BC31CD">
        <w:t xml:space="preserve">s not </w:t>
      </w:r>
      <w:r w:rsidR="00906147" w:rsidRPr="00BC31CD">
        <w:t>adequately supported</w:t>
      </w:r>
      <w:r w:rsidR="000D784A" w:rsidRPr="00BC31CD">
        <w:t>.</w:t>
      </w:r>
      <w:r w:rsidR="008777C5" w:rsidRPr="00BC31CD">
        <w:t xml:space="preserve"> </w:t>
      </w:r>
      <w:r w:rsidR="000550D6" w:rsidRPr="00BC31CD">
        <w:t xml:space="preserve">The ESC considered that patients would have a mortality risk associated with </w:t>
      </w:r>
      <w:r w:rsidR="00B95333" w:rsidRPr="00BC31CD">
        <w:t xml:space="preserve">(i) </w:t>
      </w:r>
      <w:r w:rsidR="000550D6" w:rsidRPr="00BC31CD">
        <w:t xml:space="preserve">WD and </w:t>
      </w:r>
      <w:r w:rsidR="00B95333" w:rsidRPr="00BC31CD">
        <w:t>(ii)</w:t>
      </w:r>
      <w:r w:rsidR="000550D6" w:rsidRPr="00BC31CD">
        <w:t xml:space="preserve"> receiving trientine 4HCl or BSC, and that the risks would most like</w:t>
      </w:r>
      <w:r w:rsidR="00B95333" w:rsidRPr="00BC31CD">
        <w:t>ly</w:t>
      </w:r>
      <w:r w:rsidR="000550D6" w:rsidRPr="00BC31CD">
        <w:t xml:space="preserve"> change over time.</w:t>
      </w:r>
      <w:r w:rsidR="000D35A1" w:rsidRPr="00BC31CD">
        <w:t xml:space="preserve"> The pre-PBAC response stated that this was how the model was operating</w:t>
      </w:r>
      <w:r w:rsidR="00AA2DAA" w:rsidRPr="00BC31CD">
        <w:t xml:space="preserve">, but the PBAC </w:t>
      </w:r>
      <w:r w:rsidR="00B86E95" w:rsidRPr="00BC31CD">
        <w:t>not</w:t>
      </w:r>
      <w:r w:rsidR="00AA2DAA" w:rsidRPr="00BC31CD">
        <w:t xml:space="preserve">ed that the risks in the model changed as the background mortality changed, whereas the HR and OS values applied remained constant. </w:t>
      </w:r>
    </w:p>
    <w:p w14:paraId="26484130" w14:textId="77777777" w:rsidR="00483DAE" w:rsidRPr="00BC31CD" w:rsidRDefault="00483DAE" w:rsidP="00EC0ABA">
      <w:pPr>
        <w:keepNext/>
        <w:rPr>
          <w:rStyle w:val="CommentReference"/>
        </w:rPr>
      </w:pPr>
      <w:r w:rsidRPr="00BC31CD">
        <w:rPr>
          <w:rStyle w:val="CommentReference"/>
        </w:rPr>
        <w:t xml:space="preserve">Figure </w:t>
      </w:r>
      <w:r w:rsidR="00AC23B1" w:rsidRPr="00BC31CD">
        <w:rPr>
          <w:rStyle w:val="CommentReference"/>
        </w:rPr>
        <w:t>3</w:t>
      </w:r>
      <w:r w:rsidRPr="00BC31CD">
        <w:rPr>
          <w:rStyle w:val="CommentReference"/>
        </w:rPr>
        <w:t xml:space="preserve">: Estimated survival in the </w:t>
      </w:r>
      <w:r w:rsidR="00375014" w:rsidRPr="00BC31CD">
        <w:rPr>
          <w:rStyle w:val="CommentReference"/>
        </w:rPr>
        <w:t xml:space="preserve">trientine 4HCl and </w:t>
      </w:r>
      <w:r w:rsidRPr="00BC31CD">
        <w:rPr>
          <w:rStyle w:val="CommentReference"/>
        </w:rPr>
        <w:t>BSC arm</w:t>
      </w:r>
      <w:r w:rsidR="00375014" w:rsidRPr="00BC31CD">
        <w:rPr>
          <w:rStyle w:val="CommentReference"/>
        </w:rPr>
        <w:t xml:space="preserve">s </w:t>
      </w:r>
      <w:r w:rsidRPr="00BC31CD">
        <w:rPr>
          <w:rStyle w:val="CommentReference"/>
        </w:rPr>
        <w:t>of the model, compared to the general population</w:t>
      </w:r>
    </w:p>
    <w:p w14:paraId="3CF98270" w14:textId="7AF7BF36" w:rsidR="00483DAE" w:rsidRPr="00BC31CD" w:rsidRDefault="00483DAE" w:rsidP="00EC0ABA">
      <w:pPr>
        <w:keepNext/>
        <w:rPr>
          <w:rStyle w:val="TablefooterChar0"/>
          <w:sz w:val="18"/>
          <w:szCs w:val="18"/>
        </w:rPr>
      </w:pPr>
      <w:r w:rsidRPr="00BC31CD">
        <w:rPr>
          <w:noProof/>
        </w:rPr>
        <w:drawing>
          <wp:inline distT="0" distB="0" distL="0" distR="0" wp14:anchorId="5611278B" wp14:editId="4CAA39EF">
            <wp:extent cx="5610224" cy="2733675"/>
            <wp:effectExtent l="0" t="0" r="0" b="0"/>
            <wp:docPr id="2" name="Picture 2" title="Figure 3: Estimated survival in the trientine 4HCl and BSC arms of the model, compared to the gener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9">
                      <a:extLst>
                        <a:ext uri="{28A0092B-C50C-407E-A947-70E740481C1C}">
                          <a14:useLocalDpi xmlns:a14="http://schemas.microsoft.com/office/drawing/2010/main" val="0"/>
                        </a:ext>
                      </a:extLst>
                    </a:blip>
                    <a:stretch>
                      <a:fillRect/>
                    </a:stretch>
                  </pic:blipFill>
                  <pic:spPr>
                    <a:xfrm>
                      <a:off x="0" y="0"/>
                      <a:ext cx="5610224" cy="2733675"/>
                    </a:xfrm>
                    <a:prstGeom prst="rect">
                      <a:avLst/>
                    </a:prstGeom>
                  </pic:spPr>
                </pic:pic>
              </a:graphicData>
            </a:graphic>
          </wp:inline>
        </w:drawing>
      </w:r>
      <w:r w:rsidRPr="00BC31CD">
        <w:rPr>
          <w:rStyle w:val="TablefooterChar0"/>
          <w:sz w:val="18"/>
          <w:szCs w:val="18"/>
        </w:rPr>
        <w:t>Source: Figure 3-10, p114 of the submission.</w:t>
      </w:r>
    </w:p>
    <w:p w14:paraId="4B0DDEC6" w14:textId="77777777" w:rsidR="00483DAE" w:rsidRPr="00BC31CD" w:rsidRDefault="00483DAE" w:rsidP="00EC0ABA">
      <w:pPr>
        <w:keepNext/>
        <w:rPr>
          <w:rFonts w:ascii="Arial Narrow" w:hAnsi="Arial Narrow"/>
          <w:sz w:val="18"/>
          <w:szCs w:val="18"/>
        </w:rPr>
      </w:pPr>
      <w:r w:rsidRPr="00BC31CD">
        <w:rPr>
          <w:rFonts w:ascii="Arial Narrow" w:hAnsi="Arial Narrow"/>
          <w:sz w:val="18"/>
          <w:szCs w:val="18"/>
        </w:rPr>
        <w:t>4HCl = tetrahydrochloride; BSC = best supportive care</w:t>
      </w:r>
    </w:p>
    <w:p w14:paraId="6E2834D5" w14:textId="77777777" w:rsidR="00483DAE" w:rsidRPr="00BC31CD" w:rsidRDefault="00483DAE" w:rsidP="00483DAE"/>
    <w:p w14:paraId="177FC698" w14:textId="77777777" w:rsidR="003A1CC5" w:rsidRPr="00BC31CD" w:rsidRDefault="000D784A" w:rsidP="00D74BD2">
      <w:pPr>
        <w:pStyle w:val="3-BodyText"/>
      </w:pPr>
      <w:r w:rsidRPr="00BC31CD">
        <w:t>In addition,</w:t>
      </w:r>
      <w:r w:rsidR="008777C5" w:rsidRPr="00BC31CD">
        <w:t xml:space="preserve"> </w:t>
      </w:r>
      <w:r w:rsidR="003A1CC5" w:rsidRPr="00BC31CD">
        <w:t>the use of the HR and OR values,</w:t>
      </w:r>
      <w:r w:rsidR="00611789" w:rsidRPr="00BC31CD">
        <w:t xml:space="preserve"> </w:t>
      </w:r>
      <w:r w:rsidR="003A1CC5" w:rsidRPr="00BC31CD">
        <w:t>which</w:t>
      </w:r>
      <w:r w:rsidR="00880D01" w:rsidRPr="00BC31CD">
        <w:t xml:space="preserve"> are different measures</w:t>
      </w:r>
      <w:r w:rsidR="00A541DD" w:rsidRPr="00BC31CD">
        <w:rPr>
          <w:rStyle w:val="FootnoteReference"/>
        </w:rPr>
        <w:footnoteReference w:id="5"/>
      </w:r>
      <w:r w:rsidR="00A541DD" w:rsidRPr="00BC31CD">
        <w:rPr>
          <w:vertAlign w:val="superscript"/>
        </w:rPr>
        <w:t>,</w:t>
      </w:r>
      <w:r w:rsidR="00A541DD" w:rsidRPr="00BC31CD">
        <w:rPr>
          <w:rStyle w:val="FootnoteReference"/>
        </w:rPr>
        <w:footnoteReference w:id="6"/>
      </w:r>
      <w:r w:rsidR="00880D01" w:rsidRPr="00BC31CD">
        <w:t xml:space="preserve">, </w:t>
      </w:r>
      <w:r w:rsidR="003A1CC5" w:rsidRPr="00BC31CD">
        <w:t>was not justified by the submission</w:t>
      </w:r>
      <w:r w:rsidR="00880D01" w:rsidRPr="00BC31CD">
        <w:t>.</w:t>
      </w:r>
      <w:r w:rsidR="00611789" w:rsidRPr="00BC31CD">
        <w:t xml:space="preserve"> </w:t>
      </w:r>
      <w:r w:rsidR="00880D01" w:rsidRPr="00BC31CD">
        <w:t>The submission also did not justify the use of</w:t>
      </w:r>
      <w:r w:rsidR="00D74BD2" w:rsidRPr="00BC31CD">
        <w:t xml:space="preserve"> </w:t>
      </w:r>
      <w:r w:rsidR="00880D01" w:rsidRPr="00BC31CD">
        <w:t>an inverse</w:t>
      </w:r>
      <w:r w:rsidR="003A1CC5" w:rsidRPr="00BC31CD">
        <w:t>-</w:t>
      </w:r>
      <w:r w:rsidR="00880D01" w:rsidRPr="00BC31CD">
        <w:t>sourced</w:t>
      </w:r>
      <w:r w:rsidR="003A1CC5" w:rsidRPr="00BC31CD">
        <w:t xml:space="preserve"> OR</w:t>
      </w:r>
      <w:r w:rsidR="00880D01" w:rsidRPr="00BC31CD">
        <w:t xml:space="preserve"> from Appenzeller-Herzog 2019 for BSC survival.</w:t>
      </w:r>
      <w:r w:rsidR="00611789" w:rsidRPr="00BC31CD">
        <w:t xml:space="preserve"> </w:t>
      </w:r>
      <w:r w:rsidR="00880D01" w:rsidRPr="00BC31CD">
        <w:t xml:space="preserve">This </w:t>
      </w:r>
      <w:r w:rsidR="003A1CC5" w:rsidRPr="00BC31CD">
        <w:t>wa</w:t>
      </w:r>
      <w:r w:rsidR="00880D01" w:rsidRPr="00BC31CD">
        <w:t xml:space="preserve">s </w:t>
      </w:r>
      <w:r w:rsidR="003A1CC5" w:rsidRPr="00BC31CD">
        <w:t>despite</w:t>
      </w:r>
      <w:r w:rsidR="00880D01" w:rsidRPr="00BC31CD">
        <w:t xml:space="preserve"> the submission stat</w:t>
      </w:r>
      <w:r w:rsidR="003A1CC5" w:rsidRPr="00BC31CD">
        <w:t>ing</w:t>
      </w:r>
      <w:r w:rsidR="00880D01" w:rsidRPr="00BC31CD">
        <w:t xml:space="preserve"> that survival from the studies included in the Appenzeller-Herzog 2019 meta-analysis </w:t>
      </w:r>
      <w:r w:rsidR="00EC6503" w:rsidRPr="00BC31CD">
        <w:t>w</w:t>
      </w:r>
      <w:r w:rsidR="003A1CC5" w:rsidRPr="00BC31CD">
        <w:t>ere</w:t>
      </w:r>
      <w:r w:rsidR="00880D01" w:rsidRPr="00BC31CD">
        <w:t xml:space="preserve"> unlikely to be applicable to current practice due to the date</w:t>
      </w:r>
      <w:r w:rsidR="003A1CC5" w:rsidRPr="00BC31CD">
        <w:t>s</w:t>
      </w:r>
      <w:r w:rsidR="00880D01" w:rsidRPr="00BC31CD">
        <w:t xml:space="preserve"> of the studies (1968, 1973, 2001)</w:t>
      </w:r>
      <w:r w:rsidR="00D74BD2" w:rsidRPr="00BC31CD">
        <w:t>.</w:t>
      </w:r>
      <w:r w:rsidR="00611789" w:rsidRPr="00BC31CD">
        <w:t xml:space="preserve"> </w:t>
      </w:r>
      <w:r w:rsidR="004C4460" w:rsidRPr="00BC31CD">
        <w:t xml:space="preserve">The PSCR stated that the inverse OR from Appenzeller-Herzog </w:t>
      </w:r>
      <w:r w:rsidR="00D72C12" w:rsidRPr="00BC31CD">
        <w:t xml:space="preserve">2019 </w:t>
      </w:r>
      <w:r w:rsidR="004C4460" w:rsidRPr="00BC31CD">
        <w:t xml:space="preserve">was appropriate as the source data calculated the odds of death without treatment relative to with treatment and the model is using this ratio to derive the odds of death </w:t>
      </w:r>
      <w:r w:rsidR="001268B8" w:rsidRPr="00BC31CD">
        <w:t xml:space="preserve">without </w:t>
      </w:r>
      <w:r w:rsidR="004C4460" w:rsidRPr="00BC31CD">
        <w:t>treatment from the odds of death with treatment</w:t>
      </w:r>
      <w:r w:rsidR="00D72C12" w:rsidRPr="00BC31CD">
        <w:t xml:space="preserve"> and</w:t>
      </w:r>
      <w:r w:rsidR="005C794D" w:rsidRPr="00BC31CD">
        <w:t>, given the OR and its inverse are symmetrical,</w:t>
      </w:r>
      <w:r w:rsidR="00D72C12" w:rsidRPr="00BC31CD">
        <w:t xml:space="preserve"> this is mathematically sound.</w:t>
      </w:r>
      <w:r w:rsidR="00334066" w:rsidRPr="00BC31CD">
        <w:t xml:space="preserve"> The ESC agreed that the inversion of the OR from Appenzeller-Herzog 2019 was mathematically sound; however, considered that the use of two different measures to determine transition probabilities in the model was not appropriately justified</w:t>
      </w:r>
      <w:r w:rsidR="00F83107" w:rsidRPr="00BC31CD">
        <w:t>, particularly as the HR measures an instantaneous difference in risk which may have been adjusted (see Sipila 2020), whereas an OR summarises an entire study.</w:t>
      </w:r>
    </w:p>
    <w:p w14:paraId="1BF26866" w14:textId="77777777" w:rsidR="007245E7" w:rsidRPr="00BC31CD" w:rsidRDefault="000D784A" w:rsidP="006C5023">
      <w:pPr>
        <w:pStyle w:val="3-BodyText"/>
      </w:pPr>
      <w:r w:rsidRPr="00BC31CD">
        <w:t>The Sipila 2020 study</w:t>
      </w:r>
      <w:r w:rsidR="003A1CC5" w:rsidRPr="00BC31CD">
        <w:t>,</w:t>
      </w:r>
      <w:r w:rsidRPr="00BC31CD">
        <w:t xml:space="preserve"> which was the source of the HR used for trientine 4HCl survival</w:t>
      </w:r>
      <w:r w:rsidR="00D74BD2" w:rsidRPr="00BC31CD">
        <w:t>,</w:t>
      </w:r>
      <w:r w:rsidRPr="00BC31CD">
        <w:t xml:space="preserve"> was based on 33 WD patients in Finland, of which 64% (N=21) were treated with DPA and 30% (N=10) were treated with trientine, compared to 6,600 age- and gender-matched controls.</w:t>
      </w:r>
      <w:r w:rsidR="00611789" w:rsidRPr="00BC31CD">
        <w:t xml:space="preserve"> </w:t>
      </w:r>
      <w:r w:rsidRPr="00BC31CD">
        <w:t xml:space="preserve">The submission did not include this study </w:t>
      </w:r>
      <w:r w:rsidR="000550D6" w:rsidRPr="00BC31CD">
        <w:t>in the clinical</w:t>
      </w:r>
      <w:r w:rsidRPr="00BC31CD">
        <w:t xml:space="preserve"> evidence </w:t>
      </w:r>
      <w:r w:rsidR="000550D6" w:rsidRPr="00BC31CD">
        <w:t>presented</w:t>
      </w:r>
      <w:r w:rsidRPr="00BC31CD">
        <w:t>.</w:t>
      </w:r>
      <w:r w:rsidR="00E25856" w:rsidRPr="00BC31CD">
        <w:t xml:space="preserve"> In addition, t</w:t>
      </w:r>
      <w:r w:rsidR="007245E7" w:rsidRPr="00BC31CD">
        <w:t xml:space="preserve">he submission’s claim of non-inferiority </w:t>
      </w:r>
      <w:r w:rsidR="00E25856" w:rsidRPr="00BC31CD">
        <w:t xml:space="preserve">between </w:t>
      </w:r>
      <w:r w:rsidR="007245E7" w:rsidRPr="00BC31CD">
        <w:t xml:space="preserve">trientine and DPA did not include mortality as an outcome, and it </w:t>
      </w:r>
      <w:r w:rsidR="00E25856" w:rsidRPr="00BC31CD">
        <w:t xml:space="preserve">was </w:t>
      </w:r>
      <w:r w:rsidR="007245E7" w:rsidRPr="00BC31CD">
        <w:t>difficult to quantify an advantage for trientine based on the available evidence.</w:t>
      </w:r>
    </w:p>
    <w:p w14:paraId="3D9BC6DB" w14:textId="77777777" w:rsidR="000D784A" w:rsidRPr="00BC31CD" w:rsidRDefault="000D784A" w:rsidP="00DA660D">
      <w:pPr>
        <w:pStyle w:val="3-BodyText"/>
      </w:pPr>
      <w:r w:rsidRPr="00BC31CD">
        <w:t xml:space="preserve">The utility values applied in the model were sourced from Schaefer 2016, which </w:t>
      </w:r>
      <w:r w:rsidR="0092230B" w:rsidRPr="00BC31CD">
        <w:t xml:space="preserve">was a cross-sectional study assessing </w:t>
      </w:r>
      <w:r w:rsidR="00E25856" w:rsidRPr="00BC31CD">
        <w:t>quality of life (</w:t>
      </w:r>
      <w:r w:rsidR="0092230B" w:rsidRPr="00BC31CD">
        <w:t>QoL</w:t>
      </w:r>
      <w:r w:rsidR="00E25856" w:rsidRPr="00BC31CD">
        <w:t>)</w:t>
      </w:r>
      <w:r w:rsidR="0092230B" w:rsidRPr="00BC31CD">
        <w:t xml:space="preserve"> and risk for depression in </w:t>
      </w:r>
      <w:r w:rsidR="002C092B" w:rsidRPr="00BC31CD">
        <w:t xml:space="preserve">68 </w:t>
      </w:r>
      <w:r w:rsidR="0092230B" w:rsidRPr="00BC31CD">
        <w:t>WD patients</w:t>
      </w:r>
      <w:r w:rsidR="007245E7" w:rsidRPr="00BC31CD">
        <w:t>.</w:t>
      </w:r>
      <w:r w:rsidR="00611789" w:rsidRPr="00BC31CD">
        <w:t xml:space="preserve"> </w:t>
      </w:r>
      <w:r w:rsidR="007245E7" w:rsidRPr="00BC31CD">
        <w:t>The study provided SF-36 scores, which the submission mapped to utility values.</w:t>
      </w:r>
      <w:r w:rsidR="00611789" w:rsidRPr="00BC31CD">
        <w:t xml:space="preserve"> </w:t>
      </w:r>
      <w:r w:rsidR="00C1476B" w:rsidRPr="00BC31CD">
        <w:t>The utility value for the overall WD population (0.86) was selected for use as the utility for the treated health state in the model.</w:t>
      </w:r>
      <w:r w:rsidR="00611789" w:rsidRPr="00BC31CD">
        <w:t xml:space="preserve"> </w:t>
      </w:r>
      <w:r w:rsidR="00C1476B" w:rsidRPr="00BC31CD">
        <w:t xml:space="preserve">For the untreated health state, the submission applied the utility value sourced from Schaefer 2016 which represented the lowest quartile of </w:t>
      </w:r>
      <w:r w:rsidR="00AE4E30" w:rsidRPr="00BC31CD">
        <w:t xml:space="preserve">SF-36 scores for </w:t>
      </w:r>
      <w:r w:rsidR="00C1476B" w:rsidRPr="00BC31CD">
        <w:t>WD patients</w:t>
      </w:r>
      <w:r w:rsidR="00AE4E30" w:rsidRPr="00BC31CD">
        <w:t xml:space="preserve"> (0.65)</w:t>
      </w:r>
      <w:r w:rsidR="00C1476B" w:rsidRPr="00BC31CD">
        <w:t>.</w:t>
      </w:r>
      <w:r w:rsidR="00611789" w:rsidRPr="00BC31CD">
        <w:t xml:space="preserve"> </w:t>
      </w:r>
      <w:r w:rsidR="00AE4E30" w:rsidRPr="00BC31CD">
        <w:t xml:space="preserve">The submission </w:t>
      </w:r>
      <w:r w:rsidR="00E25856" w:rsidRPr="00BC31CD">
        <w:t>did</w:t>
      </w:r>
      <w:r w:rsidR="00AE4E30" w:rsidRPr="00BC31CD">
        <w:t xml:space="preserve"> not adequately justif</w:t>
      </w:r>
      <w:r w:rsidR="00E25856" w:rsidRPr="00BC31CD">
        <w:t>y</w:t>
      </w:r>
      <w:r w:rsidR="00AE4E30" w:rsidRPr="00BC31CD">
        <w:t xml:space="preserve"> the assumption that the patients in the lowest quartile from Schaefer 2016 represented WD patients who were untreated.</w:t>
      </w:r>
      <w:r w:rsidR="00611789" w:rsidRPr="00BC31CD">
        <w:t xml:space="preserve"> </w:t>
      </w:r>
      <w:r w:rsidR="00AE4E30" w:rsidRPr="00BC31CD">
        <w:t xml:space="preserve">The Schaefer 2016 paper stated (p353) that analysis of this </w:t>
      </w:r>
      <w:r w:rsidR="00073822" w:rsidRPr="00BC31CD">
        <w:t xml:space="preserve">lowest quartile </w:t>
      </w:r>
      <w:r w:rsidR="00AE4E30" w:rsidRPr="00BC31CD">
        <w:t>subgroup suggest</w:t>
      </w:r>
      <w:r w:rsidR="00E25856" w:rsidRPr="00BC31CD">
        <w:t>ed</w:t>
      </w:r>
      <w:r w:rsidR="00AE4E30" w:rsidRPr="00BC31CD">
        <w:t xml:space="preserve"> that the group of WD patients </w:t>
      </w:r>
      <w:r w:rsidR="00E25856" w:rsidRPr="00BC31CD">
        <w:t>wa</w:t>
      </w:r>
      <w:r w:rsidR="00AE4E30" w:rsidRPr="00BC31CD">
        <w:t>s very heterogeneous (concerning age, gender and onset)</w:t>
      </w:r>
      <w:r w:rsidR="009D006C" w:rsidRPr="00BC31CD">
        <w:t>.</w:t>
      </w:r>
      <w:r w:rsidR="00611789" w:rsidRPr="00BC31CD">
        <w:t xml:space="preserve"> </w:t>
      </w:r>
      <w:r w:rsidR="000550D6" w:rsidRPr="00BC31CD">
        <w:t>The ESC noted that i</w:t>
      </w:r>
      <w:r w:rsidR="009D006C" w:rsidRPr="00BC31CD">
        <w:t>n</w:t>
      </w:r>
      <w:r w:rsidR="003A1CC5" w:rsidRPr="00BC31CD">
        <w:t xml:space="preserve"> addition, </w:t>
      </w:r>
      <w:r w:rsidR="009D006C" w:rsidRPr="00BC31CD">
        <w:t xml:space="preserve">the publication stated (p352) that SF-36 scores were also analysed by type of medical treatment, and it was found that DPA-treated patients </w:t>
      </w:r>
      <w:r w:rsidR="009F0DFA" w:rsidRPr="00BC31CD">
        <w:t xml:space="preserve">had </w:t>
      </w:r>
      <w:r w:rsidR="003A1CC5" w:rsidRPr="00BC31CD">
        <w:t>better</w:t>
      </w:r>
      <w:r w:rsidR="009F0DFA" w:rsidRPr="00BC31CD">
        <w:t xml:space="preserve"> </w:t>
      </w:r>
      <w:r w:rsidR="00085949" w:rsidRPr="00BC31CD">
        <w:t>quality of life</w:t>
      </w:r>
      <w:r w:rsidR="009D006C" w:rsidRPr="00BC31CD">
        <w:t xml:space="preserve"> and highe</w:t>
      </w:r>
      <w:r w:rsidR="003A1CC5" w:rsidRPr="00BC31CD">
        <w:t>r</w:t>
      </w:r>
      <w:r w:rsidR="009D006C" w:rsidRPr="00BC31CD">
        <w:t xml:space="preserve"> SF-36 scores compared to patients treated with trientine or zinc.</w:t>
      </w:r>
      <w:r w:rsidR="00611789" w:rsidRPr="00BC31CD">
        <w:t xml:space="preserve"> </w:t>
      </w:r>
      <w:r w:rsidR="009D006C" w:rsidRPr="00BC31CD">
        <w:t xml:space="preserve">In particular, patients treated with DPA had </w:t>
      </w:r>
      <w:r w:rsidR="00073822" w:rsidRPr="00BC31CD">
        <w:t xml:space="preserve">statistically </w:t>
      </w:r>
      <w:r w:rsidR="009D006C" w:rsidRPr="00BC31CD">
        <w:t>significantly better total SF-36 scores compared to those receiving trientine treatment</w:t>
      </w:r>
      <w:r w:rsidR="00073822" w:rsidRPr="00BC31CD">
        <w:t xml:space="preserve"> (p=0.01)</w:t>
      </w:r>
      <w:r w:rsidR="009D006C" w:rsidRPr="00BC31CD">
        <w:t>.</w:t>
      </w:r>
      <w:r w:rsidR="00611789" w:rsidRPr="00BC31CD">
        <w:t xml:space="preserve"> </w:t>
      </w:r>
      <w:r w:rsidR="009D006C" w:rsidRPr="00BC31CD">
        <w:t>The submission provided no discussion around the likelihood that QoL may decrease for patients who are intolerant to DPA.</w:t>
      </w:r>
    </w:p>
    <w:p w14:paraId="1C288312" w14:textId="47B7CC5A" w:rsidR="00575ECC" w:rsidRPr="00BC31CD" w:rsidRDefault="003A1CC5" w:rsidP="00DA660D">
      <w:pPr>
        <w:pStyle w:val="3-BodyText"/>
      </w:pPr>
      <w:r w:rsidRPr="00BC31CD">
        <w:t xml:space="preserve">Although the proposed PBS population </w:t>
      </w:r>
      <w:r w:rsidR="00007191" w:rsidRPr="00BC31CD">
        <w:t>included paediatric patients, t</w:t>
      </w:r>
      <w:r w:rsidR="002E66C0" w:rsidRPr="00BC31CD">
        <w:t xml:space="preserve">he economic model included only adult patients, aged 20 </w:t>
      </w:r>
      <w:r w:rsidR="00E25856" w:rsidRPr="00BC31CD">
        <w:t>and older</w:t>
      </w:r>
      <w:r w:rsidR="002E66C0" w:rsidRPr="00BC31CD">
        <w:t>.</w:t>
      </w:r>
      <w:r w:rsidR="00611789" w:rsidRPr="00BC31CD">
        <w:t xml:space="preserve"> </w:t>
      </w:r>
      <w:r w:rsidR="002E66C0" w:rsidRPr="00BC31CD">
        <w:t xml:space="preserve">While it </w:t>
      </w:r>
      <w:r w:rsidR="00E25856" w:rsidRPr="00BC31CD">
        <w:t>wa</w:t>
      </w:r>
      <w:r w:rsidR="002E66C0" w:rsidRPr="00BC31CD">
        <w:t xml:space="preserve">s likely </w:t>
      </w:r>
      <w:r w:rsidR="00E25856" w:rsidRPr="00BC31CD">
        <w:t xml:space="preserve">that </w:t>
      </w:r>
      <w:r w:rsidR="002E66C0" w:rsidRPr="00BC31CD">
        <w:t xml:space="preserve">it would be difficult to find utility values for a paediatric population, </w:t>
      </w:r>
      <w:r w:rsidR="00007191" w:rsidRPr="00BC31CD">
        <w:t>it was noted that</w:t>
      </w:r>
      <w:r w:rsidR="002E66C0" w:rsidRPr="00BC31CD">
        <w:t xml:space="preserve"> the financial estimates </w:t>
      </w:r>
      <w:r w:rsidR="00007191" w:rsidRPr="00BC31CD">
        <w:t>we</w:t>
      </w:r>
      <w:r w:rsidR="002E66C0" w:rsidRPr="00BC31CD">
        <w:t>re based on a population comprised of 82% adults and 18%</w:t>
      </w:r>
      <w:r w:rsidR="0065791D">
        <w:t> </w:t>
      </w:r>
      <w:r w:rsidR="00AC0F24" w:rsidRPr="00BC31CD">
        <w:t>paediatric patients</w:t>
      </w:r>
      <w:r w:rsidR="00007191" w:rsidRPr="00BC31CD">
        <w:t xml:space="preserve">. </w:t>
      </w:r>
      <w:r w:rsidR="000550D6" w:rsidRPr="00BC31CD">
        <w:t>The ESC noted that i</w:t>
      </w:r>
      <w:r w:rsidR="00007191" w:rsidRPr="00BC31CD">
        <w:t>t</w:t>
      </w:r>
      <w:r w:rsidR="00AB74EC" w:rsidRPr="00BC31CD">
        <w:t xml:space="preserve"> </w:t>
      </w:r>
      <w:r w:rsidR="00AC0F24" w:rsidRPr="00BC31CD">
        <w:t xml:space="preserve">would have been </w:t>
      </w:r>
      <w:r w:rsidR="000550D6" w:rsidRPr="00BC31CD">
        <w:t xml:space="preserve">more appropriate </w:t>
      </w:r>
      <w:r w:rsidR="00AC0F24" w:rsidRPr="00BC31CD">
        <w:t xml:space="preserve">for the submission to consider </w:t>
      </w:r>
      <w:r w:rsidR="00281076" w:rsidRPr="00BC31CD">
        <w:t>the applicability of the model results to</w:t>
      </w:r>
      <w:r w:rsidR="00AC0F24" w:rsidRPr="00BC31CD">
        <w:t xml:space="preserve"> a paediatric population.</w:t>
      </w:r>
      <w:r w:rsidR="00575ECC" w:rsidRPr="00BC31CD">
        <w:t xml:space="preserve"> </w:t>
      </w:r>
      <w:r w:rsidR="000D35A1" w:rsidRPr="00BC31CD">
        <w:t>The pre-PBAC response stated that the patient baseline characteristics in the applied in the model were based on Weiss 2013 which included both adults and children, and therefore the model reflects the costs and outcomes of the total PBS population.</w:t>
      </w:r>
    </w:p>
    <w:p w14:paraId="59391644" w14:textId="77777777" w:rsidR="00DA660D" w:rsidRPr="00BC31CD" w:rsidRDefault="00DA660D" w:rsidP="00E25856">
      <w:pPr>
        <w:pStyle w:val="TableFigureHeading"/>
        <w:rPr>
          <w:rStyle w:val="CommentReference"/>
          <w:b/>
          <w:szCs w:val="24"/>
        </w:rPr>
      </w:pPr>
      <w:r w:rsidRPr="00BC31CD">
        <w:rPr>
          <w:rStyle w:val="CommentReference"/>
          <w:b/>
          <w:szCs w:val="24"/>
        </w:rPr>
        <w:t xml:space="preserve">Table </w:t>
      </w:r>
      <w:r w:rsidR="00B454C4" w:rsidRPr="00BC31CD">
        <w:rPr>
          <w:rStyle w:val="CommentReference"/>
          <w:b/>
          <w:szCs w:val="24"/>
        </w:rPr>
        <w:t>7</w:t>
      </w:r>
      <w:r w:rsidRPr="00BC31CD">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6"/>
        <w:gridCol w:w="4826"/>
        <w:gridCol w:w="2925"/>
      </w:tblGrid>
      <w:tr w:rsidR="005D5018" w:rsidRPr="00BC31CD" w14:paraId="78D2E8D4" w14:textId="77777777" w:rsidTr="00E83D9F">
        <w:trPr>
          <w:tblHeader/>
        </w:trPr>
        <w:tc>
          <w:tcPr>
            <w:tcW w:w="702" w:type="pct"/>
            <w:shd w:val="clear" w:color="auto" w:fill="auto"/>
            <w:vAlign w:val="center"/>
          </w:tcPr>
          <w:p w14:paraId="7E18088A" w14:textId="77777777" w:rsidR="00DA660D" w:rsidRPr="00BC31CD" w:rsidRDefault="00DA660D" w:rsidP="00E25856">
            <w:pPr>
              <w:pStyle w:val="In-tableHeading"/>
              <w:widowControl w:val="0"/>
              <w:jc w:val="center"/>
              <w:rPr>
                <w:lang w:val="en-AU"/>
              </w:rPr>
            </w:pPr>
            <w:r w:rsidRPr="00BC31CD">
              <w:rPr>
                <w:lang w:val="en-AU"/>
              </w:rPr>
              <w:t>Description</w:t>
            </w:r>
          </w:p>
        </w:tc>
        <w:tc>
          <w:tcPr>
            <w:tcW w:w="2676" w:type="pct"/>
            <w:shd w:val="clear" w:color="auto" w:fill="auto"/>
            <w:vAlign w:val="center"/>
          </w:tcPr>
          <w:p w14:paraId="7B0C8E2A" w14:textId="77777777" w:rsidR="00DA660D" w:rsidRPr="00BC31CD" w:rsidRDefault="00DA660D" w:rsidP="00E25856">
            <w:pPr>
              <w:pStyle w:val="In-tableHeading"/>
              <w:widowControl w:val="0"/>
              <w:jc w:val="center"/>
              <w:rPr>
                <w:lang w:val="en-AU"/>
              </w:rPr>
            </w:pPr>
            <w:r w:rsidRPr="00BC31CD">
              <w:rPr>
                <w:lang w:val="en-AU"/>
              </w:rPr>
              <w:t>Method/Value</w:t>
            </w:r>
          </w:p>
        </w:tc>
        <w:tc>
          <w:tcPr>
            <w:tcW w:w="1622" w:type="pct"/>
            <w:shd w:val="clear" w:color="auto" w:fill="auto"/>
            <w:vAlign w:val="center"/>
          </w:tcPr>
          <w:p w14:paraId="2BB6E129" w14:textId="77777777" w:rsidR="00DA660D" w:rsidRPr="00BC31CD" w:rsidRDefault="00DA660D" w:rsidP="00E25856">
            <w:pPr>
              <w:pStyle w:val="In-tableHeading"/>
              <w:widowControl w:val="0"/>
              <w:jc w:val="center"/>
              <w:rPr>
                <w:lang w:val="en-AU"/>
              </w:rPr>
            </w:pPr>
            <w:r w:rsidRPr="00BC31CD">
              <w:rPr>
                <w:lang w:val="en-AU"/>
              </w:rPr>
              <w:t>Impact</w:t>
            </w:r>
          </w:p>
          <w:p w14:paraId="21E8BE22" w14:textId="77777777" w:rsidR="00DA660D" w:rsidRPr="00BC31CD" w:rsidRDefault="00DA660D" w:rsidP="00E25856">
            <w:pPr>
              <w:pStyle w:val="In-tableHeading"/>
              <w:widowControl w:val="0"/>
              <w:jc w:val="center"/>
              <w:rPr>
                <w:lang w:val="en-AU"/>
              </w:rPr>
            </w:pPr>
            <w:r w:rsidRPr="00BC31CD">
              <w:rPr>
                <w:rFonts w:cs="Arial"/>
                <w:szCs w:val="20"/>
                <w:lang w:val="en-AU"/>
              </w:rPr>
              <w:t>Base case: $</w:t>
            </w:r>
            <w:r w:rsidR="00AE1A04">
              <w:rPr>
                <w:rFonts w:cs="Arial"/>
                <w:noProof/>
                <w:color w:val="000000"/>
                <w:szCs w:val="20"/>
                <w:highlight w:val="black"/>
                <w:lang w:val="en-AU"/>
              </w:rPr>
              <w:t>''''''''''''''''</w:t>
            </w:r>
            <w:r w:rsidR="003B5A5E" w:rsidRPr="003B5A5E">
              <w:rPr>
                <w:rFonts w:cs="Arial"/>
                <w:szCs w:val="20"/>
                <w:vertAlign w:val="superscript"/>
                <w:lang w:val="en-AU"/>
              </w:rPr>
              <w:t>1</w:t>
            </w:r>
            <w:r w:rsidRPr="00BC31CD">
              <w:rPr>
                <w:rFonts w:cs="Arial"/>
                <w:szCs w:val="20"/>
                <w:lang w:val="en-AU"/>
              </w:rPr>
              <w:t>/QALY gained</w:t>
            </w:r>
          </w:p>
        </w:tc>
      </w:tr>
      <w:tr w:rsidR="00421A8B" w:rsidRPr="00BC31CD" w14:paraId="7C8698F2" w14:textId="77777777" w:rsidTr="00E83D9F">
        <w:tc>
          <w:tcPr>
            <w:tcW w:w="702" w:type="pct"/>
            <w:shd w:val="clear" w:color="auto" w:fill="auto"/>
            <w:vAlign w:val="center"/>
          </w:tcPr>
          <w:p w14:paraId="4E3AFBFC" w14:textId="77777777" w:rsidR="00421A8B" w:rsidRPr="00BC31CD" w:rsidRDefault="00421A8B" w:rsidP="00483DAE">
            <w:pPr>
              <w:pStyle w:val="TableText0"/>
              <w:widowControl w:val="0"/>
            </w:pPr>
            <w:r w:rsidRPr="00BC31CD">
              <w:t>Clinical evidence</w:t>
            </w:r>
          </w:p>
        </w:tc>
        <w:tc>
          <w:tcPr>
            <w:tcW w:w="2676" w:type="pct"/>
            <w:shd w:val="clear" w:color="auto" w:fill="auto"/>
            <w:vAlign w:val="center"/>
          </w:tcPr>
          <w:p w14:paraId="47E1CCD6" w14:textId="77777777" w:rsidR="00421A8B" w:rsidRPr="00BC31CD" w:rsidRDefault="00421A8B" w:rsidP="00421A8B">
            <w:pPr>
              <w:pStyle w:val="TableText0"/>
              <w:widowControl w:val="0"/>
            </w:pPr>
            <w:r w:rsidRPr="00BC31CD">
              <w:t xml:space="preserve">The overall poor quality of the studies presented did not provide a basis for a quantitative estimate of </w:t>
            </w:r>
            <w:r w:rsidR="00483DAE" w:rsidRPr="00BC31CD">
              <w:t xml:space="preserve">the </w:t>
            </w:r>
            <w:r w:rsidRPr="00BC31CD">
              <w:t>effect size for trientine versus BSC</w:t>
            </w:r>
            <w:r w:rsidR="00483DAE" w:rsidRPr="00BC31CD">
              <w:t>. T</w:t>
            </w:r>
            <w:r w:rsidRPr="00BC31CD">
              <w:t>herefore</w:t>
            </w:r>
            <w:r w:rsidR="00483DAE" w:rsidRPr="00BC31CD">
              <w:t>,</w:t>
            </w:r>
            <w:r w:rsidRPr="00BC31CD">
              <w:t xml:space="preserve"> the accuracy of the modelled economic evaluation is limited.</w:t>
            </w:r>
          </w:p>
        </w:tc>
        <w:tc>
          <w:tcPr>
            <w:tcW w:w="1622" w:type="pct"/>
            <w:shd w:val="clear" w:color="auto" w:fill="auto"/>
            <w:vAlign w:val="center"/>
          </w:tcPr>
          <w:p w14:paraId="3C7C02DC" w14:textId="77777777" w:rsidR="00421A8B" w:rsidRPr="00BC31CD" w:rsidRDefault="00421A8B" w:rsidP="00421A8B">
            <w:pPr>
              <w:pStyle w:val="TableText0"/>
              <w:widowControl w:val="0"/>
            </w:pPr>
            <w:r w:rsidRPr="00BC31CD">
              <w:t>High</w:t>
            </w:r>
            <w:r w:rsidR="00483DAE" w:rsidRPr="00BC31CD">
              <w:t>;</w:t>
            </w:r>
            <w:r w:rsidRPr="00BC31CD">
              <w:t xml:space="preserve"> favours trientine 4HCl</w:t>
            </w:r>
          </w:p>
        </w:tc>
      </w:tr>
      <w:tr w:rsidR="005D5018" w:rsidRPr="00BC31CD" w14:paraId="7968C29E" w14:textId="77777777" w:rsidTr="00E83D9F">
        <w:tc>
          <w:tcPr>
            <w:tcW w:w="702" w:type="pct"/>
            <w:shd w:val="clear" w:color="auto" w:fill="auto"/>
            <w:vAlign w:val="center"/>
          </w:tcPr>
          <w:p w14:paraId="52A672C0" w14:textId="77777777" w:rsidR="0095732F" w:rsidRPr="00BC31CD" w:rsidRDefault="0095732F" w:rsidP="00483DAE">
            <w:pPr>
              <w:pStyle w:val="TableText0"/>
              <w:widowControl w:val="0"/>
            </w:pPr>
            <w:r w:rsidRPr="00BC31CD">
              <w:t xml:space="preserve">Trientine 4HCl </w:t>
            </w:r>
            <w:r w:rsidR="005D5018" w:rsidRPr="00BC31CD">
              <w:t xml:space="preserve">price </w:t>
            </w:r>
          </w:p>
        </w:tc>
        <w:tc>
          <w:tcPr>
            <w:tcW w:w="2676" w:type="pct"/>
            <w:shd w:val="clear" w:color="auto" w:fill="auto"/>
            <w:vAlign w:val="center"/>
          </w:tcPr>
          <w:p w14:paraId="568D0CE3" w14:textId="77777777" w:rsidR="002E09BB" w:rsidRPr="00BC31CD" w:rsidRDefault="0095732F" w:rsidP="00E25856">
            <w:pPr>
              <w:pStyle w:val="TableText0"/>
              <w:widowControl w:val="0"/>
            </w:pPr>
            <w:r w:rsidRPr="00BC31CD">
              <w:t>As discussed in paragraph 3.</w:t>
            </w:r>
            <w:r w:rsidR="009A3687" w:rsidRPr="00BC31CD">
              <w:t>3</w:t>
            </w:r>
            <w:r w:rsidRPr="00BC31CD">
              <w:t xml:space="preserve">, the requested </w:t>
            </w:r>
            <w:r w:rsidR="00BB4966" w:rsidRPr="00BC31CD">
              <w:t xml:space="preserve">DPMQ </w:t>
            </w:r>
            <w:r w:rsidRPr="00BC31CD">
              <w:t>for trientine 4HCl is high ($</w:t>
            </w:r>
            <w:r w:rsidR="00AE1A04">
              <w:rPr>
                <w:noProof/>
                <w:color w:val="000000"/>
                <w:highlight w:val="black"/>
              </w:rPr>
              <w:t>'''''''''''''''''''</w:t>
            </w:r>
            <w:r w:rsidRPr="00BC31CD">
              <w:t>).</w:t>
            </w:r>
            <w:r w:rsidR="00611789" w:rsidRPr="00BC31CD">
              <w:t xml:space="preserve"> </w:t>
            </w:r>
            <w:r w:rsidR="00BB4966" w:rsidRPr="00BC31CD">
              <w:br/>
            </w:r>
          </w:p>
        </w:tc>
        <w:tc>
          <w:tcPr>
            <w:tcW w:w="1622" w:type="pct"/>
            <w:shd w:val="clear" w:color="auto" w:fill="auto"/>
            <w:vAlign w:val="center"/>
          </w:tcPr>
          <w:p w14:paraId="7C3431D5" w14:textId="77777777" w:rsidR="0095732F" w:rsidRPr="00BC31CD" w:rsidRDefault="006D7D5C" w:rsidP="00E25856">
            <w:pPr>
              <w:pStyle w:val="TableText0"/>
              <w:widowControl w:val="0"/>
            </w:pPr>
            <w:r w:rsidRPr="00BC31CD">
              <w:t xml:space="preserve">High; </w:t>
            </w:r>
            <w:r w:rsidR="00BB4966" w:rsidRPr="00BC31CD">
              <w:t xml:space="preserve">arbitrarily reducing the DPMQ of trientine </w:t>
            </w:r>
            <w:r w:rsidR="00051041" w:rsidRPr="00BC31CD">
              <w:t xml:space="preserve">4HCl </w:t>
            </w:r>
            <w:r w:rsidR="00BB4966" w:rsidRPr="00BC31CD">
              <w:t>to $</w:t>
            </w:r>
            <w:r w:rsidR="00AE1A04">
              <w:rPr>
                <w:noProof/>
                <w:color w:val="000000"/>
                <w:highlight w:val="black"/>
              </w:rPr>
              <w:t>''''''''''''</w:t>
            </w:r>
            <w:r w:rsidR="00BB4966" w:rsidRPr="00BC31CD">
              <w:t xml:space="preserve"> reduced the ICER to $</w:t>
            </w:r>
            <w:r w:rsidR="00AE1A04">
              <w:rPr>
                <w:noProof/>
                <w:color w:val="000000"/>
                <w:highlight w:val="black"/>
              </w:rPr>
              <w:t>''''''''''''''''''</w:t>
            </w:r>
            <w:r w:rsidR="003B5A5E" w:rsidRPr="003B5A5E">
              <w:rPr>
                <w:vertAlign w:val="superscript"/>
              </w:rPr>
              <w:t>2</w:t>
            </w:r>
            <w:r w:rsidR="00BB4966" w:rsidRPr="00BC31CD">
              <w:t xml:space="preserve">/QALY. </w:t>
            </w:r>
            <w:r w:rsidR="00051041" w:rsidRPr="00BC31CD">
              <w:br/>
            </w:r>
          </w:p>
        </w:tc>
      </w:tr>
      <w:tr w:rsidR="0042206A" w:rsidRPr="00BC31CD" w14:paraId="64966FFB" w14:textId="77777777" w:rsidTr="00E83D9F">
        <w:tc>
          <w:tcPr>
            <w:tcW w:w="702" w:type="pct"/>
            <w:shd w:val="clear" w:color="auto" w:fill="auto"/>
            <w:vAlign w:val="center"/>
          </w:tcPr>
          <w:p w14:paraId="42FF2C8C" w14:textId="77777777" w:rsidR="0042206A" w:rsidRPr="00BC31CD" w:rsidRDefault="0042206A" w:rsidP="00483DAE">
            <w:pPr>
              <w:pStyle w:val="TableText0"/>
              <w:widowControl w:val="0"/>
            </w:pPr>
            <w:r w:rsidRPr="00BC31CD">
              <w:t>Trientine 4HCl dose</w:t>
            </w:r>
          </w:p>
        </w:tc>
        <w:tc>
          <w:tcPr>
            <w:tcW w:w="2676" w:type="pct"/>
            <w:shd w:val="clear" w:color="auto" w:fill="auto"/>
            <w:vAlign w:val="center"/>
          </w:tcPr>
          <w:p w14:paraId="525CC828" w14:textId="77777777" w:rsidR="0042206A" w:rsidRPr="00BC31CD" w:rsidRDefault="0042206A" w:rsidP="00E25856">
            <w:pPr>
              <w:pStyle w:val="TableText0"/>
              <w:widowControl w:val="0"/>
            </w:pPr>
            <w:r w:rsidRPr="00BC31CD">
              <w:t xml:space="preserve">The assumed dose was based on 2017-2018 SAS dosing (1,000 mg/day trientine 2HCl). As 0.668 mg of trientine 4HCl is </w:t>
            </w:r>
            <w:r w:rsidR="005B00DF" w:rsidRPr="00BC31CD">
              <w:t>similar</w:t>
            </w:r>
            <w:r w:rsidRPr="00BC31CD">
              <w:t xml:space="preserve"> to 1 mg trientine 2HCl, a dose of 668 mg/day for trientine 4HCl was estimated (1000 mg × 0.668). The SAS dosing calculated by the submission may or may not represent what is used on an individual patient basis. The model also assumed 100% compliance for trientine dosing, which may not be observed in practice, as the CHELATE trial and literature has reported non-compliance. Overall, the dose used may not accurately reflect what will be used in clinical practice.</w:t>
            </w:r>
          </w:p>
        </w:tc>
        <w:tc>
          <w:tcPr>
            <w:tcW w:w="1622" w:type="pct"/>
            <w:shd w:val="clear" w:color="auto" w:fill="auto"/>
            <w:vAlign w:val="center"/>
          </w:tcPr>
          <w:p w14:paraId="4C778371" w14:textId="77777777" w:rsidR="0042206A" w:rsidRPr="00BC31CD" w:rsidRDefault="0042206A" w:rsidP="0042206A">
            <w:pPr>
              <w:pStyle w:val="TableText0"/>
              <w:widowControl w:val="0"/>
            </w:pPr>
            <w:r w:rsidRPr="00BC31CD">
              <w:t>High: Decreasing the dose to the minimum recommended dose of 450 mg/day reduced the ICER to $</w:t>
            </w:r>
            <w:r w:rsidR="00AE1A04">
              <w:rPr>
                <w:noProof/>
                <w:color w:val="000000"/>
                <w:highlight w:val="black"/>
              </w:rPr>
              <w:t>''''''''''''''''</w:t>
            </w:r>
            <w:r w:rsidR="003B5A5E" w:rsidRPr="003B5A5E">
              <w:rPr>
                <w:vertAlign w:val="superscript"/>
              </w:rPr>
              <w:t>2</w:t>
            </w:r>
            <w:r w:rsidRPr="00BC31CD">
              <w:t>/QALY; increasing the dose to the maximum recommended dose of 975 mg/day increased the ICER to $</w:t>
            </w:r>
            <w:r w:rsidR="00AE1A04">
              <w:rPr>
                <w:noProof/>
                <w:color w:val="000000"/>
                <w:highlight w:val="black"/>
              </w:rPr>
              <w:t>''''''''''''''''''</w:t>
            </w:r>
            <w:r w:rsidR="003B5A5E">
              <w:rPr>
                <w:vertAlign w:val="superscript"/>
              </w:rPr>
              <w:t>3</w:t>
            </w:r>
            <w:r w:rsidRPr="00BC31CD">
              <w:t>/QALY.</w:t>
            </w:r>
          </w:p>
          <w:p w14:paraId="1FFA68E2" w14:textId="77777777" w:rsidR="0042206A" w:rsidRPr="00BC31CD" w:rsidRDefault="0042206A" w:rsidP="00E25856">
            <w:pPr>
              <w:pStyle w:val="TableText0"/>
              <w:widowControl w:val="0"/>
            </w:pPr>
          </w:p>
        </w:tc>
      </w:tr>
    </w:tbl>
    <w:p w14:paraId="7A52CDC4" w14:textId="77777777" w:rsidR="00DA660D" w:rsidRPr="00BC31CD" w:rsidRDefault="00DA660D" w:rsidP="00DA660D">
      <w:pPr>
        <w:pStyle w:val="TableFigureFooter"/>
      </w:pPr>
      <w:r w:rsidRPr="00BC31CD">
        <w:t xml:space="preserve">Source: </w:t>
      </w:r>
      <w:r w:rsidR="001D72D6" w:rsidRPr="00BC31CD">
        <w:t>Compiled during the evaluation.</w:t>
      </w:r>
    </w:p>
    <w:p w14:paraId="55ACD362" w14:textId="77777777" w:rsidR="00DA660D" w:rsidRDefault="00375014" w:rsidP="00CA3514">
      <w:pPr>
        <w:pStyle w:val="TableFigureFooter"/>
      </w:pPr>
      <w:r w:rsidRPr="00BC31CD">
        <w:t xml:space="preserve">2HCl = dihydrochloride; </w:t>
      </w:r>
      <w:r w:rsidR="001D72D6" w:rsidRPr="00BC31CD">
        <w:t>4HCl = tetrahydrochloride</w:t>
      </w:r>
      <w:r w:rsidR="003753F2" w:rsidRPr="00BC31CD">
        <w:t xml:space="preserve">; BSC = best supportive care; </w:t>
      </w:r>
      <w:r w:rsidRPr="00BC31CD">
        <w:t xml:space="preserve">ICER = incremental cost effectiveness ratio; QALY = quality adjusted life year; </w:t>
      </w:r>
      <w:r w:rsidR="002E09BB" w:rsidRPr="00BC31CD">
        <w:t>SAS = Special Access Scheme</w:t>
      </w:r>
    </w:p>
    <w:p w14:paraId="6236481E" w14:textId="77777777" w:rsidR="003B5A5E" w:rsidRPr="003B5A5E" w:rsidRDefault="003B5A5E" w:rsidP="00CA3514">
      <w:pPr>
        <w:pStyle w:val="TableFigureFooter"/>
        <w:rPr>
          <w:i/>
        </w:rPr>
      </w:pPr>
      <w:r w:rsidRPr="003B5A5E">
        <w:rPr>
          <w:i/>
        </w:rPr>
        <w:t>The redacted values correspond to the following ranges:</w:t>
      </w:r>
    </w:p>
    <w:p w14:paraId="577987DB" w14:textId="77777777" w:rsidR="003B5A5E" w:rsidRPr="003B5A5E" w:rsidRDefault="003B5A5E" w:rsidP="00CA3514">
      <w:pPr>
        <w:pStyle w:val="TableFigureFooter"/>
        <w:rPr>
          <w:i/>
        </w:rPr>
      </w:pPr>
      <w:r w:rsidRPr="003B5A5E">
        <w:rPr>
          <w:i/>
          <w:vertAlign w:val="superscript"/>
        </w:rPr>
        <w:t>1</w:t>
      </w:r>
      <w:r w:rsidRPr="003B5A5E">
        <w:rPr>
          <w:i/>
        </w:rPr>
        <w:t xml:space="preserve"> $135,000 to &lt; $155,000</w:t>
      </w:r>
    </w:p>
    <w:p w14:paraId="6C5DB80B" w14:textId="77777777" w:rsidR="003B5A5E" w:rsidRPr="003B5A5E" w:rsidRDefault="003B5A5E" w:rsidP="00CA3514">
      <w:pPr>
        <w:pStyle w:val="TableFigureFooter"/>
        <w:rPr>
          <w:i/>
        </w:rPr>
      </w:pPr>
      <w:r w:rsidRPr="003B5A5E">
        <w:rPr>
          <w:i/>
          <w:vertAlign w:val="superscript"/>
        </w:rPr>
        <w:t>2</w:t>
      </w:r>
      <w:r w:rsidRPr="003B5A5E">
        <w:rPr>
          <w:i/>
        </w:rPr>
        <w:t xml:space="preserve"> $75,000 to &lt; $95,000</w:t>
      </w:r>
    </w:p>
    <w:p w14:paraId="626A75E1" w14:textId="77777777" w:rsidR="003B5A5E" w:rsidRPr="003B5A5E" w:rsidRDefault="003B5A5E" w:rsidP="00CA3514">
      <w:pPr>
        <w:pStyle w:val="TableFigureFooter"/>
        <w:rPr>
          <w:i/>
        </w:rPr>
      </w:pPr>
      <w:r w:rsidRPr="003B5A5E">
        <w:rPr>
          <w:i/>
          <w:vertAlign w:val="superscript"/>
        </w:rPr>
        <w:t>3</w:t>
      </w:r>
      <w:r w:rsidRPr="003B5A5E">
        <w:rPr>
          <w:i/>
        </w:rPr>
        <w:t xml:space="preserve"> $155,000 to &lt; $255,000</w:t>
      </w:r>
    </w:p>
    <w:p w14:paraId="29392A8E" w14:textId="77777777" w:rsidR="00DA660D" w:rsidRPr="00BC31CD" w:rsidRDefault="0092720E" w:rsidP="0092720E">
      <w:pPr>
        <w:pStyle w:val="3-BodyText"/>
      </w:pPr>
      <w:r w:rsidRPr="00BC31CD">
        <w:t>The submission did not provide a stepped economic evaluation. Results of the economic evaluation are in the table below.</w:t>
      </w:r>
    </w:p>
    <w:p w14:paraId="1122600E" w14:textId="77777777" w:rsidR="00DA660D" w:rsidRPr="00BC31CD" w:rsidRDefault="00DA660D" w:rsidP="00375014">
      <w:pPr>
        <w:pStyle w:val="TableFigureHeading"/>
      </w:pPr>
      <w:r w:rsidRPr="00BC31CD">
        <w:rPr>
          <w:rStyle w:val="CommentReference"/>
          <w:b/>
          <w:szCs w:val="24"/>
        </w:rPr>
        <w:t xml:space="preserve">Table </w:t>
      </w:r>
      <w:r w:rsidR="00B454C4" w:rsidRPr="00BC31CD">
        <w:rPr>
          <w:rStyle w:val="CommentReference"/>
          <w:b/>
          <w:szCs w:val="24"/>
        </w:rPr>
        <w:t>8</w:t>
      </w:r>
      <w:r w:rsidRPr="00BC31CD">
        <w:rPr>
          <w:rStyle w:val="CommentReference"/>
          <w:b/>
          <w:szCs w:val="24"/>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6D44E7" w:rsidRPr="00BC31CD" w14:paraId="02524A21" w14:textId="77777777" w:rsidTr="00E25376">
        <w:trPr>
          <w:tblHeader/>
        </w:trPr>
        <w:tc>
          <w:tcPr>
            <w:tcW w:w="1529" w:type="pct"/>
            <w:vAlign w:val="center"/>
          </w:tcPr>
          <w:p w14:paraId="6ECBC416" w14:textId="77777777" w:rsidR="006D44E7" w:rsidRPr="00BC31CD" w:rsidRDefault="006D44E7" w:rsidP="00375014">
            <w:pPr>
              <w:pStyle w:val="Tabletext"/>
              <w:keepNext/>
              <w:widowControl w:val="0"/>
              <w:rPr>
                <w:b/>
              </w:rPr>
            </w:pPr>
            <w:r w:rsidRPr="00BC31CD">
              <w:rPr>
                <w:b/>
              </w:rPr>
              <w:t>Component</w:t>
            </w:r>
          </w:p>
        </w:tc>
        <w:tc>
          <w:tcPr>
            <w:tcW w:w="1359" w:type="pct"/>
            <w:vAlign w:val="center"/>
          </w:tcPr>
          <w:p w14:paraId="1A2E7961" w14:textId="77777777" w:rsidR="006D44E7" w:rsidRPr="00BC31CD" w:rsidRDefault="006D44E7" w:rsidP="00375014">
            <w:pPr>
              <w:pStyle w:val="Tabletext"/>
              <w:keepNext/>
              <w:widowControl w:val="0"/>
              <w:jc w:val="center"/>
              <w:rPr>
                <w:b/>
              </w:rPr>
            </w:pPr>
            <w:r w:rsidRPr="00BC31CD">
              <w:rPr>
                <w:b/>
              </w:rPr>
              <w:t>Trientine 4HCl</w:t>
            </w:r>
          </w:p>
        </w:tc>
        <w:tc>
          <w:tcPr>
            <w:tcW w:w="1274" w:type="pct"/>
            <w:vAlign w:val="center"/>
          </w:tcPr>
          <w:p w14:paraId="03F33B9C" w14:textId="77777777" w:rsidR="006D44E7" w:rsidRPr="00BC31CD" w:rsidRDefault="006D44E7" w:rsidP="00375014">
            <w:pPr>
              <w:pStyle w:val="Tabletext"/>
              <w:keepNext/>
              <w:widowControl w:val="0"/>
              <w:jc w:val="center"/>
              <w:rPr>
                <w:b/>
              </w:rPr>
            </w:pPr>
            <w:r w:rsidRPr="00BC31CD">
              <w:rPr>
                <w:b/>
              </w:rPr>
              <w:t>BSC</w:t>
            </w:r>
          </w:p>
        </w:tc>
        <w:tc>
          <w:tcPr>
            <w:tcW w:w="838" w:type="pct"/>
            <w:vAlign w:val="center"/>
          </w:tcPr>
          <w:p w14:paraId="25427A15" w14:textId="77777777" w:rsidR="006D44E7" w:rsidRPr="00BC31CD" w:rsidRDefault="006D44E7" w:rsidP="00375014">
            <w:pPr>
              <w:pStyle w:val="Tabletext"/>
              <w:keepNext/>
              <w:widowControl w:val="0"/>
              <w:jc w:val="center"/>
              <w:rPr>
                <w:b/>
              </w:rPr>
            </w:pPr>
            <w:r w:rsidRPr="00BC31CD">
              <w:rPr>
                <w:b/>
              </w:rPr>
              <w:t>Increment</w:t>
            </w:r>
          </w:p>
        </w:tc>
      </w:tr>
      <w:tr w:rsidR="006D44E7" w:rsidRPr="00BC31CD" w14:paraId="5640E0B3" w14:textId="77777777" w:rsidTr="00E25376">
        <w:tc>
          <w:tcPr>
            <w:tcW w:w="1529" w:type="pct"/>
            <w:vAlign w:val="center"/>
          </w:tcPr>
          <w:p w14:paraId="29F286F1" w14:textId="77777777" w:rsidR="006D44E7" w:rsidRPr="00BC31CD" w:rsidRDefault="006D44E7" w:rsidP="00375014">
            <w:pPr>
              <w:pStyle w:val="Tabletext"/>
              <w:keepNext/>
              <w:widowControl w:val="0"/>
            </w:pPr>
            <w:r w:rsidRPr="00BC31CD">
              <w:t>Costs</w:t>
            </w:r>
            <w:r w:rsidR="003B5A5E">
              <w:t xml:space="preserve"> ($)</w:t>
            </w:r>
          </w:p>
        </w:tc>
        <w:tc>
          <w:tcPr>
            <w:tcW w:w="1359" w:type="pct"/>
          </w:tcPr>
          <w:p w14:paraId="582F92CF" w14:textId="77777777" w:rsidR="006D44E7" w:rsidRPr="00AE1A04" w:rsidRDefault="00AE1A04" w:rsidP="00375014">
            <w:pPr>
              <w:pStyle w:val="Tabletext"/>
              <w:keepNext/>
              <w:widowControl w:val="0"/>
              <w:jc w:val="center"/>
              <w:rPr>
                <w:szCs w:val="20"/>
                <w:highlight w:val="black"/>
              </w:rPr>
            </w:pPr>
            <w:r>
              <w:rPr>
                <w:noProof/>
                <w:color w:val="000000"/>
                <w:szCs w:val="20"/>
                <w:highlight w:val="black"/>
              </w:rPr>
              <w:t>''''''''''''''''''''''''</w:t>
            </w:r>
          </w:p>
        </w:tc>
        <w:tc>
          <w:tcPr>
            <w:tcW w:w="1274" w:type="pct"/>
          </w:tcPr>
          <w:p w14:paraId="341FF614" w14:textId="77777777" w:rsidR="006D44E7" w:rsidRPr="00BC31CD" w:rsidRDefault="006D44E7" w:rsidP="00375014">
            <w:pPr>
              <w:pStyle w:val="Tabletext"/>
              <w:keepNext/>
              <w:widowControl w:val="0"/>
              <w:jc w:val="center"/>
              <w:rPr>
                <w:szCs w:val="20"/>
              </w:rPr>
            </w:pPr>
            <w:r w:rsidRPr="00BC31CD">
              <w:rPr>
                <w:szCs w:val="20"/>
              </w:rPr>
              <w:t>$7,785</w:t>
            </w:r>
          </w:p>
        </w:tc>
        <w:tc>
          <w:tcPr>
            <w:tcW w:w="838" w:type="pct"/>
          </w:tcPr>
          <w:p w14:paraId="49301FCD" w14:textId="77777777" w:rsidR="006D44E7" w:rsidRPr="00AE1A04" w:rsidRDefault="00AE1A04" w:rsidP="00375014">
            <w:pPr>
              <w:pStyle w:val="Tabletext"/>
              <w:keepNext/>
              <w:widowControl w:val="0"/>
              <w:jc w:val="center"/>
              <w:rPr>
                <w:szCs w:val="20"/>
                <w:highlight w:val="black"/>
              </w:rPr>
            </w:pPr>
            <w:r>
              <w:rPr>
                <w:noProof/>
                <w:color w:val="000000"/>
                <w:szCs w:val="20"/>
                <w:highlight w:val="black"/>
              </w:rPr>
              <w:t>'''''''''''''''''''''''''''''</w:t>
            </w:r>
          </w:p>
        </w:tc>
      </w:tr>
      <w:tr w:rsidR="006D44E7" w:rsidRPr="0002327C" w14:paraId="1D1FE9D9" w14:textId="77777777" w:rsidTr="00E25376">
        <w:tc>
          <w:tcPr>
            <w:tcW w:w="1529" w:type="pct"/>
            <w:vAlign w:val="center"/>
          </w:tcPr>
          <w:p w14:paraId="11F91C14" w14:textId="77777777" w:rsidR="006D44E7" w:rsidRPr="00BC31CD" w:rsidRDefault="006D44E7" w:rsidP="00375014">
            <w:pPr>
              <w:pStyle w:val="Tabletext"/>
              <w:keepNext/>
              <w:widowControl w:val="0"/>
            </w:pPr>
            <w:r w:rsidRPr="00BC31CD">
              <w:t>LY</w:t>
            </w:r>
          </w:p>
        </w:tc>
        <w:tc>
          <w:tcPr>
            <w:tcW w:w="1359" w:type="pct"/>
          </w:tcPr>
          <w:p w14:paraId="1CB6F812" w14:textId="77777777" w:rsidR="006D44E7" w:rsidRPr="0002327C" w:rsidRDefault="006D44E7" w:rsidP="00375014">
            <w:pPr>
              <w:pStyle w:val="Tabletext"/>
              <w:keepNext/>
              <w:widowControl w:val="0"/>
              <w:jc w:val="center"/>
              <w:rPr>
                <w:szCs w:val="20"/>
              </w:rPr>
            </w:pPr>
            <w:r w:rsidRPr="0002327C">
              <w:rPr>
                <w:szCs w:val="20"/>
              </w:rPr>
              <w:t>17.558</w:t>
            </w:r>
          </w:p>
        </w:tc>
        <w:tc>
          <w:tcPr>
            <w:tcW w:w="1274" w:type="pct"/>
          </w:tcPr>
          <w:p w14:paraId="325784FC" w14:textId="77777777" w:rsidR="006D44E7" w:rsidRPr="0002327C" w:rsidRDefault="006D44E7" w:rsidP="00375014">
            <w:pPr>
              <w:pStyle w:val="Tabletext"/>
              <w:keepNext/>
              <w:widowControl w:val="0"/>
              <w:jc w:val="center"/>
              <w:rPr>
                <w:szCs w:val="20"/>
              </w:rPr>
            </w:pPr>
            <w:r w:rsidRPr="0002327C">
              <w:rPr>
                <w:szCs w:val="20"/>
              </w:rPr>
              <w:t>6.946</w:t>
            </w:r>
          </w:p>
        </w:tc>
        <w:tc>
          <w:tcPr>
            <w:tcW w:w="838" w:type="pct"/>
          </w:tcPr>
          <w:p w14:paraId="62958519" w14:textId="77777777" w:rsidR="006D44E7" w:rsidRPr="0002327C" w:rsidRDefault="006D44E7" w:rsidP="00375014">
            <w:pPr>
              <w:pStyle w:val="Tabletext"/>
              <w:keepNext/>
              <w:widowControl w:val="0"/>
              <w:jc w:val="center"/>
              <w:rPr>
                <w:szCs w:val="20"/>
              </w:rPr>
            </w:pPr>
            <w:r w:rsidRPr="0002327C">
              <w:rPr>
                <w:szCs w:val="20"/>
              </w:rPr>
              <w:t>10.612</w:t>
            </w:r>
          </w:p>
        </w:tc>
      </w:tr>
      <w:tr w:rsidR="006D44E7" w:rsidRPr="0002327C" w14:paraId="30C4DD02" w14:textId="77777777" w:rsidTr="00E25376">
        <w:tc>
          <w:tcPr>
            <w:tcW w:w="4162" w:type="pct"/>
            <w:gridSpan w:val="3"/>
            <w:vAlign w:val="center"/>
          </w:tcPr>
          <w:p w14:paraId="6C5AF488" w14:textId="77777777" w:rsidR="006D44E7" w:rsidRPr="0002327C" w:rsidRDefault="006D44E7" w:rsidP="00375014">
            <w:pPr>
              <w:pStyle w:val="Tabletext"/>
              <w:keepNext/>
              <w:widowControl w:val="0"/>
              <w:rPr>
                <w:szCs w:val="20"/>
              </w:rPr>
            </w:pPr>
            <w:r w:rsidRPr="0002327C">
              <w:t>Incremental cost/extra LY gained (base case)</w:t>
            </w:r>
          </w:p>
        </w:tc>
        <w:tc>
          <w:tcPr>
            <w:tcW w:w="838" w:type="pct"/>
          </w:tcPr>
          <w:p w14:paraId="78640947" w14:textId="77777777" w:rsidR="006D44E7" w:rsidRPr="0002327C" w:rsidRDefault="00AE1A04" w:rsidP="00375014">
            <w:pPr>
              <w:pStyle w:val="Tabletext"/>
              <w:keepNext/>
              <w:widowControl w:val="0"/>
              <w:jc w:val="center"/>
              <w:rPr>
                <w:szCs w:val="20"/>
              </w:rPr>
            </w:pPr>
            <w:r>
              <w:rPr>
                <w:noProof/>
                <w:color w:val="000000"/>
                <w:szCs w:val="20"/>
                <w:highlight w:val="black"/>
              </w:rPr>
              <w:t>'''''''''''''''''''''</w:t>
            </w:r>
            <w:r w:rsidR="003B5A5E" w:rsidRPr="0002327C">
              <w:rPr>
                <w:vertAlign w:val="superscript"/>
              </w:rPr>
              <w:t>1</w:t>
            </w:r>
          </w:p>
        </w:tc>
      </w:tr>
      <w:tr w:rsidR="006D44E7" w:rsidRPr="0002327C" w14:paraId="01CBF36C" w14:textId="77777777" w:rsidTr="00E25376">
        <w:tc>
          <w:tcPr>
            <w:tcW w:w="1529" w:type="pct"/>
            <w:vAlign w:val="center"/>
          </w:tcPr>
          <w:p w14:paraId="0B5F6514" w14:textId="77777777" w:rsidR="006D44E7" w:rsidRPr="00BC31CD" w:rsidRDefault="006D44E7" w:rsidP="00375014">
            <w:pPr>
              <w:pStyle w:val="Tabletext"/>
              <w:keepNext/>
              <w:widowControl w:val="0"/>
            </w:pPr>
            <w:r w:rsidRPr="00BC31CD">
              <w:t>QALY</w:t>
            </w:r>
          </w:p>
        </w:tc>
        <w:tc>
          <w:tcPr>
            <w:tcW w:w="1359" w:type="pct"/>
          </w:tcPr>
          <w:p w14:paraId="65B57174" w14:textId="77777777" w:rsidR="006D44E7" w:rsidRPr="0002327C" w:rsidRDefault="006D44E7" w:rsidP="00375014">
            <w:pPr>
              <w:pStyle w:val="Tabletext"/>
              <w:keepNext/>
              <w:widowControl w:val="0"/>
              <w:jc w:val="center"/>
              <w:rPr>
                <w:szCs w:val="20"/>
              </w:rPr>
            </w:pPr>
            <w:r w:rsidRPr="0002327C">
              <w:rPr>
                <w:szCs w:val="20"/>
              </w:rPr>
              <w:t>14.984</w:t>
            </w:r>
          </w:p>
        </w:tc>
        <w:tc>
          <w:tcPr>
            <w:tcW w:w="1274" w:type="pct"/>
          </w:tcPr>
          <w:p w14:paraId="7CCE4A06" w14:textId="77777777" w:rsidR="006D44E7" w:rsidRPr="0002327C" w:rsidRDefault="006D44E7" w:rsidP="00375014">
            <w:pPr>
              <w:pStyle w:val="Tabletext"/>
              <w:keepNext/>
              <w:widowControl w:val="0"/>
              <w:jc w:val="center"/>
              <w:rPr>
                <w:szCs w:val="20"/>
              </w:rPr>
            </w:pPr>
            <w:r w:rsidRPr="0002327C">
              <w:rPr>
                <w:szCs w:val="20"/>
              </w:rPr>
              <w:t>4.515</w:t>
            </w:r>
          </w:p>
        </w:tc>
        <w:tc>
          <w:tcPr>
            <w:tcW w:w="838" w:type="pct"/>
          </w:tcPr>
          <w:p w14:paraId="10FAD50C" w14:textId="77777777" w:rsidR="006D44E7" w:rsidRPr="0002327C" w:rsidRDefault="006D44E7" w:rsidP="00375014">
            <w:pPr>
              <w:pStyle w:val="Tabletext"/>
              <w:keepNext/>
              <w:widowControl w:val="0"/>
              <w:jc w:val="center"/>
              <w:rPr>
                <w:szCs w:val="20"/>
              </w:rPr>
            </w:pPr>
            <w:r w:rsidRPr="0002327C">
              <w:rPr>
                <w:szCs w:val="20"/>
              </w:rPr>
              <w:t>10.469</w:t>
            </w:r>
          </w:p>
        </w:tc>
      </w:tr>
      <w:tr w:rsidR="006D44E7" w:rsidRPr="0002327C" w14:paraId="311F9910" w14:textId="77777777" w:rsidTr="00E25376">
        <w:tc>
          <w:tcPr>
            <w:tcW w:w="4162" w:type="pct"/>
            <w:gridSpan w:val="3"/>
            <w:vAlign w:val="center"/>
          </w:tcPr>
          <w:p w14:paraId="08462358" w14:textId="77777777" w:rsidR="006D44E7" w:rsidRPr="0002327C" w:rsidRDefault="006D44E7" w:rsidP="00375014">
            <w:pPr>
              <w:pStyle w:val="Tabletext"/>
              <w:keepNext/>
              <w:widowControl w:val="0"/>
              <w:rPr>
                <w:szCs w:val="20"/>
              </w:rPr>
            </w:pPr>
            <w:r w:rsidRPr="0002327C">
              <w:rPr>
                <w:b/>
              </w:rPr>
              <w:t>Incremental cost/extra QALY gained (base case)</w:t>
            </w:r>
          </w:p>
        </w:tc>
        <w:tc>
          <w:tcPr>
            <w:tcW w:w="838" w:type="pct"/>
          </w:tcPr>
          <w:p w14:paraId="05C6A7CA" w14:textId="77777777" w:rsidR="006D44E7" w:rsidRPr="0002327C" w:rsidRDefault="00AE1A04" w:rsidP="00375014">
            <w:pPr>
              <w:pStyle w:val="Tabletext"/>
              <w:keepNext/>
              <w:widowControl w:val="0"/>
              <w:jc w:val="center"/>
              <w:rPr>
                <w:b/>
                <w:bCs/>
                <w:szCs w:val="20"/>
              </w:rPr>
            </w:pPr>
            <w:r>
              <w:rPr>
                <w:b/>
                <w:bCs/>
                <w:noProof/>
                <w:color w:val="000000"/>
                <w:szCs w:val="20"/>
                <w:highlight w:val="black"/>
              </w:rPr>
              <w:t>''''''''''''''''''</w:t>
            </w:r>
            <w:r w:rsidR="003B5A5E" w:rsidRPr="0002327C">
              <w:rPr>
                <w:vertAlign w:val="superscript"/>
              </w:rPr>
              <w:t>2</w:t>
            </w:r>
          </w:p>
        </w:tc>
      </w:tr>
    </w:tbl>
    <w:p w14:paraId="243FB73C" w14:textId="77777777" w:rsidR="006D44E7" w:rsidRPr="00BC31CD" w:rsidRDefault="006D44E7" w:rsidP="006D44E7">
      <w:pPr>
        <w:pStyle w:val="TableFooter"/>
        <w:keepNext/>
        <w:keepLines/>
      </w:pPr>
      <w:r w:rsidRPr="00BC31CD">
        <w:t>Source: Table 3-25, p131 of the submission</w:t>
      </w:r>
    </w:p>
    <w:p w14:paraId="3B654320" w14:textId="77777777" w:rsidR="00DA660D" w:rsidRDefault="006D44E7" w:rsidP="006D44E7">
      <w:pPr>
        <w:pStyle w:val="TableFigureFooter"/>
      </w:pPr>
      <w:r w:rsidRPr="00BC31CD">
        <w:t>4HCl = tetrahydrochloride; BSC = best supportive care; LY = life year; QALY = quality adjusted life year</w:t>
      </w:r>
    </w:p>
    <w:p w14:paraId="36CD03A8" w14:textId="77777777" w:rsidR="003B5A5E" w:rsidRPr="003B5A5E" w:rsidRDefault="003B5A5E" w:rsidP="006D44E7">
      <w:pPr>
        <w:pStyle w:val="TableFigureFooter"/>
        <w:rPr>
          <w:i/>
        </w:rPr>
      </w:pPr>
      <w:r w:rsidRPr="003B5A5E">
        <w:rPr>
          <w:i/>
        </w:rPr>
        <w:t>The redacted values correspond to the following ranges:</w:t>
      </w:r>
    </w:p>
    <w:p w14:paraId="7212267C" w14:textId="77777777" w:rsidR="003B5A5E" w:rsidRPr="003B5A5E" w:rsidRDefault="003B5A5E" w:rsidP="006D44E7">
      <w:pPr>
        <w:pStyle w:val="TableFigureFooter"/>
        <w:rPr>
          <w:i/>
        </w:rPr>
      </w:pPr>
      <w:r w:rsidRPr="003B5A5E">
        <w:rPr>
          <w:i/>
          <w:vertAlign w:val="superscript"/>
        </w:rPr>
        <w:t>1</w:t>
      </w:r>
      <w:r w:rsidRPr="003B5A5E">
        <w:rPr>
          <w:i/>
        </w:rPr>
        <w:t xml:space="preserve"> $115,000 to &lt; $135,000</w:t>
      </w:r>
    </w:p>
    <w:p w14:paraId="3D5B56D0" w14:textId="77777777" w:rsidR="003B5A5E" w:rsidRPr="003B5A5E" w:rsidRDefault="003B5A5E" w:rsidP="006D44E7">
      <w:pPr>
        <w:pStyle w:val="TableFigureFooter"/>
        <w:rPr>
          <w:rFonts w:eastAsia="Calibri"/>
          <w:i/>
          <w:szCs w:val="20"/>
        </w:rPr>
      </w:pPr>
      <w:r w:rsidRPr="003B5A5E">
        <w:rPr>
          <w:i/>
          <w:vertAlign w:val="superscript"/>
        </w:rPr>
        <w:t>2</w:t>
      </w:r>
      <w:r w:rsidRPr="003B5A5E">
        <w:rPr>
          <w:i/>
        </w:rPr>
        <w:t xml:space="preserve"> $135,000 to &lt; $155,000</w:t>
      </w:r>
    </w:p>
    <w:p w14:paraId="741E3576" w14:textId="77777777" w:rsidR="006D44E7" w:rsidRPr="00BC31CD" w:rsidRDefault="006D44E7" w:rsidP="00DA660D">
      <w:pPr>
        <w:pStyle w:val="3-BodyText"/>
      </w:pPr>
      <w:r w:rsidRPr="00BC31CD">
        <w:t>The ICER</w:t>
      </w:r>
      <w:r w:rsidR="00085949" w:rsidRPr="00BC31CD">
        <w:t xml:space="preserve"> per </w:t>
      </w:r>
      <w:r w:rsidRPr="00BC31CD">
        <w:t>QALY reflect</w:t>
      </w:r>
      <w:r w:rsidR="00ED7910" w:rsidRPr="00BC31CD">
        <w:t>ed</w:t>
      </w:r>
      <w:r w:rsidRPr="00BC31CD">
        <w:t xml:space="preserve"> the high treatment costs for trientine 4HCl (99.5% of incremental cost in the model is drug cost).</w:t>
      </w:r>
      <w:r w:rsidR="00611789" w:rsidRPr="00BC31CD">
        <w:t xml:space="preserve"> </w:t>
      </w:r>
      <w:r w:rsidR="00EF76D7" w:rsidRPr="00BC31CD">
        <w:t xml:space="preserve">Overall, the model results </w:t>
      </w:r>
      <w:r w:rsidR="006C5023" w:rsidRPr="00BC31CD">
        <w:t xml:space="preserve">were </w:t>
      </w:r>
      <w:r w:rsidR="00EF76D7" w:rsidRPr="00BC31CD">
        <w:t xml:space="preserve">not likely to be reliable given the varying effect sizes used for survival (HR=2.92 for trientine 4HCL; inverse OR=76.92 for BSC) and </w:t>
      </w:r>
      <w:r w:rsidR="006C5023" w:rsidRPr="00BC31CD">
        <w:t xml:space="preserve">their </w:t>
      </w:r>
      <w:r w:rsidR="00EF76D7" w:rsidRPr="00BC31CD">
        <w:t>application in the model</w:t>
      </w:r>
      <w:r w:rsidR="00051041" w:rsidRPr="00BC31CD">
        <w:t xml:space="preserve"> and the structural uncertainties of the model</w:t>
      </w:r>
      <w:r w:rsidR="00EF76D7" w:rsidRPr="00BC31CD">
        <w:t>.</w:t>
      </w:r>
    </w:p>
    <w:p w14:paraId="45F5F025" w14:textId="77777777" w:rsidR="00E16F8F" w:rsidRPr="00BC31CD" w:rsidRDefault="00386C1F" w:rsidP="00DA660D">
      <w:pPr>
        <w:pStyle w:val="3-BodyText"/>
      </w:pPr>
      <w:r w:rsidRPr="00BC31CD">
        <w:t xml:space="preserve">The submission did not include liver transplant in the base case modelled evaluation </w:t>
      </w:r>
      <w:r w:rsidR="002E449D" w:rsidRPr="00BC31CD">
        <w:t>on the basis that adding the costs and outcomes of liver transplant would increase model uncertainty.</w:t>
      </w:r>
      <w:r w:rsidR="00611789" w:rsidRPr="00BC31CD">
        <w:t xml:space="preserve"> </w:t>
      </w:r>
      <w:r w:rsidR="002E449D" w:rsidRPr="00BC31CD">
        <w:t xml:space="preserve">Instead, the submission </w:t>
      </w:r>
      <w:r w:rsidRPr="00BC31CD">
        <w:t>provided a sensitivity analysis including liver transplant.</w:t>
      </w:r>
      <w:r w:rsidR="00611789" w:rsidRPr="00BC31CD">
        <w:t xml:space="preserve"> </w:t>
      </w:r>
      <w:r w:rsidR="009357E7" w:rsidRPr="00BC31CD">
        <w:t>T</w:t>
      </w:r>
      <w:r w:rsidRPr="00BC31CD">
        <w:t>his analysis</w:t>
      </w:r>
      <w:r w:rsidR="002E449D" w:rsidRPr="00BC31CD">
        <w:t xml:space="preserve"> assumed that 10% of patients who were to die due to WD in the base case model would instead be transitioned to liver transplant.</w:t>
      </w:r>
      <w:r w:rsidR="00611789" w:rsidRPr="00BC31CD">
        <w:t xml:space="preserve"> </w:t>
      </w:r>
      <w:r w:rsidR="00E16F8F" w:rsidRPr="00BC31CD">
        <w:t>The inputs to the model for inclusion of liver transplant are provided in the table below.</w:t>
      </w:r>
    </w:p>
    <w:p w14:paraId="070A9416" w14:textId="77777777" w:rsidR="00386C1F" w:rsidRPr="00BC31CD" w:rsidRDefault="00E16F8F" w:rsidP="00E25856">
      <w:pPr>
        <w:pStyle w:val="3-BodyText"/>
        <w:keepNext/>
        <w:numPr>
          <w:ilvl w:val="0"/>
          <w:numId w:val="0"/>
        </w:numPr>
        <w:spacing w:after="0"/>
      </w:pPr>
      <w:r w:rsidRPr="00BC31CD">
        <w:rPr>
          <w:rStyle w:val="CommentReference"/>
          <w:szCs w:val="24"/>
        </w:rPr>
        <w:t xml:space="preserve">Table </w:t>
      </w:r>
      <w:r w:rsidR="00B454C4" w:rsidRPr="00BC31CD">
        <w:rPr>
          <w:rStyle w:val="CommentReference"/>
          <w:szCs w:val="24"/>
        </w:rPr>
        <w:t>9</w:t>
      </w:r>
      <w:r w:rsidRPr="00BC31CD">
        <w:rPr>
          <w:rStyle w:val="CommentReference"/>
          <w:szCs w:val="24"/>
        </w:rPr>
        <w:t>: Model inputs for inclusion of liver transplant</w:t>
      </w:r>
      <w:r w:rsidR="00386C1F" w:rsidRPr="00BC31CD">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76"/>
        <w:gridCol w:w="3068"/>
        <w:gridCol w:w="3073"/>
      </w:tblGrid>
      <w:tr w:rsidR="00E16F8F" w:rsidRPr="00BC31CD" w14:paraId="44FAB093"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FBEE6" w14:textId="77777777" w:rsidR="00E16F8F" w:rsidRPr="00BC31CD" w:rsidRDefault="00E16F8F" w:rsidP="00E25856">
            <w:pPr>
              <w:pStyle w:val="In-tableHeading"/>
              <w:tabs>
                <w:tab w:val="left" w:pos="164"/>
              </w:tabs>
              <w:rPr>
                <w:lang w:val="en-AU"/>
              </w:rPr>
            </w:pPr>
            <w:r w:rsidRPr="00BC31CD">
              <w:rPr>
                <w:lang w:val="en-AU"/>
              </w:rPr>
              <w:t>Parameter</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AB4C28" w14:textId="77777777" w:rsidR="00E16F8F" w:rsidRPr="00BC31CD" w:rsidRDefault="00E16F8F" w:rsidP="00E25856">
            <w:pPr>
              <w:pStyle w:val="In-tableHeading"/>
              <w:jc w:val="center"/>
              <w:rPr>
                <w:lang w:val="en-AU"/>
              </w:rPr>
            </w:pPr>
            <w:r w:rsidRPr="00BC31CD">
              <w:rPr>
                <w:lang w:val="en-AU"/>
              </w:rPr>
              <w:t>Input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9562C2" w14:textId="77777777" w:rsidR="00E16F8F" w:rsidRPr="00BC31CD" w:rsidRDefault="00E16F8F" w:rsidP="00E25856">
            <w:pPr>
              <w:pStyle w:val="In-tableHeading"/>
              <w:jc w:val="center"/>
              <w:rPr>
                <w:lang w:val="en-AU"/>
              </w:rPr>
            </w:pPr>
            <w:r w:rsidRPr="00BC31CD">
              <w:rPr>
                <w:lang w:val="en-AU"/>
              </w:rPr>
              <w:t>Source</w:t>
            </w:r>
          </w:p>
        </w:tc>
      </w:tr>
      <w:tr w:rsidR="00E16F8F" w:rsidRPr="00BC31CD" w14:paraId="652D5A24"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54DA3B" w14:textId="77777777" w:rsidR="00E16F8F" w:rsidRPr="00BC31CD" w:rsidRDefault="00E16F8F" w:rsidP="00E25856">
            <w:pPr>
              <w:pStyle w:val="TableText0"/>
              <w:tabs>
                <w:tab w:val="left" w:pos="164"/>
              </w:tabs>
            </w:pPr>
            <w:r w:rsidRPr="00BC31CD">
              <w:t>Proportion receiving liver transplant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4F9AD" w14:textId="77777777" w:rsidR="00E16F8F" w:rsidRPr="00BC31CD" w:rsidRDefault="00E16F8F" w:rsidP="00E25856">
            <w:pPr>
              <w:pStyle w:val="TableText0"/>
              <w:jc w:val="center"/>
            </w:pPr>
            <w:r w:rsidRPr="00BC31CD">
              <w:t>10%</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2B3F70" w14:textId="77777777" w:rsidR="00E16F8F" w:rsidRPr="00BC31CD" w:rsidRDefault="00E16F8F" w:rsidP="00E25856">
            <w:pPr>
              <w:pStyle w:val="TableText0"/>
              <w:jc w:val="center"/>
            </w:pPr>
            <w:r w:rsidRPr="00BC31CD">
              <w:t>Assumption</w:t>
            </w:r>
          </w:p>
        </w:tc>
      </w:tr>
      <w:tr w:rsidR="00E16F8F" w:rsidRPr="00BC31CD" w14:paraId="3B9E902D" w14:textId="77777777" w:rsidTr="00C82249">
        <w:trPr>
          <w:cantSplit/>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E80899" w14:textId="77777777" w:rsidR="00E16F8F" w:rsidRPr="00BC31CD" w:rsidRDefault="00E16F8F" w:rsidP="00E25856">
            <w:pPr>
              <w:pStyle w:val="TableText0"/>
            </w:pPr>
            <w:r w:rsidRPr="00BC31CD">
              <w:t>Mortality</w:t>
            </w:r>
          </w:p>
        </w:tc>
      </w:tr>
      <w:tr w:rsidR="00E16F8F" w:rsidRPr="00BC31CD" w14:paraId="1CF72900"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0DE9D6" w14:textId="77777777" w:rsidR="00E16F8F" w:rsidRPr="00BC31CD" w:rsidRDefault="00E16F8F" w:rsidP="00E25856">
            <w:pPr>
              <w:pStyle w:val="TableText0"/>
              <w:tabs>
                <w:tab w:val="left" w:pos="164"/>
              </w:tabs>
            </w:pPr>
            <w:r w:rsidRPr="00BC31CD">
              <w:tab/>
              <w:t>First year post-transplant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D08844" w14:textId="77777777" w:rsidR="00E16F8F" w:rsidRPr="00BC31CD" w:rsidRDefault="00E16F8F" w:rsidP="00E25856">
            <w:pPr>
              <w:pStyle w:val="TableText0"/>
              <w:jc w:val="center"/>
            </w:pPr>
            <w:r w:rsidRPr="00BC31CD">
              <w:t>10%</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086428" w14:textId="77777777" w:rsidR="00E16F8F" w:rsidRPr="00BC31CD" w:rsidRDefault="00E16F8F" w:rsidP="00E25856">
            <w:pPr>
              <w:pStyle w:val="TableText0"/>
              <w:jc w:val="center"/>
            </w:pPr>
            <w:r w:rsidRPr="00BC31CD">
              <w:t>ANZLITR 2019</w:t>
            </w:r>
          </w:p>
        </w:tc>
      </w:tr>
      <w:tr w:rsidR="00E16F8F" w:rsidRPr="00BC31CD" w14:paraId="3213E5A7"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ECB001" w14:textId="77777777" w:rsidR="00E16F8F" w:rsidRPr="00BC31CD" w:rsidRDefault="00E16F8F" w:rsidP="00E25856">
            <w:pPr>
              <w:pStyle w:val="TableText0"/>
              <w:tabs>
                <w:tab w:val="left" w:pos="164"/>
              </w:tabs>
            </w:pPr>
            <w:r w:rsidRPr="00BC31CD">
              <w:tab/>
              <w:t>Subsequent years post-transplant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28E963" w14:textId="77777777" w:rsidR="00E16F8F" w:rsidRPr="00BC31CD" w:rsidRDefault="00E16F8F" w:rsidP="006C5023">
            <w:pPr>
              <w:pStyle w:val="TableText0"/>
              <w:jc w:val="center"/>
            </w:pPr>
            <w:r w:rsidRPr="00BC31CD">
              <w:t>SMR: 2.5 relative to general population</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8E3854" w14:textId="77777777" w:rsidR="00E16F8F" w:rsidRPr="00BC31CD" w:rsidRDefault="00E16F8F" w:rsidP="00E25856">
            <w:pPr>
              <w:pStyle w:val="TableText0"/>
              <w:jc w:val="center"/>
            </w:pPr>
            <w:r w:rsidRPr="00BC31CD">
              <w:t>Aberg 2015</w:t>
            </w:r>
          </w:p>
        </w:tc>
      </w:tr>
      <w:tr w:rsidR="00E16F8F" w:rsidRPr="00BC31CD" w14:paraId="72BE8650" w14:textId="77777777" w:rsidTr="00C82249">
        <w:trPr>
          <w:cantSplit/>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E0A50" w14:textId="77777777" w:rsidR="00E16F8F" w:rsidRPr="00BC31CD" w:rsidRDefault="00E16F8F" w:rsidP="00E25856">
            <w:pPr>
              <w:pStyle w:val="TableText0"/>
            </w:pPr>
            <w:r w:rsidRPr="00BC31CD">
              <w:t>Utility values</w:t>
            </w:r>
          </w:p>
        </w:tc>
      </w:tr>
      <w:tr w:rsidR="00E16F8F" w:rsidRPr="00BC31CD" w14:paraId="3996F53B"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339072" w14:textId="77777777" w:rsidR="00E16F8F" w:rsidRPr="00BC31CD" w:rsidRDefault="00E16F8F" w:rsidP="00E25856">
            <w:pPr>
              <w:pStyle w:val="TableText0"/>
              <w:tabs>
                <w:tab w:val="left" w:pos="164"/>
              </w:tabs>
            </w:pPr>
            <w:r w:rsidRPr="00BC31CD">
              <w:tab/>
              <w:t>First year post-transplant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390FBF" w14:textId="77777777" w:rsidR="00E16F8F" w:rsidRPr="00BC31CD" w:rsidRDefault="00E16F8F" w:rsidP="00E25856">
            <w:pPr>
              <w:pStyle w:val="TableText0"/>
              <w:jc w:val="center"/>
            </w:pPr>
            <w:r w:rsidRPr="00BC31CD">
              <w:t>0.65</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1E0448" w14:textId="77777777" w:rsidR="00E16F8F" w:rsidRPr="00BC31CD" w:rsidRDefault="00E16F8F" w:rsidP="00E25856">
            <w:pPr>
              <w:pStyle w:val="TableText0"/>
              <w:jc w:val="center"/>
            </w:pPr>
            <w:r w:rsidRPr="00BC31CD">
              <w:t>Same as WD untreated (assumption)</w:t>
            </w:r>
          </w:p>
        </w:tc>
      </w:tr>
      <w:tr w:rsidR="00E16F8F" w:rsidRPr="00BC31CD" w14:paraId="5333038A"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4A9F50" w14:textId="77777777" w:rsidR="00E16F8F" w:rsidRPr="00BC31CD" w:rsidRDefault="00E16F8F" w:rsidP="00E25856">
            <w:pPr>
              <w:pStyle w:val="TableText0"/>
              <w:tabs>
                <w:tab w:val="left" w:pos="164"/>
              </w:tabs>
            </w:pPr>
            <w:r w:rsidRPr="00BC31CD">
              <w:tab/>
              <w:t>Subsequent years post-transplant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CEB9D3" w14:textId="77777777" w:rsidR="00E16F8F" w:rsidRPr="00BC31CD" w:rsidRDefault="00E16F8F" w:rsidP="00E25856">
            <w:pPr>
              <w:pStyle w:val="TableText0"/>
              <w:jc w:val="center"/>
            </w:pPr>
            <w:r w:rsidRPr="00BC31CD">
              <w:t>0.86</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BB8D92" w14:textId="77777777" w:rsidR="00E16F8F" w:rsidRPr="00BC31CD" w:rsidRDefault="00E16F8F" w:rsidP="00E25856">
            <w:pPr>
              <w:pStyle w:val="TableText0"/>
              <w:jc w:val="center"/>
            </w:pPr>
            <w:r w:rsidRPr="00BC31CD">
              <w:t>Same as WD on treatment (assumption)</w:t>
            </w:r>
          </w:p>
        </w:tc>
      </w:tr>
      <w:tr w:rsidR="00E16F8F" w:rsidRPr="00BC31CD" w14:paraId="283E98AF" w14:textId="77777777" w:rsidTr="00C82249">
        <w:trPr>
          <w:cantSplit/>
        </w:trPr>
        <w:tc>
          <w:tcPr>
            <w:tcW w:w="5000"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1B9561" w14:textId="77777777" w:rsidR="00E16F8F" w:rsidRPr="00BC31CD" w:rsidRDefault="00E16F8F" w:rsidP="00E25856">
            <w:pPr>
              <w:pStyle w:val="TableText0"/>
            </w:pPr>
            <w:r w:rsidRPr="00BC31CD">
              <w:t>Cost</w:t>
            </w:r>
          </w:p>
        </w:tc>
      </w:tr>
      <w:tr w:rsidR="00E16F8F" w:rsidRPr="00BC31CD" w14:paraId="2DC98993"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744160" w14:textId="77777777" w:rsidR="00E16F8F" w:rsidRPr="00BC31CD" w:rsidRDefault="00E16F8F" w:rsidP="00E25856">
            <w:pPr>
              <w:pStyle w:val="TableText0"/>
              <w:tabs>
                <w:tab w:val="left" w:pos="164"/>
              </w:tabs>
            </w:pPr>
            <w:r w:rsidRPr="00BC31CD">
              <w:tab/>
              <w:t>Index procedure</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FCC482" w14:textId="77777777" w:rsidR="00E16F8F" w:rsidRPr="00BC31CD" w:rsidRDefault="00E16F8F" w:rsidP="00E25856">
            <w:pPr>
              <w:pStyle w:val="TableText0"/>
              <w:jc w:val="center"/>
            </w:pPr>
            <w:r w:rsidRPr="00BC31CD">
              <w:t>$167,654</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0B97C0" w14:textId="77777777" w:rsidR="00E16F8F" w:rsidRPr="00BC31CD" w:rsidRDefault="00E16F8F" w:rsidP="00E25856">
            <w:pPr>
              <w:pStyle w:val="TableText0"/>
              <w:jc w:val="center"/>
            </w:pPr>
            <w:r w:rsidRPr="00BC31CD">
              <w:t>NHCDC Round 22 DRG version 10</w:t>
            </w:r>
          </w:p>
        </w:tc>
      </w:tr>
      <w:tr w:rsidR="00E16F8F" w:rsidRPr="00BC31CD" w14:paraId="062C66C7" w14:textId="77777777" w:rsidTr="00C82249">
        <w:trPr>
          <w:cantSplit/>
        </w:trPr>
        <w:tc>
          <w:tcPr>
            <w:tcW w:w="159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AFAAAA" w14:textId="77777777" w:rsidR="00E16F8F" w:rsidRPr="00BC31CD" w:rsidRDefault="00E16F8F" w:rsidP="00E25856">
            <w:pPr>
              <w:pStyle w:val="TableText0"/>
              <w:tabs>
                <w:tab w:val="left" w:pos="164"/>
              </w:tabs>
            </w:pPr>
            <w:r w:rsidRPr="00BC31CD">
              <w:tab/>
              <w:t>Annual immunosuppression cost</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330291" w14:textId="77777777" w:rsidR="00E16F8F" w:rsidRPr="00BC31CD" w:rsidRDefault="00E16F8F" w:rsidP="00E25856">
            <w:pPr>
              <w:pStyle w:val="TableText0"/>
              <w:jc w:val="center"/>
            </w:pPr>
            <w:r w:rsidRPr="00BC31CD">
              <w:t>$7,306</w:t>
            </w:r>
          </w:p>
        </w:tc>
        <w:tc>
          <w:tcPr>
            <w:tcW w:w="170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F6411A" w14:textId="77777777" w:rsidR="00E16F8F" w:rsidRPr="00BC31CD" w:rsidRDefault="00E16F8F" w:rsidP="00E25856">
            <w:pPr>
              <w:pStyle w:val="TableText0"/>
              <w:jc w:val="center"/>
            </w:pPr>
            <w:r w:rsidRPr="00BC31CD">
              <w:t>Calculated</w:t>
            </w:r>
            <w:r w:rsidRPr="00BC31CD">
              <w:rPr>
                <w:vertAlign w:val="superscript"/>
              </w:rPr>
              <w:t>a</w:t>
            </w:r>
          </w:p>
        </w:tc>
      </w:tr>
    </w:tbl>
    <w:p w14:paraId="706F9C15" w14:textId="77777777" w:rsidR="00E16F8F" w:rsidRPr="00BC31CD" w:rsidRDefault="00E16F8F" w:rsidP="00E16F8F">
      <w:pPr>
        <w:pStyle w:val="TableFigureFooter"/>
      </w:pPr>
      <w:r w:rsidRPr="00BC31CD">
        <w:t>Source: Table 3-34, p136 of the submission.</w:t>
      </w:r>
    </w:p>
    <w:p w14:paraId="04C3CFE3" w14:textId="77777777" w:rsidR="00E16F8F" w:rsidRPr="00BC31CD" w:rsidRDefault="00E16F8F" w:rsidP="00E16F8F">
      <w:pPr>
        <w:pStyle w:val="TableFigureFooter"/>
        <w:spacing w:after="0"/>
      </w:pPr>
      <w:r w:rsidRPr="00BC31CD">
        <w:t>ANZLITR</w:t>
      </w:r>
      <w:r w:rsidR="006C5023" w:rsidRPr="00BC31CD">
        <w:t xml:space="preserve"> </w:t>
      </w:r>
      <w:r w:rsidRPr="00BC31CD">
        <w:t>=</w:t>
      </w:r>
      <w:r w:rsidR="006C5023" w:rsidRPr="00BC31CD">
        <w:t xml:space="preserve"> </w:t>
      </w:r>
      <w:r w:rsidRPr="00BC31CD">
        <w:t>Australia &amp; New Zealand Liver and Intestinal Transplant Registry; NHCDC</w:t>
      </w:r>
      <w:r w:rsidR="006C5023" w:rsidRPr="00BC31CD">
        <w:t xml:space="preserve"> </w:t>
      </w:r>
      <w:r w:rsidRPr="00BC31CD">
        <w:t>=</w:t>
      </w:r>
      <w:r w:rsidR="006C5023" w:rsidRPr="00BC31CD">
        <w:t xml:space="preserve"> </w:t>
      </w:r>
      <w:r w:rsidRPr="00BC31CD">
        <w:t>National Hospital Cost Data Collection; SMR</w:t>
      </w:r>
      <w:r w:rsidR="006C5023" w:rsidRPr="00BC31CD">
        <w:t xml:space="preserve"> </w:t>
      </w:r>
      <w:r w:rsidRPr="00BC31CD">
        <w:t>=</w:t>
      </w:r>
      <w:r w:rsidR="006C5023" w:rsidRPr="00BC31CD">
        <w:t xml:space="preserve"> </w:t>
      </w:r>
      <w:r w:rsidRPr="00BC31CD">
        <w:t>standardised mortality rate; WD</w:t>
      </w:r>
      <w:r w:rsidR="006C5023" w:rsidRPr="00BC31CD">
        <w:t xml:space="preserve"> </w:t>
      </w:r>
      <w:r w:rsidRPr="00BC31CD">
        <w:t>=</w:t>
      </w:r>
      <w:r w:rsidR="006C5023" w:rsidRPr="00BC31CD">
        <w:t xml:space="preserve"> </w:t>
      </w:r>
      <w:r w:rsidRPr="00BC31CD">
        <w:t xml:space="preserve">Wilson </w:t>
      </w:r>
      <w:r w:rsidR="0072451A" w:rsidRPr="00BC31CD">
        <w:t>Disease</w:t>
      </w:r>
    </w:p>
    <w:p w14:paraId="670AED7C" w14:textId="77777777" w:rsidR="00E16F8F" w:rsidRPr="00BC31CD" w:rsidRDefault="00E16F8F" w:rsidP="00E16F8F">
      <w:pPr>
        <w:tabs>
          <w:tab w:val="left" w:pos="142"/>
        </w:tabs>
        <w:spacing w:after="120"/>
        <w:ind w:left="142" w:hanging="142"/>
        <w:rPr>
          <w:rFonts w:ascii="Arial Narrow" w:hAnsi="Arial Narrow"/>
          <w:sz w:val="18"/>
          <w:szCs w:val="18"/>
        </w:rPr>
      </w:pPr>
      <w:r w:rsidRPr="00BC31CD">
        <w:rPr>
          <w:rFonts w:ascii="Arial Narrow" w:hAnsi="Arial Narrow"/>
          <w:sz w:val="18"/>
          <w:szCs w:val="18"/>
          <w:vertAlign w:val="superscript"/>
        </w:rPr>
        <w:t>a</w:t>
      </w:r>
      <w:r w:rsidRPr="00BC31CD">
        <w:tab/>
      </w:r>
      <w:r w:rsidRPr="00BC31CD">
        <w:rPr>
          <w:rFonts w:ascii="Arial Narrow" w:hAnsi="Arial Narrow"/>
          <w:sz w:val="18"/>
          <w:szCs w:val="18"/>
        </w:rPr>
        <w:t>The cost of tacrolimus is $571.50 per 100 units on the PBS (item 10871E). A mean patient weight of 70kg and a mean dose of 0.1 mg/kg/day were assumed.</w:t>
      </w:r>
      <w:r w:rsidR="00611789" w:rsidRPr="00BC31CD">
        <w:rPr>
          <w:rFonts w:ascii="Arial Narrow" w:hAnsi="Arial Narrow"/>
          <w:sz w:val="18"/>
          <w:szCs w:val="18"/>
        </w:rPr>
        <w:t xml:space="preserve"> </w:t>
      </w:r>
      <w:r w:rsidRPr="00BC31CD">
        <w:rPr>
          <w:rFonts w:ascii="Arial Narrow" w:hAnsi="Arial Narrow"/>
          <w:sz w:val="18"/>
          <w:szCs w:val="18"/>
        </w:rPr>
        <w:t>Ongoing immunosuppression with tacrolimus was estimated to cost $7,306 per year [$571.50/100</w:t>
      </w:r>
      <w:r w:rsidRPr="00BC31CD">
        <w:rPr>
          <w:rFonts w:ascii="Arial Narrow" w:hAnsi="Arial Narrow" w:cs="Calibri"/>
          <w:sz w:val="18"/>
          <w:szCs w:val="18"/>
        </w:rPr>
        <w:t>×</w:t>
      </w:r>
      <w:r w:rsidRPr="00BC31CD">
        <w:rPr>
          <w:rFonts w:ascii="Arial Narrow" w:hAnsi="Arial Narrow"/>
          <w:sz w:val="18"/>
          <w:szCs w:val="18"/>
        </w:rPr>
        <w:t>(0.1</w:t>
      </w:r>
      <w:r w:rsidRPr="00BC31CD">
        <w:rPr>
          <w:rFonts w:ascii="Arial Narrow" w:hAnsi="Arial Narrow" w:cs="Calibri"/>
          <w:sz w:val="18"/>
          <w:szCs w:val="18"/>
        </w:rPr>
        <w:t>×</w:t>
      </w:r>
      <w:r w:rsidRPr="00BC31CD">
        <w:rPr>
          <w:rFonts w:ascii="Arial Narrow" w:hAnsi="Arial Narrow"/>
          <w:sz w:val="18"/>
          <w:szCs w:val="18"/>
        </w:rPr>
        <w:t>70/2)</w:t>
      </w:r>
      <w:r w:rsidRPr="00BC31CD">
        <w:rPr>
          <w:rFonts w:ascii="Arial Narrow" w:hAnsi="Arial Narrow" w:cs="Calibri"/>
          <w:sz w:val="18"/>
          <w:szCs w:val="18"/>
        </w:rPr>
        <w:t xml:space="preserve"> ×</w:t>
      </w:r>
      <w:r w:rsidRPr="00BC31CD">
        <w:rPr>
          <w:rFonts w:ascii="Arial Narrow" w:hAnsi="Arial Narrow"/>
          <w:sz w:val="18"/>
          <w:szCs w:val="18"/>
        </w:rPr>
        <w:t>365.25].</w:t>
      </w:r>
    </w:p>
    <w:p w14:paraId="2945ACD4" w14:textId="77777777" w:rsidR="002E449D" w:rsidRPr="00BC31CD" w:rsidRDefault="00E16F8F" w:rsidP="00DA660D">
      <w:pPr>
        <w:pStyle w:val="3-BodyText"/>
      </w:pPr>
      <w:r w:rsidRPr="00BC31CD">
        <w:t>The submission provided little discussion of the model inputs used for liver transplant</w:t>
      </w:r>
      <w:r w:rsidR="006C5023" w:rsidRPr="00BC31CD">
        <w:t xml:space="preserve"> and </w:t>
      </w:r>
      <w:r w:rsidRPr="00BC31CD">
        <w:t xml:space="preserve">there was no discussion of </w:t>
      </w:r>
      <w:r w:rsidR="004959E5" w:rsidRPr="00BC31CD">
        <w:t xml:space="preserve">why a proportion of 10% receiving transplant was used, no discussion of </w:t>
      </w:r>
      <w:r w:rsidRPr="00BC31CD">
        <w:t>the mortality values used, nor was there discussion of why utility values in the first year were assumed to be the same as untreated WD patients.</w:t>
      </w:r>
      <w:r w:rsidR="00611789" w:rsidRPr="00BC31CD">
        <w:t xml:space="preserve"> </w:t>
      </w:r>
      <w:r w:rsidRPr="00BC31CD">
        <w:t>The source for mortality in subsequent years post-transplant (Aberg 2015) was a Nordic liver transplant registry based on data from patients who underwent a liver transplant between 1985 and 2009.</w:t>
      </w:r>
      <w:r w:rsidR="00611789" w:rsidRPr="00BC31CD">
        <w:t xml:space="preserve"> </w:t>
      </w:r>
      <w:r w:rsidRPr="00BC31CD">
        <w:t>It is probable that survival in these patients may not accurately represent survival for liver transplant patients in current clinical practice.</w:t>
      </w:r>
      <w:r w:rsidR="00611789" w:rsidRPr="00BC31CD">
        <w:t xml:space="preserve"> </w:t>
      </w:r>
      <w:r w:rsidRPr="00BC31CD">
        <w:t xml:space="preserve">Further, while the registry data included an ‘other’ category for reason for transplantation, there was no indication of whether any </w:t>
      </w:r>
      <w:r w:rsidR="006C5023" w:rsidRPr="00BC31CD">
        <w:t xml:space="preserve">included </w:t>
      </w:r>
      <w:r w:rsidRPr="00BC31CD">
        <w:t xml:space="preserve">patients </w:t>
      </w:r>
      <w:r w:rsidR="006C5023" w:rsidRPr="00BC31CD">
        <w:t>had WD</w:t>
      </w:r>
      <w:r w:rsidRPr="00BC31CD">
        <w:t>.</w:t>
      </w:r>
      <w:r w:rsidR="00611789" w:rsidRPr="00BC31CD">
        <w:t xml:space="preserve"> </w:t>
      </w:r>
      <w:r w:rsidRPr="00BC31CD">
        <w:t>Results of the sensitivity analysis for liver transplant are provided in the table below.</w:t>
      </w:r>
    </w:p>
    <w:p w14:paraId="51E04D0F" w14:textId="77777777" w:rsidR="0077213F" w:rsidRDefault="0077213F">
      <w:pPr>
        <w:jc w:val="left"/>
        <w:rPr>
          <w:rStyle w:val="CommentReference"/>
          <w:snapToGrid w:val="0"/>
          <w:szCs w:val="24"/>
        </w:rPr>
      </w:pPr>
      <w:r>
        <w:rPr>
          <w:rStyle w:val="CommentReference"/>
          <w:szCs w:val="24"/>
        </w:rPr>
        <w:br w:type="page"/>
      </w:r>
    </w:p>
    <w:p w14:paraId="71040160" w14:textId="6C6DF86D" w:rsidR="00E16F8F" w:rsidRPr="00BC31CD" w:rsidRDefault="00E16F8F" w:rsidP="0063457C">
      <w:pPr>
        <w:pStyle w:val="3-BodyText"/>
        <w:numPr>
          <w:ilvl w:val="0"/>
          <w:numId w:val="0"/>
        </w:numPr>
        <w:spacing w:after="0"/>
      </w:pPr>
      <w:r w:rsidRPr="00BC31CD">
        <w:rPr>
          <w:rStyle w:val="CommentReference"/>
          <w:szCs w:val="24"/>
        </w:rPr>
        <w:t xml:space="preserve">Table </w:t>
      </w:r>
      <w:r w:rsidR="00B454C4" w:rsidRPr="00BC31CD">
        <w:rPr>
          <w:rStyle w:val="CommentReference"/>
          <w:szCs w:val="24"/>
        </w:rPr>
        <w:t>10</w:t>
      </w:r>
      <w:r w:rsidRPr="00BC31CD">
        <w:rPr>
          <w:rStyle w:val="CommentReference"/>
          <w:szCs w:val="24"/>
        </w:rPr>
        <w:t xml:space="preserve">: </w:t>
      </w:r>
      <w:r w:rsidR="0063457C" w:rsidRPr="00BC31CD">
        <w:rPr>
          <w:rStyle w:val="CommentReference"/>
        </w:rPr>
        <w:t>Sensitivity analysis – inclusion of liver transplant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63457C" w:rsidRPr="00BC31CD" w14:paraId="3C8929B5" w14:textId="77777777" w:rsidTr="00E25376">
        <w:trPr>
          <w:tblHeader/>
        </w:trPr>
        <w:tc>
          <w:tcPr>
            <w:tcW w:w="1529" w:type="pct"/>
            <w:vAlign w:val="center"/>
          </w:tcPr>
          <w:p w14:paraId="41B5C134" w14:textId="77777777" w:rsidR="0063457C" w:rsidRPr="00BC31CD" w:rsidRDefault="0063457C" w:rsidP="00E25376">
            <w:pPr>
              <w:pStyle w:val="Tabletext"/>
              <w:widowControl w:val="0"/>
              <w:tabs>
                <w:tab w:val="left" w:pos="102"/>
              </w:tabs>
              <w:rPr>
                <w:b/>
              </w:rPr>
            </w:pPr>
            <w:r w:rsidRPr="00BC31CD">
              <w:rPr>
                <w:b/>
              </w:rPr>
              <w:t>Component</w:t>
            </w:r>
          </w:p>
        </w:tc>
        <w:tc>
          <w:tcPr>
            <w:tcW w:w="1359" w:type="pct"/>
            <w:vAlign w:val="center"/>
          </w:tcPr>
          <w:p w14:paraId="74C1AF25" w14:textId="77777777" w:rsidR="0063457C" w:rsidRPr="00BC31CD" w:rsidRDefault="0063457C" w:rsidP="00E25376">
            <w:pPr>
              <w:pStyle w:val="Tabletext"/>
              <w:widowControl w:val="0"/>
              <w:jc w:val="center"/>
              <w:rPr>
                <w:b/>
              </w:rPr>
            </w:pPr>
            <w:r w:rsidRPr="00BC31CD">
              <w:rPr>
                <w:b/>
              </w:rPr>
              <w:t>Trientine 4HCl</w:t>
            </w:r>
          </w:p>
        </w:tc>
        <w:tc>
          <w:tcPr>
            <w:tcW w:w="1274" w:type="pct"/>
            <w:vAlign w:val="center"/>
          </w:tcPr>
          <w:p w14:paraId="456914AE" w14:textId="77777777" w:rsidR="0063457C" w:rsidRPr="00BC31CD" w:rsidRDefault="0063457C" w:rsidP="00E25376">
            <w:pPr>
              <w:pStyle w:val="Tabletext"/>
              <w:widowControl w:val="0"/>
              <w:jc w:val="center"/>
              <w:rPr>
                <w:b/>
              </w:rPr>
            </w:pPr>
            <w:r w:rsidRPr="00BC31CD">
              <w:rPr>
                <w:b/>
              </w:rPr>
              <w:t>BSC</w:t>
            </w:r>
          </w:p>
        </w:tc>
        <w:tc>
          <w:tcPr>
            <w:tcW w:w="838" w:type="pct"/>
            <w:vAlign w:val="center"/>
          </w:tcPr>
          <w:p w14:paraId="6B4B22F6" w14:textId="77777777" w:rsidR="0063457C" w:rsidRPr="00BC31CD" w:rsidRDefault="0063457C" w:rsidP="00E25376">
            <w:pPr>
              <w:pStyle w:val="Tabletext"/>
              <w:widowControl w:val="0"/>
              <w:jc w:val="center"/>
              <w:rPr>
                <w:b/>
              </w:rPr>
            </w:pPr>
            <w:r w:rsidRPr="00BC31CD">
              <w:rPr>
                <w:b/>
              </w:rPr>
              <w:t>Increment</w:t>
            </w:r>
          </w:p>
        </w:tc>
      </w:tr>
      <w:tr w:rsidR="0063457C" w:rsidRPr="00BC31CD" w14:paraId="695927C6" w14:textId="77777777" w:rsidTr="00E25376">
        <w:tc>
          <w:tcPr>
            <w:tcW w:w="1529" w:type="pct"/>
            <w:vAlign w:val="center"/>
          </w:tcPr>
          <w:p w14:paraId="7511E5C8" w14:textId="77777777" w:rsidR="0063457C" w:rsidRPr="00BC31CD" w:rsidRDefault="0063457C" w:rsidP="00E25376">
            <w:pPr>
              <w:pStyle w:val="Tabletext"/>
              <w:widowControl w:val="0"/>
              <w:tabs>
                <w:tab w:val="left" w:pos="102"/>
              </w:tabs>
            </w:pPr>
            <w:r w:rsidRPr="00BC31CD">
              <w:t>Receiving liver transplant</w:t>
            </w:r>
          </w:p>
        </w:tc>
        <w:tc>
          <w:tcPr>
            <w:tcW w:w="2633" w:type="pct"/>
            <w:gridSpan w:val="2"/>
          </w:tcPr>
          <w:p w14:paraId="4AA9327A" w14:textId="77777777" w:rsidR="0063457C" w:rsidRPr="00BC31CD" w:rsidRDefault="0063457C" w:rsidP="00E25376">
            <w:pPr>
              <w:pStyle w:val="Tabletext"/>
              <w:widowControl w:val="0"/>
              <w:jc w:val="center"/>
              <w:rPr>
                <w:szCs w:val="20"/>
              </w:rPr>
            </w:pPr>
            <w:r w:rsidRPr="00BC31CD">
              <w:rPr>
                <w:szCs w:val="20"/>
              </w:rPr>
              <w:t>10%</w:t>
            </w:r>
            <w:r w:rsidRPr="00BC31CD">
              <w:rPr>
                <w:szCs w:val="20"/>
                <w:vertAlign w:val="superscript"/>
              </w:rPr>
              <w:t>a</w:t>
            </w:r>
          </w:p>
        </w:tc>
        <w:tc>
          <w:tcPr>
            <w:tcW w:w="838" w:type="pct"/>
          </w:tcPr>
          <w:p w14:paraId="58023FDF" w14:textId="77777777" w:rsidR="0063457C" w:rsidRPr="00BC31CD" w:rsidRDefault="0063457C" w:rsidP="00E25376">
            <w:pPr>
              <w:pStyle w:val="Tabletext"/>
              <w:widowControl w:val="0"/>
              <w:jc w:val="center"/>
              <w:rPr>
                <w:szCs w:val="20"/>
              </w:rPr>
            </w:pPr>
          </w:p>
        </w:tc>
      </w:tr>
      <w:tr w:rsidR="0063457C" w:rsidRPr="00BC31CD" w14:paraId="6EA05F25" w14:textId="77777777" w:rsidTr="00E25376">
        <w:tc>
          <w:tcPr>
            <w:tcW w:w="5000" w:type="pct"/>
            <w:gridSpan w:val="4"/>
            <w:vAlign w:val="center"/>
          </w:tcPr>
          <w:p w14:paraId="1C57C800" w14:textId="77777777" w:rsidR="0063457C" w:rsidRPr="00BC31CD" w:rsidRDefault="0063457C" w:rsidP="00E25376">
            <w:pPr>
              <w:pStyle w:val="Tabletext"/>
              <w:widowControl w:val="0"/>
              <w:tabs>
                <w:tab w:val="left" w:pos="102"/>
              </w:tabs>
              <w:rPr>
                <w:szCs w:val="20"/>
              </w:rPr>
            </w:pPr>
            <w:r w:rsidRPr="00BC31CD">
              <w:rPr>
                <w:szCs w:val="20"/>
              </w:rPr>
              <w:t>Costs</w:t>
            </w:r>
          </w:p>
        </w:tc>
      </w:tr>
      <w:tr w:rsidR="0063457C" w:rsidRPr="00E67C69" w14:paraId="10C95B92" w14:textId="77777777" w:rsidTr="00E25376">
        <w:tc>
          <w:tcPr>
            <w:tcW w:w="1529" w:type="pct"/>
            <w:vAlign w:val="center"/>
          </w:tcPr>
          <w:p w14:paraId="196F02A8" w14:textId="77777777" w:rsidR="0063457C" w:rsidRPr="00BC31CD" w:rsidRDefault="0063457C" w:rsidP="00E25376">
            <w:pPr>
              <w:pStyle w:val="Tabletext"/>
              <w:widowControl w:val="0"/>
              <w:tabs>
                <w:tab w:val="left" w:pos="102"/>
              </w:tabs>
            </w:pPr>
            <w:r w:rsidRPr="00BC31CD">
              <w:tab/>
              <w:t>Drug cost</w:t>
            </w:r>
            <w:r w:rsidR="00E67C69">
              <w:t xml:space="preserve"> ($)</w:t>
            </w:r>
          </w:p>
        </w:tc>
        <w:tc>
          <w:tcPr>
            <w:tcW w:w="1359" w:type="pct"/>
          </w:tcPr>
          <w:p w14:paraId="52C5B661" w14:textId="77777777" w:rsidR="0063457C" w:rsidRPr="00AE1A04" w:rsidRDefault="00AE1A04" w:rsidP="00E25376">
            <w:pPr>
              <w:pStyle w:val="Tabletext"/>
              <w:widowControl w:val="0"/>
              <w:jc w:val="center"/>
              <w:rPr>
                <w:szCs w:val="20"/>
                <w:highlight w:val="black"/>
              </w:rPr>
            </w:pPr>
            <w:r>
              <w:rPr>
                <w:noProof/>
                <w:color w:val="000000"/>
                <w:highlight w:val="black"/>
              </w:rPr>
              <w:t>''''''''''''''''''''''''''</w:t>
            </w:r>
          </w:p>
        </w:tc>
        <w:tc>
          <w:tcPr>
            <w:tcW w:w="1274" w:type="pct"/>
          </w:tcPr>
          <w:p w14:paraId="05F28ECB" w14:textId="77777777" w:rsidR="0063457C" w:rsidRPr="00BC31CD" w:rsidRDefault="0063457C" w:rsidP="00E25376">
            <w:pPr>
              <w:pStyle w:val="Tabletext"/>
              <w:widowControl w:val="0"/>
              <w:jc w:val="center"/>
              <w:rPr>
                <w:szCs w:val="20"/>
              </w:rPr>
            </w:pPr>
            <w:r w:rsidRPr="00BC31CD">
              <w:t>$0</w:t>
            </w:r>
          </w:p>
        </w:tc>
        <w:tc>
          <w:tcPr>
            <w:tcW w:w="838" w:type="pct"/>
          </w:tcPr>
          <w:p w14:paraId="455CB645" w14:textId="77777777" w:rsidR="0063457C" w:rsidRPr="00AE1A04" w:rsidRDefault="00AE1A04" w:rsidP="00E25376">
            <w:pPr>
              <w:pStyle w:val="Tabletext"/>
              <w:widowControl w:val="0"/>
              <w:jc w:val="center"/>
              <w:rPr>
                <w:szCs w:val="20"/>
                <w:highlight w:val="black"/>
              </w:rPr>
            </w:pPr>
            <w:r>
              <w:rPr>
                <w:noProof/>
                <w:color w:val="000000"/>
                <w:highlight w:val="black"/>
              </w:rPr>
              <w:t>''''''''''''''''''''''''''</w:t>
            </w:r>
          </w:p>
        </w:tc>
      </w:tr>
      <w:tr w:rsidR="0063457C" w:rsidRPr="00BC31CD" w14:paraId="12DE8CFA" w14:textId="77777777" w:rsidTr="00E25376">
        <w:tc>
          <w:tcPr>
            <w:tcW w:w="1529" w:type="pct"/>
            <w:vAlign w:val="center"/>
          </w:tcPr>
          <w:p w14:paraId="17CAB61A" w14:textId="77777777" w:rsidR="0063457C" w:rsidRPr="00BC31CD" w:rsidRDefault="0063457C" w:rsidP="00E25376">
            <w:pPr>
              <w:pStyle w:val="Tabletext"/>
              <w:widowControl w:val="0"/>
              <w:tabs>
                <w:tab w:val="left" w:pos="102"/>
              </w:tabs>
            </w:pPr>
            <w:r w:rsidRPr="00BC31CD">
              <w:tab/>
              <w:t>Terminal care cost</w:t>
            </w:r>
          </w:p>
        </w:tc>
        <w:tc>
          <w:tcPr>
            <w:tcW w:w="1359" w:type="pct"/>
          </w:tcPr>
          <w:p w14:paraId="56B8B08D" w14:textId="77777777" w:rsidR="0063457C" w:rsidRPr="00BC31CD" w:rsidRDefault="0063457C" w:rsidP="00E25376">
            <w:pPr>
              <w:pStyle w:val="Tabletext"/>
              <w:widowControl w:val="0"/>
              <w:jc w:val="center"/>
              <w:rPr>
                <w:szCs w:val="20"/>
              </w:rPr>
            </w:pPr>
            <w:r w:rsidRPr="00BC31CD">
              <w:t>$1,356</w:t>
            </w:r>
          </w:p>
        </w:tc>
        <w:tc>
          <w:tcPr>
            <w:tcW w:w="1274" w:type="pct"/>
          </w:tcPr>
          <w:p w14:paraId="0659F867" w14:textId="77777777" w:rsidR="0063457C" w:rsidRPr="00BC31CD" w:rsidRDefault="0063457C" w:rsidP="00E25376">
            <w:pPr>
              <w:pStyle w:val="Tabletext"/>
              <w:widowControl w:val="0"/>
              <w:jc w:val="center"/>
              <w:rPr>
                <w:szCs w:val="20"/>
              </w:rPr>
            </w:pPr>
            <w:r w:rsidRPr="00BC31CD">
              <w:t>$7,912</w:t>
            </w:r>
          </w:p>
        </w:tc>
        <w:tc>
          <w:tcPr>
            <w:tcW w:w="838" w:type="pct"/>
          </w:tcPr>
          <w:p w14:paraId="449B3F77" w14:textId="77777777" w:rsidR="0063457C" w:rsidRPr="00BC31CD" w:rsidRDefault="0063457C" w:rsidP="00E25376">
            <w:pPr>
              <w:pStyle w:val="Tabletext"/>
              <w:widowControl w:val="0"/>
              <w:jc w:val="center"/>
              <w:rPr>
                <w:szCs w:val="20"/>
              </w:rPr>
            </w:pPr>
            <w:r w:rsidRPr="00BC31CD">
              <w:t>-$6,557</w:t>
            </w:r>
          </w:p>
        </w:tc>
      </w:tr>
      <w:tr w:rsidR="0063457C" w:rsidRPr="00BC31CD" w14:paraId="56072300" w14:textId="77777777" w:rsidTr="00E25376">
        <w:tc>
          <w:tcPr>
            <w:tcW w:w="1529" w:type="pct"/>
            <w:vAlign w:val="center"/>
          </w:tcPr>
          <w:p w14:paraId="7ED31700" w14:textId="77777777" w:rsidR="0063457C" w:rsidRPr="00BC31CD" w:rsidRDefault="0063457C" w:rsidP="00E25376">
            <w:pPr>
              <w:pStyle w:val="Tabletext"/>
              <w:widowControl w:val="0"/>
              <w:tabs>
                <w:tab w:val="left" w:pos="102"/>
              </w:tabs>
            </w:pPr>
            <w:r w:rsidRPr="00BC31CD">
              <w:tab/>
              <w:t>Transplant cost</w:t>
            </w:r>
          </w:p>
        </w:tc>
        <w:tc>
          <w:tcPr>
            <w:tcW w:w="1359" w:type="pct"/>
          </w:tcPr>
          <w:p w14:paraId="03266672" w14:textId="77777777" w:rsidR="0063457C" w:rsidRPr="00BC31CD" w:rsidRDefault="0063457C" w:rsidP="00E25376">
            <w:pPr>
              <w:pStyle w:val="Tabletext"/>
              <w:widowControl w:val="0"/>
              <w:jc w:val="center"/>
              <w:rPr>
                <w:szCs w:val="20"/>
              </w:rPr>
            </w:pPr>
            <w:r w:rsidRPr="00BC31CD">
              <w:t>$11,346</w:t>
            </w:r>
          </w:p>
        </w:tc>
        <w:tc>
          <w:tcPr>
            <w:tcW w:w="1274" w:type="pct"/>
          </w:tcPr>
          <w:p w14:paraId="7334D83C" w14:textId="77777777" w:rsidR="0063457C" w:rsidRPr="00BC31CD" w:rsidRDefault="0063457C" w:rsidP="00E25376">
            <w:pPr>
              <w:pStyle w:val="Tabletext"/>
              <w:widowControl w:val="0"/>
              <w:jc w:val="center"/>
              <w:rPr>
                <w:szCs w:val="20"/>
              </w:rPr>
            </w:pPr>
            <w:r w:rsidRPr="00BC31CD">
              <w:t>$16,681</w:t>
            </w:r>
          </w:p>
        </w:tc>
        <w:tc>
          <w:tcPr>
            <w:tcW w:w="838" w:type="pct"/>
          </w:tcPr>
          <w:p w14:paraId="4D58782D" w14:textId="77777777" w:rsidR="0063457C" w:rsidRPr="00BC31CD" w:rsidRDefault="0063457C" w:rsidP="00E25376">
            <w:pPr>
              <w:pStyle w:val="Tabletext"/>
              <w:widowControl w:val="0"/>
              <w:jc w:val="center"/>
              <w:rPr>
                <w:szCs w:val="20"/>
              </w:rPr>
            </w:pPr>
            <w:r w:rsidRPr="00BC31CD">
              <w:t>-$5,335</w:t>
            </w:r>
          </w:p>
        </w:tc>
      </w:tr>
      <w:tr w:rsidR="0063457C" w:rsidRPr="00BC31CD" w14:paraId="61FF3BCC" w14:textId="77777777" w:rsidTr="00E25376">
        <w:tc>
          <w:tcPr>
            <w:tcW w:w="1529" w:type="pct"/>
            <w:vAlign w:val="center"/>
          </w:tcPr>
          <w:p w14:paraId="6AD689DE" w14:textId="77777777" w:rsidR="0063457C" w:rsidRPr="00BC31CD" w:rsidRDefault="0063457C" w:rsidP="00E25376">
            <w:pPr>
              <w:pStyle w:val="Tabletext"/>
              <w:widowControl w:val="0"/>
              <w:tabs>
                <w:tab w:val="left" w:pos="102"/>
              </w:tabs>
            </w:pPr>
            <w:r w:rsidRPr="00BC31CD">
              <w:tab/>
              <w:t>Immunosuppressant cost</w:t>
            </w:r>
          </w:p>
        </w:tc>
        <w:tc>
          <w:tcPr>
            <w:tcW w:w="1359" w:type="pct"/>
          </w:tcPr>
          <w:p w14:paraId="437405CE" w14:textId="77777777" w:rsidR="0063457C" w:rsidRPr="00BC31CD" w:rsidRDefault="0063457C" w:rsidP="00E25376">
            <w:pPr>
              <w:pStyle w:val="Tabletext"/>
              <w:widowControl w:val="0"/>
              <w:jc w:val="center"/>
              <w:rPr>
                <w:szCs w:val="20"/>
              </w:rPr>
            </w:pPr>
            <w:r w:rsidRPr="00BC31CD">
              <w:t>$1,049</w:t>
            </w:r>
          </w:p>
        </w:tc>
        <w:tc>
          <w:tcPr>
            <w:tcW w:w="1274" w:type="pct"/>
          </w:tcPr>
          <w:p w14:paraId="550F88ED" w14:textId="77777777" w:rsidR="0063457C" w:rsidRPr="00BC31CD" w:rsidRDefault="0063457C" w:rsidP="00E25376">
            <w:pPr>
              <w:pStyle w:val="Tabletext"/>
              <w:widowControl w:val="0"/>
              <w:jc w:val="center"/>
              <w:rPr>
                <w:szCs w:val="20"/>
              </w:rPr>
            </w:pPr>
            <w:r w:rsidRPr="00BC31CD">
              <w:t>$7,786</w:t>
            </w:r>
            <w:r w:rsidRPr="00BC31CD">
              <w:rPr>
                <w:vertAlign w:val="superscript"/>
              </w:rPr>
              <w:t>b</w:t>
            </w:r>
          </w:p>
        </w:tc>
        <w:tc>
          <w:tcPr>
            <w:tcW w:w="838" w:type="pct"/>
          </w:tcPr>
          <w:p w14:paraId="5004C4D0" w14:textId="77777777" w:rsidR="0063457C" w:rsidRPr="00BC31CD" w:rsidRDefault="0063457C" w:rsidP="00E25376">
            <w:pPr>
              <w:pStyle w:val="Tabletext"/>
              <w:widowControl w:val="0"/>
              <w:jc w:val="center"/>
              <w:rPr>
                <w:szCs w:val="20"/>
              </w:rPr>
            </w:pPr>
            <w:r w:rsidRPr="00BC31CD">
              <w:t>-$6,737</w:t>
            </w:r>
          </w:p>
        </w:tc>
      </w:tr>
      <w:tr w:rsidR="0063457C" w:rsidRPr="00BC31CD" w14:paraId="3C961A5E" w14:textId="77777777" w:rsidTr="00E25376">
        <w:tc>
          <w:tcPr>
            <w:tcW w:w="1529" w:type="pct"/>
            <w:vAlign w:val="center"/>
          </w:tcPr>
          <w:p w14:paraId="17A5F1F4" w14:textId="77777777" w:rsidR="0063457C" w:rsidRPr="00BC31CD" w:rsidRDefault="0063457C" w:rsidP="00E25376">
            <w:pPr>
              <w:pStyle w:val="Tabletext"/>
              <w:widowControl w:val="0"/>
              <w:tabs>
                <w:tab w:val="left" w:pos="102"/>
              </w:tabs>
            </w:pPr>
            <w:r w:rsidRPr="00BC31CD">
              <w:t>Total cost</w:t>
            </w:r>
            <w:r w:rsidR="00E67C69">
              <w:t xml:space="preserve"> ($)</w:t>
            </w:r>
          </w:p>
        </w:tc>
        <w:tc>
          <w:tcPr>
            <w:tcW w:w="1359" w:type="pct"/>
          </w:tcPr>
          <w:p w14:paraId="543FE63F" w14:textId="77777777" w:rsidR="0063457C" w:rsidRPr="00AE1A04" w:rsidRDefault="00AE1A04" w:rsidP="00E25376">
            <w:pPr>
              <w:pStyle w:val="Tabletext"/>
              <w:widowControl w:val="0"/>
              <w:jc w:val="center"/>
              <w:rPr>
                <w:szCs w:val="20"/>
                <w:highlight w:val="black"/>
              </w:rPr>
            </w:pPr>
            <w:r>
              <w:rPr>
                <w:noProof/>
                <w:color w:val="000000"/>
                <w:highlight w:val="black"/>
              </w:rPr>
              <w:t>'''''''''''''''''''''''''''</w:t>
            </w:r>
          </w:p>
        </w:tc>
        <w:tc>
          <w:tcPr>
            <w:tcW w:w="1274" w:type="pct"/>
          </w:tcPr>
          <w:p w14:paraId="3270D91A" w14:textId="77777777" w:rsidR="0063457C" w:rsidRPr="00BC31CD" w:rsidRDefault="0063457C" w:rsidP="00E25376">
            <w:pPr>
              <w:pStyle w:val="Tabletext"/>
              <w:widowControl w:val="0"/>
              <w:jc w:val="center"/>
              <w:rPr>
                <w:szCs w:val="20"/>
              </w:rPr>
            </w:pPr>
            <w:r w:rsidRPr="00BC31CD">
              <w:t>$32,380</w:t>
            </w:r>
          </w:p>
        </w:tc>
        <w:tc>
          <w:tcPr>
            <w:tcW w:w="838" w:type="pct"/>
          </w:tcPr>
          <w:p w14:paraId="2E458899" w14:textId="77777777" w:rsidR="0063457C" w:rsidRPr="00AE1A04" w:rsidRDefault="00AE1A04" w:rsidP="00E25376">
            <w:pPr>
              <w:pStyle w:val="Tabletext"/>
              <w:widowControl w:val="0"/>
              <w:jc w:val="center"/>
              <w:rPr>
                <w:szCs w:val="20"/>
                <w:highlight w:val="black"/>
              </w:rPr>
            </w:pPr>
            <w:r>
              <w:rPr>
                <w:noProof/>
                <w:color w:val="000000"/>
                <w:highlight w:val="black"/>
              </w:rPr>
              <w:t>''''''''''''''''''''''''''''</w:t>
            </w:r>
          </w:p>
        </w:tc>
      </w:tr>
      <w:tr w:rsidR="0063457C" w:rsidRPr="00BC31CD" w14:paraId="6E61BB47" w14:textId="77777777" w:rsidTr="00E25376">
        <w:tc>
          <w:tcPr>
            <w:tcW w:w="1529" w:type="pct"/>
            <w:vAlign w:val="center"/>
          </w:tcPr>
          <w:p w14:paraId="657E583F" w14:textId="77777777" w:rsidR="0063457C" w:rsidRPr="00BC31CD" w:rsidRDefault="0063457C" w:rsidP="00E25376">
            <w:pPr>
              <w:pStyle w:val="Tabletext"/>
              <w:widowControl w:val="0"/>
              <w:tabs>
                <w:tab w:val="left" w:pos="102"/>
              </w:tabs>
            </w:pPr>
            <w:r w:rsidRPr="00BC31CD">
              <w:t>Life expectancy</w:t>
            </w:r>
          </w:p>
        </w:tc>
        <w:tc>
          <w:tcPr>
            <w:tcW w:w="1359" w:type="pct"/>
          </w:tcPr>
          <w:p w14:paraId="3B0C4965" w14:textId="77777777" w:rsidR="0063457C" w:rsidRPr="00BC31CD" w:rsidRDefault="0063457C" w:rsidP="00E25376">
            <w:pPr>
              <w:pStyle w:val="Tabletext"/>
              <w:widowControl w:val="0"/>
              <w:jc w:val="center"/>
              <w:rPr>
                <w:szCs w:val="20"/>
              </w:rPr>
            </w:pPr>
            <w:r w:rsidRPr="00BC31CD">
              <w:rPr>
                <w:lang w:eastAsia="en-US"/>
              </w:rPr>
              <w:t>70.5</w:t>
            </w:r>
          </w:p>
        </w:tc>
        <w:tc>
          <w:tcPr>
            <w:tcW w:w="1274" w:type="pct"/>
          </w:tcPr>
          <w:p w14:paraId="61687FBB" w14:textId="77777777" w:rsidR="0063457C" w:rsidRPr="00BC31CD" w:rsidRDefault="0063457C" w:rsidP="00E25376">
            <w:pPr>
              <w:pStyle w:val="Tabletext"/>
              <w:widowControl w:val="0"/>
              <w:jc w:val="center"/>
              <w:rPr>
                <w:szCs w:val="20"/>
              </w:rPr>
            </w:pPr>
            <w:r w:rsidRPr="00BC31CD">
              <w:rPr>
                <w:lang w:eastAsia="en-US"/>
              </w:rPr>
              <w:t>33.7</w:t>
            </w:r>
          </w:p>
        </w:tc>
        <w:tc>
          <w:tcPr>
            <w:tcW w:w="838" w:type="pct"/>
          </w:tcPr>
          <w:p w14:paraId="00F91330" w14:textId="77777777" w:rsidR="0063457C" w:rsidRPr="00BC31CD" w:rsidRDefault="0063457C" w:rsidP="00E25376">
            <w:pPr>
              <w:pStyle w:val="Tabletext"/>
              <w:widowControl w:val="0"/>
              <w:jc w:val="center"/>
              <w:rPr>
                <w:szCs w:val="20"/>
              </w:rPr>
            </w:pPr>
            <w:r w:rsidRPr="00BC31CD">
              <w:rPr>
                <w:lang w:eastAsia="en-US"/>
              </w:rPr>
              <w:t>36.8</w:t>
            </w:r>
          </w:p>
        </w:tc>
      </w:tr>
      <w:tr w:rsidR="0063457C" w:rsidRPr="00BC31CD" w14:paraId="15EBCEA3" w14:textId="77777777" w:rsidTr="00E25376">
        <w:tc>
          <w:tcPr>
            <w:tcW w:w="1529" w:type="pct"/>
            <w:vAlign w:val="center"/>
          </w:tcPr>
          <w:p w14:paraId="365A7E64" w14:textId="77777777" w:rsidR="0063457C" w:rsidRPr="00BC31CD" w:rsidRDefault="0063457C" w:rsidP="00E25376">
            <w:pPr>
              <w:pStyle w:val="Tabletext"/>
              <w:widowControl w:val="0"/>
              <w:tabs>
                <w:tab w:val="left" w:pos="102"/>
              </w:tabs>
            </w:pPr>
            <w:r w:rsidRPr="00BC31CD">
              <w:t>Time on treatment</w:t>
            </w:r>
          </w:p>
        </w:tc>
        <w:tc>
          <w:tcPr>
            <w:tcW w:w="1359" w:type="pct"/>
          </w:tcPr>
          <w:p w14:paraId="48AFA169" w14:textId="77777777" w:rsidR="0063457C" w:rsidRPr="002A2441" w:rsidRDefault="0063457C" w:rsidP="00E25376">
            <w:pPr>
              <w:pStyle w:val="Tabletext"/>
              <w:widowControl w:val="0"/>
              <w:jc w:val="center"/>
              <w:rPr>
                <w:szCs w:val="20"/>
              </w:rPr>
            </w:pPr>
            <w:r w:rsidRPr="002A2441">
              <w:rPr>
                <w:lang w:eastAsia="en-US"/>
              </w:rPr>
              <w:t>17.007</w:t>
            </w:r>
          </w:p>
        </w:tc>
        <w:tc>
          <w:tcPr>
            <w:tcW w:w="1274" w:type="pct"/>
          </w:tcPr>
          <w:p w14:paraId="14D0263E" w14:textId="77777777" w:rsidR="0063457C" w:rsidRPr="002A2441" w:rsidRDefault="0063457C" w:rsidP="00E25376">
            <w:pPr>
              <w:pStyle w:val="Tabletext"/>
              <w:widowControl w:val="0"/>
              <w:jc w:val="center"/>
              <w:rPr>
                <w:szCs w:val="20"/>
              </w:rPr>
            </w:pPr>
            <w:r w:rsidRPr="002A2441">
              <w:rPr>
                <w:lang w:eastAsia="en-US"/>
              </w:rPr>
              <w:t>0.000</w:t>
            </w:r>
          </w:p>
        </w:tc>
        <w:tc>
          <w:tcPr>
            <w:tcW w:w="838" w:type="pct"/>
          </w:tcPr>
          <w:p w14:paraId="1057DDFC" w14:textId="77777777" w:rsidR="0063457C" w:rsidRPr="002A2441" w:rsidRDefault="0063457C" w:rsidP="00E25376">
            <w:pPr>
              <w:pStyle w:val="Tabletext"/>
              <w:widowControl w:val="0"/>
              <w:jc w:val="center"/>
              <w:rPr>
                <w:szCs w:val="20"/>
              </w:rPr>
            </w:pPr>
            <w:r w:rsidRPr="002A2441">
              <w:rPr>
                <w:lang w:eastAsia="en-US"/>
              </w:rPr>
              <w:t>17.007</w:t>
            </w:r>
          </w:p>
        </w:tc>
      </w:tr>
      <w:tr w:rsidR="0063457C" w:rsidRPr="00BC31CD" w14:paraId="799CF92F" w14:textId="77777777" w:rsidTr="00E25376">
        <w:tc>
          <w:tcPr>
            <w:tcW w:w="1529" w:type="pct"/>
            <w:vAlign w:val="center"/>
          </w:tcPr>
          <w:p w14:paraId="1262FEA3" w14:textId="77777777" w:rsidR="0063457C" w:rsidRPr="00BC31CD" w:rsidRDefault="0063457C" w:rsidP="00E25376">
            <w:pPr>
              <w:pStyle w:val="Tabletext"/>
              <w:widowControl w:val="0"/>
              <w:tabs>
                <w:tab w:val="left" w:pos="102"/>
              </w:tabs>
            </w:pPr>
            <w:r w:rsidRPr="00BC31CD">
              <w:t>LY</w:t>
            </w:r>
          </w:p>
        </w:tc>
        <w:tc>
          <w:tcPr>
            <w:tcW w:w="1359" w:type="pct"/>
          </w:tcPr>
          <w:p w14:paraId="7ACF6843" w14:textId="77777777" w:rsidR="0063457C" w:rsidRPr="002A2441" w:rsidRDefault="0063457C" w:rsidP="00E25376">
            <w:pPr>
              <w:pStyle w:val="Tabletext"/>
              <w:widowControl w:val="0"/>
              <w:jc w:val="center"/>
              <w:rPr>
                <w:szCs w:val="20"/>
              </w:rPr>
            </w:pPr>
            <w:r w:rsidRPr="002A2441">
              <w:rPr>
                <w:lang w:eastAsia="en-US"/>
              </w:rPr>
              <w:t>17.702</w:t>
            </w:r>
          </w:p>
        </w:tc>
        <w:tc>
          <w:tcPr>
            <w:tcW w:w="1274" w:type="pct"/>
          </w:tcPr>
          <w:p w14:paraId="01DFC343" w14:textId="77777777" w:rsidR="0063457C" w:rsidRPr="002A2441" w:rsidRDefault="0063457C" w:rsidP="00E25376">
            <w:pPr>
              <w:pStyle w:val="Tabletext"/>
              <w:widowControl w:val="0"/>
              <w:jc w:val="center"/>
              <w:rPr>
                <w:szCs w:val="20"/>
              </w:rPr>
            </w:pPr>
            <w:r w:rsidRPr="002A2441">
              <w:rPr>
                <w:lang w:eastAsia="en-US"/>
              </w:rPr>
              <w:t>8.012</w:t>
            </w:r>
          </w:p>
        </w:tc>
        <w:tc>
          <w:tcPr>
            <w:tcW w:w="838" w:type="pct"/>
          </w:tcPr>
          <w:p w14:paraId="00528AA1" w14:textId="77777777" w:rsidR="0063457C" w:rsidRPr="002A2441" w:rsidRDefault="0063457C" w:rsidP="00E25376">
            <w:pPr>
              <w:pStyle w:val="Tabletext"/>
              <w:widowControl w:val="0"/>
              <w:jc w:val="center"/>
              <w:rPr>
                <w:szCs w:val="20"/>
              </w:rPr>
            </w:pPr>
            <w:r w:rsidRPr="002A2441">
              <w:rPr>
                <w:lang w:eastAsia="en-US"/>
              </w:rPr>
              <w:t>9.690</w:t>
            </w:r>
          </w:p>
        </w:tc>
      </w:tr>
      <w:tr w:rsidR="0063457C" w:rsidRPr="00BC31CD" w14:paraId="6911D4B9" w14:textId="77777777" w:rsidTr="00E25376">
        <w:tc>
          <w:tcPr>
            <w:tcW w:w="4162" w:type="pct"/>
            <w:gridSpan w:val="3"/>
            <w:vAlign w:val="center"/>
          </w:tcPr>
          <w:p w14:paraId="161087D7" w14:textId="77777777" w:rsidR="0063457C" w:rsidRPr="002A2441" w:rsidRDefault="0063457C" w:rsidP="00E25376">
            <w:pPr>
              <w:pStyle w:val="Tabletext"/>
              <w:widowControl w:val="0"/>
              <w:tabs>
                <w:tab w:val="left" w:pos="102"/>
              </w:tabs>
              <w:rPr>
                <w:szCs w:val="20"/>
              </w:rPr>
            </w:pPr>
            <w:r w:rsidRPr="002A2441">
              <w:t>Incremental cost/extra LY gained (base case)</w:t>
            </w:r>
          </w:p>
        </w:tc>
        <w:tc>
          <w:tcPr>
            <w:tcW w:w="838" w:type="pct"/>
          </w:tcPr>
          <w:p w14:paraId="133811DC" w14:textId="77777777" w:rsidR="0063457C" w:rsidRPr="002A2441" w:rsidRDefault="00AE1A04" w:rsidP="00E25376">
            <w:pPr>
              <w:pStyle w:val="Tabletext"/>
              <w:widowControl w:val="0"/>
              <w:jc w:val="center"/>
              <w:rPr>
                <w:szCs w:val="20"/>
              </w:rPr>
            </w:pPr>
            <w:r>
              <w:rPr>
                <w:noProof/>
                <w:color w:val="000000"/>
                <w:highlight w:val="black"/>
              </w:rPr>
              <w:t>'''''''''''''''''''''</w:t>
            </w:r>
            <w:r w:rsidR="00E67C69" w:rsidRPr="002A2441">
              <w:rPr>
                <w:vertAlign w:val="superscript"/>
              </w:rPr>
              <w:t>1</w:t>
            </w:r>
          </w:p>
        </w:tc>
      </w:tr>
      <w:tr w:rsidR="0063457C" w:rsidRPr="00BC31CD" w14:paraId="5D8D6504" w14:textId="77777777" w:rsidTr="00B7789C">
        <w:tc>
          <w:tcPr>
            <w:tcW w:w="1529" w:type="pct"/>
            <w:tcBorders>
              <w:bottom w:val="single" w:sz="4" w:space="0" w:color="auto"/>
            </w:tcBorders>
            <w:vAlign w:val="center"/>
          </w:tcPr>
          <w:p w14:paraId="6C1AB910" w14:textId="77777777" w:rsidR="0063457C" w:rsidRPr="00BC31CD" w:rsidRDefault="0063457C" w:rsidP="00E25376">
            <w:pPr>
              <w:pStyle w:val="Tabletext"/>
              <w:widowControl w:val="0"/>
              <w:tabs>
                <w:tab w:val="left" w:pos="102"/>
              </w:tabs>
            </w:pPr>
            <w:r w:rsidRPr="00BC31CD">
              <w:t>QALY</w:t>
            </w:r>
          </w:p>
        </w:tc>
        <w:tc>
          <w:tcPr>
            <w:tcW w:w="1359" w:type="pct"/>
            <w:tcBorders>
              <w:bottom w:val="single" w:sz="4" w:space="0" w:color="auto"/>
            </w:tcBorders>
          </w:tcPr>
          <w:p w14:paraId="583A7E51" w14:textId="77777777" w:rsidR="0063457C" w:rsidRPr="002A2441" w:rsidRDefault="0063457C" w:rsidP="00E25376">
            <w:pPr>
              <w:pStyle w:val="Tabletext"/>
              <w:widowControl w:val="0"/>
              <w:jc w:val="center"/>
              <w:rPr>
                <w:szCs w:val="20"/>
              </w:rPr>
            </w:pPr>
            <w:r w:rsidRPr="002A2441">
              <w:rPr>
                <w:lang w:eastAsia="en-US"/>
              </w:rPr>
              <w:t>15.106</w:t>
            </w:r>
          </w:p>
        </w:tc>
        <w:tc>
          <w:tcPr>
            <w:tcW w:w="1274" w:type="pct"/>
            <w:tcBorders>
              <w:bottom w:val="single" w:sz="4" w:space="0" w:color="auto"/>
            </w:tcBorders>
          </w:tcPr>
          <w:p w14:paraId="570CCBA8" w14:textId="77777777" w:rsidR="0063457C" w:rsidRPr="002A2441" w:rsidRDefault="0063457C" w:rsidP="00E25376">
            <w:pPr>
              <w:pStyle w:val="Tabletext"/>
              <w:widowControl w:val="0"/>
              <w:jc w:val="center"/>
              <w:rPr>
                <w:szCs w:val="20"/>
              </w:rPr>
            </w:pPr>
            <w:r w:rsidRPr="002A2441">
              <w:rPr>
                <w:lang w:eastAsia="en-US"/>
              </w:rPr>
              <w:t>5.418</w:t>
            </w:r>
          </w:p>
        </w:tc>
        <w:tc>
          <w:tcPr>
            <w:tcW w:w="838" w:type="pct"/>
            <w:tcBorders>
              <w:bottom w:val="single" w:sz="4" w:space="0" w:color="auto"/>
            </w:tcBorders>
          </w:tcPr>
          <w:p w14:paraId="20EDCAE5" w14:textId="77777777" w:rsidR="0063457C" w:rsidRPr="002A2441" w:rsidRDefault="0063457C" w:rsidP="00E25376">
            <w:pPr>
              <w:pStyle w:val="Tabletext"/>
              <w:widowControl w:val="0"/>
              <w:jc w:val="center"/>
              <w:rPr>
                <w:szCs w:val="20"/>
              </w:rPr>
            </w:pPr>
            <w:r w:rsidRPr="002A2441">
              <w:rPr>
                <w:lang w:eastAsia="en-US"/>
              </w:rPr>
              <w:t>9.688</w:t>
            </w:r>
          </w:p>
        </w:tc>
      </w:tr>
      <w:tr w:rsidR="0063457C" w:rsidRPr="00BC31CD" w14:paraId="7C87F07A" w14:textId="77777777" w:rsidTr="00E25376">
        <w:tc>
          <w:tcPr>
            <w:tcW w:w="4162" w:type="pct"/>
            <w:gridSpan w:val="3"/>
            <w:vAlign w:val="center"/>
          </w:tcPr>
          <w:p w14:paraId="146942A4" w14:textId="77777777" w:rsidR="0063457C" w:rsidRPr="00BC31CD" w:rsidRDefault="0063457C" w:rsidP="00E25376">
            <w:pPr>
              <w:pStyle w:val="Tabletext"/>
              <w:widowControl w:val="0"/>
              <w:tabs>
                <w:tab w:val="left" w:pos="102"/>
              </w:tabs>
              <w:rPr>
                <w:szCs w:val="20"/>
              </w:rPr>
            </w:pPr>
            <w:r w:rsidRPr="00BC31CD">
              <w:rPr>
                <w:b/>
              </w:rPr>
              <w:t>Incremental cost/extra QALY gained (base case)</w:t>
            </w:r>
          </w:p>
        </w:tc>
        <w:tc>
          <w:tcPr>
            <w:tcW w:w="838" w:type="pct"/>
          </w:tcPr>
          <w:p w14:paraId="252E4E8B" w14:textId="77777777" w:rsidR="0063457C" w:rsidRPr="00BC31CD" w:rsidRDefault="00AE1A04" w:rsidP="00E25376">
            <w:pPr>
              <w:pStyle w:val="Tabletext"/>
              <w:widowControl w:val="0"/>
              <w:jc w:val="center"/>
              <w:rPr>
                <w:b/>
                <w:bCs/>
                <w:szCs w:val="20"/>
              </w:rPr>
            </w:pPr>
            <w:r>
              <w:rPr>
                <w:b/>
                <w:bCs/>
                <w:noProof/>
                <w:color w:val="000000"/>
                <w:highlight w:val="black"/>
              </w:rPr>
              <w:t>'''''''''''''''''''</w:t>
            </w:r>
            <w:r w:rsidR="00E67C69" w:rsidRPr="00E67C69">
              <w:rPr>
                <w:vertAlign w:val="superscript"/>
              </w:rPr>
              <w:t>1</w:t>
            </w:r>
          </w:p>
        </w:tc>
      </w:tr>
    </w:tbl>
    <w:p w14:paraId="06216B30" w14:textId="77777777" w:rsidR="0063457C" w:rsidRPr="00BC31CD" w:rsidRDefault="0063457C" w:rsidP="0063457C">
      <w:pPr>
        <w:pStyle w:val="TableFooter"/>
        <w:keepNext/>
        <w:keepLines/>
      </w:pPr>
      <w:r w:rsidRPr="00BC31CD">
        <w:t>Source: Table 3-35, p137 of the submission</w:t>
      </w:r>
    </w:p>
    <w:p w14:paraId="4B19D572" w14:textId="77777777" w:rsidR="0063457C" w:rsidRPr="00BC31CD" w:rsidRDefault="0063457C" w:rsidP="0063457C">
      <w:pPr>
        <w:pStyle w:val="TableFooter"/>
        <w:keepNext/>
        <w:keepLines/>
      </w:pPr>
      <w:r w:rsidRPr="00BC31CD">
        <w:t>4HCl = tetrahydrochloride; BSC = best supportive care; LY = life year; QALY = quality adjusted life year</w:t>
      </w:r>
    </w:p>
    <w:p w14:paraId="391E5B6B" w14:textId="47EEB951" w:rsidR="00E67C69" w:rsidRDefault="0063457C" w:rsidP="0077213F">
      <w:pPr>
        <w:pStyle w:val="TableFooter"/>
        <w:keepNext/>
        <w:keepLines/>
      </w:pPr>
      <w:r w:rsidRPr="00BC31CD">
        <w:rPr>
          <w:vertAlign w:val="superscript"/>
        </w:rPr>
        <w:t>a</w:t>
      </w:r>
      <w:r w:rsidRPr="00BC31CD">
        <w:t>While the submission stated (Table 3-34, p136) and the model Excel workbook indicated (cell C82 of worksheet ‘Inputs’) that 10% of patients would receive a liver transplant, Table 3-35 of the submission indicated (p137) that 6.8% of trientine 4HCl and 9.9% of BSC patients received liver transplant.</w:t>
      </w:r>
    </w:p>
    <w:p w14:paraId="5CA5EC04" w14:textId="77777777" w:rsidR="00E67C69" w:rsidRPr="0077213F" w:rsidRDefault="00E67C69" w:rsidP="0077213F">
      <w:pPr>
        <w:pStyle w:val="TableFooter"/>
        <w:keepNext/>
        <w:keepLines/>
        <w:rPr>
          <w:i/>
        </w:rPr>
      </w:pPr>
      <w:r w:rsidRPr="0077213F">
        <w:rPr>
          <w:i/>
        </w:rPr>
        <w:t>The redacted values correspond to the following ranges:</w:t>
      </w:r>
    </w:p>
    <w:p w14:paraId="645C2E9E" w14:textId="77777777" w:rsidR="00E67C69" w:rsidRPr="0077213F" w:rsidRDefault="00E67C69" w:rsidP="0077213F">
      <w:pPr>
        <w:pStyle w:val="TableFooter"/>
        <w:keepNext/>
        <w:keepLines/>
        <w:rPr>
          <w:i/>
        </w:rPr>
      </w:pPr>
      <w:r w:rsidRPr="0077213F">
        <w:rPr>
          <w:i/>
          <w:vertAlign w:val="superscript"/>
        </w:rPr>
        <w:t>1</w:t>
      </w:r>
      <w:r w:rsidRPr="0077213F">
        <w:rPr>
          <w:i/>
        </w:rPr>
        <w:t xml:space="preserve"> $135,000 to &lt; $155,000</w:t>
      </w:r>
    </w:p>
    <w:p w14:paraId="3F754315" w14:textId="4826D62D" w:rsidR="00E16F8F" w:rsidRPr="00BC31CD" w:rsidRDefault="0063457C" w:rsidP="00DA660D">
      <w:pPr>
        <w:pStyle w:val="3-BodyText"/>
      </w:pPr>
      <w:r w:rsidRPr="00BC31CD">
        <w:t xml:space="preserve">The submission concluded that the application of liver transplant to 10% of patients who would otherwise have died from WD did not significantly impact the cost-effectiveness of trientine 4HCl versus BSC. </w:t>
      </w:r>
      <w:r w:rsidR="006C5023" w:rsidRPr="00BC31CD">
        <w:t>T</w:t>
      </w:r>
      <w:r w:rsidRPr="00BC31CD">
        <w:t xml:space="preserve">he base case ICER </w:t>
      </w:r>
      <w:r w:rsidR="006C5023" w:rsidRPr="00BC31CD">
        <w:t>including liver transplant of $</w:t>
      </w:r>
      <w:r w:rsidR="006767C6" w:rsidRPr="002A2441">
        <w:t>135,000 to &lt; $155,000</w:t>
      </w:r>
      <w:r w:rsidR="001B2C5D">
        <w:t xml:space="preserve"> per </w:t>
      </w:r>
      <w:r w:rsidR="006767C6" w:rsidRPr="002A2441">
        <w:t>QALY gained</w:t>
      </w:r>
      <w:r w:rsidR="006C5023" w:rsidRPr="002A2441">
        <w:t xml:space="preserve"> </w:t>
      </w:r>
      <w:r w:rsidRPr="002A2441">
        <w:t xml:space="preserve">was </w:t>
      </w:r>
      <w:r w:rsidR="006C5023" w:rsidRPr="002A2441">
        <w:t>un</w:t>
      </w:r>
      <w:r w:rsidRPr="002A2441">
        <w:t>likely to accurately estimate the cost-effectiveness of trientine 4HCl, given the highly uncertain mortality</w:t>
      </w:r>
      <w:r w:rsidRPr="00BC31CD">
        <w:t xml:space="preserve"> data used and the assumptions applied.</w:t>
      </w:r>
      <w:r w:rsidR="000D387E" w:rsidRPr="00BC31CD">
        <w:t xml:space="preserve"> Although the assumptions were uncertain, the ESC considered that the inclusion of cost and outcomes associated with liver transplant was appropriate</w:t>
      </w:r>
      <w:r w:rsidR="00240100" w:rsidRPr="00BC31CD">
        <w:t xml:space="preserve"> to include in the base case</w:t>
      </w:r>
      <w:r w:rsidR="000D387E" w:rsidRPr="00BC31CD">
        <w:t>.</w:t>
      </w:r>
    </w:p>
    <w:p w14:paraId="109B54BF" w14:textId="77777777" w:rsidR="0063457C" w:rsidRPr="00BC31CD" w:rsidRDefault="0063457C" w:rsidP="00DA660D">
      <w:pPr>
        <w:pStyle w:val="3-BodyText"/>
      </w:pPr>
      <w:r w:rsidRPr="00BC31CD">
        <w:t>The submission also provided a series of sensitivity analyses addressing inputs such as time horizon, mortality risk, trientine 4HCl dose and utility values.</w:t>
      </w:r>
      <w:r w:rsidR="00611789" w:rsidRPr="00BC31CD">
        <w:t xml:space="preserve"> </w:t>
      </w:r>
      <w:r w:rsidRPr="00BC31CD">
        <w:t>Results of key analyses are summarised below.</w:t>
      </w:r>
    </w:p>
    <w:p w14:paraId="320EEE3E" w14:textId="77777777" w:rsidR="00DA660D" w:rsidRPr="00BC31CD" w:rsidRDefault="00DA660D" w:rsidP="00A54CE8">
      <w:pPr>
        <w:pStyle w:val="TableFigureHeading"/>
        <w:rPr>
          <w:rStyle w:val="CommentReference"/>
          <w:b/>
          <w:szCs w:val="24"/>
        </w:rPr>
      </w:pPr>
      <w:r w:rsidRPr="00BC31CD">
        <w:rPr>
          <w:rStyle w:val="CommentReference"/>
          <w:b/>
          <w:szCs w:val="24"/>
        </w:rPr>
        <w:t xml:space="preserve">Table </w:t>
      </w:r>
      <w:r w:rsidR="00B454C4" w:rsidRPr="00BC31CD">
        <w:rPr>
          <w:rStyle w:val="CommentReference"/>
          <w:b/>
          <w:szCs w:val="24"/>
        </w:rPr>
        <w:t>11</w:t>
      </w:r>
      <w:r w:rsidRPr="00BC31CD">
        <w:rPr>
          <w:rStyle w:val="CommentReference"/>
          <w:b/>
          <w:szCs w:val="24"/>
        </w:rPr>
        <w:t xml:space="preserve">: </w:t>
      </w:r>
      <w:r w:rsidR="00581F6F" w:rsidRPr="00BC31CD">
        <w:rPr>
          <w:rStyle w:val="CommentReference"/>
          <w:b/>
          <w:szCs w:val="24"/>
        </w:rPr>
        <w:t>Results of s</w:t>
      </w:r>
      <w:r w:rsidRPr="00BC31CD">
        <w:rPr>
          <w:rStyle w:val="CommentReference"/>
          <w:b/>
          <w:szCs w:val="24"/>
        </w:rPr>
        <w:t>ensitivity analyses</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22"/>
        <w:gridCol w:w="1275"/>
        <w:gridCol w:w="1416"/>
        <w:gridCol w:w="1255"/>
        <w:gridCol w:w="1249"/>
      </w:tblGrid>
      <w:tr w:rsidR="00581F6F" w:rsidRPr="00BC31CD" w14:paraId="1A65C074" w14:textId="77777777" w:rsidTr="00E25376">
        <w:trPr>
          <w:cantSplit/>
          <w:tblHeader/>
        </w:trPr>
        <w:tc>
          <w:tcPr>
            <w:tcW w:w="3922" w:type="dxa"/>
            <w:vAlign w:val="center"/>
          </w:tcPr>
          <w:p w14:paraId="01D6859D" w14:textId="77777777" w:rsidR="00581F6F" w:rsidRPr="00BC31CD" w:rsidRDefault="00581F6F" w:rsidP="00A54CE8">
            <w:pPr>
              <w:pStyle w:val="Tabletext"/>
              <w:keepNext/>
              <w:widowControl w:val="0"/>
              <w:tabs>
                <w:tab w:val="left" w:pos="142"/>
              </w:tabs>
              <w:rPr>
                <w:b/>
              </w:rPr>
            </w:pPr>
            <w:r w:rsidRPr="00BC31CD">
              <w:rPr>
                <w:b/>
              </w:rPr>
              <w:t>Analyses</w:t>
            </w:r>
          </w:p>
        </w:tc>
        <w:tc>
          <w:tcPr>
            <w:tcW w:w="1275" w:type="dxa"/>
            <w:vAlign w:val="center"/>
          </w:tcPr>
          <w:p w14:paraId="1DD07748" w14:textId="77777777" w:rsidR="00581F6F" w:rsidRPr="00BC31CD" w:rsidRDefault="00581F6F" w:rsidP="00A54CE8">
            <w:pPr>
              <w:pStyle w:val="Tabletext"/>
              <w:keepNext/>
              <w:widowControl w:val="0"/>
              <w:jc w:val="center"/>
              <w:rPr>
                <w:b/>
              </w:rPr>
            </w:pPr>
            <w:r w:rsidRPr="00BC31CD">
              <w:rPr>
                <w:b/>
              </w:rPr>
              <w:t>Incremental cost</w:t>
            </w:r>
            <w:r w:rsidR="006767C6">
              <w:rPr>
                <w:b/>
              </w:rPr>
              <w:t xml:space="preserve"> ($)</w:t>
            </w:r>
          </w:p>
        </w:tc>
        <w:tc>
          <w:tcPr>
            <w:tcW w:w="1416" w:type="dxa"/>
            <w:vAlign w:val="center"/>
          </w:tcPr>
          <w:p w14:paraId="617CD52E" w14:textId="77777777" w:rsidR="00581F6F" w:rsidRPr="00BC31CD" w:rsidRDefault="00581F6F" w:rsidP="00A54CE8">
            <w:pPr>
              <w:pStyle w:val="Tabletext"/>
              <w:keepNext/>
              <w:widowControl w:val="0"/>
              <w:jc w:val="center"/>
              <w:rPr>
                <w:b/>
              </w:rPr>
            </w:pPr>
            <w:r w:rsidRPr="00BC31CD">
              <w:rPr>
                <w:b/>
              </w:rPr>
              <w:t>Incremental QALY</w:t>
            </w:r>
          </w:p>
        </w:tc>
        <w:tc>
          <w:tcPr>
            <w:tcW w:w="1255" w:type="dxa"/>
            <w:vAlign w:val="center"/>
          </w:tcPr>
          <w:p w14:paraId="0D0B3642" w14:textId="77777777" w:rsidR="00581F6F" w:rsidRPr="00BC31CD" w:rsidRDefault="00581F6F" w:rsidP="00A54CE8">
            <w:pPr>
              <w:pStyle w:val="Tabletext"/>
              <w:keepNext/>
              <w:widowControl w:val="0"/>
              <w:jc w:val="center"/>
              <w:rPr>
                <w:b/>
              </w:rPr>
            </w:pPr>
            <w:r w:rsidRPr="00BC31CD">
              <w:rPr>
                <w:b/>
              </w:rPr>
              <w:t>ICER</w:t>
            </w:r>
          </w:p>
        </w:tc>
        <w:tc>
          <w:tcPr>
            <w:tcW w:w="1249" w:type="dxa"/>
            <w:vAlign w:val="center"/>
          </w:tcPr>
          <w:p w14:paraId="022D2EB6" w14:textId="77777777" w:rsidR="00581F6F" w:rsidRPr="00BC31CD" w:rsidRDefault="00581F6F" w:rsidP="00A54CE8">
            <w:pPr>
              <w:pStyle w:val="Tabletext"/>
              <w:keepNext/>
              <w:widowControl w:val="0"/>
              <w:jc w:val="center"/>
              <w:rPr>
                <w:b/>
              </w:rPr>
            </w:pPr>
            <w:r w:rsidRPr="00BC31CD">
              <w:rPr>
                <w:b/>
              </w:rPr>
              <w:t>% change ICER</w:t>
            </w:r>
          </w:p>
        </w:tc>
      </w:tr>
      <w:tr w:rsidR="00581F6F" w:rsidRPr="00BC31CD" w14:paraId="5883D71F" w14:textId="77777777" w:rsidTr="00E25376">
        <w:trPr>
          <w:cantSplit/>
        </w:trPr>
        <w:tc>
          <w:tcPr>
            <w:tcW w:w="3922" w:type="dxa"/>
            <w:vAlign w:val="center"/>
          </w:tcPr>
          <w:p w14:paraId="4C94EECB" w14:textId="77777777" w:rsidR="00581F6F" w:rsidRPr="00BC31CD" w:rsidRDefault="00581F6F" w:rsidP="00A54CE8">
            <w:pPr>
              <w:pStyle w:val="Tabletext"/>
              <w:keepNext/>
              <w:widowControl w:val="0"/>
              <w:tabs>
                <w:tab w:val="left" w:pos="142"/>
              </w:tabs>
              <w:rPr>
                <w:b/>
              </w:rPr>
            </w:pPr>
            <w:r w:rsidRPr="00BC31CD">
              <w:rPr>
                <w:b/>
              </w:rPr>
              <w:t>Base case</w:t>
            </w:r>
          </w:p>
        </w:tc>
        <w:tc>
          <w:tcPr>
            <w:tcW w:w="1275" w:type="dxa"/>
            <w:vAlign w:val="center"/>
          </w:tcPr>
          <w:p w14:paraId="0899CBA0" w14:textId="77777777" w:rsidR="00581F6F" w:rsidRPr="00AE1A04" w:rsidRDefault="00AE1A04" w:rsidP="00A54CE8">
            <w:pPr>
              <w:pStyle w:val="Tabletext"/>
              <w:keepNext/>
              <w:widowControl w:val="0"/>
              <w:jc w:val="center"/>
              <w:rPr>
                <w:b/>
                <w:highlight w:val="black"/>
              </w:rPr>
            </w:pPr>
            <w:r>
              <w:rPr>
                <w:rFonts w:cs="Arial"/>
                <w:b/>
                <w:noProof/>
                <w:color w:val="000000"/>
                <w:szCs w:val="20"/>
                <w:highlight w:val="black"/>
              </w:rPr>
              <w:t>''''''''''''''''''''</w:t>
            </w:r>
          </w:p>
        </w:tc>
        <w:tc>
          <w:tcPr>
            <w:tcW w:w="1416" w:type="dxa"/>
            <w:vAlign w:val="center"/>
          </w:tcPr>
          <w:p w14:paraId="0F255F7E" w14:textId="77777777" w:rsidR="00581F6F" w:rsidRPr="00BC31CD" w:rsidRDefault="00581F6F" w:rsidP="00A54CE8">
            <w:pPr>
              <w:pStyle w:val="Tabletext"/>
              <w:keepNext/>
              <w:widowControl w:val="0"/>
              <w:jc w:val="center"/>
              <w:rPr>
                <w:b/>
              </w:rPr>
            </w:pPr>
            <w:r w:rsidRPr="00BC31CD">
              <w:rPr>
                <w:rFonts w:cs="Arial"/>
                <w:b/>
                <w:szCs w:val="20"/>
              </w:rPr>
              <w:t>10.469</w:t>
            </w:r>
          </w:p>
        </w:tc>
        <w:tc>
          <w:tcPr>
            <w:tcW w:w="1255" w:type="dxa"/>
            <w:vAlign w:val="center"/>
          </w:tcPr>
          <w:p w14:paraId="27CD1840" w14:textId="77777777" w:rsidR="00581F6F" w:rsidRPr="00BC31CD" w:rsidRDefault="00AE1A04" w:rsidP="00A54CE8">
            <w:pPr>
              <w:pStyle w:val="Tabletext"/>
              <w:keepNext/>
              <w:widowControl w:val="0"/>
              <w:jc w:val="center"/>
              <w:rPr>
                <w:b/>
              </w:rPr>
            </w:pPr>
            <w:r>
              <w:rPr>
                <w:rFonts w:cs="Arial"/>
                <w:b/>
                <w:noProof/>
                <w:color w:val="000000"/>
                <w:szCs w:val="20"/>
                <w:highlight w:val="black"/>
              </w:rPr>
              <w:t>''''''''''''''''''</w:t>
            </w:r>
            <w:r w:rsidR="00725634">
              <w:rPr>
                <w:sz w:val="18"/>
                <w:szCs w:val="18"/>
                <w:vertAlign w:val="superscript"/>
              </w:rPr>
              <w:t>1</w:t>
            </w:r>
          </w:p>
        </w:tc>
        <w:tc>
          <w:tcPr>
            <w:tcW w:w="1249" w:type="dxa"/>
            <w:vAlign w:val="center"/>
          </w:tcPr>
          <w:p w14:paraId="022820ED" w14:textId="77777777" w:rsidR="00581F6F" w:rsidRPr="00BC31CD" w:rsidRDefault="00581F6F" w:rsidP="00A54CE8">
            <w:pPr>
              <w:pStyle w:val="Tabletext"/>
              <w:keepNext/>
              <w:widowControl w:val="0"/>
              <w:jc w:val="center"/>
              <w:rPr>
                <w:b/>
              </w:rPr>
            </w:pPr>
            <w:r w:rsidRPr="00BC31CD">
              <w:rPr>
                <w:b/>
              </w:rPr>
              <w:t>-</w:t>
            </w:r>
          </w:p>
        </w:tc>
      </w:tr>
      <w:tr w:rsidR="00F21495" w:rsidRPr="00BC31CD" w14:paraId="4B86F1F3" w14:textId="77777777" w:rsidTr="0072451A">
        <w:trPr>
          <w:cantSplit/>
        </w:trPr>
        <w:tc>
          <w:tcPr>
            <w:tcW w:w="9117" w:type="dxa"/>
            <w:gridSpan w:val="5"/>
            <w:vAlign w:val="center"/>
          </w:tcPr>
          <w:p w14:paraId="54E0B4DA" w14:textId="77777777" w:rsidR="00F21495" w:rsidRPr="00BC31CD" w:rsidRDefault="00F21495" w:rsidP="00A54CE8">
            <w:pPr>
              <w:pStyle w:val="Tabletext"/>
              <w:keepNext/>
              <w:widowControl w:val="0"/>
              <w:rPr>
                <w:bCs/>
              </w:rPr>
            </w:pPr>
            <w:r w:rsidRPr="00BC31CD">
              <w:rPr>
                <w:bCs/>
              </w:rPr>
              <w:t>Discount rate (base case: 5%)</w:t>
            </w:r>
          </w:p>
        </w:tc>
      </w:tr>
      <w:tr w:rsidR="00F21495" w:rsidRPr="00BC31CD" w14:paraId="1DA96C82" w14:textId="77777777" w:rsidTr="00E25376">
        <w:trPr>
          <w:cantSplit/>
          <w:trHeight w:val="129"/>
        </w:trPr>
        <w:tc>
          <w:tcPr>
            <w:tcW w:w="3922" w:type="dxa"/>
            <w:vAlign w:val="center"/>
          </w:tcPr>
          <w:p w14:paraId="12FCE08E" w14:textId="2EE9CC25" w:rsidR="00F21495" w:rsidRPr="00BC31CD" w:rsidRDefault="00F21495" w:rsidP="00A54CE8">
            <w:pPr>
              <w:pStyle w:val="Tabletext"/>
              <w:keepNext/>
              <w:widowControl w:val="0"/>
              <w:tabs>
                <w:tab w:val="left" w:pos="142"/>
              </w:tabs>
            </w:pPr>
            <w:r w:rsidRPr="00BC31CD">
              <w:t>3.5%</w:t>
            </w:r>
          </w:p>
        </w:tc>
        <w:tc>
          <w:tcPr>
            <w:tcW w:w="1275" w:type="dxa"/>
            <w:vAlign w:val="center"/>
          </w:tcPr>
          <w:p w14:paraId="0A3F62EF" w14:textId="77777777" w:rsidR="00F21495"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3CC318E8" w14:textId="77777777" w:rsidR="00F21495" w:rsidRPr="00BC31CD" w:rsidRDefault="00F21495" w:rsidP="00A54CE8">
            <w:pPr>
              <w:pStyle w:val="Tabletext"/>
              <w:keepNext/>
              <w:widowControl w:val="0"/>
              <w:jc w:val="center"/>
              <w:rPr>
                <w:szCs w:val="20"/>
              </w:rPr>
            </w:pPr>
            <w:r w:rsidRPr="00BC31CD">
              <w:rPr>
                <w:szCs w:val="20"/>
              </w:rPr>
              <w:t>14.238</w:t>
            </w:r>
          </w:p>
        </w:tc>
        <w:tc>
          <w:tcPr>
            <w:tcW w:w="1255" w:type="dxa"/>
            <w:vAlign w:val="center"/>
          </w:tcPr>
          <w:p w14:paraId="239F4AF5" w14:textId="77777777" w:rsidR="00F21495" w:rsidRPr="00AE1A04" w:rsidRDefault="00AE1A04" w:rsidP="00A54CE8">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725634">
              <w:rPr>
                <w:rFonts w:ascii="Arial Narrow" w:hAnsi="Arial Narrow"/>
                <w:sz w:val="18"/>
                <w:szCs w:val="18"/>
                <w:vertAlign w:val="superscript"/>
              </w:rPr>
              <w:t>2</w:t>
            </w:r>
          </w:p>
        </w:tc>
        <w:tc>
          <w:tcPr>
            <w:tcW w:w="1249" w:type="dxa"/>
            <w:vAlign w:val="center"/>
          </w:tcPr>
          <w:p w14:paraId="310B6834" w14:textId="77777777" w:rsidR="00F21495" w:rsidRPr="00BC31CD" w:rsidRDefault="00F21495" w:rsidP="00A54CE8">
            <w:pPr>
              <w:pStyle w:val="Tabletext"/>
              <w:keepNext/>
              <w:widowControl w:val="0"/>
              <w:jc w:val="center"/>
              <w:rPr>
                <w:szCs w:val="20"/>
              </w:rPr>
            </w:pPr>
            <w:r w:rsidRPr="00BC31CD">
              <w:rPr>
                <w:szCs w:val="20"/>
              </w:rPr>
              <w:t>-6%</w:t>
            </w:r>
          </w:p>
        </w:tc>
      </w:tr>
      <w:tr w:rsidR="00F21495" w:rsidRPr="00BC31CD" w14:paraId="499F561E" w14:textId="77777777" w:rsidTr="00E25376">
        <w:trPr>
          <w:cantSplit/>
          <w:trHeight w:val="129"/>
        </w:trPr>
        <w:tc>
          <w:tcPr>
            <w:tcW w:w="3922" w:type="dxa"/>
            <w:vAlign w:val="center"/>
          </w:tcPr>
          <w:p w14:paraId="07B473FF" w14:textId="44BCBEC8" w:rsidR="00F21495" w:rsidRPr="00BC31CD" w:rsidRDefault="00F21495" w:rsidP="00A54CE8">
            <w:pPr>
              <w:pStyle w:val="Tabletext"/>
              <w:keepNext/>
              <w:widowControl w:val="0"/>
              <w:tabs>
                <w:tab w:val="left" w:pos="142"/>
              </w:tabs>
            </w:pPr>
            <w:r w:rsidRPr="00BC31CD">
              <w:t>0%</w:t>
            </w:r>
          </w:p>
        </w:tc>
        <w:tc>
          <w:tcPr>
            <w:tcW w:w="1275" w:type="dxa"/>
            <w:vAlign w:val="center"/>
          </w:tcPr>
          <w:p w14:paraId="30D2BD07" w14:textId="77777777" w:rsidR="00F21495"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1FAA82A5" w14:textId="77777777" w:rsidR="00F21495" w:rsidRPr="00BC31CD" w:rsidRDefault="00F21495" w:rsidP="00A54CE8">
            <w:pPr>
              <w:pStyle w:val="Tabletext"/>
              <w:keepNext/>
              <w:widowControl w:val="0"/>
              <w:jc w:val="center"/>
              <w:rPr>
                <w:szCs w:val="20"/>
              </w:rPr>
            </w:pPr>
            <w:r w:rsidRPr="00BC31CD">
              <w:rPr>
                <w:szCs w:val="20"/>
              </w:rPr>
              <w:t>36.178</w:t>
            </w:r>
          </w:p>
        </w:tc>
        <w:tc>
          <w:tcPr>
            <w:tcW w:w="1255" w:type="dxa"/>
            <w:vAlign w:val="center"/>
          </w:tcPr>
          <w:p w14:paraId="6B62CA42" w14:textId="77777777" w:rsidR="00F21495" w:rsidRPr="00AE1A04" w:rsidRDefault="00AE1A04" w:rsidP="00A54CE8">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725634">
              <w:rPr>
                <w:rFonts w:ascii="Arial Narrow" w:hAnsi="Arial Narrow"/>
                <w:sz w:val="18"/>
                <w:szCs w:val="18"/>
                <w:vertAlign w:val="superscript"/>
              </w:rPr>
              <w:t>4</w:t>
            </w:r>
          </w:p>
        </w:tc>
        <w:tc>
          <w:tcPr>
            <w:tcW w:w="1249" w:type="dxa"/>
            <w:vAlign w:val="center"/>
          </w:tcPr>
          <w:p w14:paraId="47F62968" w14:textId="77777777" w:rsidR="00F21495" w:rsidRPr="00BC31CD" w:rsidRDefault="00F21495" w:rsidP="00A54CE8">
            <w:pPr>
              <w:pStyle w:val="Tabletext"/>
              <w:keepNext/>
              <w:widowControl w:val="0"/>
              <w:jc w:val="center"/>
              <w:rPr>
                <w:szCs w:val="20"/>
              </w:rPr>
            </w:pPr>
            <w:r w:rsidRPr="00BC31CD">
              <w:rPr>
                <w:szCs w:val="20"/>
              </w:rPr>
              <w:t>-17%</w:t>
            </w:r>
          </w:p>
        </w:tc>
      </w:tr>
      <w:tr w:rsidR="00F21495" w:rsidRPr="00BC31CD" w14:paraId="2088A687" w14:textId="77777777" w:rsidTr="0072451A">
        <w:trPr>
          <w:cantSplit/>
          <w:trHeight w:val="129"/>
        </w:trPr>
        <w:tc>
          <w:tcPr>
            <w:tcW w:w="9117" w:type="dxa"/>
            <w:gridSpan w:val="5"/>
            <w:vAlign w:val="center"/>
          </w:tcPr>
          <w:p w14:paraId="00B7A6DA" w14:textId="77777777" w:rsidR="00F21495" w:rsidRPr="00BC31CD" w:rsidRDefault="00F21495" w:rsidP="00A54CE8">
            <w:pPr>
              <w:pStyle w:val="Tabletext"/>
              <w:keepNext/>
              <w:widowControl w:val="0"/>
            </w:pPr>
            <w:r w:rsidRPr="00BC31CD">
              <w:t>Time horizon (base case: lifetime – 80 years)</w:t>
            </w:r>
          </w:p>
        </w:tc>
      </w:tr>
      <w:tr w:rsidR="00581F6F" w:rsidRPr="00BC31CD" w14:paraId="7945639E" w14:textId="77777777" w:rsidTr="00E25376">
        <w:trPr>
          <w:cantSplit/>
          <w:trHeight w:val="129"/>
        </w:trPr>
        <w:tc>
          <w:tcPr>
            <w:tcW w:w="3922" w:type="dxa"/>
            <w:vAlign w:val="center"/>
          </w:tcPr>
          <w:p w14:paraId="35695EC3" w14:textId="77777777" w:rsidR="00581F6F" w:rsidRPr="00BC31CD" w:rsidRDefault="00581F6F" w:rsidP="00A54CE8">
            <w:pPr>
              <w:pStyle w:val="Tabletext"/>
              <w:keepNext/>
              <w:widowControl w:val="0"/>
              <w:tabs>
                <w:tab w:val="left" w:pos="142"/>
              </w:tabs>
            </w:pPr>
            <w:r w:rsidRPr="00BC31CD">
              <w:tab/>
              <w:t>10 years</w:t>
            </w:r>
          </w:p>
        </w:tc>
        <w:tc>
          <w:tcPr>
            <w:tcW w:w="1275" w:type="dxa"/>
            <w:vAlign w:val="center"/>
          </w:tcPr>
          <w:p w14:paraId="26653C64" w14:textId="77777777" w:rsidR="00581F6F" w:rsidRPr="00AE1A04" w:rsidRDefault="00AE1A04" w:rsidP="00A54CE8">
            <w:pPr>
              <w:pStyle w:val="Tabletext"/>
              <w:keepNext/>
              <w:widowControl w:val="0"/>
              <w:jc w:val="center"/>
              <w:rPr>
                <w:rFonts w:cs="Arial"/>
                <w:szCs w:val="20"/>
                <w:highlight w:val="black"/>
              </w:rPr>
            </w:pPr>
            <w:r>
              <w:rPr>
                <w:noProof/>
                <w:color w:val="000000"/>
                <w:szCs w:val="20"/>
                <w:highlight w:val="black"/>
              </w:rPr>
              <w:t>'''''''''''''''''''''</w:t>
            </w:r>
          </w:p>
        </w:tc>
        <w:tc>
          <w:tcPr>
            <w:tcW w:w="1416" w:type="dxa"/>
            <w:vAlign w:val="center"/>
          </w:tcPr>
          <w:p w14:paraId="14CA8686" w14:textId="77777777" w:rsidR="00581F6F" w:rsidRPr="00BC31CD" w:rsidRDefault="00581F6F" w:rsidP="00A54CE8">
            <w:pPr>
              <w:pStyle w:val="Tabletext"/>
              <w:keepNext/>
              <w:widowControl w:val="0"/>
              <w:jc w:val="center"/>
              <w:rPr>
                <w:rFonts w:cs="Arial"/>
                <w:szCs w:val="20"/>
              </w:rPr>
            </w:pPr>
            <w:r w:rsidRPr="00BC31CD">
              <w:rPr>
                <w:szCs w:val="20"/>
              </w:rPr>
              <w:t>2.982</w:t>
            </w:r>
          </w:p>
        </w:tc>
        <w:tc>
          <w:tcPr>
            <w:tcW w:w="1255" w:type="dxa"/>
            <w:vAlign w:val="center"/>
          </w:tcPr>
          <w:p w14:paraId="38976D04" w14:textId="77777777" w:rsidR="00581F6F" w:rsidRPr="00AE1A04" w:rsidRDefault="00AE1A04" w:rsidP="00A54CE8">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725634">
              <w:rPr>
                <w:rFonts w:ascii="Arial Narrow" w:hAnsi="Arial Narrow"/>
                <w:sz w:val="18"/>
                <w:szCs w:val="18"/>
                <w:vertAlign w:val="superscript"/>
              </w:rPr>
              <w:t>3</w:t>
            </w:r>
          </w:p>
        </w:tc>
        <w:tc>
          <w:tcPr>
            <w:tcW w:w="1249" w:type="dxa"/>
            <w:vAlign w:val="center"/>
          </w:tcPr>
          <w:p w14:paraId="243DFDFC" w14:textId="77777777" w:rsidR="00581F6F" w:rsidRPr="00BC31CD" w:rsidRDefault="00581F6F" w:rsidP="00A54CE8">
            <w:pPr>
              <w:pStyle w:val="Tabletext"/>
              <w:keepNext/>
              <w:widowControl w:val="0"/>
              <w:jc w:val="center"/>
              <w:rPr>
                <w:rFonts w:cs="Arial"/>
                <w:szCs w:val="20"/>
              </w:rPr>
            </w:pPr>
            <w:r w:rsidRPr="00BC31CD">
              <w:rPr>
                <w:rFonts w:cs="Arial"/>
                <w:szCs w:val="20"/>
              </w:rPr>
              <w:t>+52%</w:t>
            </w:r>
          </w:p>
        </w:tc>
      </w:tr>
      <w:tr w:rsidR="00581F6F" w:rsidRPr="00BC31CD" w14:paraId="31340EEE" w14:textId="77777777" w:rsidTr="00E25376">
        <w:trPr>
          <w:cantSplit/>
          <w:trHeight w:val="129"/>
        </w:trPr>
        <w:tc>
          <w:tcPr>
            <w:tcW w:w="3922" w:type="dxa"/>
            <w:vAlign w:val="center"/>
          </w:tcPr>
          <w:p w14:paraId="760B91A4" w14:textId="77777777" w:rsidR="00581F6F" w:rsidRPr="00BC31CD" w:rsidRDefault="00581F6F" w:rsidP="00A54CE8">
            <w:pPr>
              <w:pStyle w:val="Tabletext"/>
              <w:keepNext/>
              <w:widowControl w:val="0"/>
              <w:tabs>
                <w:tab w:val="left" w:pos="142"/>
              </w:tabs>
            </w:pPr>
            <w:r w:rsidRPr="00BC31CD">
              <w:tab/>
              <w:t>30 years</w:t>
            </w:r>
          </w:p>
        </w:tc>
        <w:tc>
          <w:tcPr>
            <w:tcW w:w="1275" w:type="dxa"/>
            <w:vAlign w:val="center"/>
          </w:tcPr>
          <w:p w14:paraId="34DF3A7D" w14:textId="77777777" w:rsidR="00581F6F" w:rsidRPr="00AE1A04" w:rsidRDefault="00AE1A04" w:rsidP="00A54CE8">
            <w:pPr>
              <w:pStyle w:val="Tabletext"/>
              <w:keepNext/>
              <w:widowControl w:val="0"/>
              <w:jc w:val="center"/>
              <w:rPr>
                <w:rFonts w:cs="Arial"/>
                <w:szCs w:val="20"/>
                <w:highlight w:val="black"/>
              </w:rPr>
            </w:pPr>
            <w:r>
              <w:rPr>
                <w:rFonts w:cs="Arial"/>
                <w:noProof/>
                <w:color w:val="000000"/>
                <w:szCs w:val="20"/>
                <w:highlight w:val="black"/>
              </w:rPr>
              <w:t>'''''''''''''''''''''''''''</w:t>
            </w:r>
          </w:p>
        </w:tc>
        <w:tc>
          <w:tcPr>
            <w:tcW w:w="1416" w:type="dxa"/>
            <w:vAlign w:val="center"/>
          </w:tcPr>
          <w:p w14:paraId="72D39543" w14:textId="77777777" w:rsidR="00581F6F" w:rsidRPr="00BC31CD" w:rsidRDefault="00581F6F" w:rsidP="00A54CE8">
            <w:pPr>
              <w:pStyle w:val="Tabletext"/>
              <w:keepNext/>
              <w:widowControl w:val="0"/>
              <w:jc w:val="center"/>
              <w:rPr>
                <w:rFonts w:cs="Arial"/>
                <w:szCs w:val="20"/>
              </w:rPr>
            </w:pPr>
            <w:r w:rsidRPr="00BC31CD">
              <w:rPr>
                <w:rFonts w:cs="Arial"/>
                <w:szCs w:val="20"/>
              </w:rPr>
              <w:t>8.137</w:t>
            </w:r>
          </w:p>
        </w:tc>
        <w:tc>
          <w:tcPr>
            <w:tcW w:w="1255" w:type="dxa"/>
            <w:vAlign w:val="center"/>
          </w:tcPr>
          <w:p w14:paraId="3A1232F6" w14:textId="77777777" w:rsidR="00581F6F" w:rsidRPr="00AE1A04" w:rsidRDefault="00AE1A04" w:rsidP="00A54CE8">
            <w:pPr>
              <w:keepNext/>
              <w:widowControl w:val="0"/>
              <w:jc w:val="center"/>
              <w:rPr>
                <w:rFonts w:ascii="Arial Narrow" w:hAnsi="Arial Narrow"/>
                <w:sz w:val="20"/>
                <w:szCs w:val="20"/>
              </w:rPr>
            </w:pPr>
            <w:r>
              <w:rPr>
                <w:rFonts w:ascii="Arial Narrow" w:hAnsi="Arial Narrow"/>
                <w:noProof/>
                <w:color w:val="000000"/>
                <w:sz w:val="20"/>
                <w:szCs w:val="20"/>
                <w:highlight w:val="black"/>
              </w:rPr>
              <w:t>''''''''''''''''''''''</w:t>
            </w:r>
            <w:r w:rsidR="00725634">
              <w:rPr>
                <w:rFonts w:ascii="Arial Narrow" w:hAnsi="Arial Narrow"/>
                <w:sz w:val="18"/>
                <w:szCs w:val="18"/>
                <w:vertAlign w:val="superscript"/>
              </w:rPr>
              <w:t>1</w:t>
            </w:r>
          </w:p>
        </w:tc>
        <w:tc>
          <w:tcPr>
            <w:tcW w:w="1249" w:type="dxa"/>
            <w:vAlign w:val="center"/>
          </w:tcPr>
          <w:p w14:paraId="6739D883" w14:textId="77777777" w:rsidR="00581F6F" w:rsidRPr="00BC31CD" w:rsidRDefault="00581F6F" w:rsidP="00A54CE8">
            <w:pPr>
              <w:pStyle w:val="Tabletext"/>
              <w:keepNext/>
              <w:widowControl w:val="0"/>
              <w:jc w:val="center"/>
              <w:rPr>
                <w:rFonts w:cs="Arial"/>
                <w:szCs w:val="20"/>
              </w:rPr>
            </w:pPr>
            <w:r w:rsidRPr="00BC31CD">
              <w:rPr>
                <w:rFonts w:cs="Arial"/>
                <w:szCs w:val="20"/>
              </w:rPr>
              <w:t>+8%</w:t>
            </w:r>
          </w:p>
        </w:tc>
      </w:tr>
      <w:tr w:rsidR="00581F6F" w:rsidRPr="00BC31CD" w14:paraId="2E5AB21E" w14:textId="77777777" w:rsidTr="00E25376">
        <w:trPr>
          <w:cantSplit/>
          <w:trHeight w:val="129"/>
        </w:trPr>
        <w:tc>
          <w:tcPr>
            <w:tcW w:w="9117" w:type="dxa"/>
            <w:gridSpan w:val="5"/>
            <w:vAlign w:val="center"/>
          </w:tcPr>
          <w:p w14:paraId="352D852C" w14:textId="77777777" w:rsidR="00581F6F" w:rsidRPr="00BC31CD" w:rsidRDefault="00581F6F" w:rsidP="00A54CE8">
            <w:pPr>
              <w:pStyle w:val="Tabletext"/>
              <w:keepNext/>
              <w:widowControl w:val="0"/>
              <w:rPr>
                <w:szCs w:val="20"/>
              </w:rPr>
            </w:pPr>
            <w:r w:rsidRPr="00BC31CD">
              <w:rPr>
                <w:szCs w:val="20"/>
              </w:rPr>
              <w:t>Mortality risk (base case: HR</w:t>
            </w:r>
            <w:r w:rsidR="00F21495" w:rsidRPr="00BC31CD">
              <w:rPr>
                <w:szCs w:val="20"/>
              </w:rPr>
              <w:t xml:space="preserve"> </w:t>
            </w:r>
            <w:r w:rsidRPr="00BC31CD">
              <w:rPr>
                <w:szCs w:val="20"/>
              </w:rPr>
              <w:t>=</w:t>
            </w:r>
            <w:r w:rsidR="00F21495" w:rsidRPr="00BC31CD">
              <w:rPr>
                <w:szCs w:val="20"/>
              </w:rPr>
              <w:t xml:space="preserve"> </w:t>
            </w:r>
            <w:r w:rsidRPr="00BC31CD">
              <w:rPr>
                <w:szCs w:val="20"/>
              </w:rPr>
              <w:t>2.92 for WD vs. general population; OR</w:t>
            </w:r>
            <w:r w:rsidR="00F21495" w:rsidRPr="00BC31CD">
              <w:rPr>
                <w:szCs w:val="20"/>
              </w:rPr>
              <w:t xml:space="preserve"> </w:t>
            </w:r>
            <w:r w:rsidRPr="00BC31CD">
              <w:rPr>
                <w:szCs w:val="20"/>
              </w:rPr>
              <w:t>=</w:t>
            </w:r>
            <w:r w:rsidR="00F21495" w:rsidRPr="00BC31CD">
              <w:rPr>
                <w:szCs w:val="20"/>
              </w:rPr>
              <w:t xml:space="preserve"> </w:t>
            </w:r>
            <w:r w:rsidRPr="00BC31CD">
              <w:rPr>
                <w:szCs w:val="20"/>
              </w:rPr>
              <w:t>76.92 for treated vs. untreated)</w:t>
            </w:r>
          </w:p>
        </w:tc>
      </w:tr>
      <w:tr w:rsidR="00581F6F" w:rsidRPr="00BC31CD" w14:paraId="15871C69" w14:textId="77777777" w:rsidTr="00E25376">
        <w:trPr>
          <w:cantSplit/>
          <w:trHeight w:val="129"/>
        </w:trPr>
        <w:tc>
          <w:tcPr>
            <w:tcW w:w="3922" w:type="dxa"/>
            <w:vAlign w:val="center"/>
          </w:tcPr>
          <w:p w14:paraId="686FE729" w14:textId="77777777" w:rsidR="00581F6F" w:rsidRPr="00BC31CD" w:rsidRDefault="00581F6F" w:rsidP="00A54CE8">
            <w:pPr>
              <w:pStyle w:val="Tabletext"/>
              <w:keepNext/>
              <w:widowControl w:val="0"/>
              <w:tabs>
                <w:tab w:val="left" w:pos="142"/>
              </w:tabs>
            </w:pPr>
            <w:r w:rsidRPr="00BC31CD">
              <w:tab/>
              <w:t>HR</w:t>
            </w:r>
            <w:r w:rsidR="00F21495" w:rsidRPr="00BC31CD">
              <w:t xml:space="preserve"> </w:t>
            </w:r>
            <w:r w:rsidRPr="00BC31CD">
              <w:t>=</w:t>
            </w:r>
            <w:r w:rsidR="00F21495" w:rsidRPr="00BC31CD">
              <w:t xml:space="preserve"> </w:t>
            </w:r>
            <w:r w:rsidRPr="00BC31CD">
              <w:t>1.0 for WD vs. general population</w:t>
            </w:r>
          </w:p>
        </w:tc>
        <w:tc>
          <w:tcPr>
            <w:tcW w:w="1275" w:type="dxa"/>
            <w:vAlign w:val="center"/>
          </w:tcPr>
          <w:p w14:paraId="28040DED" w14:textId="77777777" w:rsidR="00581F6F"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3E970481" w14:textId="77777777" w:rsidR="00581F6F" w:rsidRPr="00BC31CD" w:rsidRDefault="00581F6F" w:rsidP="00A54CE8">
            <w:pPr>
              <w:pStyle w:val="Tabletext"/>
              <w:keepNext/>
              <w:widowControl w:val="0"/>
              <w:jc w:val="center"/>
              <w:rPr>
                <w:szCs w:val="20"/>
              </w:rPr>
            </w:pPr>
            <w:r w:rsidRPr="00BC31CD">
              <w:rPr>
                <w:szCs w:val="20"/>
              </w:rPr>
              <w:t>8.715</w:t>
            </w:r>
          </w:p>
        </w:tc>
        <w:tc>
          <w:tcPr>
            <w:tcW w:w="1255" w:type="dxa"/>
            <w:vAlign w:val="center"/>
          </w:tcPr>
          <w:p w14:paraId="4294A6AC"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Pr>
                <w:sz w:val="18"/>
                <w:szCs w:val="18"/>
                <w:vertAlign w:val="superscript"/>
              </w:rPr>
              <w:t>3</w:t>
            </w:r>
          </w:p>
        </w:tc>
        <w:tc>
          <w:tcPr>
            <w:tcW w:w="1249" w:type="dxa"/>
            <w:vAlign w:val="center"/>
          </w:tcPr>
          <w:p w14:paraId="5BCAFE35" w14:textId="77777777" w:rsidR="00581F6F" w:rsidRPr="00BC31CD" w:rsidRDefault="00581F6F" w:rsidP="00A54CE8">
            <w:pPr>
              <w:pStyle w:val="Tabletext"/>
              <w:keepNext/>
              <w:widowControl w:val="0"/>
              <w:jc w:val="center"/>
              <w:rPr>
                <w:szCs w:val="20"/>
              </w:rPr>
            </w:pPr>
            <w:r w:rsidRPr="00BC31CD">
              <w:rPr>
                <w:szCs w:val="20"/>
              </w:rPr>
              <w:t>+26%</w:t>
            </w:r>
          </w:p>
        </w:tc>
      </w:tr>
      <w:tr w:rsidR="00581F6F" w:rsidRPr="00BC31CD" w14:paraId="1EA24AA8" w14:textId="77777777" w:rsidTr="00E25376">
        <w:trPr>
          <w:cantSplit/>
          <w:trHeight w:val="129"/>
        </w:trPr>
        <w:tc>
          <w:tcPr>
            <w:tcW w:w="3922" w:type="dxa"/>
            <w:vAlign w:val="center"/>
          </w:tcPr>
          <w:p w14:paraId="7B59A3DC" w14:textId="77777777" w:rsidR="00581F6F" w:rsidRPr="00BC31CD" w:rsidRDefault="00581F6F" w:rsidP="00A54CE8">
            <w:pPr>
              <w:pStyle w:val="Tabletext"/>
              <w:keepNext/>
              <w:widowControl w:val="0"/>
              <w:tabs>
                <w:tab w:val="left" w:pos="142"/>
              </w:tabs>
            </w:pPr>
            <w:r w:rsidRPr="00BC31CD">
              <w:tab/>
              <w:t>HR</w:t>
            </w:r>
            <w:r w:rsidR="00F21495" w:rsidRPr="00BC31CD">
              <w:t xml:space="preserve"> </w:t>
            </w:r>
            <w:r w:rsidRPr="00BC31CD">
              <w:t>=</w:t>
            </w:r>
            <w:r w:rsidR="00F21495" w:rsidRPr="00BC31CD">
              <w:t xml:space="preserve"> </w:t>
            </w:r>
            <w:r w:rsidRPr="00BC31CD">
              <w:t>5.0 for WD vs. general population</w:t>
            </w:r>
          </w:p>
        </w:tc>
        <w:tc>
          <w:tcPr>
            <w:tcW w:w="1275" w:type="dxa"/>
            <w:vAlign w:val="center"/>
          </w:tcPr>
          <w:p w14:paraId="38F02635" w14:textId="77777777" w:rsidR="00581F6F"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6FF69FAF" w14:textId="77777777" w:rsidR="00581F6F" w:rsidRPr="00BC31CD" w:rsidRDefault="00581F6F" w:rsidP="00A54CE8">
            <w:pPr>
              <w:pStyle w:val="Tabletext"/>
              <w:keepNext/>
              <w:widowControl w:val="0"/>
              <w:jc w:val="center"/>
              <w:rPr>
                <w:szCs w:val="20"/>
              </w:rPr>
            </w:pPr>
            <w:r w:rsidRPr="00BC31CD">
              <w:rPr>
                <w:szCs w:val="20"/>
              </w:rPr>
              <w:t>11.072</w:t>
            </w:r>
          </w:p>
        </w:tc>
        <w:tc>
          <w:tcPr>
            <w:tcW w:w="1255" w:type="dxa"/>
            <w:vAlign w:val="center"/>
          </w:tcPr>
          <w:p w14:paraId="6358F402"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Pr>
                <w:sz w:val="18"/>
                <w:szCs w:val="18"/>
                <w:vertAlign w:val="superscript"/>
              </w:rPr>
              <w:t>2</w:t>
            </w:r>
          </w:p>
        </w:tc>
        <w:tc>
          <w:tcPr>
            <w:tcW w:w="1249" w:type="dxa"/>
            <w:vAlign w:val="center"/>
          </w:tcPr>
          <w:p w14:paraId="6695DF3E" w14:textId="77777777" w:rsidR="00581F6F" w:rsidRPr="00BC31CD" w:rsidRDefault="00581F6F" w:rsidP="00A54CE8">
            <w:pPr>
              <w:pStyle w:val="Tabletext"/>
              <w:keepNext/>
              <w:widowControl w:val="0"/>
              <w:jc w:val="center"/>
              <w:rPr>
                <w:szCs w:val="20"/>
              </w:rPr>
            </w:pPr>
            <w:r w:rsidRPr="00BC31CD">
              <w:rPr>
                <w:szCs w:val="20"/>
              </w:rPr>
              <w:t>-9%</w:t>
            </w:r>
          </w:p>
        </w:tc>
      </w:tr>
      <w:tr w:rsidR="00581F6F" w:rsidRPr="00BC31CD" w14:paraId="6C28B8D1" w14:textId="77777777" w:rsidTr="00E25376">
        <w:trPr>
          <w:cantSplit/>
          <w:trHeight w:val="129"/>
        </w:trPr>
        <w:tc>
          <w:tcPr>
            <w:tcW w:w="3922" w:type="dxa"/>
            <w:vAlign w:val="center"/>
          </w:tcPr>
          <w:p w14:paraId="5316CF8B" w14:textId="77777777" w:rsidR="00581F6F" w:rsidRPr="00BC31CD" w:rsidRDefault="00581F6F" w:rsidP="00A54CE8">
            <w:pPr>
              <w:pStyle w:val="Tabletext"/>
              <w:keepNext/>
              <w:widowControl w:val="0"/>
              <w:tabs>
                <w:tab w:val="left" w:pos="142"/>
              </w:tabs>
            </w:pPr>
            <w:r w:rsidRPr="00BC31CD">
              <w:tab/>
              <w:t>OR</w:t>
            </w:r>
            <w:r w:rsidR="00F21495" w:rsidRPr="00BC31CD">
              <w:t xml:space="preserve"> </w:t>
            </w:r>
            <w:r w:rsidRPr="00BC31CD">
              <w:t>=</w:t>
            </w:r>
            <w:r w:rsidR="00F21495" w:rsidRPr="00BC31CD">
              <w:t xml:space="preserve"> </w:t>
            </w:r>
            <w:r w:rsidRPr="00BC31CD">
              <w:t>38.46 for treated vs. untreated</w:t>
            </w:r>
          </w:p>
        </w:tc>
        <w:tc>
          <w:tcPr>
            <w:tcW w:w="1275" w:type="dxa"/>
            <w:vAlign w:val="center"/>
          </w:tcPr>
          <w:p w14:paraId="2D24F066" w14:textId="77777777" w:rsidR="00581F6F"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7D2737EB" w14:textId="77777777" w:rsidR="00581F6F" w:rsidRPr="00BC31CD" w:rsidRDefault="00581F6F" w:rsidP="00A54CE8">
            <w:pPr>
              <w:pStyle w:val="Tabletext"/>
              <w:keepNext/>
              <w:widowControl w:val="0"/>
              <w:jc w:val="center"/>
              <w:rPr>
                <w:szCs w:val="20"/>
              </w:rPr>
            </w:pPr>
            <w:r w:rsidRPr="00BC31CD">
              <w:rPr>
                <w:szCs w:val="20"/>
              </w:rPr>
              <w:t>8.907</w:t>
            </w:r>
          </w:p>
        </w:tc>
        <w:tc>
          <w:tcPr>
            <w:tcW w:w="1255" w:type="dxa"/>
            <w:vAlign w:val="center"/>
          </w:tcPr>
          <w:p w14:paraId="64991B6B"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Pr>
                <w:sz w:val="18"/>
                <w:szCs w:val="18"/>
                <w:vertAlign w:val="superscript"/>
              </w:rPr>
              <w:t>3</w:t>
            </w:r>
          </w:p>
        </w:tc>
        <w:tc>
          <w:tcPr>
            <w:tcW w:w="1249" w:type="dxa"/>
            <w:vAlign w:val="center"/>
          </w:tcPr>
          <w:p w14:paraId="60BDCB2F" w14:textId="77777777" w:rsidR="00581F6F" w:rsidRPr="00BC31CD" w:rsidRDefault="00581F6F" w:rsidP="00A54CE8">
            <w:pPr>
              <w:pStyle w:val="Tabletext"/>
              <w:keepNext/>
              <w:widowControl w:val="0"/>
              <w:jc w:val="center"/>
              <w:rPr>
                <w:szCs w:val="20"/>
              </w:rPr>
            </w:pPr>
            <w:r w:rsidRPr="00BC31CD">
              <w:rPr>
                <w:szCs w:val="20"/>
              </w:rPr>
              <w:t>+18%</w:t>
            </w:r>
          </w:p>
        </w:tc>
      </w:tr>
      <w:tr w:rsidR="00C854E3" w:rsidRPr="00BC31CD" w14:paraId="0F15BCC4" w14:textId="77777777" w:rsidTr="00E25376">
        <w:trPr>
          <w:cantSplit/>
          <w:trHeight w:val="129"/>
        </w:trPr>
        <w:tc>
          <w:tcPr>
            <w:tcW w:w="3922" w:type="dxa"/>
            <w:vAlign w:val="center"/>
          </w:tcPr>
          <w:p w14:paraId="71471598" w14:textId="77777777" w:rsidR="00C854E3" w:rsidRPr="00BC31CD" w:rsidRDefault="00C854E3" w:rsidP="00A54CE8">
            <w:pPr>
              <w:pStyle w:val="Tabletext"/>
              <w:keepNext/>
              <w:widowControl w:val="0"/>
              <w:tabs>
                <w:tab w:val="left" w:pos="142"/>
              </w:tabs>
            </w:pPr>
            <w:r w:rsidRPr="00BC31CD">
              <w:tab/>
              <w:t>HR</w:t>
            </w:r>
            <w:r w:rsidR="00F21495" w:rsidRPr="00BC31CD">
              <w:t xml:space="preserve"> </w:t>
            </w:r>
            <w:r w:rsidRPr="00BC31CD">
              <w:t>=</w:t>
            </w:r>
            <w:r w:rsidR="00F21495" w:rsidRPr="00BC31CD">
              <w:t xml:space="preserve"> </w:t>
            </w:r>
            <w:r w:rsidRPr="00BC31CD">
              <w:t xml:space="preserve">1.0 for WD vs. general population and OR = </w:t>
            </w:r>
            <w:r w:rsidRPr="00BC31CD">
              <w:tab/>
              <w:t>38.46 for treated vs. untreated</w:t>
            </w:r>
          </w:p>
        </w:tc>
        <w:tc>
          <w:tcPr>
            <w:tcW w:w="1275" w:type="dxa"/>
            <w:vAlign w:val="center"/>
          </w:tcPr>
          <w:p w14:paraId="4F14692B" w14:textId="77777777" w:rsidR="00C854E3"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5D1387B0" w14:textId="77777777" w:rsidR="00C854E3" w:rsidRPr="00BC31CD" w:rsidRDefault="00C854E3" w:rsidP="00A54CE8">
            <w:pPr>
              <w:pStyle w:val="Tabletext"/>
              <w:keepNext/>
              <w:widowControl w:val="0"/>
              <w:jc w:val="center"/>
              <w:rPr>
                <w:szCs w:val="20"/>
              </w:rPr>
            </w:pPr>
            <w:r w:rsidRPr="00BC31CD">
              <w:rPr>
                <w:szCs w:val="20"/>
              </w:rPr>
              <w:t>7.297</w:t>
            </w:r>
          </w:p>
        </w:tc>
        <w:tc>
          <w:tcPr>
            <w:tcW w:w="1255" w:type="dxa"/>
            <w:vAlign w:val="center"/>
          </w:tcPr>
          <w:p w14:paraId="51494873" w14:textId="77777777" w:rsidR="00C854E3" w:rsidRPr="00AE1A04" w:rsidRDefault="00AE1A04" w:rsidP="00A54CE8">
            <w:pPr>
              <w:pStyle w:val="Tabletext"/>
              <w:keepNext/>
              <w:widowControl w:val="0"/>
              <w:jc w:val="center"/>
              <w:rPr>
                <w:szCs w:val="20"/>
              </w:rPr>
            </w:pPr>
            <w:r>
              <w:rPr>
                <w:noProof/>
                <w:color w:val="000000"/>
                <w:szCs w:val="20"/>
                <w:highlight w:val="black"/>
              </w:rPr>
              <w:t>''''''''''''''''''''</w:t>
            </w:r>
            <w:r w:rsidR="00725634">
              <w:rPr>
                <w:sz w:val="18"/>
                <w:szCs w:val="18"/>
                <w:vertAlign w:val="superscript"/>
              </w:rPr>
              <w:t>3</w:t>
            </w:r>
          </w:p>
        </w:tc>
        <w:tc>
          <w:tcPr>
            <w:tcW w:w="1249" w:type="dxa"/>
            <w:vAlign w:val="center"/>
          </w:tcPr>
          <w:p w14:paraId="036D31A2" w14:textId="77777777" w:rsidR="00C854E3" w:rsidRPr="00BC31CD" w:rsidRDefault="00C854E3" w:rsidP="00A54CE8">
            <w:pPr>
              <w:pStyle w:val="Tabletext"/>
              <w:keepNext/>
              <w:widowControl w:val="0"/>
              <w:jc w:val="center"/>
              <w:rPr>
                <w:szCs w:val="20"/>
              </w:rPr>
            </w:pPr>
            <w:r w:rsidRPr="00BC31CD">
              <w:rPr>
                <w:szCs w:val="20"/>
              </w:rPr>
              <w:t>+50%</w:t>
            </w:r>
          </w:p>
        </w:tc>
      </w:tr>
      <w:tr w:rsidR="00581F6F" w:rsidRPr="00BC31CD" w14:paraId="60FABF3E" w14:textId="77777777" w:rsidTr="00E25376">
        <w:trPr>
          <w:cantSplit/>
          <w:trHeight w:val="129"/>
        </w:trPr>
        <w:tc>
          <w:tcPr>
            <w:tcW w:w="9117" w:type="dxa"/>
            <w:gridSpan w:val="5"/>
            <w:vAlign w:val="center"/>
          </w:tcPr>
          <w:p w14:paraId="4FF7656C" w14:textId="77777777" w:rsidR="00581F6F" w:rsidRPr="002A2441" w:rsidRDefault="00581F6F" w:rsidP="00A54CE8">
            <w:pPr>
              <w:pStyle w:val="Tabletext"/>
              <w:keepNext/>
              <w:widowControl w:val="0"/>
              <w:rPr>
                <w:szCs w:val="20"/>
              </w:rPr>
            </w:pPr>
            <w:r w:rsidRPr="002A2441">
              <w:rPr>
                <w:szCs w:val="20"/>
              </w:rPr>
              <w:t>Trientine 4HCl dose (base case: 4.45 tablets per day</w:t>
            </w:r>
            <w:r w:rsidR="001061A8" w:rsidRPr="002A2441">
              <w:rPr>
                <w:szCs w:val="20"/>
              </w:rPr>
              <w:t>, i.e. 66</w:t>
            </w:r>
            <w:r w:rsidR="00EB20C8" w:rsidRPr="002A2441">
              <w:rPr>
                <w:szCs w:val="20"/>
              </w:rPr>
              <w:t>8</w:t>
            </w:r>
            <w:r w:rsidR="001061A8" w:rsidRPr="002A2441">
              <w:rPr>
                <w:szCs w:val="20"/>
              </w:rPr>
              <w:t xml:space="preserve"> mg/day</w:t>
            </w:r>
            <w:r w:rsidRPr="002A2441">
              <w:rPr>
                <w:szCs w:val="20"/>
              </w:rPr>
              <w:t>)</w:t>
            </w:r>
          </w:p>
        </w:tc>
      </w:tr>
      <w:tr w:rsidR="00581F6F" w:rsidRPr="00BC31CD" w14:paraId="5B67E70E" w14:textId="77777777" w:rsidTr="00E25376">
        <w:trPr>
          <w:cantSplit/>
          <w:trHeight w:val="129"/>
        </w:trPr>
        <w:tc>
          <w:tcPr>
            <w:tcW w:w="3922" w:type="dxa"/>
            <w:vAlign w:val="center"/>
          </w:tcPr>
          <w:p w14:paraId="0E8793A7" w14:textId="77777777" w:rsidR="00581F6F" w:rsidRPr="002A2441" w:rsidRDefault="00581F6F" w:rsidP="00A54CE8">
            <w:pPr>
              <w:pStyle w:val="Tabletext"/>
              <w:keepNext/>
              <w:widowControl w:val="0"/>
              <w:tabs>
                <w:tab w:val="left" w:pos="142"/>
              </w:tabs>
            </w:pPr>
            <w:r w:rsidRPr="002A2441">
              <w:tab/>
              <w:t>3 tablets/day</w:t>
            </w:r>
            <w:r w:rsidR="001061A8" w:rsidRPr="002A2441">
              <w:t xml:space="preserve"> (450 mg)</w:t>
            </w:r>
          </w:p>
        </w:tc>
        <w:tc>
          <w:tcPr>
            <w:tcW w:w="1275" w:type="dxa"/>
            <w:vAlign w:val="center"/>
          </w:tcPr>
          <w:p w14:paraId="02383740" w14:textId="77777777" w:rsidR="00581F6F" w:rsidRPr="00AE1A04" w:rsidRDefault="00AE1A04" w:rsidP="00A54CE8">
            <w:pPr>
              <w:pStyle w:val="Tabletext"/>
              <w:keepNext/>
              <w:widowControl w:val="0"/>
              <w:jc w:val="center"/>
              <w:rPr>
                <w:rFonts w:cs="Arial"/>
                <w:szCs w:val="20"/>
                <w:highlight w:val="black"/>
              </w:rPr>
            </w:pPr>
            <w:r>
              <w:rPr>
                <w:noProof/>
                <w:color w:val="000000"/>
                <w:szCs w:val="20"/>
                <w:highlight w:val="black"/>
              </w:rPr>
              <w:t>'''''''''''''''''''''</w:t>
            </w:r>
          </w:p>
        </w:tc>
        <w:tc>
          <w:tcPr>
            <w:tcW w:w="1416" w:type="dxa"/>
            <w:vAlign w:val="center"/>
          </w:tcPr>
          <w:p w14:paraId="41AC53F6" w14:textId="77777777" w:rsidR="00581F6F" w:rsidRPr="002A2441" w:rsidRDefault="00581F6F" w:rsidP="00A54CE8">
            <w:pPr>
              <w:pStyle w:val="Tabletext"/>
              <w:keepNext/>
              <w:widowControl w:val="0"/>
              <w:jc w:val="center"/>
              <w:rPr>
                <w:rFonts w:cs="Arial"/>
                <w:szCs w:val="20"/>
              </w:rPr>
            </w:pPr>
            <w:r w:rsidRPr="002A2441">
              <w:rPr>
                <w:szCs w:val="20"/>
              </w:rPr>
              <w:t>10.469</w:t>
            </w:r>
          </w:p>
        </w:tc>
        <w:tc>
          <w:tcPr>
            <w:tcW w:w="1255" w:type="dxa"/>
            <w:vAlign w:val="center"/>
          </w:tcPr>
          <w:p w14:paraId="0B1DE9AD" w14:textId="77777777" w:rsidR="00581F6F" w:rsidRPr="00AE1A04" w:rsidRDefault="00AE1A04" w:rsidP="00A54CE8">
            <w:pPr>
              <w:pStyle w:val="Tabletext"/>
              <w:keepNext/>
              <w:widowControl w:val="0"/>
              <w:jc w:val="center"/>
              <w:rPr>
                <w:rFonts w:cs="Arial"/>
                <w:szCs w:val="20"/>
              </w:rPr>
            </w:pPr>
            <w:r>
              <w:rPr>
                <w:noProof/>
                <w:color w:val="000000"/>
                <w:szCs w:val="20"/>
                <w:highlight w:val="black"/>
              </w:rPr>
              <w:t>''''''''''''''''''''</w:t>
            </w:r>
            <w:r w:rsidR="00725634" w:rsidRPr="002A2441">
              <w:rPr>
                <w:sz w:val="18"/>
                <w:szCs w:val="18"/>
                <w:vertAlign w:val="superscript"/>
              </w:rPr>
              <w:t>5</w:t>
            </w:r>
          </w:p>
        </w:tc>
        <w:tc>
          <w:tcPr>
            <w:tcW w:w="1249" w:type="dxa"/>
            <w:vAlign w:val="center"/>
          </w:tcPr>
          <w:p w14:paraId="159A4C25" w14:textId="77777777" w:rsidR="00581F6F" w:rsidRPr="002A2441" w:rsidRDefault="00581F6F" w:rsidP="00A54CE8">
            <w:pPr>
              <w:pStyle w:val="Tabletext"/>
              <w:keepNext/>
              <w:widowControl w:val="0"/>
              <w:jc w:val="center"/>
              <w:rPr>
                <w:rFonts w:cs="Arial"/>
                <w:szCs w:val="20"/>
              </w:rPr>
            </w:pPr>
            <w:r w:rsidRPr="002A2441">
              <w:rPr>
                <w:rFonts w:cs="Arial"/>
                <w:szCs w:val="20"/>
              </w:rPr>
              <w:t>-33%</w:t>
            </w:r>
          </w:p>
        </w:tc>
      </w:tr>
      <w:tr w:rsidR="00581F6F" w:rsidRPr="00BC31CD" w14:paraId="3A9BC600" w14:textId="77777777" w:rsidTr="00E25376">
        <w:trPr>
          <w:cantSplit/>
          <w:trHeight w:val="129"/>
        </w:trPr>
        <w:tc>
          <w:tcPr>
            <w:tcW w:w="3922" w:type="dxa"/>
            <w:vAlign w:val="center"/>
          </w:tcPr>
          <w:p w14:paraId="3C17E618" w14:textId="77777777" w:rsidR="00581F6F" w:rsidRPr="002A2441" w:rsidRDefault="00581F6F" w:rsidP="00A54CE8">
            <w:pPr>
              <w:pStyle w:val="Tabletext"/>
              <w:keepNext/>
              <w:widowControl w:val="0"/>
              <w:tabs>
                <w:tab w:val="left" w:pos="142"/>
              </w:tabs>
            </w:pPr>
            <w:r w:rsidRPr="002A2441">
              <w:tab/>
              <w:t>6.5 tablets/day</w:t>
            </w:r>
            <w:r w:rsidR="001061A8" w:rsidRPr="002A2441">
              <w:t xml:space="preserve"> (975 mg)</w:t>
            </w:r>
          </w:p>
        </w:tc>
        <w:tc>
          <w:tcPr>
            <w:tcW w:w="1275" w:type="dxa"/>
            <w:vAlign w:val="center"/>
          </w:tcPr>
          <w:p w14:paraId="7BE2F0AB" w14:textId="77777777" w:rsidR="00581F6F" w:rsidRPr="00AE1A04" w:rsidRDefault="00AE1A04" w:rsidP="00A54CE8">
            <w:pPr>
              <w:pStyle w:val="Tabletext"/>
              <w:keepNext/>
              <w:widowControl w:val="0"/>
              <w:jc w:val="center"/>
              <w:rPr>
                <w:szCs w:val="20"/>
                <w:highlight w:val="black"/>
              </w:rPr>
            </w:pPr>
            <w:r>
              <w:rPr>
                <w:noProof/>
                <w:color w:val="000000"/>
                <w:szCs w:val="20"/>
                <w:highlight w:val="black"/>
              </w:rPr>
              <w:t>''''''''''''''''''''''''''''</w:t>
            </w:r>
          </w:p>
        </w:tc>
        <w:tc>
          <w:tcPr>
            <w:tcW w:w="1416" w:type="dxa"/>
            <w:vAlign w:val="center"/>
          </w:tcPr>
          <w:p w14:paraId="4C37DB0A" w14:textId="77777777" w:rsidR="00581F6F" w:rsidRPr="002A2441" w:rsidRDefault="00581F6F" w:rsidP="00A54CE8">
            <w:pPr>
              <w:pStyle w:val="Tabletext"/>
              <w:keepNext/>
              <w:widowControl w:val="0"/>
              <w:jc w:val="center"/>
              <w:rPr>
                <w:szCs w:val="20"/>
              </w:rPr>
            </w:pPr>
            <w:r w:rsidRPr="002A2441">
              <w:rPr>
                <w:szCs w:val="20"/>
              </w:rPr>
              <w:t>10.469</w:t>
            </w:r>
          </w:p>
        </w:tc>
        <w:tc>
          <w:tcPr>
            <w:tcW w:w="1255" w:type="dxa"/>
            <w:vAlign w:val="center"/>
          </w:tcPr>
          <w:p w14:paraId="15DADF7C"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3</w:t>
            </w:r>
          </w:p>
        </w:tc>
        <w:tc>
          <w:tcPr>
            <w:tcW w:w="1249" w:type="dxa"/>
            <w:vAlign w:val="center"/>
          </w:tcPr>
          <w:p w14:paraId="08BC4B27" w14:textId="77777777" w:rsidR="00581F6F" w:rsidRPr="002A2441" w:rsidRDefault="00581F6F" w:rsidP="00A54CE8">
            <w:pPr>
              <w:pStyle w:val="Tabletext"/>
              <w:keepNext/>
              <w:widowControl w:val="0"/>
              <w:jc w:val="center"/>
              <w:rPr>
                <w:szCs w:val="20"/>
              </w:rPr>
            </w:pPr>
            <w:r w:rsidRPr="002A2441">
              <w:rPr>
                <w:szCs w:val="20"/>
              </w:rPr>
              <w:t>+46%</w:t>
            </w:r>
          </w:p>
        </w:tc>
      </w:tr>
      <w:tr w:rsidR="00581F6F" w:rsidRPr="00BC31CD" w14:paraId="13CFD435" w14:textId="77777777" w:rsidTr="00E25376">
        <w:trPr>
          <w:cantSplit/>
          <w:trHeight w:val="129"/>
        </w:trPr>
        <w:tc>
          <w:tcPr>
            <w:tcW w:w="9117" w:type="dxa"/>
            <w:gridSpan w:val="5"/>
            <w:vAlign w:val="center"/>
          </w:tcPr>
          <w:p w14:paraId="0507B5A3" w14:textId="77777777" w:rsidR="00581F6F" w:rsidRPr="002A2441" w:rsidRDefault="00581F6F" w:rsidP="00A54CE8">
            <w:pPr>
              <w:pStyle w:val="Tabletext"/>
              <w:keepNext/>
              <w:widowControl w:val="0"/>
              <w:rPr>
                <w:szCs w:val="20"/>
              </w:rPr>
            </w:pPr>
            <w:r w:rsidRPr="002A2441">
              <w:rPr>
                <w:szCs w:val="20"/>
              </w:rPr>
              <w:t>Maintenance phase (base case: not included)</w:t>
            </w:r>
          </w:p>
        </w:tc>
      </w:tr>
      <w:tr w:rsidR="00581F6F" w:rsidRPr="00BC31CD" w14:paraId="44DDC6E1" w14:textId="77777777" w:rsidTr="00E25376">
        <w:trPr>
          <w:cantSplit/>
          <w:trHeight w:val="129"/>
        </w:trPr>
        <w:tc>
          <w:tcPr>
            <w:tcW w:w="3922" w:type="dxa"/>
            <w:vAlign w:val="center"/>
          </w:tcPr>
          <w:p w14:paraId="270CAC41" w14:textId="77777777" w:rsidR="00581F6F" w:rsidRPr="002A2441" w:rsidRDefault="00581F6F" w:rsidP="00A54CE8">
            <w:pPr>
              <w:pStyle w:val="Tabletext"/>
              <w:keepNext/>
              <w:widowControl w:val="0"/>
              <w:tabs>
                <w:tab w:val="left" w:pos="142"/>
              </w:tabs>
            </w:pPr>
            <w:r w:rsidRPr="002A2441">
              <w:tab/>
              <w:t xml:space="preserve">1 tablet/day </w:t>
            </w:r>
            <w:r w:rsidR="001061A8" w:rsidRPr="002A2441">
              <w:t xml:space="preserve">(150 mg) </w:t>
            </w:r>
            <w:r w:rsidRPr="002A2441">
              <w:t>from 5 years</w:t>
            </w:r>
          </w:p>
        </w:tc>
        <w:tc>
          <w:tcPr>
            <w:tcW w:w="1275" w:type="dxa"/>
            <w:vAlign w:val="center"/>
          </w:tcPr>
          <w:p w14:paraId="2C38F987" w14:textId="77777777" w:rsidR="00581F6F" w:rsidRPr="00AE1A04" w:rsidRDefault="00AE1A04" w:rsidP="00A54CE8">
            <w:pPr>
              <w:keepNext/>
              <w:widowControl w:val="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416" w:type="dxa"/>
            <w:vAlign w:val="center"/>
          </w:tcPr>
          <w:p w14:paraId="20C98790" w14:textId="77777777" w:rsidR="00581F6F" w:rsidRPr="002A2441" w:rsidRDefault="00581F6F" w:rsidP="00A54CE8">
            <w:pPr>
              <w:keepNext/>
              <w:widowControl w:val="0"/>
              <w:jc w:val="center"/>
              <w:rPr>
                <w:rFonts w:ascii="Arial Narrow" w:hAnsi="Arial Narrow" w:cs="Calibri"/>
                <w:color w:val="000000"/>
                <w:sz w:val="20"/>
                <w:szCs w:val="20"/>
              </w:rPr>
            </w:pPr>
            <w:r w:rsidRPr="002A2441">
              <w:rPr>
                <w:rFonts w:ascii="Arial Narrow" w:hAnsi="Arial Narrow"/>
                <w:sz w:val="20"/>
                <w:szCs w:val="20"/>
              </w:rPr>
              <w:t>10.469</w:t>
            </w:r>
          </w:p>
        </w:tc>
        <w:tc>
          <w:tcPr>
            <w:tcW w:w="1255" w:type="dxa"/>
            <w:vAlign w:val="center"/>
          </w:tcPr>
          <w:p w14:paraId="6E6258C8"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6</w:t>
            </w:r>
          </w:p>
        </w:tc>
        <w:tc>
          <w:tcPr>
            <w:tcW w:w="1249" w:type="dxa"/>
            <w:vAlign w:val="center"/>
          </w:tcPr>
          <w:p w14:paraId="4DF4D6B5" w14:textId="77777777" w:rsidR="00581F6F" w:rsidRPr="002A2441" w:rsidRDefault="00581F6F" w:rsidP="00A54CE8">
            <w:pPr>
              <w:pStyle w:val="Tabletext"/>
              <w:keepNext/>
              <w:widowControl w:val="0"/>
              <w:jc w:val="center"/>
              <w:rPr>
                <w:szCs w:val="20"/>
              </w:rPr>
            </w:pPr>
            <w:r w:rsidRPr="002A2441">
              <w:rPr>
                <w:szCs w:val="20"/>
              </w:rPr>
              <w:t>-57%</w:t>
            </w:r>
          </w:p>
        </w:tc>
      </w:tr>
      <w:tr w:rsidR="00581F6F" w:rsidRPr="00BC31CD" w14:paraId="21297579" w14:textId="77777777" w:rsidTr="00E25376">
        <w:trPr>
          <w:cantSplit/>
          <w:trHeight w:val="129"/>
        </w:trPr>
        <w:tc>
          <w:tcPr>
            <w:tcW w:w="3922" w:type="dxa"/>
            <w:vAlign w:val="center"/>
          </w:tcPr>
          <w:p w14:paraId="0B237983" w14:textId="77777777" w:rsidR="00581F6F" w:rsidRPr="002A2441" w:rsidRDefault="00581F6F" w:rsidP="00A54CE8">
            <w:pPr>
              <w:pStyle w:val="Tabletext"/>
              <w:keepNext/>
              <w:widowControl w:val="0"/>
              <w:tabs>
                <w:tab w:val="left" w:pos="142"/>
              </w:tabs>
            </w:pPr>
            <w:r w:rsidRPr="002A2441">
              <w:tab/>
              <w:t>3 tablets/day</w:t>
            </w:r>
            <w:r w:rsidR="001061A8" w:rsidRPr="002A2441">
              <w:t xml:space="preserve"> (450 mg) </w:t>
            </w:r>
            <w:r w:rsidRPr="002A2441">
              <w:t>from 5 years</w:t>
            </w:r>
          </w:p>
        </w:tc>
        <w:tc>
          <w:tcPr>
            <w:tcW w:w="1275" w:type="dxa"/>
            <w:vAlign w:val="center"/>
          </w:tcPr>
          <w:p w14:paraId="6AF94CE9" w14:textId="77777777" w:rsidR="00581F6F" w:rsidRPr="00AE1A04" w:rsidRDefault="00AE1A04" w:rsidP="00A54CE8">
            <w:pPr>
              <w:keepNext/>
              <w:widowControl w:val="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416" w:type="dxa"/>
            <w:vAlign w:val="center"/>
          </w:tcPr>
          <w:p w14:paraId="79087AEE" w14:textId="77777777" w:rsidR="00581F6F" w:rsidRPr="002A2441" w:rsidRDefault="00581F6F" w:rsidP="00A54CE8">
            <w:pPr>
              <w:keepNext/>
              <w:widowControl w:val="0"/>
              <w:jc w:val="center"/>
              <w:rPr>
                <w:rFonts w:ascii="Arial Narrow" w:hAnsi="Arial Narrow" w:cs="Calibri"/>
                <w:color w:val="000000"/>
                <w:sz w:val="20"/>
                <w:szCs w:val="20"/>
              </w:rPr>
            </w:pPr>
            <w:r w:rsidRPr="002A2441">
              <w:rPr>
                <w:rFonts w:ascii="Arial Narrow" w:hAnsi="Arial Narrow"/>
                <w:sz w:val="20"/>
                <w:szCs w:val="20"/>
              </w:rPr>
              <w:t>10.469</w:t>
            </w:r>
          </w:p>
        </w:tc>
        <w:tc>
          <w:tcPr>
            <w:tcW w:w="1255" w:type="dxa"/>
            <w:vAlign w:val="center"/>
          </w:tcPr>
          <w:p w14:paraId="5560F911"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4</w:t>
            </w:r>
          </w:p>
        </w:tc>
        <w:tc>
          <w:tcPr>
            <w:tcW w:w="1249" w:type="dxa"/>
            <w:vAlign w:val="center"/>
          </w:tcPr>
          <w:p w14:paraId="043FDDB7" w14:textId="77777777" w:rsidR="00581F6F" w:rsidRPr="002A2441" w:rsidRDefault="00581F6F" w:rsidP="00A54CE8">
            <w:pPr>
              <w:pStyle w:val="Tabletext"/>
              <w:keepNext/>
              <w:widowControl w:val="0"/>
              <w:jc w:val="center"/>
              <w:rPr>
                <w:szCs w:val="20"/>
              </w:rPr>
            </w:pPr>
            <w:r w:rsidRPr="002A2441">
              <w:rPr>
                <w:szCs w:val="20"/>
              </w:rPr>
              <w:t>-24%</w:t>
            </w:r>
          </w:p>
        </w:tc>
      </w:tr>
      <w:tr w:rsidR="00581F6F" w:rsidRPr="00BC31CD" w14:paraId="0A40FBBB" w14:textId="77777777" w:rsidTr="00E25376">
        <w:trPr>
          <w:cantSplit/>
          <w:trHeight w:val="129"/>
        </w:trPr>
        <w:tc>
          <w:tcPr>
            <w:tcW w:w="3922" w:type="dxa"/>
            <w:vAlign w:val="center"/>
          </w:tcPr>
          <w:p w14:paraId="4E8C5B14" w14:textId="77777777" w:rsidR="00581F6F" w:rsidRPr="002A2441" w:rsidRDefault="00581F6F" w:rsidP="00A54CE8">
            <w:pPr>
              <w:pStyle w:val="Tabletext"/>
              <w:keepNext/>
              <w:widowControl w:val="0"/>
              <w:tabs>
                <w:tab w:val="left" w:pos="142"/>
              </w:tabs>
            </w:pPr>
            <w:r w:rsidRPr="002A2441">
              <w:tab/>
              <w:t>1 tablet/day</w:t>
            </w:r>
            <w:r w:rsidR="001061A8" w:rsidRPr="002A2441">
              <w:t xml:space="preserve"> (150 mg)</w:t>
            </w:r>
            <w:r w:rsidRPr="002A2441">
              <w:t xml:space="preserve"> from 10 years</w:t>
            </w:r>
          </w:p>
        </w:tc>
        <w:tc>
          <w:tcPr>
            <w:tcW w:w="1275" w:type="dxa"/>
            <w:vAlign w:val="center"/>
          </w:tcPr>
          <w:p w14:paraId="798EE9FA" w14:textId="77777777" w:rsidR="00581F6F" w:rsidRPr="00AE1A04" w:rsidRDefault="00AE1A04" w:rsidP="00A54CE8">
            <w:pPr>
              <w:keepNext/>
              <w:widowControl w:val="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416" w:type="dxa"/>
            <w:vAlign w:val="center"/>
          </w:tcPr>
          <w:p w14:paraId="7AB3023E" w14:textId="77777777" w:rsidR="00581F6F" w:rsidRPr="002A2441" w:rsidRDefault="00581F6F" w:rsidP="00A54CE8">
            <w:pPr>
              <w:keepNext/>
              <w:widowControl w:val="0"/>
              <w:jc w:val="center"/>
              <w:rPr>
                <w:rFonts w:ascii="Arial Narrow" w:hAnsi="Arial Narrow" w:cs="Calibri"/>
                <w:color w:val="000000"/>
                <w:sz w:val="20"/>
                <w:szCs w:val="20"/>
              </w:rPr>
            </w:pPr>
            <w:r w:rsidRPr="002A2441">
              <w:rPr>
                <w:rFonts w:ascii="Arial Narrow" w:hAnsi="Arial Narrow"/>
                <w:sz w:val="20"/>
                <w:szCs w:val="20"/>
              </w:rPr>
              <w:t>10.469</w:t>
            </w:r>
          </w:p>
        </w:tc>
        <w:tc>
          <w:tcPr>
            <w:tcW w:w="1255" w:type="dxa"/>
            <w:vAlign w:val="center"/>
          </w:tcPr>
          <w:p w14:paraId="406A106A"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5</w:t>
            </w:r>
          </w:p>
        </w:tc>
        <w:tc>
          <w:tcPr>
            <w:tcW w:w="1249" w:type="dxa"/>
            <w:vAlign w:val="center"/>
          </w:tcPr>
          <w:p w14:paraId="40049124" w14:textId="77777777" w:rsidR="00581F6F" w:rsidRPr="002A2441" w:rsidRDefault="00581F6F" w:rsidP="00A54CE8">
            <w:pPr>
              <w:pStyle w:val="Tabletext"/>
              <w:keepNext/>
              <w:widowControl w:val="0"/>
              <w:jc w:val="center"/>
              <w:rPr>
                <w:szCs w:val="20"/>
              </w:rPr>
            </w:pPr>
            <w:r w:rsidRPr="002A2441">
              <w:rPr>
                <w:szCs w:val="20"/>
              </w:rPr>
              <w:t>-43%</w:t>
            </w:r>
          </w:p>
        </w:tc>
      </w:tr>
      <w:tr w:rsidR="00581F6F" w:rsidRPr="00BC31CD" w14:paraId="33102287" w14:textId="77777777" w:rsidTr="00E25376">
        <w:trPr>
          <w:cantSplit/>
          <w:trHeight w:val="129"/>
        </w:trPr>
        <w:tc>
          <w:tcPr>
            <w:tcW w:w="3922" w:type="dxa"/>
            <w:vAlign w:val="center"/>
          </w:tcPr>
          <w:p w14:paraId="7A05ECC1" w14:textId="77777777" w:rsidR="00581F6F" w:rsidRPr="002A2441" w:rsidRDefault="00581F6F" w:rsidP="00A54CE8">
            <w:pPr>
              <w:pStyle w:val="Tabletext"/>
              <w:keepNext/>
              <w:widowControl w:val="0"/>
              <w:tabs>
                <w:tab w:val="left" w:pos="142"/>
              </w:tabs>
            </w:pPr>
            <w:r w:rsidRPr="002A2441">
              <w:tab/>
              <w:t xml:space="preserve">3 tablets/day </w:t>
            </w:r>
            <w:r w:rsidR="001061A8" w:rsidRPr="002A2441">
              <w:t xml:space="preserve">(450 mg) </w:t>
            </w:r>
            <w:r w:rsidRPr="002A2441">
              <w:t>from 10 years</w:t>
            </w:r>
          </w:p>
        </w:tc>
        <w:tc>
          <w:tcPr>
            <w:tcW w:w="1275" w:type="dxa"/>
            <w:vAlign w:val="center"/>
          </w:tcPr>
          <w:p w14:paraId="50588E51" w14:textId="77777777" w:rsidR="00581F6F" w:rsidRPr="00AE1A04" w:rsidRDefault="00AE1A04" w:rsidP="00A54CE8">
            <w:pPr>
              <w:keepNext/>
              <w:widowControl w:val="0"/>
              <w:jc w:val="center"/>
              <w:rPr>
                <w:rFonts w:ascii="Arial Narrow" w:hAnsi="Arial Narrow" w:cs="Calibri"/>
                <w:color w:val="000000"/>
                <w:sz w:val="20"/>
                <w:szCs w:val="20"/>
                <w:highlight w:val="black"/>
              </w:rPr>
            </w:pPr>
            <w:r>
              <w:rPr>
                <w:rFonts w:ascii="Arial Narrow" w:hAnsi="Arial Narrow"/>
                <w:noProof/>
                <w:color w:val="000000"/>
                <w:sz w:val="20"/>
                <w:szCs w:val="20"/>
                <w:highlight w:val="black"/>
              </w:rPr>
              <w:t>'''''''''''''''''''''''''''</w:t>
            </w:r>
          </w:p>
        </w:tc>
        <w:tc>
          <w:tcPr>
            <w:tcW w:w="1416" w:type="dxa"/>
            <w:vAlign w:val="center"/>
          </w:tcPr>
          <w:p w14:paraId="705889F9" w14:textId="77777777" w:rsidR="00581F6F" w:rsidRPr="002A2441" w:rsidRDefault="00581F6F" w:rsidP="00A54CE8">
            <w:pPr>
              <w:keepNext/>
              <w:widowControl w:val="0"/>
              <w:jc w:val="center"/>
              <w:rPr>
                <w:rFonts w:ascii="Arial Narrow" w:hAnsi="Arial Narrow" w:cs="Calibri"/>
                <w:color w:val="000000"/>
                <w:sz w:val="20"/>
                <w:szCs w:val="20"/>
              </w:rPr>
            </w:pPr>
            <w:r w:rsidRPr="002A2441">
              <w:rPr>
                <w:rFonts w:ascii="Arial Narrow" w:hAnsi="Arial Narrow"/>
                <w:sz w:val="20"/>
                <w:szCs w:val="20"/>
              </w:rPr>
              <w:t>10.469</w:t>
            </w:r>
          </w:p>
        </w:tc>
        <w:tc>
          <w:tcPr>
            <w:tcW w:w="1255" w:type="dxa"/>
            <w:vAlign w:val="center"/>
          </w:tcPr>
          <w:p w14:paraId="0FB1F96A" w14:textId="77777777" w:rsidR="00581F6F"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4</w:t>
            </w:r>
          </w:p>
        </w:tc>
        <w:tc>
          <w:tcPr>
            <w:tcW w:w="1249" w:type="dxa"/>
            <w:vAlign w:val="center"/>
          </w:tcPr>
          <w:p w14:paraId="39BA16F9" w14:textId="77777777" w:rsidR="00581F6F" w:rsidRPr="002A2441" w:rsidRDefault="00581F6F" w:rsidP="00A54CE8">
            <w:pPr>
              <w:pStyle w:val="Tabletext"/>
              <w:keepNext/>
              <w:widowControl w:val="0"/>
              <w:jc w:val="center"/>
              <w:rPr>
                <w:szCs w:val="20"/>
              </w:rPr>
            </w:pPr>
            <w:r w:rsidRPr="002A2441">
              <w:rPr>
                <w:szCs w:val="20"/>
              </w:rPr>
              <w:t>-18%</w:t>
            </w:r>
          </w:p>
        </w:tc>
      </w:tr>
      <w:tr w:rsidR="00BB4966" w:rsidRPr="00BC31CD" w14:paraId="3CCA72F7" w14:textId="77777777" w:rsidTr="000D387E">
        <w:trPr>
          <w:cantSplit/>
          <w:trHeight w:val="129"/>
        </w:trPr>
        <w:tc>
          <w:tcPr>
            <w:tcW w:w="9117" w:type="dxa"/>
            <w:gridSpan w:val="5"/>
            <w:vAlign w:val="center"/>
          </w:tcPr>
          <w:p w14:paraId="0D09673E" w14:textId="77777777" w:rsidR="00BB4966" w:rsidRPr="002A2441" w:rsidRDefault="00BB4966" w:rsidP="00BB4966">
            <w:pPr>
              <w:pStyle w:val="Tabletext"/>
              <w:keepNext/>
              <w:widowControl w:val="0"/>
              <w:rPr>
                <w:szCs w:val="20"/>
              </w:rPr>
            </w:pPr>
            <w:r w:rsidRPr="002A2441">
              <w:t>DPMQ of trientine (base case: $</w:t>
            </w:r>
            <w:r w:rsidR="00AE1A04">
              <w:rPr>
                <w:noProof/>
                <w:color w:val="000000"/>
                <w:highlight w:val="black"/>
              </w:rPr>
              <w:t>'''''''''''''''''''</w:t>
            </w:r>
            <w:r w:rsidRPr="002A2441">
              <w:t>)</w:t>
            </w:r>
          </w:p>
        </w:tc>
      </w:tr>
      <w:tr w:rsidR="00BB4966" w:rsidRPr="00BC31CD" w14:paraId="0FAF1DCB" w14:textId="77777777" w:rsidTr="00E25376">
        <w:trPr>
          <w:cantSplit/>
          <w:trHeight w:val="129"/>
        </w:trPr>
        <w:tc>
          <w:tcPr>
            <w:tcW w:w="3922" w:type="dxa"/>
            <w:vAlign w:val="center"/>
          </w:tcPr>
          <w:p w14:paraId="3DA94579" w14:textId="78D4DBE5" w:rsidR="00BB4966" w:rsidRPr="002A2441" w:rsidRDefault="00BB4966" w:rsidP="00A54CE8">
            <w:pPr>
              <w:pStyle w:val="Tabletext"/>
              <w:keepNext/>
              <w:widowControl w:val="0"/>
              <w:tabs>
                <w:tab w:val="left" w:pos="142"/>
              </w:tabs>
            </w:pPr>
            <w:r w:rsidRPr="002A2441">
              <w:t>DPMQ = $</w:t>
            </w:r>
            <w:r w:rsidR="00AE1A04">
              <w:rPr>
                <w:noProof/>
                <w:color w:val="000000"/>
                <w:highlight w:val="black"/>
              </w:rPr>
              <w:t>''''''''''''''</w:t>
            </w:r>
          </w:p>
        </w:tc>
        <w:tc>
          <w:tcPr>
            <w:tcW w:w="1275" w:type="dxa"/>
            <w:vAlign w:val="center"/>
          </w:tcPr>
          <w:p w14:paraId="21DB0156" w14:textId="77777777" w:rsidR="00BB4966" w:rsidRPr="00AE1A04" w:rsidRDefault="00AE1A04" w:rsidP="00A54CE8">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6" w:type="dxa"/>
            <w:vAlign w:val="center"/>
          </w:tcPr>
          <w:p w14:paraId="69CEF391" w14:textId="77777777" w:rsidR="00BB4966" w:rsidRPr="002A2441" w:rsidRDefault="00BB4966" w:rsidP="00A54CE8">
            <w:pPr>
              <w:keepNext/>
              <w:widowControl w:val="0"/>
              <w:jc w:val="center"/>
              <w:rPr>
                <w:rFonts w:ascii="Arial Narrow" w:hAnsi="Arial Narrow"/>
                <w:sz w:val="20"/>
                <w:szCs w:val="20"/>
              </w:rPr>
            </w:pPr>
            <w:r w:rsidRPr="002A2441">
              <w:rPr>
                <w:rFonts w:ascii="Arial Narrow" w:hAnsi="Arial Narrow"/>
                <w:sz w:val="20"/>
                <w:szCs w:val="20"/>
              </w:rPr>
              <w:t>10.469</w:t>
            </w:r>
          </w:p>
        </w:tc>
        <w:tc>
          <w:tcPr>
            <w:tcW w:w="1255" w:type="dxa"/>
            <w:vAlign w:val="center"/>
          </w:tcPr>
          <w:p w14:paraId="4362EBC6" w14:textId="77777777" w:rsidR="00BB4966"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2</w:t>
            </w:r>
          </w:p>
        </w:tc>
        <w:tc>
          <w:tcPr>
            <w:tcW w:w="1249" w:type="dxa"/>
            <w:vAlign w:val="center"/>
          </w:tcPr>
          <w:p w14:paraId="44FBEC90" w14:textId="77777777" w:rsidR="00BB4966" w:rsidRPr="002A2441" w:rsidRDefault="00B706D8" w:rsidP="00A54CE8">
            <w:pPr>
              <w:pStyle w:val="Tabletext"/>
              <w:keepNext/>
              <w:widowControl w:val="0"/>
              <w:jc w:val="center"/>
              <w:rPr>
                <w:szCs w:val="20"/>
              </w:rPr>
            </w:pPr>
            <w:r w:rsidRPr="002A2441">
              <w:rPr>
                <w:szCs w:val="20"/>
              </w:rPr>
              <w:t>-13%</w:t>
            </w:r>
          </w:p>
        </w:tc>
      </w:tr>
      <w:tr w:rsidR="00BB4966" w:rsidRPr="00BC31CD" w14:paraId="2C16BC50" w14:textId="77777777" w:rsidTr="00E25376">
        <w:trPr>
          <w:cantSplit/>
          <w:trHeight w:val="129"/>
        </w:trPr>
        <w:tc>
          <w:tcPr>
            <w:tcW w:w="3922" w:type="dxa"/>
            <w:vAlign w:val="center"/>
          </w:tcPr>
          <w:p w14:paraId="4C16A12E" w14:textId="105AC9B1" w:rsidR="00BB4966" w:rsidRPr="002A2441" w:rsidRDefault="00BB4966" w:rsidP="00A54CE8">
            <w:pPr>
              <w:pStyle w:val="Tabletext"/>
              <w:keepNext/>
              <w:widowControl w:val="0"/>
              <w:tabs>
                <w:tab w:val="left" w:pos="142"/>
              </w:tabs>
            </w:pPr>
            <w:r w:rsidRPr="002A2441">
              <w:t>DPMQ = $</w:t>
            </w:r>
            <w:r w:rsidR="00AE1A04">
              <w:rPr>
                <w:noProof/>
                <w:color w:val="000000"/>
                <w:highlight w:val="black"/>
              </w:rPr>
              <w:t>''''''''''''''</w:t>
            </w:r>
          </w:p>
        </w:tc>
        <w:tc>
          <w:tcPr>
            <w:tcW w:w="1275" w:type="dxa"/>
            <w:vAlign w:val="center"/>
          </w:tcPr>
          <w:p w14:paraId="1B32308A" w14:textId="77777777" w:rsidR="00BB4966" w:rsidRPr="00AE1A04" w:rsidRDefault="00AE1A04" w:rsidP="00A54CE8">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6" w:type="dxa"/>
            <w:vAlign w:val="center"/>
          </w:tcPr>
          <w:p w14:paraId="6F7CD4E7" w14:textId="77777777" w:rsidR="00BB4966" w:rsidRPr="002A2441" w:rsidRDefault="00BB4966" w:rsidP="00A54CE8">
            <w:pPr>
              <w:keepNext/>
              <w:widowControl w:val="0"/>
              <w:jc w:val="center"/>
              <w:rPr>
                <w:rFonts w:ascii="Arial Narrow" w:hAnsi="Arial Narrow"/>
                <w:sz w:val="20"/>
                <w:szCs w:val="20"/>
              </w:rPr>
            </w:pPr>
            <w:r w:rsidRPr="002A2441">
              <w:rPr>
                <w:rFonts w:ascii="Arial Narrow" w:hAnsi="Arial Narrow"/>
                <w:sz w:val="20"/>
                <w:szCs w:val="20"/>
              </w:rPr>
              <w:t>10.469</w:t>
            </w:r>
          </w:p>
        </w:tc>
        <w:tc>
          <w:tcPr>
            <w:tcW w:w="1255" w:type="dxa"/>
            <w:vAlign w:val="center"/>
          </w:tcPr>
          <w:p w14:paraId="230099A8" w14:textId="77777777" w:rsidR="00BB4966"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5</w:t>
            </w:r>
          </w:p>
        </w:tc>
        <w:tc>
          <w:tcPr>
            <w:tcW w:w="1249" w:type="dxa"/>
            <w:vAlign w:val="center"/>
          </w:tcPr>
          <w:p w14:paraId="69137FB2" w14:textId="77777777" w:rsidR="00BB4966" w:rsidRPr="002A2441" w:rsidRDefault="00B706D8" w:rsidP="00A54CE8">
            <w:pPr>
              <w:pStyle w:val="Tabletext"/>
              <w:keepNext/>
              <w:widowControl w:val="0"/>
              <w:jc w:val="center"/>
              <w:rPr>
                <w:szCs w:val="20"/>
              </w:rPr>
            </w:pPr>
            <w:r w:rsidRPr="002A2441">
              <w:rPr>
                <w:szCs w:val="20"/>
              </w:rPr>
              <w:t>-33%</w:t>
            </w:r>
          </w:p>
        </w:tc>
      </w:tr>
      <w:tr w:rsidR="00BB4966" w:rsidRPr="00BC31CD" w14:paraId="6D1FCC9C" w14:textId="77777777" w:rsidTr="00E25376">
        <w:trPr>
          <w:cantSplit/>
          <w:trHeight w:val="129"/>
        </w:trPr>
        <w:tc>
          <w:tcPr>
            <w:tcW w:w="3922" w:type="dxa"/>
            <w:vAlign w:val="center"/>
          </w:tcPr>
          <w:p w14:paraId="7F430B12" w14:textId="20ACAF72" w:rsidR="00BB4966" w:rsidRPr="002A2441" w:rsidRDefault="00BB4966" w:rsidP="00A54CE8">
            <w:pPr>
              <w:pStyle w:val="Tabletext"/>
              <w:keepNext/>
              <w:widowControl w:val="0"/>
              <w:tabs>
                <w:tab w:val="left" w:pos="142"/>
              </w:tabs>
            </w:pPr>
            <w:r w:rsidRPr="002A2441">
              <w:t>DPMQ = $</w:t>
            </w:r>
            <w:r w:rsidR="00AE1A04">
              <w:rPr>
                <w:noProof/>
                <w:color w:val="000000"/>
                <w:highlight w:val="black"/>
              </w:rPr>
              <w:t>'''''''''''''</w:t>
            </w:r>
          </w:p>
        </w:tc>
        <w:tc>
          <w:tcPr>
            <w:tcW w:w="1275" w:type="dxa"/>
            <w:vAlign w:val="center"/>
          </w:tcPr>
          <w:p w14:paraId="4A0CB2B7" w14:textId="77777777" w:rsidR="00BB4966" w:rsidRPr="00AE1A04" w:rsidRDefault="00AE1A04" w:rsidP="00A54CE8">
            <w:pPr>
              <w:keepNext/>
              <w:widowControl w:val="0"/>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416" w:type="dxa"/>
            <w:vAlign w:val="center"/>
          </w:tcPr>
          <w:p w14:paraId="6430F603" w14:textId="77777777" w:rsidR="00BB4966" w:rsidRPr="002A2441" w:rsidRDefault="00BB4966" w:rsidP="00A54CE8">
            <w:pPr>
              <w:keepNext/>
              <w:widowControl w:val="0"/>
              <w:jc w:val="center"/>
              <w:rPr>
                <w:rFonts w:ascii="Arial Narrow" w:hAnsi="Arial Narrow"/>
                <w:sz w:val="20"/>
                <w:szCs w:val="20"/>
              </w:rPr>
            </w:pPr>
            <w:r w:rsidRPr="002A2441">
              <w:rPr>
                <w:rFonts w:ascii="Arial Narrow" w:hAnsi="Arial Narrow"/>
                <w:sz w:val="20"/>
                <w:szCs w:val="20"/>
              </w:rPr>
              <w:t>10.469</w:t>
            </w:r>
          </w:p>
        </w:tc>
        <w:tc>
          <w:tcPr>
            <w:tcW w:w="1255" w:type="dxa"/>
            <w:vAlign w:val="center"/>
          </w:tcPr>
          <w:p w14:paraId="455AC1A2" w14:textId="77777777" w:rsidR="00BB4966" w:rsidRPr="00AE1A04" w:rsidRDefault="00AE1A04" w:rsidP="00A54CE8">
            <w:pPr>
              <w:pStyle w:val="Tabletext"/>
              <w:keepNext/>
              <w:widowControl w:val="0"/>
              <w:jc w:val="center"/>
              <w:rPr>
                <w:szCs w:val="20"/>
              </w:rPr>
            </w:pPr>
            <w:r>
              <w:rPr>
                <w:noProof/>
                <w:color w:val="000000"/>
                <w:szCs w:val="20"/>
                <w:highlight w:val="black"/>
              </w:rPr>
              <w:t>''''''''''''''''''</w:t>
            </w:r>
            <w:r w:rsidR="00725634" w:rsidRPr="002A2441">
              <w:rPr>
                <w:sz w:val="18"/>
                <w:szCs w:val="18"/>
                <w:vertAlign w:val="superscript"/>
              </w:rPr>
              <w:t>6</w:t>
            </w:r>
          </w:p>
        </w:tc>
        <w:tc>
          <w:tcPr>
            <w:tcW w:w="1249" w:type="dxa"/>
            <w:vAlign w:val="center"/>
          </w:tcPr>
          <w:p w14:paraId="45C336F2" w14:textId="77777777" w:rsidR="00BB4966" w:rsidRPr="002A2441" w:rsidRDefault="00B706D8" w:rsidP="00A54CE8">
            <w:pPr>
              <w:pStyle w:val="Tabletext"/>
              <w:keepNext/>
              <w:widowControl w:val="0"/>
              <w:jc w:val="center"/>
              <w:rPr>
                <w:szCs w:val="20"/>
              </w:rPr>
            </w:pPr>
            <w:r w:rsidRPr="002A2441">
              <w:rPr>
                <w:szCs w:val="20"/>
              </w:rPr>
              <w:t>-53%</w:t>
            </w:r>
          </w:p>
        </w:tc>
      </w:tr>
    </w:tbl>
    <w:p w14:paraId="77F96FAF" w14:textId="77777777" w:rsidR="00581F6F" w:rsidRPr="00BC31CD" w:rsidRDefault="00581F6F" w:rsidP="00581F6F">
      <w:pPr>
        <w:pStyle w:val="TableFooter"/>
        <w:keepNext/>
        <w:keepLines/>
      </w:pPr>
      <w:r w:rsidRPr="00BC31CD">
        <w:t>Source: Table 3-26 to 3-35, p132-137 of the submission.</w:t>
      </w:r>
    </w:p>
    <w:p w14:paraId="373E85E2" w14:textId="77777777" w:rsidR="00581F6F" w:rsidRDefault="00581F6F" w:rsidP="00581F6F">
      <w:pPr>
        <w:rPr>
          <w:rFonts w:ascii="Arial Narrow" w:hAnsi="Arial Narrow"/>
          <w:sz w:val="18"/>
          <w:szCs w:val="18"/>
        </w:rPr>
      </w:pPr>
      <w:r w:rsidRPr="00BC31CD">
        <w:rPr>
          <w:rFonts w:ascii="Arial Narrow" w:hAnsi="Arial Narrow"/>
          <w:sz w:val="18"/>
          <w:szCs w:val="18"/>
        </w:rPr>
        <w:t>4HCl = tetrahydrochloride; AE = adverse event;</w:t>
      </w:r>
      <w:r w:rsidR="00B706D8" w:rsidRPr="00BC31CD">
        <w:rPr>
          <w:rFonts w:ascii="Arial Narrow" w:hAnsi="Arial Narrow"/>
          <w:sz w:val="18"/>
          <w:szCs w:val="18"/>
        </w:rPr>
        <w:t xml:space="preserve"> DPMQ = dispensed price for maximum quantity;</w:t>
      </w:r>
      <w:r w:rsidRPr="00BC31CD">
        <w:rPr>
          <w:rFonts w:ascii="Arial Narrow" w:hAnsi="Arial Narrow"/>
          <w:sz w:val="18"/>
          <w:szCs w:val="18"/>
        </w:rPr>
        <w:t xml:space="preserve"> HR = hazard ratio; </w:t>
      </w:r>
      <w:r w:rsidR="00180B51" w:rsidRPr="00BC31CD">
        <w:rPr>
          <w:rFonts w:ascii="Arial Narrow" w:hAnsi="Arial Narrow"/>
          <w:sz w:val="18"/>
          <w:szCs w:val="18"/>
        </w:rPr>
        <w:t xml:space="preserve">ICER = incremental cost effectiveness ratio; </w:t>
      </w:r>
      <w:r w:rsidRPr="00BC31CD">
        <w:rPr>
          <w:rFonts w:ascii="Arial Narrow" w:hAnsi="Arial Narrow"/>
          <w:sz w:val="18"/>
          <w:szCs w:val="18"/>
        </w:rPr>
        <w:t xml:space="preserve">OR = odds ratio; </w:t>
      </w:r>
      <w:r w:rsidR="00180B51" w:rsidRPr="00BC31CD">
        <w:rPr>
          <w:rFonts w:ascii="Arial Narrow" w:hAnsi="Arial Narrow"/>
          <w:sz w:val="18"/>
          <w:szCs w:val="18"/>
        </w:rPr>
        <w:t xml:space="preserve">QALY = quality adjusted life year; </w:t>
      </w:r>
      <w:r w:rsidRPr="00BC31CD">
        <w:rPr>
          <w:rFonts w:ascii="Arial Narrow" w:hAnsi="Arial Narrow"/>
          <w:sz w:val="18"/>
          <w:szCs w:val="18"/>
        </w:rPr>
        <w:t xml:space="preserve">WD = Wilson </w:t>
      </w:r>
      <w:r w:rsidR="00B7789C" w:rsidRPr="00BC31CD">
        <w:rPr>
          <w:rFonts w:ascii="Arial Narrow" w:hAnsi="Arial Narrow"/>
          <w:sz w:val="18"/>
          <w:szCs w:val="18"/>
        </w:rPr>
        <w:t>D</w:t>
      </w:r>
      <w:r w:rsidRPr="00BC31CD">
        <w:rPr>
          <w:rFonts w:ascii="Arial Narrow" w:hAnsi="Arial Narrow"/>
          <w:sz w:val="18"/>
          <w:szCs w:val="18"/>
        </w:rPr>
        <w:t>isease</w:t>
      </w:r>
    </w:p>
    <w:p w14:paraId="74A30BEF" w14:textId="77777777" w:rsidR="006767C6" w:rsidRPr="00725634" w:rsidRDefault="006767C6" w:rsidP="00581F6F">
      <w:pPr>
        <w:rPr>
          <w:rFonts w:ascii="Arial Narrow" w:hAnsi="Arial Narrow"/>
          <w:i/>
          <w:sz w:val="18"/>
          <w:szCs w:val="18"/>
        </w:rPr>
      </w:pPr>
      <w:r w:rsidRPr="00725634">
        <w:rPr>
          <w:rFonts w:ascii="Arial Narrow" w:hAnsi="Arial Narrow"/>
          <w:i/>
          <w:sz w:val="18"/>
          <w:szCs w:val="18"/>
        </w:rPr>
        <w:t>The redacted values correspond to the following ranges:</w:t>
      </w:r>
    </w:p>
    <w:p w14:paraId="2E0DD20D" w14:textId="77777777" w:rsidR="006767C6" w:rsidRPr="00725634" w:rsidRDefault="006767C6" w:rsidP="00725634">
      <w:pPr>
        <w:tabs>
          <w:tab w:val="left" w:pos="1609"/>
        </w:tabs>
        <w:rPr>
          <w:rFonts w:ascii="Arial Narrow" w:hAnsi="Arial Narrow"/>
          <w:i/>
          <w:sz w:val="18"/>
          <w:szCs w:val="18"/>
        </w:rPr>
      </w:pPr>
      <w:r w:rsidRPr="00725634">
        <w:rPr>
          <w:rFonts w:ascii="Arial Narrow" w:hAnsi="Arial Narrow"/>
          <w:i/>
          <w:sz w:val="18"/>
          <w:szCs w:val="18"/>
          <w:vertAlign w:val="superscript"/>
        </w:rPr>
        <w:t>1</w:t>
      </w:r>
      <w:r w:rsidRPr="00725634">
        <w:rPr>
          <w:rFonts w:ascii="Arial Narrow" w:hAnsi="Arial Narrow"/>
          <w:i/>
          <w:sz w:val="18"/>
          <w:szCs w:val="18"/>
        </w:rPr>
        <w:t xml:space="preserve"> </w:t>
      </w:r>
      <w:r w:rsidR="00725634" w:rsidRPr="00725634">
        <w:rPr>
          <w:rFonts w:ascii="Arial Narrow" w:hAnsi="Arial Narrow"/>
          <w:i/>
          <w:sz w:val="18"/>
          <w:szCs w:val="18"/>
        </w:rPr>
        <w:t>$135,000 to &lt; $155,000</w:t>
      </w:r>
    </w:p>
    <w:p w14:paraId="63400ADF" w14:textId="77777777" w:rsidR="00725634" w:rsidRPr="00725634" w:rsidRDefault="00725634" w:rsidP="00725634">
      <w:pPr>
        <w:tabs>
          <w:tab w:val="left" w:pos="1609"/>
        </w:tabs>
        <w:rPr>
          <w:rFonts w:ascii="Arial Narrow" w:hAnsi="Arial Narrow"/>
          <w:i/>
          <w:sz w:val="18"/>
          <w:szCs w:val="18"/>
        </w:rPr>
      </w:pPr>
      <w:r w:rsidRPr="00725634">
        <w:rPr>
          <w:rFonts w:ascii="Arial Narrow" w:hAnsi="Arial Narrow"/>
          <w:i/>
          <w:sz w:val="18"/>
          <w:szCs w:val="18"/>
          <w:vertAlign w:val="superscript"/>
        </w:rPr>
        <w:t>2</w:t>
      </w:r>
      <w:r w:rsidRPr="00725634">
        <w:rPr>
          <w:rFonts w:ascii="Arial Narrow" w:hAnsi="Arial Narrow"/>
          <w:i/>
          <w:sz w:val="18"/>
          <w:szCs w:val="18"/>
        </w:rPr>
        <w:t xml:space="preserve"> $115,000 to &lt; 135,000</w:t>
      </w:r>
    </w:p>
    <w:p w14:paraId="2AEDF829" w14:textId="77777777" w:rsidR="00725634" w:rsidRPr="00725634" w:rsidRDefault="00725634" w:rsidP="00725634">
      <w:pPr>
        <w:tabs>
          <w:tab w:val="left" w:pos="1609"/>
        </w:tabs>
        <w:rPr>
          <w:rFonts w:ascii="Arial Narrow" w:hAnsi="Arial Narrow"/>
          <w:i/>
          <w:sz w:val="18"/>
          <w:szCs w:val="18"/>
        </w:rPr>
      </w:pPr>
      <w:r w:rsidRPr="00725634">
        <w:rPr>
          <w:rFonts w:ascii="Arial Narrow" w:hAnsi="Arial Narrow"/>
          <w:i/>
          <w:sz w:val="18"/>
          <w:szCs w:val="18"/>
          <w:vertAlign w:val="superscript"/>
        </w:rPr>
        <w:t>3</w:t>
      </w:r>
      <w:r w:rsidRPr="00725634">
        <w:rPr>
          <w:rFonts w:ascii="Arial Narrow" w:hAnsi="Arial Narrow"/>
          <w:i/>
          <w:sz w:val="18"/>
          <w:szCs w:val="18"/>
        </w:rPr>
        <w:t xml:space="preserve"> $155,000 to &lt; $255,000</w:t>
      </w:r>
    </w:p>
    <w:p w14:paraId="06560CFF" w14:textId="77777777" w:rsidR="00725634" w:rsidRPr="00725634" w:rsidRDefault="00725634" w:rsidP="00725634">
      <w:pPr>
        <w:tabs>
          <w:tab w:val="left" w:pos="1609"/>
        </w:tabs>
        <w:rPr>
          <w:rFonts w:ascii="Arial Narrow" w:hAnsi="Arial Narrow"/>
          <w:i/>
          <w:sz w:val="18"/>
          <w:szCs w:val="18"/>
        </w:rPr>
      </w:pPr>
      <w:r w:rsidRPr="00725634">
        <w:rPr>
          <w:rFonts w:ascii="Arial Narrow" w:hAnsi="Arial Narrow"/>
          <w:i/>
          <w:sz w:val="18"/>
          <w:szCs w:val="18"/>
          <w:vertAlign w:val="superscript"/>
        </w:rPr>
        <w:t>4</w:t>
      </w:r>
      <w:r w:rsidRPr="00725634">
        <w:rPr>
          <w:rFonts w:ascii="Arial Narrow" w:hAnsi="Arial Narrow"/>
          <w:i/>
          <w:sz w:val="18"/>
          <w:szCs w:val="18"/>
        </w:rPr>
        <w:t xml:space="preserve"> $95,000 to &lt; $115,000</w:t>
      </w:r>
    </w:p>
    <w:p w14:paraId="2E3D4CC8" w14:textId="77777777" w:rsidR="00725634" w:rsidRPr="00725634" w:rsidRDefault="00725634" w:rsidP="00725634">
      <w:pPr>
        <w:tabs>
          <w:tab w:val="left" w:pos="1609"/>
        </w:tabs>
        <w:rPr>
          <w:rFonts w:ascii="Arial Narrow" w:hAnsi="Arial Narrow"/>
          <w:i/>
          <w:sz w:val="18"/>
          <w:szCs w:val="18"/>
        </w:rPr>
      </w:pPr>
      <w:r w:rsidRPr="00725634">
        <w:rPr>
          <w:rFonts w:ascii="Arial Narrow" w:hAnsi="Arial Narrow"/>
          <w:i/>
          <w:sz w:val="18"/>
          <w:szCs w:val="18"/>
          <w:vertAlign w:val="superscript"/>
        </w:rPr>
        <w:t>5</w:t>
      </w:r>
      <w:r w:rsidRPr="00725634">
        <w:rPr>
          <w:rFonts w:ascii="Arial Narrow" w:hAnsi="Arial Narrow"/>
          <w:i/>
          <w:sz w:val="18"/>
          <w:szCs w:val="18"/>
        </w:rPr>
        <w:t xml:space="preserve"> $75,000 to &lt; $95,000</w:t>
      </w:r>
    </w:p>
    <w:p w14:paraId="00B76CB4" w14:textId="77777777" w:rsidR="00725634" w:rsidRPr="00725634" w:rsidRDefault="00725634" w:rsidP="00725634">
      <w:pPr>
        <w:tabs>
          <w:tab w:val="left" w:pos="1609"/>
        </w:tabs>
        <w:rPr>
          <w:rFonts w:ascii="Arial Narrow" w:hAnsi="Arial Narrow"/>
          <w:i/>
          <w:sz w:val="18"/>
          <w:szCs w:val="18"/>
        </w:rPr>
      </w:pPr>
      <w:r w:rsidRPr="00725634">
        <w:rPr>
          <w:rFonts w:ascii="Arial Narrow" w:hAnsi="Arial Narrow"/>
          <w:i/>
          <w:sz w:val="18"/>
          <w:szCs w:val="18"/>
          <w:vertAlign w:val="superscript"/>
        </w:rPr>
        <w:t>6</w:t>
      </w:r>
      <w:r w:rsidRPr="00725634">
        <w:rPr>
          <w:rFonts w:ascii="Arial Narrow" w:hAnsi="Arial Narrow"/>
          <w:i/>
          <w:sz w:val="18"/>
          <w:szCs w:val="18"/>
        </w:rPr>
        <w:t xml:space="preserve"> $55,000 to &lt; $75,000</w:t>
      </w:r>
    </w:p>
    <w:p w14:paraId="17D1D2EA" w14:textId="77777777" w:rsidR="00DA660D" w:rsidRPr="00BC31CD" w:rsidRDefault="00DA660D" w:rsidP="00816DE3">
      <w:pPr>
        <w:rPr>
          <w:rFonts w:eastAsia="Calibri"/>
        </w:rPr>
      </w:pPr>
      <w:r w:rsidRPr="00BC31CD">
        <w:rPr>
          <w:rFonts w:eastAsia="Calibri"/>
        </w:rPr>
        <w:t xml:space="preserve"> </w:t>
      </w:r>
    </w:p>
    <w:p w14:paraId="67952436" w14:textId="77777777" w:rsidR="00F42A30" w:rsidRPr="00BC31CD" w:rsidRDefault="006C4C1A" w:rsidP="00F42A30">
      <w:pPr>
        <w:pStyle w:val="3-BodyText"/>
      </w:pPr>
      <w:r w:rsidRPr="00BC31CD">
        <w:t>The model demonstrated considerable sensitivity to model inputs</w:t>
      </w:r>
      <w:r w:rsidR="001061A8" w:rsidRPr="00BC31CD">
        <w:t xml:space="preserve"> which indicated </w:t>
      </w:r>
      <w:r w:rsidRPr="00BC31CD">
        <w:t xml:space="preserve">that the model base case </w:t>
      </w:r>
      <w:r w:rsidR="001061A8" w:rsidRPr="00BC31CD">
        <w:t>wa</w:t>
      </w:r>
      <w:r w:rsidRPr="00BC31CD">
        <w:t>s not likely to estimate the cost-effectiveness of trientine 4HC</w:t>
      </w:r>
      <w:r w:rsidR="00296261" w:rsidRPr="00BC31CD">
        <w:t>l</w:t>
      </w:r>
      <w:r w:rsidR="00143225" w:rsidRPr="00BC31CD">
        <w:t xml:space="preserve"> accurately</w:t>
      </w:r>
      <w:r w:rsidRPr="00BC31CD">
        <w:t>.</w:t>
      </w:r>
      <w:r w:rsidR="00611789" w:rsidRPr="00BC31CD">
        <w:t xml:space="preserve"> </w:t>
      </w:r>
    </w:p>
    <w:p w14:paraId="5F9B22B7" w14:textId="77777777" w:rsidR="00702054" w:rsidRPr="00BC31CD" w:rsidRDefault="00A6774A" w:rsidP="00A075D1">
      <w:pPr>
        <w:pStyle w:val="3-BodyText"/>
      </w:pPr>
      <w:r w:rsidRPr="00BC31CD">
        <w:t xml:space="preserve">The ESC also noted that the ICER was </w:t>
      </w:r>
      <w:r w:rsidRPr="002A2441">
        <w:t xml:space="preserve">highly sensitive to the </w:t>
      </w:r>
      <w:r w:rsidR="00171B58" w:rsidRPr="002A2441">
        <w:t xml:space="preserve">dose and </w:t>
      </w:r>
      <w:r w:rsidR="002D5624" w:rsidRPr="002A2441">
        <w:t>DPMQ</w:t>
      </w:r>
      <w:r w:rsidRPr="002A2441">
        <w:t xml:space="preserve"> of trientine 4HCl applied. Arbitrarily apply</w:t>
      </w:r>
      <w:r w:rsidR="00B706D8" w:rsidRPr="002A2441">
        <w:t>ing</w:t>
      </w:r>
      <w:r w:rsidRPr="002A2441">
        <w:t xml:space="preserve"> a DPMQ of $</w:t>
      </w:r>
      <w:r w:rsidR="00AE1A04">
        <w:rPr>
          <w:noProof/>
          <w:color w:val="000000"/>
          <w:highlight w:val="black"/>
        </w:rPr>
        <w:t>'''''''''''</w:t>
      </w:r>
      <w:r w:rsidRPr="002A2441">
        <w:t xml:space="preserve"> </w:t>
      </w:r>
      <w:r w:rsidR="00B706D8" w:rsidRPr="002A2441">
        <w:t xml:space="preserve">for trientine 4HCl </w:t>
      </w:r>
      <w:r w:rsidRPr="002A2441">
        <w:t>resulted in a revised base case ICER of $</w:t>
      </w:r>
      <w:r w:rsidR="004665AF" w:rsidRPr="002A2441">
        <w:t>75,000 to &lt; $95,000</w:t>
      </w:r>
      <w:r w:rsidRPr="002A2441">
        <w:t xml:space="preserve"> per QALY</w:t>
      </w:r>
      <w:r w:rsidRPr="00BC31CD">
        <w:t>.</w:t>
      </w:r>
    </w:p>
    <w:p w14:paraId="5D8FA8A3" w14:textId="77777777" w:rsidR="00AB1272" w:rsidRPr="00BC31CD" w:rsidRDefault="00AB1272" w:rsidP="00C82249">
      <w:pPr>
        <w:pStyle w:val="3-BodyText"/>
        <w:spacing w:after="0"/>
      </w:pPr>
      <w:r w:rsidRPr="00BC31CD">
        <w:t xml:space="preserve">The ESC considered that the </w:t>
      </w:r>
      <w:r w:rsidR="00DB66ED" w:rsidRPr="00BC31CD">
        <w:t>model</w:t>
      </w:r>
      <w:r w:rsidRPr="00BC31CD">
        <w:t xml:space="preserve"> was not reliable for decision making as:</w:t>
      </w:r>
    </w:p>
    <w:p w14:paraId="6B454D1A" w14:textId="77777777" w:rsidR="00AB1272" w:rsidRPr="00BC31CD" w:rsidRDefault="00AB1272" w:rsidP="006522CC">
      <w:pPr>
        <w:pStyle w:val="3-BodyText"/>
        <w:numPr>
          <w:ilvl w:val="1"/>
          <w:numId w:val="7"/>
        </w:numPr>
        <w:spacing w:after="0"/>
        <w:ind w:left="1077" w:hanging="357"/>
      </w:pPr>
      <w:r w:rsidRPr="00BC31CD">
        <w:t>The poor quality clinical data meant that the estimation of an effect size was unreliable;</w:t>
      </w:r>
    </w:p>
    <w:p w14:paraId="5CABE11E" w14:textId="77777777" w:rsidR="00AB1272" w:rsidRPr="00BC31CD" w:rsidRDefault="00AB1272" w:rsidP="006522CC">
      <w:pPr>
        <w:pStyle w:val="3-BodyText"/>
        <w:numPr>
          <w:ilvl w:val="1"/>
          <w:numId w:val="7"/>
        </w:numPr>
        <w:spacing w:after="0"/>
        <w:ind w:left="1077" w:hanging="357"/>
      </w:pPr>
      <w:r w:rsidRPr="00BC31CD">
        <w:t xml:space="preserve">The model structure was very </w:t>
      </w:r>
      <w:r w:rsidR="002F1333" w:rsidRPr="00BC31CD">
        <w:t>simplistic,</w:t>
      </w:r>
      <w:r w:rsidRPr="00BC31CD">
        <w:t xml:space="preserve"> </w:t>
      </w:r>
      <w:r w:rsidR="002F1333" w:rsidRPr="00BC31CD">
        <w:t>with</w:t>
      </w:r>
      <w:r w:rsidRPr="00BC31CD">
        <w:t xml:space="preserve"> survival based on a constant HR for trientine 4HCl patients and a constant OR for BSC patients. The ESC considered that mortality risks would change over time (see paragraph 6.2</w:t>
      </w:r>
      <w:r w:rsidR="00373CFE" w:rsidRPr="00BC31CD">
        <w:t>9</w:t>
      </w:r>
      <w:r w:rsidRPr="00BC31CD">
        <w:t>);</w:t>
      </w:r>
      <w:r w:rsidR="00B86E95" w:rsidRPr="00BC31CD">
        <w:t xml:space="preserve"> </w:t>
      </w:r>
      <w:r w:rsidR="002F1333" w:rsidRPr="00BC31CD">
        <w:t>and</w:t>
      </w:r>
    </w:p>
    <w:p w14:paraId="48E833B5" w14:textId="77777777" w:rsidR="006C4C1A" w:rsidRPr="00BC31CD" w:rsidRDefault="002F1333" w:rsidP="006522CC">
      <w:pPr>
        <w:pStyle w:val="3-BodyText"/>
        <w:numPr>
          <w:ilvl w:val="1"/>
          <w:numId w:val="7"/>
        </w:numPr>
        <w:spacing w:after="0"/>
        <w:ind w:left="1077" w:hanging="357"/>
      </w:pPr>
      <w:r w:rsidRPr="00BC31CD">
        <w:t>The inputs applied to the liver transplant sensitivity analysis were highly uncertain, particularly in terms of the mortality values applied (see paragraph</w:t>
      </w:r>
      <w:r w:rsidR="009A3687" w:rsidRPr="00BC31CD">
        <w:t>s</w:t>
      </w:r>
      <w:r w:rsidRPr="00BC31CD">
        <w:t xml:space="preserve"> 6.3</w:t>
      </w:r>
      <w:r w:rsidR="00373CFE" w:rsidRPr="00BC31CD">
        <w:t>6</w:t>
      </w:r>
      <w:r w:rsidR="009A3687" w:rsidRPr="00BC31CD">
        <w:t xml:space="preserve"> and 6.3</w:t>
      </w:r>
      <w:r w:rsidR="00373CFE" w:rsidRPr="00BC31CD">
        <w:t>7</w:t>
      </w:r>
      <w:r w:rsidRPr="00BC31CD">
        <w:t>).</w:t>
      </w:r>
    </w:p>
    <w:p w14:paraId="0F14919B" w14:textId="77777777" w:rsidR="00DA660D" w:rsidRPr="00BC31CD" w:rsidRDefault="00DA660D" w:rsidP="00DA660D">
      <w:pPr>
        <w:pStyle w:val="4-SubsectionHeading"/>
      </w:pPr>
      <w:bookmarkStart w:id="26" w:name="_Toc22897646"/>
      <w:bookmarkStart w:id="27" w:name="_Toc22898858"/>
      <w:bookmarkStart w:id="28" w:name="_Toc82002238"/>
      <w:bookmarkStart w:id="29" w:name="_Hlk84851387"/>
      <w:r w:rsidRPr="00BC31CD">
        <w:t>Drug cost/patient/year</w:t>
      </w:r>
      <w:bookmarkEnd w:id="26"/>
      <w:bookmarkEnd w:id="27"/>
      <w:bookmarkEnd w:id="28"/>
    </w:p>
    <w:p w14:paraId="23229B89" w14:textId="77777777" w:rsidR="00DA660D" w:rsidRPr="00BC31CD" w:rsidRDefault="00DA660D" w:rsidP="00DA660D">
      <w:pPr>
        <w:pStyle w:val="TableFigureHeading"/>
        <w:rPr>
          <w:rStyle w:val="CommentReference"/>
          <w:b/>
          <w:szCs w:val="24"/>
        </w:rPr>
      </w:pPr>
      <w:r w:rsidRPr="00BC31CD">
        <w:rPr>
          <w:rStyle w:val="CommentReference"/>
          <w:b/>
          <w:szCs w:val="24"/>
        </w:rPr>
        <w:t xml:space="preserve">Table </w:t>
      </w:r>
      <w:r w:rsidR="00B454C4" w:rsidRPr="00BC31CD">
        <w:rPr>
          <w:rStyle w:val="CommentReference"/>
          <w:b/>
          <w:szCs w:val="24"/>
        </w:rPr>
        <w:t>12</w:t>
      </w:r>
      <w:r w:rsidRPr="00BC31CD">
        <w:rPr>
          <w:rStyle w:val="CommentReference"/>
          <w:b/>
          <w:szCs w:val="24"/>
        </w:rPr>
        <w:t xml:space="preserve">: Drug cost per patient for </w:t>
      </w:r>
      <w:r w:rsidR="00653CB7" w:rsidRPr="00BC31CD">
        <w:rPr>
          <w:rStyle w:val="CommentReference"/>
          <w:b/>
          <w:szCs w:val="24"/>
        </w:rPr>
        <w:t>trientine 4HCl</w:t>
      </w:r>
      <w:r w:rsidRPr="00BC31CD">
        <w:rPr>
          <w:rStyle w:val="CommentReference"/>
          <w:b/>
          <w:szCs w:val="24"/>
        </w:rPr>
        <w:t xml:space="preserve"> and </w:t>
      </w:r>
      <w:r w:rsidR="00653CB7" w:rsidRPr="00BC31CD">
        <w:rPr>
          <w:rStyle w:val="CommentReference"/>
          <w:b/>
          <w:szCs w:val="24"/>
        </w:rPr>
        <w:t>BSC</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1E0" w:firstRow="1" w:lastRow="1" w:firstColumn="1" w:lastColumn="1" w:noHBand="0" w:noVBand="0"/>
      </w:tblPr>
      <w:tblGrid>
        <w:gridCol w:w="1655"/>
        <w:gridCol w:w="3785"/>
        <w:gridCol w:w="1680"/>
        <w:gridCol w:w="1962"/>
      </w:tblGrid>
      <w:tr w:rsidR="00653CB7" w:rsidRPr="00BC31CD" w14:paraId="13C40C7E" w14:textId="77777777" w:rsidTr="0000569A">
        <w:trPr>
          <w:tblHeader/>
        </w:trPr>
        <w:tc>
          <w:tcPr>
            <w:tcW w:w="911" w:type="pct"/>
            <w:vMerge w:val="restart"/>
            <w:vAlign w:val="center"/>
          </w:tcPr>
          <w:p w14:paraId="01B5A167" w14:textId="77777777" w:rsidR="00653CB7" w:rsidRPr="00BC31CD" w:rsidRDefault="00653CB7" w:rsidP="00E25376">
            <w:pPr>
              <w:pStyle w:val="In-tableHeading"/>
              <w:keepNext w:val="0"/>
              <w:widowControl w:val="0"/>
              <w:tabs>
                <w:tab w:val="left" w:pos="244"/>
              </w:tabs>
              <w:ind w:right="-25"/>
              <w:rPr>
                <w:lang w:val="en-AU"/>
              </w:rPr>
            </w:pPr>
          </w:p>
        </w:tc>
        <w:tc>
          <w:tcPr>
            <w:tcW w:w="3009" w:type="pct"/>
            <w:gridSpan w:val="2"/>
            <w:tcBorders>
              <w:right w:val="double" w:sz="4" w:space="0" w:color="auto"/>
            </w:tcBorders>
            <w:vAlign w:val="center"/>
          </w:tcPr>
          <w:p w14:paraId="2FFD9C99" w14:textId="77777777" w:rsidR="00653CB7" w:rsidRPr="00BC31CD" w:rsidRDefault="00653CB7" w:rsidP="00E25376">
            <w:pPr>
              <w:pStyle w:val="In-tableHeading"/>
              <w:keepNext w:val="0"/>
              <w:widowControl w:val="0"/>
              <w:ind w:right="-25"/>
              <w:jc w:val="center"/>
              <w:rPr>
                <w:lang w:val="en-AU"/>
              </w:rPr>
            </w:pPr>
            <w:r w:rsidRPr="00BC31CD">
              <w:rPr>
                <w:lang w:val="en-AU"/>
              </w:rPr>
              <w:t>Trientine 4HCl</w:t>
            </w:r>
          </w:p>
        </w:tc>
        <w:tc>
          <w:tcPr>
            <w:tcW w:w="1080" w:type="pct"/>
            <w:tcBorders>
              <w:left w:val="double" w:sz="4" w:space="0" w:color="auto"/>
            </w:tcBorders>
          </w:tcPr>
          <w:p w14:paraId="2F6D6B8F" w14:textId="77777777" w:rsidR="00653CB7" w:rsidRPr="00BC31CD" w:rsidRDefault="00653CB7" w:rsidP="00E25376">
            <w:pPr>
              <w:pStyle w:val="In-tableHeading"/>
              <w:keepNext w:val="0"/>
              <w:widowControl w:val="0"/>
              <w:ind w:right="-25"/>
              <w:jc w:val="center"/>
              <w:rPr>
                <w:lang w:val="en-AU"/>
              </w:rPr>
            </w:pPr>
            <w:r w:rsidRPr="00BC31CD">
              <w:rPr>
                <w:lang w:val="en-AU"/>
              </w:rPr>
              <w:t>BSC</w:t>
            </w:r>
          </w:p>
        </w:tc>
      </w:tr>
      <w:tr w:rsidR="00653CB7" w:rsidRPr="00BC31CD" w14:paraId="198679DB" w14:textId="77777777" w:rsidTr="0000569A">
        <w:trPr>
          <w:tblHeader/>
        </w:trPr>
        <w:tc>
          <w:tcPr>
            <w:tcW w:w="911" w:type="pct"/>
            <w:vMerge/>
            <w:vAlign w:val="center"/>
          </w:tcPr>
          <w:p w14:paraId="631FF272" w14:textId="77777777" w:rsidR="00653CB7" w:rsidRPr="00BC31CD" w:rsidRDefault="00653CB7" w:rsidP="00E25376">
            <w:pPr>
              <w:pStyle w:val="In-tableHeading"/>
              <w:keepNext w:val="0"/>
              <w:widowControl w:val="0"/>
              <w:tabs>
                <w:tab w:val="left" w:pos="244"/>
              </w:tabs>
              <w:ind w:right="-25"/>
              <w:rPr>
                <w:lang w:val="en-AU"/>
              </w:rPr>
            </w:pPr>
          </w:p>
        </w:tc>
        <w:tc>
          <w:tcPr>
            <w:tcW w:w="2084" w:type="pct"/>
            <w:vAlign w:val="center"/>
          </w:tcPr>
          <w:p w14:paraId="5BA4F3DA" w14:textId="77777777" w:rsidR="00653CB7" w:rsidRPr="00BC31CD" w:rsidRDefault="00653CB7" w:rsidP="00E25376">
            <w:pPr>
              <w:pStyle w:val="In-tableHeading"/>
              <w:keepNext w:val="0"/>
              <w:widowControl w:val="0"/>
              <w:ind w:right="-25"/>
              <w:jc w:val="center"/>
              <w:rPr>
                <w:lang w:val="en-AU"/>
              </w:rPr>
            </w:pPr>
            <w:r w:rsidRPr="00BC31CD">
              <w:rPr>
                <w:lang w:val="en-AU"/>
              </w:rPr>
              <w:t>Description</w:t>
            </w:r>
          </w:p>
        </w:tc>
        <w:tc>
          <w:tcPr>
            <w:tcW w:w="925" w:type="pct"/>
            <w:tcBorders>
              <w:right w:val="double" w:sz="4" w:space="0" w:color="auto"/>
            </w:tcBorders>
            <w:vAlign w:val="center"/>
          </w:tcPr>
          <w:p w14:paraId="622BD65F" w14:textId="77777777" w:rsidR="00653CB7" w:rsidRPr="00BC31CD" w:rsidRDefault="00653CB7" w:rsidP="00E25376">
            <w:pPr>
              <w:pStyle w:val="In-tableHeading"/>
              <w:keepNext w:val="0"/>
              <w:widowControl w:val="0"/>
              <w:ind w:right="-25"/>
              <w:jc w:val="center"/>
              <w:rPr>
                <w:lang w:val="en-AU"/>
              </w:rPr>
            </w:pPr>
            <w:r w:rsidRPr="00BC31CD">
              <w:rPr>
                <w:lang w:val="en-AU"/>
              </w:rPr>
              <w:t>Cost</w:t>
            </w:r>
            <w:r w:rsidR="004665AF">
              <w:rPr>
                <w:lang w:val="en-AU"/>
              </w:rPr>
              <w:t xml:space="preserve"> ($)</w:t>
            </w:r>
          </w:p>
        </w:tc>
        <w:tc>
          <w:tcPr>
            <w:tcW w:w="1080" w:type="pct"/>
            <w:tcBorders>
              <w:left w:val="double" w:sz="4" w:space="0" w:color="auto"/>
            </w:tcBorders>
          </w:tcPr>
          <w:p w14:paraId="46CBF518" w14:textId="77777777" w:rsidR="00653CB7" w:rsidRPr="00BC31CD" w:rsidRDefault="00653CB7" w:rsidP="00E25376">
            <w:pPr>
              <w:pStyle w:val="In-tableHeading"/>
              <w:keepNext w:val="0"/>
              <w:widowControl w:val="0"/>
              <w:ind w:right="-25"/>
              <w:jc w:val="center"/>
              <w:rPr>
                <w:lang w:val="en-AU"/>
              </w:rPr>
            </w:pPr>
            <w:r w:rsidRPr="00BC31CD">
              <w:rPr>
                <w:lang w:val="en-AU"/>
              </w:rPr>
              <w:t>Description</w:t>
            </w:r>
          </w:p>
        </w:tc>
      </w:tr>
      <w:tr w:rsidR="00653CB7" w:rsidRPr="00BC31CD" w14:paraId="558199F7" w14:textId="77777777" w:rsidTr="00E25376">
        <w:tc>
          <w:tcPr>
            <w:tcW w:w="5000" w:type="pct"/>
            <w:gridSpan w:val="4"/>
            <w:vAlign w:val="center"/>
          </w:tcPr>
          <w:p w14:paraId="56FD7BC2" w14:textId="77777777" w:rsidR="00653CB7" w:rsidRPr="00BC31CD" w:rsidRDefault="00653CB7" w:rsidP="00E25376">
            <w:pPr>
              <w:pStyle w:val="TableText0"/>
              <w:keepNext w:val="0"/>
              <w:widowControl w:val="0"/>
              <w:tabs>
                <w:tab w:val="left" w:pos="244"/>
              </w:tabs>
              <w:ind w:right="-25"/>
              <w:rPr>
                <w:rFonts w:cs="Calibri"/>
                <w:b/>
                <w:szCs w:val="20"/>
              </w:rPr>
            </w:pPr>
            <w:r w:rsidRPr="00BC31CD">
              <w:rPr>
                <w:rFonts w:cs="Calibri"/>
                <w:b/>
                <w:szCs w:val="20"/>
              </w:rPr>
              <w:t>Treatment cost</w:t>
            </w:r>
            <w:r w:rsidR="00D145D5" w:rsidRPr="00BC31CD">
              <w:rPr>
                <w:rFonts w:cs="Calibri"/>
                <w:b/>
                <w:szCs w:val="20"/>
              </w:rPr>
              <w:t xml:space="preserve"> – economic model</w:t>
            </w:r>
          </w:p>
        </w:tc>
      </w:tr>
      <w:tr w:rsidR="00653CB7" w:rsidRPr="00BC31CD" w14:paraId="3F4586AD" w14:textId="77777777" w:rsidTr="0000569A">
        <w:tc>
          <w:tcPr>
            <w:tcW w:w="911" w:type="pct"/>
            <w:vAlign w:val="center"/>
          </w:tcPr>
          <w:p w14:paraId="67FC866C" w14:textId="77777777" w:rsidR="00653CB7" w:rsidRPr="00BC31CD" w:rsidRDefault="00653CB7" w:rsidP="00E25376">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DPMQ</w:t>
            </w:r>
          </w:p>
        </w:tc>
        <w:tc>
          <w:tcPr>
            <w:tcW w:w="2084" w:type="pct"/>
            <w:vAlign w:val="center"/>
          </w:tcPr>
          <w:p w14:paraId="5DBDDA70" w14:textId="77777777" w:rsidR="00653CB7" w:rsidRPr="00BC31CD" w:rsidRDefault="00653CB7" w:rsidP="0000569A">
            <w:pPr>
              <w:pStyle w:val="TableText0"/>
              <w:keepNext w:val="0"/>
              <w:widowControl w:val="0"/>
              <w:ind w:right="-25"/>
              <w:jc w:val="right"/>
              <w:rPr>
                <w:rFonts w:cs="Calibri"/>
                <w:bCs w:val="0"/>
                <w:szCs w:val="20"/>
              </w:rPr>
            </w:pPr>
            <w:r w:rsidRPr="00BC31CD">
              <w:rPr>
                <w:rFonts w:cs="Calibri"/>
                <w:bCs w:val="0"/>
                <w:szCs w:val="20"/>
              </w:rPr>
              <w:t>Requested price</w:t>
            </w:r>
          </w:p>
        </w:tc>
        <w:tc>
          <w:tcPr>
            <w:tcW w:w="925" w:type="pct"/>
            <w:tcBorders>
              <w:right w:val="double" w:sz="4" w:space="0" w:color="auto"/>
            </w:tcBorders>
            <w:vAlign w:val="center"/>
          </w:tcPr>
          <w:p w14:paraId="5771E888" w14:textId="77777777" w:rsidR="00653CB7" w:rsidRPr="00AE1A04" w:rsidRDefault="00AE1A04" w:rsidP="00E25376">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val="restart"/>
            <w:tcBorders>
              <w:left w:val="double" w:sz="4" w:space="0" w:color="auto"/>
            </w:tcBorders>
            <w:vAlign w:val="center"/>
          </w:tcPr>
          <w:p w14:paraId="47F28E2F" w14:textId="77777777" w:rsidR="00653CB7" w:rsidRPr="00BC31CD" w:rsidRDefault="00653CB7" w:rsidP="00E25376">
            <w:pPr>
              <w:pStyle w:val="TableText0"/>
              <w:keepNext w:val="0"/>
              <w:widowControl w:val="0"/>
              <w:ind w:right="-25"/>
              <w:rPr>
                <w:rFonts w:cs="Calibri"/>
                <w:bCs w:val="0"/>
                <w:szCs w:val="20"/>
              </w:rPr>
            </w:pPr>
            <w:r w:rsidRPr="00BC31CD">
              <w:rPr>
                <w:rFonts w:cs="Calibri"/>
                <w:bCs w:val="0"/>
                <w:szCs w:val="20"/>
              </w:rPr>
              <w:t xml:space="preserve">It was assumed no medicines were </w:t>
            </w:r>
            <w:r w:rsidR="00C854E3" w:rsidRPr="00BC31CD">
              <w:rPr>
                <w:rFonts w:cs="Calibri"/>
                <w:bCs w:val="0"/>
                <w:szCs w:val="20"/>
              </w:rPr>
              <w:t>included</w:t>
            </w:r>
            <w:r w:rsidR="00AD724C" w:rsidRPr="00BC31CD">
              <w:rPr>
                <w:rFonts w:cs="Calibri"/>
                <w:bCs w:val="0"/>
                <w:szCs w:val="20"/>
              </w:rPr>
              <w:t xml:space="preserve"> in</w:t>
            </w:r>
            <w:r w:rsidRPr="00BC31CD">
              <w:rPr>
                <w:rFonts w:cs="Calibri"/>
                <w:bCs w:val="0"/>
                <w:szCs w:val="20"/>
              </w:rPr>
              <w:t xml:space="preserve"> BSC for treatment of WD, thus no cost was applied.</w:t>
            </w:r>
          </w:p>
        </w:tc>
      </w:tr>
      <w:tr w:rsidR="00653CB7" w:rsidRPr="00BC31CD" w14:paraId="52B59FF3" w14:textId="77777777" w:rsidTr="0000569A">
        <w:tc>
          <w:tcPr>
            <w:tcW w:w="911" w:type="pct"/>
            <w:vAlign w:val="center"/>
          </w:tcPr>
          <w:p w14:paraId="694C8060" w14:textId="77777777" w:rsidR="00653CB7" w:rsidRPr="00BC31CD" w:rsidRDefault="00653CB7" w:rsidP="00E25376">
            <w:pPr>
              <w:pStyle w:val="TableText0"/>
              <w:keepNext w:val="0"/>
              <w:widowControl w:val="0"/>
              <w:tabs>
                <w:tab w:val="left" w:pos="244"/>
              </w:tabs>
              <w:ind w:right="-25"/>
              <w:rPr>
                <w:rFonts w:cs="Calibri"/>
                <w:color w:val="000000"/>
              </w:rPr>
            </w:pPr>
            <w:r w:rsidRPr="00BC31CD">
              <w:rPr>
                <w:rFonts w:cs="Calibri"/>
                <w:color w:val="000000"/>
              </w:rPr>
              <w:tab/>
              <w:t>Dose/day</w:t>
            </w:r>
          </w:p>
        </w:tc>
        <w:tc>
          <w:tcPr>
            <w:tcW w:w="2084" w:type="pct"/>
            <w:vAlign w:val="center"/>
          </w:tcPr>
          <w:p w14:paraId="36E5C16F" w14:textId="77777777" w:rsidR="00653CB7" w:rsidRPr="00BC31CD" w:rsidRDefault="00653CB7" w:rsidP="0000569A">
            <w:pPr>
              <w:pStyle w:val="TableText0"/>
              <w:keepNext w:val="0"/>
              <w:widowControl w:val="0"/>
              <w:ind w:right="-25"/>
              <w:jc w:val="right"/>
              <w:rPr>
                <w:rFonts w:cs="Calibri"/>
                <w:bCs w:val="0"/>
                <w:szCs w:val="20"/>
              </w:rPr>
            </w:pPr>
            <w:r w:rsidRPr="00BC31CD">
              <w:rPr>
                <w:rFonts w:cs="Calibri"/>
                <w:bCs w:val="0"/>
                <w:szCs w:val="20"/>
              </w:rPr>
              <w:t>668</w:t>
            </w:r>
            <w:r w:rsidR="005F12A5" w:rsidRPr="00BC31CD">
              <w:rPr>
                <w:rFonts w:cs="Calibri"/>
                <w:bCs w:val="0"/>
                <w:szCs w:val="20"/>
              </w:rPr>
              <w:t xml:space="preserve"> </w:t>
            </w:r>
            <w:r w:rsidRPr="00BC31CD">
              <w:rPr>
                <w:rFonts w:cs="Calibri"/>
                <w:bCs w:val="0"/>
                <w:szCs w:val="20"/>
              </w:rPr>
              <w:t>mg</w:t>
            </w:r>
          </w:p>
        </w:tc>
        <w:tc>
          <w:tcPr>
            <w:tcW w:w="925" w:type="pct"/>
            <w:tcBorders>
              <w:right w:val="double" w:sz="4" w:space="0" w:color="auto"/>
            </w:tcBorders>
            <w:vAlign w:val="center"/>
          </w:tcPr>
          <w:p w14:paraId="273AA202" w14:textId="77777777" w:rsidR="00653CB7" w:rsidRPr="00BC31CD" w:rsidRDefault="00653CB7" w:rsidP="00E25376">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0F65E2AC" w14:textId="77777777" w:rsidR="00653CB7" w:rsidRPr="00BC31CD" w:rsidRDefault="00653CB7" w:rsidP="00E25376">
            <w:pPr>
              <w:pStyle w:val="TableText0"/>
              <w:keepNext w:val="0"/>
              <w:widowControl w:val="0"/>
              <w:ind w:right="-25"/>
              <w:rPr>
                <w:rFonts w:cs="Calibri"/>
                <w:bCs w:val="0"/>
                <w:szCs w:val="20"/>
              </w:rPr>
            </w:pPr>
          </w:p>
        </w:tc>
      </w:tr>
      <w:tr w:rsidR="00653CB7" w:rsidRPr="00BC31CD" w14:paraId="0F3C68C8" w14:textId="77777777" w:rsidTr="0000569A">
        <w:tc>
          <w:tcPr>
            <w:tcW w:w="911" w:type="pct"/>
            <w:vAlign w:val="center"/>
          </w:tcPr>
          <w:p w14:paraId="1CC60159" w14:textId="77777777" w:rsidR="00653CB7" w:rsidRPr="00BC31CD" w:rsidRDefault="00653CB7" w:rsidP="00E25376">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Tablets/day</w:t>
            </w:r>
          </w:p>
        </w:tc>
        <w:tc>
          <w:tcPr>
            <w:tcW w:w="2084" w:type="pct"/>
            <w:vAlign w:val="center"/>
          </w:tcPr>
          <w:p w14:paraId="732E8587" w14:textId="77777777" w:rsidR="00653CB7" w:rsidRPr="00BC31CD" w:rsidRDefault="00653CB7" w:rsidP="0000569A">
            <w:pPr>
              <w:pStyle w:val="TableText0"/>
              <w:keepNext w:val="0"/>
              <w:widowControl w:val="0"/>
              <w:ind w:right="-25"/>
              <w:jc w:val="right"/>
              <w:rPr>
                <w:rFonts w:cs="Calibri"/>
                <w:bCs w:val="0"/>
                <w:szCs w:val="20"/>
              </w:rPr>
            </w:pPr>
            <w:r w:rsidRPr="00BC31CD">
              <w:rPr>
                <w:rFonts w:cs="Calibri"/>
                <w:bCs w:val="0"/>
                <w:szCs w:val="20"/>
              </w:rPr>
              <w:t>4.45</w:t>
            </w:r>
          </w:p>
        </w:tc>
        <w:tc>
          <w:tcPr>
            <w:tcW w:w="925" w:type="pct"/>
            <w:tcBorders>
              <w:right w:val="double" w:sz="4" w:space="0" w:color="auto"/>
            </w:tcBorders>
            <w:vAlign w:val="center"/>
          </w:tcPr>
          <w:p w14:paraId="5AC56FD9" w14:textId="77777777" w:rsidR="00653CB7" w:rsidRPr="00BC31CD" w:rsidRDefault="00653CB7" w:rsidP="00E25376">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6360AF92" w14:textId="77777777" w:rsidR="00653CB7" w:rsidRPr="00BC31CD" w:rsidRDefault="00653CB7" w:rsidP="00E25376">
            <w:pPr>
              <w:pStyle w:val="TableText0"/>
              <w:keepNext w:val="0"/>
              <w:widowControl w:val="0"/>
              <w:ind w:right="-25"/>
              <w:rPr>
                <w:rFonts w:cs="Calibri"/>
                <w:bCs w:val="0"/>
                <w:szCs w:val="20"/>
              </w:rPr>
            </w:pPr>
          </w:p>
        </w:tc>
      </w:tr>
      <w:tr w:rsidR="00653CB7" w:rsidRPr="00BC31CD" w14:paraId="58B9FD96" w14:textId="77777777" w:rsidTr="0000569A">
        <w:tc>
          <w:tcPr>
            <w:tcW w:w="911" w:type="pct"/>
            <w:vAlign w:val="center"/>
          </w:tcPr>
          <w:p w14:paraId="1B8C73FC" w14:textId="77777777" w:rsidR="00653CB7" w:rsidRPr="00BC31CD" w:rsidRDefault="00653CB7" w:rsidP="00E25376">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w:t>
            </w:r>
            <w:r w:rsidR="004665AF">
              <w:rPr>
                <w:rFonts w:cs="Calibri"/>
                <w:bCs w:val="0"/>
                <w:color w:val="000000"/>
                <w:szCs w:val="20"/>
              </w:rPr>
              <w:t xml:space="preserve"> ($)</w:t>
            </w:r>
            <w:r w:rsidRPr="00BC31CD">
              <w:rPr>
                <w:rFonts w:cs="Calibri"/>
                <w:bCs w:val="0"/>
                <w:color w:val="000000"/>
                <w:szCs w:val="20"/>
              </w:rPr>
              <w:t>/tablet</w:t>
            </w:r>
          </w:p>
        </w:tc>
        <w:tc>
          <w:tcPr>
            <w:tcW w:w="2084" w:type="pct"/>
            <w:vAlign w:val="center"/>
          </w:tcPr>
          <w:p w14:paraId="764A4E47" w14:textId="77777777" w:rsidR="00653CB7" w:rsidRPr="00BC31CD" w:rsidRDefault="00AE1A04" w:rsidP="00F21495">
            <w:pPr>
              <w:pStyle w:val="TableText0"/>
              <w:keepNext w:val="0"/>
              <w:widowControl w:val="0"/>
              <w:ind w:right="-25"/>
              <w:jc w:val="right"/>
              <w:rPr>
                <w:rFonts w:cs="Calibri"/>
                <w:bCs w:val="0"/>
                <w:szCs w:val="20"/>
              </w:rPr>
            </w:pPr>
            <w:r>
              <w:rPr>
                <w:rFonts w:cs="Calibri"/>
                <w:bCs w:val="0"/>
                <w:noProof/>
                <w:color w:val="000000"/>
                <w:szCs w:val="20"/>
                <w:highlight w:val="black"/>
              </w:rPr>
              <w:t>''''''''''''''''''''''''</w:t>
            </w:r>
            <w:r w:rsidR="00653CB7" w:rsidRPr="00BC31CD">
              <w:rPr>
                <w:rFonts w:cs="Calibri"/>
                <w:bCs w:val="0"/>
                <w:szCs w:val="20"/>
              </w:rPr>
              <w:t xml:space="preserve"> ÷ 144 (pack size) =</w:t>
            </w:r>
          </w:p>
        </w:tc>
        <w:tc>
          <w:tcPr>
            <w:tcW w:w="925" w:type="pct"/>
            <w:tcBorders>
              <w:right w:val="double" w:sz="4" w:space="0" w:color="auto"/>
            </w:tcBorders>
            <w:vAlign w:val="center"/>
          </w:tcPr>
          <w:p w14:paraId="1BAA01CA" w14:textId="77777777" w:rsidR="00653CB7" w:rsidRPr="00AE1A04" w:rsidRDefault="00AE1A04" w:rsidP="00E25376">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tcBorders>
              <w:left w:val="double" w:sz="4" w:space="0" w:color="auto"/>
            </w:tcBorders>
          </w:tcPr>
          <w:p w14:paraId="64136FEF" w14:textId="77777777" w:rsidR="00653CB7" w:rsidRPr="00BC31CD" w:rsidRDefault="00653CB7" w:rsidP="00E25376">
            <w:pPr>
              <w:pStyle w:val="TableText0"/>
              <w:keepNext w:val="0"/>
              <w:widowControl w:val="0"/>
              <w:ind w:right="-25"/>
              <w:rPr>
                <w:rFonts w:cs="Calibri"/>
                <w:bCs w:val="0"/>
                <w:szCs w:val="20"/>
              </w:rPr>
            </w:pPr>
          </w:p>
        </w:tc>
      </w:tr>
      <w:tr w:rsidR="00653CB7" w:rsidRPr="00BC31CD" w14:paraId="62FD405A" w14:textId="77777777" w:rsidTr="0000569A">
        <w:tc>
          <w:tcPr>
            <w:tcW w:w="911" w:type="pct"/>
            <w:vAlign w:val="center"/>
          </w:tcPr>
          <w:p w14:paraId="7242548E" w14:textId="77777777" w:rsidR="00653CB7" w:rsidRPr="00BC31CD" w:rsidRDefault="00653CB7" w:rsidP="00E25376">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w:t>
            </w:r>
            <w:r w:rsidR="004665AF">
              <w:rPr>
                <w:rFonts w:cs="Calibri"/>
                <w:bCs w:val="0"/>
                <w:color w:val="000000"/>
                <w:szCs w:val="20"/>
              </w:rPr>
              <w:t xml:space="preserve"> ($)</w:t>
            </w:r>
            <w:r w:rsidRPr="00BC31CD">
              <w:rPr>
                <w:rFonts w:cs="Calibri"/>
                <w:bCs w:val="0"/>
                <w:color w:val="000000"/>
                <w:szCs w:val="20"/>
              </w:rPr>
              <w:t>/day</w:t>
            </w:r>
          </w:p>
        </w:tc>
        <w:tc>
          <w:tcPr>
            <w:tcW w:w="2084" w:type="pct"/>
            <w:vAlign w:val="center"/>
          </w:tcPr>
          <w:p w14:paraId="75B2CF75" w14:textId="77777777" w:rsidR="00653CB7" w:rsidRPr="00BC31CD" w:rsidRDefault="00AE1A04" w:rsidP="00E25376">
            <w:pPr>
              <w:pStyle w:val="TableText0"/>
              <w:keepNext w:val="0"/>
              <w:widowControl w:val="0"/>
              <w:ind w:right="-25"/>
              <w:jc w:val="right"/>
              <w:rPr>
                <w:rFonts w:cs="Calibri"/>
                <w:bCs w:val="0"/>
                <w:szCs w:val="20"/>
              </w:rPr>
            </w:pPr>
            <w:r>
              <w:rPr>
                <w:rFonts w:cs="Calibri"/>
                <w:bCs w:val="0"/>
                <w:noProof/>
                <w:color w:val="000000"/>
                <w:szCs w:val="20"/>
                <w:highlight w:val="black"/>
              </w:rPr>
              <w:t>'''''''''''''''</w:t>
            </w:r>
            <w:r w:rsidR="00653CB7" w:rsidRPr="00BC31CD">
              <w:rPr>
                <w:rFonts w:cs="Calibri"/>
                <w:bCs w:val="0"/>
                <w:szCs w:val="20"/>
              </w:rPr>
              <w:t xml:space="preserve"> × 4.45 =</w:t>
            </w:r>
            <w:r w:rsidR="00C854E3" w:rsidRPr="00BC31CD">
              <w:rPr>
                <w:rFonts w:cs="Calibri"/>
                <w:bCs w:val="0"/>
                <w:szCs w:val="20"/>
              </w:rPr>
              <w:t xml:space="preserve"> </w:t>
            </w:r>
          </w:p>
        </w:tc>
        <w:tc>
          <w:tcPr>
            <w:tcW w:w="925" w:type="pct"/>
            <w:tcBorders>
              <w:right w:val="double" w:sz="4" w:space="0" w:color="auto"/>
            </w:tcBorders>
            <w:vAlign w:val="center"/>
          </w:tcPr>
          <w:p w14:paraId="67CDAFB7" w14:textId="77777777" w:rsidR="00653CB7" w:rsidRPr="00AE1A04" w:rsidRDefault="00AE1A04" w:rsidP="00E25376">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tcBorders>
              <w:left w:val="double" w:sz="4" w:space="0" w:color="auto"/>
            </w:tcBorders>
          </w:tcPr>
          <w:p w14:paraId="58DAF531" w14:textId="77777777" w:rsidR="00653CB7" w:rsidRPr="00BC31CD" w:rsidRDefault="00653CB7" w:rsidP="00E25376">
            <w:pPr>
              <w:pStyle w:val="TableText0"/>
              <w:keepNext w:val="0"/>
              <w:widowControl w:val="0"/>
              <w:ind w:right="-25"/>
              <w:rPr>
                <w:rFonts w:cs="Calibri"/>
                <w:bCs w:val="0"/>
                <w:szCs w:val="20"/>
              </w:rPr>
            </w:pPr>
          </w:p>
        </w:tc>
      </w:tr>
      <w:tr w:rsidR="00653CB7" w:rsidRPr="00BC31CD" w14:paraId="43861AB6" w14:textId="77777777" w:rsidTr="0000569A">
        <w:tc>
          <w:tcPr>
            <w:tcW w:w="911" w:type="pct"/>
            <w:vAlign w:val="center"/>
          </w:tcPr>
          <w:p w14:paraId="289A9796" w14:textId="77777777" w:rsidR="00653CB7" w:rsidRPr="00BC31CD" w:rsidRDefault="00653CB7" w:rsidP="00E25376">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w:t>
            </w:r>
            <w:r w:rsidR="004665AF">
              <w:rPr>
                <w:rFonts w:cs="Calibri"/>
                <w:bCs w:val="0"/>
                <w:color w:val="000000"/>
                <w:szCs w:val="20"/>
              </w:rPr>
              <w:t xml:space="preserve">($) </w:t>
            </w:r>
            <w:r w:rsidRPr="00BC31CD">
              <w:rPr>
                <w:rFonts w:cs="Calibri"/>
                <w:bCs w:val="0"/>
                <w:color w:val="000000"/>
                <w:szCs w:val="20"/>
              </w:rPr>
              <w:t>/year</w:t>
            </w:r>
          </w:p>
        </w:tc>
        <w:tc>
          <w:tcPr>
            <w:tcW w:w="2084" w:type="pct"/>
            <w:vAlign w:val="center"/>
          </w:tcPr>
          <w:p w14:paraId="4DB615A1" w14:textId="77777777" w:rsidR="00653CB7" w:rsidRPr="00BC31CD" w:rsidRDefault="00AE1A04" w:rsidP="00E25376">
            <w:pPr>
              <w:pStyle w:val="TableText0"/>
              <w:keepNext w:val="0"/>
              <w:widowControl w:val="0"/>
              <w:ind w:right="-25"/>
              <w:jc w:val="right"/>
              <w:rPr>
                <w:rFonts w:cs="Calibri"/>
                <w:bCs w:val="0"/>
                <w:szCs w:val="20"/>
              </w:rPr>
            </w:pPr>
            <w:r>
              <w:rPr>
                <w:rFonts w:cs="Calibri"/>
                <w:bCs w:val="0"/>
                <w:noProof/>
                <w:color w:val="000000"/>
                <w:szCs w:val="20"/>
                <w:highlight w:val="black"/>
              </w:rPr>
              <w:t>''''''''''''''''''''</w:t>
            </w:r>
            <w:r w:rsidR="00653CB7" w:rsidRPr="00BC31CD">
              <w:rPr>
                <w:rFonts w:cs="Calibri"/>
                <w:bCs w:val="0"/>
                <w:szCs w:val="20"/>
              </w:rPr>
              <w:t xml:space="preserve"> × 365.25 =</w:t>
            </w:r>
          </w:p>
        </w:tc>
        <w:tc>
          <w:tcPr>
            <w:tcW w:w="925" w:type="pct"/>
            <w:tcBorders>
              <w:right w:val="double" w:sz="4" w:space="0" w:color="auto"/>
            </w:tcBorders>
            <w:vAlign w:val="center"/>
          </w:tcPr>
          <w:p w14:paraId="5D68ADE8" w14:textId="77777777" w:rsidR="00653CB7" w:rsidRPr="00AE1A04" w:rsidRDefault="00AE1A04" w:rsidP="00E25376">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tcBorders>
              <w:left w:val="double" w:sz="4" w:space="0" w:color="auto"/>
            </w:tcBorders>
          </w:tcPr>
          <w:p w14:paraId="13E4971E" w14:textId="77777777" w:rsidR="00653CB7" w:rsidRPr="00BC31CD" w:rsidRDefault="00653CB7" w:rsidP="00E25376">
            <w:pPr>
              <w:pStyle w:val="TableText0"/>
              <w:keepNext w:val="0"/>
              <w:widowControl w:val="0"/>
              <w:ind w:right="-25"/>
              <w:rPr>
                <w:rFonts w:cs="Calibri"/>
                <w:bCs w:val="0"/>
                <w:szCs w:val="20"/>
              </w:rPr>
            </w:pPr>
          </w:p>
        </w:tc>
      </w:tr>
      <w:tr w:rsidR="00D145D5" w:rsidRPr="00BC31CD" w14:paraId="598A8DC9" w14:textId="77777777" w:rsidTr="00D145D5">
        <w:tc>
          <w:tcPr>
            <w:tcW w:w="5000" w:type="pct"/>
            <w:gridSpan w:val="4"/>
            <w:vAlign w:val="center"/>
          </w:tcPr>
          <w:p w14:paraId="0ABB9688" w14:textId="77777777" w:rsidR="00D145D5" w:rsidRPr="00BC31CD" w:rsidRDefault="00D145D5" w:rsidP="00E25376">
            <w:pPr>
              <w:pStyle w:val="TableText0"/>
              <w:keepNext w:val="0"/>
              <w:widowControl w:val="0"/>
              <w:ind w:right="-25"/>
              <w:rPr>
                <w:rFonts w:cs="Calibri"/>
                <w:b/>
                <w:szCs w:val="20"/>
              </w:rPr>
            </w:pPr>
            <w:r w:rsidRPr="00BC31CD">
              <w:rPr>
                <w:rFonts w:cs="Calibri"/>
                <w:b/>
                <w:szCs w:val="20"/>
              </w:rPr>
              <w:t>Treatment cost – financial estimates</w:t>
            </w:r>
          </w:p>
        </w:tc>
      </w:tr>
      <w:tr w:rsidR="00D145D5" w:rsidRPr="00BC31CD" w14:paraId="02F62299" w14:textId="77777777" w:rsidTr="0000569A">
        <w:tc>
          <w:tcPr>
            <w:tcW w:w="911" w:type="pct"/>
            <w:vAlign w:val="center"/>
          </w:tcPr>
          <w:p w14:paraId="336E4292" w14:textId="77777777" w:rsidR="00D145D5" w:rsidRPr="00BC31CD" w:rsidRDefault="00D145D5" w:rsidP="00E25376">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DPMQ</w:t>
            </w:r>
          </w:p>
        </w:tc>
        <w:tc>
          <w:tcPr>
            <w:tcW w:w="2084" w:type="pct"/>
            <w:vAlign w:val="center"/>
          </w:tcPr>
          <w:p w14:paraId="27FC99C1" w14:textId="77777777" w:rsidR="00D145D5" w:rsidRPr="00BC31CD" w:rsidRDefault="00D145D5" w:rsidP="0000569A">
            <w:pPr>
              <w:pStyle w:val="TableText0"/>
              <w:keepNext w:val="0"/>
              <w:widowControl w:val="0"/>
              <w:jc w:val="right"/>
              <w:rPr>
                <w:rFonts w:cs="Calibri"/>
                <w:bCs w:val="0"/>
                <w:szCs w:val="20"/>
              </w:rPr>
            </w:pPr>
            <w:r w:rsidRPr="00BC31CD">
              <w:rPr>
                <w:rFonts w:cs="Calibri"/>
                <w:bCs w:val="0"/>
                <w:szCs w:val="20"/>
              </w:rPr>
              <w:t>Adjusted for adult (82%) and paediatric use (18%)</w:t>
            </w:r>
          </w:p>
        </w:tc>
        <w:tc>
          <w:tcPr>
            <w:tcW w:w="925" w:type="pct"/>
            <w:tcBorders>
              <w:right w:val="double" w:sz="4" w:space="0" w:color="auto"/>
            </w:tcBorders>
            <w:vAlign w:val="center"/>
          </w:tcPr>
          <w:p w14:paraId="20A35C3A" w14:textId="77777777" w:rsidR="00D145D5" w:rsidRPr="00AE1A04" w:rsidRDefault="00AE1A04" w:rsidP="00E25376">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val="restart"/>
            <w:tcBorders>
              <w:left w:val="double" w:sz="4" w:space="0" w:color="auto"/>
            </w:tcBorders>
            <w:vAlign w:val="center"/>
          </w:tcPr>
          <w:p w14:paraId="3615F21D" w14:textId="77777777" w:rsidR="00D145D5" w:rsidRPr="00BC31CD" w:rsidRDefault="00473213" w:rsidP="00D145D5">
            <w:pPr>
              <w:pStyle w:val="TableText0"/>
              <w:keepNext w:val="0"/>
              <w:widowControl w:val="0"/>
              <w:ind w:right="-25"/>
              <w:jc w:val="center"/>
              <w:rPr>
                <w:rFonts w:cs="Calibri"/>
                <w:bCs w:val="0"/>
                <w:szCs w:val="20"/>
              </w:rPr>
            </w:pPr>
            <w:r w:rsidRPr="00BC31CD">
              <w:rPr>
                <w:rFonts w:cs="Calibri"/>
                <w:bCs w:val="0"/>
                <w:szCs w:val="20"/>
              </w:rPr>
              <w:t>Not included</w:t>
            </w:r>
          </w:p>
        </w:tc>
      </w:tr>
      <w:tr w:rsidR="00D145D5" w:rsidRPr="00BC31CD" w14:paraId="38E3678C" w14:textId="77777777" w:rsidTr="0000569A">
        <w:tc>
          <w:tcPr>
            <w:tcW w:w="911" w:type="pct"/>
            <w:vAlign w:val="center"/>
          </w:tcPr>
          <w:p w14:paraId="3799F5D0" w14:textId="77777777" w:rsidR="00D145D5" w:rsidRPr="00BC31CD" w:rsidRDefault="00D145D5" w:rsidP="00D145D5">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Tablets/day</w:t>
            </w:r>
          </w:p>
        </w:tc>
        <w:tc>
          <w:tcPr>
            <w:tcW w:w="2084" w:type="pct"/>
            <w:vAlign w:val="center"/>
          </w:tcPr>
          <w:p w14:paraId="2878092E" w14:textId="77777777" w:rsidR="00D145D5" w:rsidRPr="00BC31CD" w:rsidRDefault="00D145D5" w:rsidP="0000569A">
            <w:pPr>
              <w:pStyle w:val="TableText0"/>
              <w:keepNext w:val="0"/>
              <w:widowControl w:val="0"/>
              <w:jc w:val="right"/>
              <w:rPr>
                <w:rFonts w:cs="Calibri"/>
                <w:bCs w:val="0"/>
                <w:szCs w:val="20"/>
              </w:rPr>
            </w:pPr>
            <w:r w:rsidRPr="00BC31CD">
              <w:rPr>
                <w:rFonts w:cs="Calibri"/>
                <w:bCs w:val="0"/>
                <w:szCs w:val="20"/>
              </w:rPr>
              <w:t>4.45</w:t>
            </w:r>
          </w:p>
        </w:tc>
        <w:tc>
          <w:tcPr>
            <w:tcW w:w="925" w:type="pct"/>
            <w:tcBorders>
              <w:right w:val="double" w:sz="4" w:space="0" w:color="auto"/>
            </w:tcBorders>
            <w:vAlign w:val="center"/>
          </w:tcPr>
          <w:p w14:paraId="2004E14F" w14:textId="77777777" w:rsidR="00D145D5" w:rsidRPr="00BC31CD" w:rsidRDefault="00D145D5" w:rsidP="00D145D5">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764464FE" w14:textId="77777777" w:rsidR="00D145D5" w:rsidRPr="00BC31CD" w:rsidRDefault="00D145D5" w:rsidP="00D145D5">
            <w:pPr>
              <w:pStyle w:val="TableText0"/>
              <w:keepNext w:val="0"/>
              <w:widowControl w:val="0"/>
              <w:ind w:right="-25"/>
              <w:rPr>
                <w:rFonts w:cs="Calibri"/>
                <w:bCs w:val="0"/>
                <w:szCs w:val="20"/>
              </w:rPr>
            </w:pPr>
          </w:p>
        </w:tc>
      </w:tr>
      <w:tr w:rsidR="00D145D5" w:rsidRPr="00BC31CD" w14:paraId="62F6491D" w14:textId="77777777" w:rsidTr="0000569A">
        <w:tc>
          <w:tcPr>
            <w:tcW w:w="911" w:type="pct"/>
            <w:vAlign w:val="center"/>
          </w:tcPr>
          <w:p w14:paraId="070848B2" w14:textId="77777777" w:rsidR="00D145D5" w:rsidRPr="00BC31CD" w:rsidRDefault="00D145D5" w:rsidP="00D145D5">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w:t>
            </w:r>
            <w:r w:rsidR="004665AF">
              <w:rPr>
                <w:rFonts w:cs="Calibri"/>
                <w:bCs w:val="0"/>
                <w:color w:val="000000"/>
                <w:szCs w:val="20"/>
              </w:rPr>
              <w:t xml:space="preserve"> ($)</w:t>
            </w:r>
            <w:r w:rsidRPr="00BC31CD">
              <w:rPr>
                <w:rFonts w:cs="Calibri"/>
                <w:bCs w:val="0"/>
                <w:color w:val="000000"/>
                <w:szCs w:val="20"/>
              </w:rPr>
              <w:t>/tablet</w:t>
            </w:r>
          </w:p>
        </w:tc>
        <w:tc>
          <w:tcPr>
            <w:tcW w:w="2084" w:type="pct"/>
            <w:vAlign w:val="center"/>
          </w:tcPr>
          <w:p w14:paraId="63D9782E" w14:textId="77777777" w:rsidR="00D145D5" w:rsidRPr="00BC31CD" w:rsidRDefault="00AE1A04" w:rsidP="00F21495">
            <w:pPr>
              <w:pStyle w:val="TableText0"/>
              <w:keepNext w:val="0"/>
              <w:widowControl w:val="0"/>
              <w:jc w:val="right"/>
              <w:rPr>
                <w:rFonts w:cs="Calibri"/>
                <w:bCs w:val="0"/>
                <w:szCs w:val="20"/>
              </w:rPr>
            </w:pPr>
            <w:r>
              <w:rPr>
                <w:rFonts w:cs="Calibri"/>
                <w:bCs w:val="0"/>
                <w:noProof/>
                <w:color w:val="000000"/>
                <w:szCs w:val="20"/>
                <w:highlight w:val="black"/>
              </w:rPr>
              <w:t>''''''''''''''''''''''''</w:t>
            </w:r>
            <w:r w:rsidR="00D145D5" w:rsidRPr="00BC31CD">
              <w:rPr>
                <w:rFonts w:cs="Calibri"/>
                <w:bCs w:val="0"/>
                <w:szCs w:val="20"/>
              </w:rPr>
              <w:t xml:space="preserve"> ÷ 144 (pack size)</w:t>
            </w:r>
            <w:r w:rsidR="00F21495" w:rsidRPr="00BC31CD">
              <w:rPr>
                <w:rFonts w:cs="Calibri"/>
                <w:bCs w:val="0"/>
                <w:szCs w:val="20"/>
              </w:rPr>
              <w:t xml:space="preserve"> </w:t>
            </w:r>
            <w:r w:rsidR="00D145D5" w:rsidRPr="00BC31CD">
              <w:rPr>
                <w:rFonts w:cs="Calibri"/>
                <w:bCs w:val="0"/>
                <w:szCs w:val="20"/>
              </w:rPr>
              <w:t>=</w:t>
            </w:r>
          </w:p>
        </w:tc>
        <w:tc>
          <w:tcPr>
            <w:tcW w:w="925" w:type="pct"/>
            <w:tcBorders>
              <w:right w:val="double" w:sz="4" w:space="0" w:color="auto"/>
            </w:tcBorders>
            <w:vAlign w:val="center"/>
          </w:tcPr>
          <w:p w14:paraId="28E45A4C" w14:textId="77777777" w:rsidR="00D145D5" w:rsidRPr="00AE1A04" w:rsidRDefault="00AE1A04" w:rsidP="00D145D5">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tcBorders>
              <w:left w:val="double" w:sz="4" w:space="0" w:color="auto"/>
            </w:tcBorders>
          </w:tcPr>
          <w:p w14:paraId="5B68EA6D" w14:textId="77777777" w:rsidR="00D145D5" w:rsidRPr="00BC31CD" w:rsidRDefault="00D145D5" w:rsidP="00D145D5">
            <w:pPr>
              <w:pStyle w:val="TableText0"/>
              <w:keepNext w:val="0"/>
              <w:widowControl w:val="0"/>
              <w:ind w:right="-25"/>
              <w:rPr>
                <w:rFonts w:cs="Calibri"/>
                <w:bCs w:val="0"/>
                <w:szCs w:val="20"/>
              </w:rPr>
            </w:pPr>
          </w:p>
        </w:tc>
      </w:tr>
      <w:tr w:rsidR="00D145D5" w:rsidRPr="00BC31CD" w14:paraId="2FF09021" w14:textId="77777777" w:rsidTr="0000569A">
        <w:tc>
          <w:tcPr>
            <w:tcW w:w="911" w:type="pct"/>
            <w:vAlign w:val="center"/>
          </w:tcPr>
          <w:p w14:paraId="1D5FBE7F" w14:textId="77777777" w:rsidR="00D145D5" w:rsidRPr="00BC31CD" w:rsidRDefault="00D145D5" w:rsidP="00D145D5">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w:t>
            </w:r>
            <w:r w:rsidR="004665AF">
              <w:rPr>
                <w:rFonts w:cs="Calibri"/>
                <w:bCs w:val="0"/>
                <w:color w:val="000000"/>
                <w:szCs w:val="20"/>
              </w:rPr>
              <w:t xml:space="preserve"> ($)</w:t>
            </w:r>
            <w:r w:rsidRPr="00BC31CD">
              <w:rPr>
                <w:rFonts w:cs="Calibri"/>
                <w:bCs w:val="0"/>
                <w:color w:val="000000"/>
                <w:szCs w:val="20"/>
              </w:rPr>
              <w:t>/day</w:t>
            </w:r>
          </w:p>
        </w:tc>
        <w:tc>
          <w:tcPr>
            <w:tcW w:w="2084" w:type="pct"/>
            <w:vAlign w:val="center"/>
          </w:tcPr>
          <w:p w14:paraId="7D1BC342" w14:textId="77777777" w:rsidR="007D43B6" w:rsidRPr="00BC31CD" w:rsidRDefault="00AE1A04" w:rsidP="0000569A">
            <w:pPr>
              <w:pStyle w:val="TableText0"/>
              <w:keepNext w:val="0"/>
              <w:widowControl w:val="0"/>
              <w:jc w:val="right"/>
              <w:rPr>
                <w:rFonts w:cs="Calibri"/>
                <w:bCs w:val="0"/>
                <w:szCs w:val="20"/>
              </w:rPr>
            </w:pPr>
            <w:r>
              <w:rPr>
                <w:rFonts w:cs="Calibri"/>
                <w:bCs w:val="0"/>
                <w:noProof/>
                <w:color w:val="000000"/>
                <w:szCs w:val="20"/>
                <w:highlight w:val="black"/>
              </w:rPr>
              <w:t>''''''''''''''''''</w:t>
            </w:r>
            <w:r w:rsidR="00D145D5" w:rsidRPr="00BC31CD">
              <w:rPr>
                <w:rFonts w:cs="Calibri"/>
                <w:bCs w:val="0"/>
                <w:szCs w:val="20"/>
              </w:rPr>
              <w:t xml:space="preserve"> × 4.45 =</w:t>
            </w:r>
          </w:p>
        </w:tc>
        <w:tc>
          <w:tcPr>
            <w:tcW w:w="925" w:type="pct"/>
            <w:tcBorders>
              <w:right w:val="double" w:sz="4" w:space="0" w:color="auto"/>
            </w:tcBorders>
            <w:vAlign w:val="center"/>
          </w:tcPr>
          <w:p w14:paraId="2D1EB2DD" w14:textId="77777777" w:rsidR="007D43B6" w:rsidRPr="00AE1A04" w:rsidRDefault="00AE1A04" w:rsidP="0000569A">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tcBorders>
              <w:left w:val="double" w:sz="4" w:space="0" w:color="auto"/>
            </w:tcBorders>
          </w:tcPr>
          <w:p w14:paraId="0DC093BE" w14:textId="77777777" w:rsidR="00D145D5" w:rsidRPr="00BC31CD" w:rsidRDefault="00D145D5" w:rsidP="00D145D5">
            <w:pPr>
              <w:pStyle w:val="TableText0"/>
              <w:keepNext w:val="0"/>
              <w:widowControl w:val="0"/>
              <w:ind w:right="-25"/>
              <w:rPr>
                <w:rFonts w:cs="Calibri"/>
                <w:bCs w:val="0"/>
                <w:szCs w:val="20"/>
              </w:rPr>
            </w:pPr>
          </w:p>
        </w:tc>
      </w:tr>
      <w:tr w:rsidR="00D145D5" w:rsidRPr="00BC31CD" w14:paraId="726CBFB6" w14:textId="77777777" w:rsidTr="0000569A">
        <w:tc>
          <w:tcPr>
            <w:tcW w:w="911" w:type="pct"/>
            <w:vAlign w:val="center"/>
          </w:tcPr>
          <w:p w14:paraId="3AD60CFE" w14:textId="77777777" w:rsidR="00D145D5" w:rsidRPr="00BC31CD" w:rsidRDefault="00D145D5" w:rsidP="00D145D5">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w:t>
            </w:r>
            <w:r w:rsidR="004665AF">
              <w:rPr>
                <w:rFonts w:cs="Calibri"/>
                <w:bCs w:val="0"/>
                <w:color w:val="000000"/>
                <w:szCs w:val="20"/>
              </w:rPr>
              <w:t xml:space="preserve"> ($)</w:t>
            </w:r>
            <w:r w:rsidRPr="00BC31CD">
              <w:rPr>
                <w:rFonts w:cs="Calibri"/>
                <w:bCs w:val="0"/>
                <w:color w:val="000000"/>
                <w:szCs w:val="20"/>
              </w:rPr>
              <w:t>/year</w:t>
            </w:r>
          </w:p>
        </w:tc>
        <w:tc>
          <w:tcPr>
            <w:tcW w:w="2084" w:type="pct"/>
            <w:vAlign w:val="center"/>
          </w:tcPr>
          <w:p w14:paraId="40BD3F4B" w14:textId="77777777" w:rsidR="007D43B6" w:rsidRPr="00BC31CD" w:rsidRDefault="00AE1A04" w:rsidP="0000569A">
            <w:pPr>
              <w:pStyle w:val="TableText0"/>
              <w:keepNext w:val="0"/>
              <w:widowControl w:val="0"/>
              <w:jc w:val="right"/>
              <w:rPr>
                <w:rFonts w:cs="Calibri"/>
                <w:bCs w:val="0"/>
                <w:szCs w:val="20"/>
              </w:rPr>
            </w:pPr>
            <w:r>
              <w:rPr>
                <w:rFonts w:cs="Calibri"/>
                <w:bCs w:val="0"/>
                <w:noProof/>
                <w:color w:val="000000"/>
                <w:szCs w:val="20"/>
                <w:highlight w:val="black"/>
              </w:rPr>
              <w:t>'''''''''''''''''</w:t>
            </w:r>
            <w:r w:rsidR="00D145D5" w:rsidRPr="00BC31CD">
              <w:rPr>
                <w:rFonts w:cs="Calibri"/>
                <w:bCs w:val="0"/>
                <w:szCs w:val="20"/>
              </w:rPr>
              <w:t xml:space="preserve"> × 365.25 =</w:t>
            </w:r>
            <w:r w:rsidR="00E82CC3" w:rsidRPr="00BC31CD">
              <w:rPr>
                <w:rFonts w:cs="Calibri"/>
                <w:bCs w:val="0"/>
                <w:szCs w:val="20"/>
              </w:rPr>
              <w:t xml:space="preserve"> </w:t>
            </w:r>
          </w:p>
        </w:tc>
        <w:tc>
          <w:tcPr>
            <w:tcW w:w="925" w:type="pct"/>
            <w:tcBorders>
              <w:right w:val="double" w:sz="4" w:space="0" w:color="auto"/>
            </w:tcBorders>
            <w:vAlign w:val="center"/>
          </w:tcPr>
          <w:p w14:paraId="373203FA" w14:textId="77777777" w:rsidR="00E82CC3" w:rsidRPr="00AE1A04" w:rsidRDefault="00AE1A04" w:rsidP="0000569A">
            <w:pPr>
              <w:pStyle w:val="TableText0"/>
              <w:keepNext w:val="0"/>
              <w:widowControl w:val="0"/>
              <w:ind w:right="-25"/>
              <w:jc w:val="center"/>
              <w:rPr>
                <w:rFonts w:cs="Calibri"/>
                <w:bCs w:val="0"/>
                <w:szCs w:val="20"/>
                <w:highlight w:val="black"/>
              </w:rPr>
            </w:pPr>
            <w:r>
              <w:rPr>
                <w:rFonts w:cs="Calibri"/>
                <w:bCs w:val="0"/>
                <w:noProof/>
                <w:color w:val="000000"/>
                <w:szCs w:val="20"/>
                <w:highlight w:val="black"/>
              </w:rPr>
              <w:t>''''''''''''''''''''</w:t>
            </w:r>
          </w:p>
        </w:tc>
        <w:tc>
          <w:tcPr>
            <w:tcW w:w="1080" w:type="pct"/>
            <w:vMerge/>
            <w:tcBorders>
              <w:left w:val="double" w:sz="4" w:space="0" w:color="auto"/>
            </w:tcBorders>
          </w:tcPr>
          <w:p w14:paraId="14CF5E99" w14:textId="77777777" w:rsidR="00D145D5" w:rsidRPr="00BC31CD" w:rsidRDefault="00D145D5" w:rsidP="00D145D5">
            <w:pPr>
              <w:pStyle w:val="TableText0"/>
              <w:keepNext w:val="0"/>
              <w:widowControl w:val="0"/>
              <w:ind w:right="-25"/>
              <w:rPr>
                <w:rFonts w:cs="Calibri"/>
                <w:bCs w:val="0"/>
                <w:szCs w:val="20"/>
              </w:rPr>
            </w:pPr>
          </w:p>
        </w:tc>
      </w:tr>
    </w:tbl>
    <w:p w14:paraId="5103A8CB" w14:textId="1BD35EF7" w:rsidR="00E048E2" w:rsidRPr="00BC31CD" w:rsidRDefault="00E048E2" w:rsidP="00C82249">
      <w:pPr>
        <w:pStyle w:val="TableFigureFooter"/>
        <w:keepLines/>
        <w:spacing w:after="0"/>
      </w:pPr>
      <w:r w:rsidRPr="00BC31CD">
        <w:t>Source: Section 3.6.1, p126 of the submission; worksheet ‘Inputs’ of the Excel workbook ‘Section 3_CEA_Cuprior’.</w:t>
      </w:r>
    </w:p>
    <w:p w14:paraId="146F615F" w14:textId="77777777" w:rsidR="00DA660D" w:rsidRPr="00BC31CD" w:rsidRDefault="00E048E2" w:rsidP="00C82249">
      <w:pPr>
        <w:pStyle w:val="TableFigureFooter"/>
      </w:pPr>
      <w:r w:rsidRPr="00BC31CD">
        <w:t xml:space="preserve">4HCl=tetrahydrochloride; BSC=best supportive care; </w:t>
      </w:r>
      <w:r w:rsidR="00180B51" w:rsidRPr="00BC31CD">
        <w:t xml:space="preserve">DPMQ = dispensed price for maximum quantity; </w:t>
      </w:r>
      <w:r w:rsidRPr="00BC31CD">
        <w:t>WD = Wilson Disease</w:t>
      </w:r>
    </w:p>
    <w:bookmarkEnd w:id="29"/>
    <w:p w14:paraId="0FF72306" w14:textId="77777777" w:rsidR="005E6A84" w:rsidRPr="00BC31CD" w:rsidRDefault="005E6A84" w:rsidP="00AB7BE5">
      <w:pPr>
        <w:pStyle w:val="3-BodyText"/>
      </w:pPr>
      <w:r w:rsidRPr="00BC31CD">
        <w:t xml:space="preserve">For comparison, </w:t>
      </w:r>
      <w:r w:rsidR="00731C62" w:rsidRPr="00BC31CD">
        <w:t>the cost per patient per year for DPA treatment would be $1,</w:t>
      </w:r>
      <w:r w:rsidR="00A03859" w:rsidRPr="00BC31CD">
        <w:t>943</w:t>
      </w:r>
      <w:r w:rsidR="00731C62" w:rsidRPr="00BC31CD">
        <w:t xml:space="preserve">, assuming a dose of </w:t>
      </w:r>
      <w:r w:rsidR="00A03859" w:rsidRPr="00BC31CD">
        <w:t xml:space="preserve">1,750 </w:t>
      </w:r>
      <w:r w:rsidR="00731C62" w:rsidRPr="00BC31CD">
        <w:t>mg/day</w:t>
      </w:r>
      <w:r w:rsidR="000D2294" w:rsidRPr="00BC31CD">
        <w:t xml:space="preserve"> </w:t>
      </w:r>
      <w:r w:rsidR="00B75B34" w:rsidRPr="00BC31CD">
        <w:t>(recommended daily dose in the Product Information is 1,500 mg to 2,000 mg)</w:t>
      </w:r>
      <w:r w:rsidR="00731C62" w:rsidRPr="00BC31CD">
        <w:t xml:space="preserve"> and use of 250 mg tablets (PBS 2838J).</w:t>
      </w:r>
      <w:r w:rsidR="00214AA7" w:rsidRPr="00BC31CD">
        <w:t xml:space="preserve"> </w:t>
      </w:r>
    </w:p>
    <w:p w14:paraId="170768C9" w14:textId="77777777" w:rsidR="00DA660D" w:rsidRPr="00BC31CD" w:rsidRDefault="00DA660D" w:rsidP="00DA660D">
      <w:pPr>
        <w:pStyle w:val="4-SubsectionHeading"/>
      </w:pPr>
      <w:bookmarkStart w:id="30" w:name="_Toc22897647"/>
      <w:bookmarkStart w:id="31" w:name="_Toc22898859"/>
      <w:bookmarkStart w:id="32" w:name="_Toc82002239"/>
      <w:r w:rsidRPr="00BC31CD">
        <w:t>Estimated PBS usage &amp; financial implications</w:t>
      </w:r>
      <w:bookmarkEnd w:id="30"/>
      <w:bookmarkEnd w:id="31"/>
      <w:bookmarkEnd w:id="32"/>
    </w:p>
    <w:p w14:paraId="124BA510" w14:textId="77777777" w:rsidR="00FC1173" w:rsidRPr="00BC31CD" w:rsidRDefault="00FC1173" w:rsidP="00FC1173">
      <w:pPr>
        <w:pStyle w:val="3-BodyText"/>
      </w:pPr>
      <w:bookmarkStart w:id="33" w:name="_Toc22897649"/>
      <w:bookmarkStart w:id="34" w:name="_Toc82002241"/>
      <w:r w:rsidRPr="00BC31CD">
        <w:t xml:space="preserve">This submission </w:t>
      </w:r>
      <w:r w:rsidR="002D27D0" w:rsidRPr="00BC31CD">
        <w:t>was</w:t>
      </w:r>
      <w:r w:rsidRPr="00BC31CD">
        <w:t xml:space="preserve"> considered by DUSC. The submission applied a prevalence-based epidemiological approach to estimate the number of patients eligible for treatment with trientine 4HCl. The table below summarises the inputs used for the financial estimates.</w:t>
      </w:r>
    </w:p>
    <w:p w14:paraId="7B081992" w14:textId="77777777" w:rsidR="00FC1173" w:rsidRPr="00BC31CD" w:rsidRDefault="00FC1173" w:rsidP="00483E1C">
      <w:pPr>
        <w:pStyle w:val="TableFigureHeading"/>
        <w:rPr>
          <w:rStyle w:val="CommentReference"/>
          <w:b/>
          <w:szCs w:val="24"/>
        </w:rPr>
      </w:pPr>
      <w:r w:rsidRPr="00BC31CD">
        <w:rPr>
          <w:rStyle w:val="CommentReference"/>
          <w:b/>
          <w:szCs w:val="24"/>
        </w:rPr>
        <w:t>Table 13: Key inputs for financial estimates</w:t>
      </w:r>
    </w:p>
    <w:tbl>
      <w:tblPr>
        <w:tblStyle w:val="Summarybox2"/>
        <w:tblW w:w="5000" w:type="pct"/>
        <w:tblLook w:val="04A0" w:firstRow="1" w:lastRow="0" w:firstColumn="1" w:lastColumn="0" w:noHBand="0" w:noVBand="1"/>
        <w:tblCaption w:val="Table 13: Key inputs for financial estimates"/>
      </w:tblPr>
      <w:tblGrid>
        <w:gridCol w:w="1670"/>
        <w:gridCol w:w="7347"/>
      </w:tblGrid>
      <w:tr w:rsidR="00FC1173" w:rsidRPr="00BC31CD" w14:paraId="1932E828" w14:textId="77777777" w:rsidTr="00FC1173">
        <w:trPr>
          <w:tblHead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9F02D" w14:textId="77777777" w:rsidR="00FC1173" w:rsidRPr="00BC31CD" w:rsidRDefault="00FC1173" w:rsidP="00483E1C">
            <w:pPr>
              <w:keepNext/>
              <w:widowControl w:val="0"/>
              <w:jc w:val="left"/>
              <w:rPr>
                <w:rFonts w:ascii="Arial Narrow" w:hAnsi="Arial Narrow"/>
                <w:b/>
                <w:sz w:val="20"/>
                <w:szCs w:val="20"/>
              </w:rPr>
            </w:pPr>
            <w:r w:rsidRPr="00BC31CD">
              <w:rPr>
                <w:rFonts w:ascii="Arial Narrow" w:hAnsi="Arial Narrow"/>
                <w:b/>
                <w:sz w:val="20"/>
                <w:szCs w:val="20"/>
              </w:rPr>
              <w:t>Component</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0FA4D2" w14:textId="77777777" w:rsidR="00FC1173" w:rsidRPr="00BC31CD" w:rsidRDefault="00FC1173" w:rsidP="00483E1C">
            <w:pPr>
              <w:keepNext/>
              <w:widowControl w:val="0"/>
              <w:jc w:val="center"/>
              <w:rPr>
                <w:rFonts w:ascii="Arial Narrow" w:hAnsi="Arial Narrow"/>
                <w:b/>
                <w:sz w:val="20"/>
                <w:szCs w:val="20"/>
              </w:rPr>
            </w:pPr>
            <w:r w:rsidRPr="00BC31CD">
              <w:rPr>
                <w:rFonts w:ascii="Arial Narrow" w:hAnsi="Arial Narrow"/>
                <w:b/>
                <w:sz w:val="20"/>
                <w:szCs w:val="20"/>
              </w:rPr>
              <w:t>Data source</w:t>
            </w:r>
          </w:p>
        </w:tc>
      </w:tr>
      <w:tr w:rsidR="00FC1173" w:rsidRPr="00BC31CD" w14:paraId="2D75910C" w14:textId="77777777" w:rsidTr="00FC117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00F9A2" w14:textId="77777777" w:rsidR="00FC1173" w:rsidRPr="00BC31CD" w:rsidRDefault="00FC1173" w:rsidP="00483E1C">
            <w:pPr>
              <w:keepNext/>
              <w:widowControl w:val="0"/>
              <w:jc w:val="left"/>
              <w:rPr>
                <w:rFonts w:ascii="Arial Narrow" w:hAnsi="Arial Narrow"/>
                <w:b/>
                <w:sz w:val="20"/>
                <w:szCs w:val="20"/>
              </w:rPr>
            </w:pPr>
            <w:r w:rsidRPr="00BC31CD">
              <w:rPr>
                <w:rFonts w:ascii="Arial Narrow" w:hAnsi="Arial Narrow"/>
                <w:b/>
                <w:sz w:val="20"/>
                <w:szCs w:val="20"/>
              </w:rPr>
              <w:t>Epidemiology</w:t>
            </w:r>
          </w:p>
        </w:tc>
      </w:tr>
      <w:tr w:rsidR="00FC1173" w:rsidRPr="00BC31CD" w14:paraId="18399254"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124A40FE"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sz w:val="20"/>
                <w:szCs w:val="20"/>
              </w:rPr>
              <w:t>Prevalence data</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45AC1CA0"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sz w:val="20"/>
                <w:szCs w:val="20"/>
              </w:rPr>
              <w:t>Australian population aged ≥5 years: ABS 3222.0 Series B</w:t>
            </w:r>
          </w:p>
          <w:p w14:paraId="76D3037C"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sz w:val="20"/>
                <w:szCs w:val="20"/>
              </w:rPr>
              <w:t>Prevalence of WD: 3.3 per 100,000, based on Scheinberg and Sternlieb 1984.</w:t>
            </w:r>
          </w:p>
        </w:tc>
      </w:tr>
      <w:tr w:rsidR="00FC1173" w:rsidRPr="00BC31CD" w14:paraId="0FF55BB3"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3AF51BE"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sz w:val="20"/>
                <w:szCs w:val="20"/>
              </w:rPr>
              <w:t>Eligible patients</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27DFCCD4" w14:textId="77777777" w:rsidR="00FC1173" w:rsidRPr="00BC31CD" w:rsidRDefault="00FC1173" w:rsidP="00483E1C">
            <w:pPr>
              <w:keepNext/>
              <w:widowControl w:val="0"/>
              <w:tabs>
                <w:tab w:val="left" w:pos="250"/>
              </w:tabs>
              <w:jc w:val="left"/>
              <w:rPr>
                <w:rFonts w:ascii="Arial Narrow" w:hAnsi="Arial Narrow"/>
                <w:sz w:val="20"/>
                <w:szCs w:val="20"/>
              </w:rPr>
            </w:pPr>
            <w:r w:rsidRPr="00BC31CD">
              <w:rPr>
                <w:rFonts w:ascii="Arial Narrow" w:hAnsi="Arial Narrow"/>
                <w:sz w:val="20"/>
                <w:szCs w:val="20"/>
              </w:rPr>
              <w:t>The number of eligible patients was multiplied by a diagnosis rate of 50% (Sandahl 2020) then multiplied by a DPA usage rate of 75% (submission assumption) and then multiplied by 30% for those intolerant to DPA (Ferenci 2012; Socha 2018; Weiss 2013).</w:t>
            </w:r>
          </w:p>
          <w:tbl>
            <w:tblPr>
              <w:tblStyle w:val="TableGrid"/>
              <w:tblW w:w="7004" w:type="dxa"/>
              <w:tblCellMar>
                <w:left w:w="28" w:type="dxa"/>
                <w:right w:w="28" w:type="dxa"/>
              </w:tblCellMar>
              <w:tblLook w:val="04A0" w:firstRow="1" w:lastRow="0" w:firstColumn="1" w:lastColumn="0" w:noHBand="0" w:noVBand="1"/>
              <w:tblCaption w:val="Eligible patients"/>
            </w:tblPr>
            <w:tblGrid>
              <w:gridCol w:w="1861"/>
              <w:gridCol w:w="838"/>
              <w:gridCol w:w="878"/>
              <w:gridCol w:w="879"/>
              <w:gridCol w:w="879"/>
              <w:gridCol w:w="879"/>
              <w:gridCol w:w="790"/>
            </w:tblGrid>
            <w:tr w:rsidR="00FC1173" w:rsidRPr="00BC31CD" w14:paraId="39413170" w14:textId="77777777" w:rsidTr="00173E64">
              <w:trPr>
                <w:trHeight w:val="164"/>
                <w:tblHeader/>
              </w:trPr>
              <w:tc>
                <w:tcPr>
                  <w:tcW w:w="1861" w:type="dxa"/>
                </w:tcPr>
                <w:p w14:paraId="4FC19C95" w14:textId="77777777" w:rsidR="00FC1173" w:rsidRPr="00BC31CD" w:rsidRDefault="00FC1173" w:rsidP="00483E1C">
                  <w:pPr>
                    <w:keepNext/>
                    <w:widowControl w:val="0"/>
                    <w:jc w:val="left"/>
                    <w:rPr>
                      <w:rFonts w:ascii="Arial Narrow" w:hAnsi="Arial Narrow"/>
                    </w:rPr>
                  </w:pPr>
                </w:p>
              </w:tc>
              <w:tc>
                <w:tcPr>
                  <w:tcW w:w="838" w:type="dxa"/>
                </w:tcPr>
                <w:p w14:paraId="51A0E97A" w14:textId="77777777" w:rsidR="00FC1173" w:rsidRPr="00BC31CD" w:rsidRDefault="00FC1173" w:rsidP="00483E1C">
                  <w:pPr>
                    <w:keepNext/>
                    <w:widowControl w:val="0"/>
                    <w:jc w:val="center"/>
                    <w:rPr>
                      <w:rFonts w:ascii="Arial Narrow" w:hAnsi="Arial Narrow"/>
                      <w:b/>
                      <w:bCs/>
                      <w:sz w:val="20"/>
                      <w:szCs w:val="20"/>
                    </w:rPr>
                  </w:pPr>
                  <w:r w:rsidRPr="00BC31CD">
                    <w:rPr>
                      <w:rFonts w:ascii="Arial Narrow" w:hAnsi="Arial Narrow"/>
                      <w:b/>
                      <w:bCs/>
                      <w:sz w:val="20"/>
                      <w:szCs w:val="20"/>
                    </w:rPr>
                    <w:t>Year 1</w:t>
                  </w:r>
                </w:p>
              </w:tc>
              <w:tc>
                <w:tcPr>
                  <w:tcW w:w="878" w:type="dxa"/>
                </w:tcPr>
                <w:p w14:paraId="2529D5FF" w14:textId="77777777" w:rsidR="00FC1173" w:rsidRPr="00BC31CD" w:rsidRDefault="00FC1173" w:rsidP="00483E1C">
                  <w:pPr>
                    <w:keepNext/>
                    <w:widowControl w:val="0"/>
                    <w:jc w:val="center"/>
                    <w:rPr>
                      <w:rFonts w:ascii="Arial Narrow" w:hAnsi="Arial Narrow"/>
                      <w:b/>
                      <w:bCs/>
                      <w:sz w:val="20"/>
                      <w:szCs w:val="20"/>
                    </w:rPr>
                  </w:pPr>
                  <w:r w:rsidRPr="00BC31CD">
                    <w:rPr>
                      <w:rFonts w:ascii="Arial Narrow" w:hAnsi="Arial Narrow"/>
                      <w:b/>
                      <w:bCs/>
                      <w:sz w:val="20"/>
                      <w:szCs w:val="20"/>
                    </w:rPr>
                    <w:t>Year 2</w:t>
                  </w:r>
                </w:p>
              </w:tc>
              <w:tc>
                <w:tcPr>
                  <w:tcW w:w="879" w:type="dxa"/>
                </w:tcPr>
                <w:p w14:paraId="510367F6" w14:textId="77777777" w:rsidR="00FC1173" w:rsidRPr="00BC31CD" w:rsidRDefault="00FC1173" w:rsidP="00483E1C">
                  <w:pPr>
                    <w:keepNext/>
                    <w:widowControl w:val="0"/>
                    <w:jc w:val="center"/>
                    <w:rPr>
                      <w:rFonts w:ascii="Arial Narrow" w:hAnsi="Arial Narrow"/>
                      <w:b/>
                      <w:bCs/>
                      <w:sz w:val="20"/>
                      <w:szCs w:val="20"/>
                    </w:rPr>
                  </w:pPr>
                  <w:r w:rsidRPr="00BC31CD">
                    <w:rPr>
                      <w:rFonts w:ascii="Arial Narrow" w:hAnsi="Arial Narrow"/>
                      <w:b/>
                      <w:bCs/>
                      <w:sz w:val="20"/>
                      <w:szCs w:val="20"/>
                    </w:rPr>
                    <w:t>Year 3</w:t>
                  </w:r>
                </w:p>
              </w:tc>
              <w:tc>
                <w:tcPr>
                  <w:tcW w:w="879" w:type="dxa"/>
                </w:tcPr>
                <w:p w14:paraId="0AB8176C" w14:textId="77777777" w:rsidR="00FC1173" w:rsidRPr="00BC31CD" w:rsidRDefault="00FC1173" w:rsidP="00483E1C">
                  <w:pPr>
                    <w:keepNext/>
                    <w:widowControl w:val="0"/>
                    <w:jc w:val="center"/>
                    <w:rPr>
                      <w:rFonts w:ascii="Arial Narrow" w:hAnsi="Arial Narrow"/>
                      <w:b/>
                      <w:bCs/>
                      <w:sz w:val="20"/>
                      <w:szCs w:val="20"/>
                    </w:rPr>
                  </w:pPr>
                  <w:r w:rsidRPr="00BC31CD">
                    <w:rPr>
                      <w:rFonts w:ascii="Arial Narrow" w:hAnsi="Arial Narrow"/>
                      <w:b/>
                      <w:bCs/>
                      <w:sz w:val="20"/>
                      <w:szCs w:val="20"/>
                    </w:rPr>
                    <w:t>Year 4</w:t>
                  </w:r>
                </w:p>
              </w:tc>
              <w:tc>
                <w:tcPr>
                  <w:tcW w:w="879" w:type="dxa"/>
                </w:tcPr>
                <w:p w14:paraId="53672F8C" w14:textId="77777777" w:rsidR="00FC1173" w:rsidRPr="00BC31CD" w:rsidRDefault="00FC1173" w:rsidP="00483E1C">
                  <w:pPr>
                    <w:keepNext/>
                    <w:widowControl w:val="0"/>
                    <w:jc w:val="center"/>
                    <w:rPr>
                      <w:rFonts w:ascii="Arial Narrow" w:hAnsi="Arial Narrow"/>
                      <w:b/>
                      <w:bCs/>
                      <w:sz w:val="20"/>
                      <w:szCs w:val="20"/>
                    </w:rPr>
                  </w:pPr>
                  <w:r w:rsidRPr="00BC31CD">
                    <w:rPr>
                      <w:rFonts w:ascii="Arial Narrow" w:hAnsi="Arial Narrow"/>
                      <w:b/>
                      <w:bCs/>
                      <w:sz w:val="20"/>
                      <w:szCs w:val="20"/>
                    </w:rPr>
                    <w:t>Year 5</w:t>
                  </w:r>
                </w:p>
              </w:tc>
              <w:tc>
                <w:tcPr>
                  <w:tcW w:w="790" w:type="dxa"/>
                </w:tcPr>
                <w:p w14:paraId="3897F93B" w14:textId="77777777" w:rsidR="00FC1173" w:rsidRPr="00BC31CD" w:rsidRDefault="00FC1173" w:rsidP="00483E1C">
                  <w:pPr>
                    <w:keepNext/>
                    <w:widowControl w:val="0"/>
                    <w:jc w:val="center"/>
                    <w:rPr>
                      <w:rFonts w:ascii="Arial Narrow" w:hAnsi="Arial Narrow"/>
                      <w:b/>
                      <w:bCs/>
                      <w:sz w:val="20"/>
                      <w:szCs w:val="20"/>
                    </w:rPr>
                  </w:pPr>
                  <w:r w:rsidRPr="00BC31CD">
                    <w:rPr>
                      <w:rFonts w:ascii="Arial Narrow" w:hAnsi="Arial Narrow"/>
                      <w:b/>
                      <w:bCs/>
                      <w:sz w:val="20"/>
                      <w:szCs w:val="20"/>
                    </w:rPr>
                    <w:t>Year 6</w:t>
                  </w:r>
                </w:p>
              </w:tc>
            </w:tr>
            <w:tr w:rsidR="00FC1173" w:rsidRPr="00BC31CD" w14:paraId="65577DD7" w14:textId="77777777" w:rsidTr="00FC1173">
              <w:tc>
                <w:tcPr>
                  <w:tcW w:w="1861" w:type="dxa"/>
                </w:tcPr>
                <w:p w14:paraId="151269D6"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sz w:val="20"/>
                      <w:szCs w:val="20"/>
                    </w:rPr>
                    <w:t>Prevalent cases</w:t>
                  </w:r>
                </w:p>
              </w:tc>
              <w:tc>
                <w:tcPr>
                  <w:tcW w:w="838" w:type="dxa"/>
                </w:tcPr>
                <w:p w14:paraId="7E72E98A" w14:textId="77777777" w:rsidR="00FC1173" w:rsidRPr="00AE1A04" w:rsidRDefault="00AE1A04" w:rsidP="00483E1C">
                  <w:pPr>
                    <w:keepNext/>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78" w:type="dxa"/>
                </w:tcPr>
                <w:p w14:paraId="1976592F" w14:textId="77777777" w:rsidR="00FC1173" w:rsidRPr="00AE1A04" w:rsidRDefault="00AE1A04" w:rsidP="00483E1C">
                  <w:pPr>
                    <w:keepNext/>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79" w:type="dxa"/>
                </w:tcPr>
                <w:p w14:paraId="6C4811E6" w14:textId="77777777" w:rsidR="00FC1173" w:rsidRPr="00AE1A04" w:rsidRDefault="00AE1A04" w:rsidP="00483E1C">
                  <w:pPr>
                    <w:keepNext/>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r>
                    <w:rPr>
                      <w:rFonts w:ascii="Arial Narrow" w:hAnsi="Arial Narrow"/>
                      <w:noProof/>
                      <w:color w:val="000000"/>
                      <w:sz w:val="20"/>
                      <w:szCs w:val="20"/>
                      <w:highlight w:val="black"/>
                      <w:lang w:eastAsia="en-US"/>
                    </w:rPr>
                    <w:t xml:space="preserve"> </w:t>
                  </w:r>
                </w:p>
              </w:tc>
              <w:tc>
                <w:tcPr>
                  <w:tcW w:w="879" w:type="dxa"/>
                </w:tcPr>
                <w:p w14:paraId="23E39CBE" w14:textId="77777777" w:rsidR="00FC1173" w:rsidRPr="00AE1A04" w:rsidRDefault="00AE1A04" w:rsidP="00483E1C">
                  <w:pPr>
                    <w:keepNext/>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r>
                    <w:rPr>
                      <w:rFonts w:ascii="Arial Narrow" w:hAnsi="Arial Narrow"/>
                      <w:noProof/>
                      <w:color w:val="000000"/>
                      <w:sz w:val="20"/>
                      <w:szCs w:val="20"/>
                      <w:highlight w:val="black"/>
                      <w:lang w:eastAsia="en-US"/>
                    </w:rPr>
                    <w:t xml:space="preserve"> </w:t>
                  </w:r>
                </w:p>
              </w:tc>
              <w:tc>
                <w:tcPr>
                  <w:tcW w:w="879" w:type="dxa"/>
                </w:tcPr>
                <w:p w14:paraId="6E00E5FC" w14:textId="77777777" w:rsidR="00FC1173" w:rsidRPr="00AE1A04" w:rsidRDefault="00AE1A04" w:rsidP="00483E1C">
                  <w:pPr>
                    <w:keepNext/>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r>
                    <w:rPr>
                      <w:rFonts w:ascii="Arial Narrow" w:hAnsi="Arial Narrow"/>
                      <w:noProof/>
                      <w:color w:val="000000"/>
                      <w:sz w:val="20"/>
                      <w:szCs w:val="20"/>
                      <w:highlight w:val="black"/>
                      <w:lang w:eastAsia="en-US"/>
                    </w:rPr>
                    <w:t xml:space="preserve"> </w:t>
                  </w:r>
                </w:p>
              </w:tc>
              <w:tc>
                <w:tcPr>
                  <w:tcW w:w="790" w:type="dxa"/>
                </w:tcPr>
                <w:p w14:paraId="3383E0E5" w14:textId="77777777" w:rsidR="00FC1173" w:rsidRPr="00AE1A04" w:rsidRDefault="00AE1A04" w:rsidP="00483E1C">
                  <w:pPr>
                    <w:keepNext/>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r>
                    <w:rPr>
                      <w:rFonts w:ascii="Arial Narrow" w:hAnsi="Arial Narrow"/>
                      <w:noProof/>
                      <w:color w:val="000000"/>
                      <w:sz w:val="20"/>
                      <w:szCs w:val="20"/>
                      <w:highlight w:val="black"/>
                      <w:lang w:eastAsia="en-US"/>
                    </w:rPr>
                    <w:t xml:space="preserve"> </w:t>
                  </w:r>
                </w:p>
              </w:tc>
            </w:tr>
            <w:tr w:rsidR="00FC1173" w:rsidRPr="00BC31CD" w14:paraId="68A20F11" w14:textId="77777777" w:rsidTr="00FC1173">
              <w:tc>
                <w:tcPr>
                  <w:tcW w:w="1861" w:type="dxa"/>
                </w:tcPr>
                <w:p w14:paraId="68839A56"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sz w:val="20"/>
                      <w:szCs w:val="20"/>
                    </w:rPr>
                    <w:t>Eligible</w:t>
                  </w:r>
                </w:p>
              </w:tc>
              <w:tc>
                <w:tcPr>
                  <w:tcW w:w="5143" w:type="dxa"/>
                  <w:gridSpan w:val="6"/>
                </w:tcPr>
                <w:p w14:paraId="1BC4D167" w14:textId="77777777" w:rsidR="00FC1173" w:rsidRPr="00BC31CD" w:rsidRDefault="00FC1173" w:rsidP="00483E1C">
                  <w:pPr>
                    <w:keepNext/>
                    <w:widowControl w:val="0"/>
                    <w:jc w:val="center"/>
                    <w:rPr>
                      <w:rFonts w:ascii="Arial Narrow" w:hAnsi="Arial Narrow"/>
                      <w:color w:val="000000"/>
                      <w:sz w:val="20"/>
                      <w:szCs w:val="20"/>
                    </w:rPr>
                  </w:pPr>
                  <w:r w:rsidRPr="00BC31CD">
                    <w:rPr>
                      <w:rFonts w:ascii="Arial Narrow" w:hAnsi="Arial Narrow"/>
                      <w:color w:val="000000"/>
                      <w:sz w:val="20"/>
                      <w:szCs w:val="20"/>
                    </w:rPr>
                    <w:t>50% diagnosed × 75% DPA experienced × 30% DPA intolerant</w:t>
                  </w:r>
                </w:p>
              </w:tc>
            </w:tr>
            <w:tr w:rsidR="00FC1173" w:rsidRPr="00BC31CD" w14:paraId="2EFF1BAB" w14:textId="77777777" w:rsidTr="00FC1173">
              <w:tc>
                <w:tcPr>
                  <w:tcW w:w="1861" w:type="dxa"/>
                </w:tcPr>
                <w:p w14:paraId="2C28F74A" w14:textId="77777777" w:rsidR="00FC1173" w:rsidRPr="00BC31CD" w:rsidRDefault="00FC1173" w:rsidP="00483E1C">
                  <w:pPr>
                    <w:keepNext/>
                    <w:widowControl w:val="0"/>
                    <w:jc w:val="left"/>
                    <w:rPr>
                      <w:rFonts w:ascii="Arial Narrow" w:hAnsi="Arial Narrow"/>
                      <w:sz w:val="20"/>
                      <w:szCs w:val="20"/>
                    </w:rPr>
                  </w:pPr>
                  <w:r w:rsidRPr="00BC31CD">
                    <w:rPr>
                      <w:rFonts w:ascii="Arial Narrow" w:hAnsi="Arial Narrow"/>
                      <w:b/>
                      <w:bCs/>
                      <w:sz w:val="20"/>
                      <w:szCs w:val="20"/>
                    </w:rPr>
                    <w:t xml:space="preserve">N eligible </w:t>
                  </w:r>
                </w:p>
              </w:tc>
              <w:tc>
                <w:tcPr>
                  <w:tcW w:w="838" w:type="dxa"/>
                </w:tcPr>
                <w:p w14:paraId="3AA38BE1" w14:textId="77777777" w:rsidR="00FC1173" w:rsidRPr="00AE1A04" w:rsidRDefault="00AE1A04" w:rsidP="00483E1C">
                  <w:pPr>
                    <w:keepNext/>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2</w:t>
                  </w:r>
                  <w:r>
                    <w:rPr>
                      <w:rFonts w:ascii="Arial Narrow" w:hAnsi="Arial Narrow"/>
                      <w:b/>
                      <w:bCs/>
                      <w:noProof/>
                      <w:color w:val="000000"/>
                      <w:sz w:val="16"/>
                      <w:szCs w:val="20"/>
                      <w:highlight w:val="black"/>
                      <w:lang w:eastAsia="en-US"/>
                    </w:rPr>
                    <w:t xml:space="preserve"> </w:t>
                  </w:r>
                </w:p>
              </w:tc>
              <w:tc>
                <w:tcPr>
                  <w:tcW w:w="878" w:type="dxa"/>
                </w:tcPr>
                <w:p w14:paraId="2F3A00D8" w14:textId="77777777" w:rsidR="00FC1173" w:rsidRPr="00AE1A04" w:rsidRDefault="00AE1A04" w:rsidP="00483E1C">
                  <w:pPr>
                    <w:keepNext/>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2</w:t>
                  </w:r>
                  <w:r>
                    <w:rPr>
                      <w:rFonts w:ascii="Arial Narrow" w:hAnsi="Arial Narrow"/>
                      <w:b/>
                      <w:bCs/>
                      <w:noProof/>
                      <w:color w:val="000000"/>
                      <w:sz w:val="16"/>
                      <w:szCs w:val="20"/>
                      <w:highlight w:val="black"/>
                      <w:lang w:eastAsia="en-US"/>
                    </w:rPr>
                    <w:t xml:space="preserve"> </w:t>
                  </w:r>
                </w:p>
              </w:tc>
              <w:tc>
                <w:tcPr>
                  <w:tcW w:w="879" w:type="dxa"/>
                </w:tcPr>
                <w:p w14:paraId="5F3F2A98" w14:textId="16EEE633" w:rsidR="00FC1173" w:rsidRPr="00AE1A04" w:rsidRDefault="00AE1A04" w:rsidP="00483E1C">
                  <w:pPr>
                    <w:keepNext/>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2</w:t>
                  </w:r>
                  <w:r>
                    <w:rPr>
                      <w:rFonts w:ascii="Arial Narrow" w:hAnsi="Arial Narrow"/>
                      <w:b/>
                      <w:bCs/>
                      <w:noProof/>
                      <w:color w:val="000000"/>
                      <w:sz w:val="16"/>
                      <w:szCs w:val="20"/>
                      <w:highlight w:val="black"/>
                      <w:lang w:eastAsia="en-US"/>
                    </w:rPr>
                    <w:t xml:space="preserve"> </w:t>
                  </w:r>
                </w:p>
              </w:tc>
              <w:tc>
                <w:tcPr>
                  <w:tcW w:w="879" w:type="dxa"/>
                </w:tcPr>
                <w:p w14:paraId="1551F80A" w14:textId="6601FC68" w:rsidR="00FC1173" w:rsidRPr="00AE1A04" w:rsidRDefault="00AE1A04" w:rsidP="00483E1C">
                  <w:pPr>
                    <w:keepNext/>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2</w:t>
                  </w:r>
                  <w:r>
                    <w:rPr>
                      <w:rFonts w:ascii="Arial Narrow" w:hAnsi="Arial Narrow"/>
                      <w:b/>
                      <w:bCs/>
                      <w:noProof/>
                      <w:color w:val="000000"/>
                      <w:sz w:val="16"/>
                      <w:szCs w:val="20"/>
                      <w:highlight w:val="black"/>
                      <w:lang w:eastAsia="en-US"/>
                    </w:rPr>
                    <w:t xml:space="preserve"> </w:t>
                  </w:r>
                </w:p>
              </w:tc>
              <w:tc>
                <w:tcPr>
                  <w:tcW w:w="879" w:type="dxa"/>
                </w:tcPr>
                <w:p w14:paraId="04A563EA" w14:textId="753CFF5D" w:rsidR="00FC1173" w:rsidRPr="00AE1A04" w:rsidRDefault="00AE1A04" w:rsidP="00483E1C">
                  <w:pPr>
                    <w:keepNext/>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2</w:t>
                  </w:r>
                  <w:r>
                    <w:rPr>
                      <w:rFonts w:ascii="Arial Narrow" w:hAnsi="Arial Narrow"/>
                      <w:b/>
                      <w:bCs/>
                      <w:noProof/>
                      <w:color w:val="000000"/>
                      <w:sz w:val="16"/>
                      <w:szCs w:val="20"/>
                      <w:highlight w:val="black"/>
                      <w:lang w:eastAsia="en-US"/>
                    </w:rPr>
                    <w:t xml:space="preserve"> </w:t>
                  </w:r>
                </w:p>
              </w:tc>
              <w:tc>
                <w:tcPr>
                  <w:tcW w:w="790" w:type="dxa"/>
                </w:tcPr>
                <w:p w14:paraId="57F6B809" w14:textId="401D8DF8" w:rsidR="00FC1173" w:rsidRPr="00AE1A04" w:rsidRDefault="00AE1A04" w:rsidP="00483E1C">
                  <w:pPr>
                    <w:keepNext/>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2</w:t>
                  </w:r>
                  <w:r>
                    <w:rPr>
                      <w:rFonts w:ascii="Arial Narrow" w:hAnsi="Arial Narrow"/>
                      <w:b/>
                      <w:bCs/>
                      <w:noProof/>
                      <w:color w:val="000000"/>
                      <w:sz w:val="16"/>
                      <w:szCs w:val="20"/>
                      <w:highlight w:val="black"/>
                      <w:lang w:eastAsia="en-US"/>
                    </w:rPr>
                    <w:t xml:space="preserve"> </w:t>
                  </w:r>
                </w:p>
              </w:tc>
            </w:tr>
          </w:tbl>
          <w:p w14:paraId="0BD54644" w14:textId="77777777" w:rsidR="00FC1173" w:rsidRPr="00BC31CD" w:rsidRDefault="00FC1173" w:rsidP="00483E1C">
            <w:pPr>
              <w:keepNext/>
              <w:widowControl w:val="0"/>
              <w:jc w:val="left"/>
              <w:rPr>
                <w:rFonts w:ascii="Arial Narrow" w:hAnsi="Arial Narrow"/>
                <w:sz w:val="20"/>
                <w:szCs w:val="20"/>
              </w:rPr>
            </w:pPr>
          </w:p>
        </w:tc>
      </w:tr>
      <w:tr w:rsidR="00FC1173" w:rsidRPr="00BC31CD" w14:paraId="665E911A" w14:textId="77777777" w:rsidTr="00FC117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B8FF5" w14:textId="77777777" w:rsidR="00FC1173" w:rsidRPr="00BC31CD" w:rsidRDefault="00FC1173" w:rsidP="00FC1173">
            <w:pPr>
              <w:widowControl w:val="0"/>
              <w:jc w:val="left"/>
              <w:rPr>
                <w:rFonts w:ascii="Arial Narrow" w:hAnsi="Arial Narrow"/>
                <w:b/>
                <w:sz w:val="20"/>
                <w:szCs w:val="20"/>
              </w:rPr>
            </w:pPr>
            <w:r w:rsidRPr="00BC31CD">
              <w:rPr>
                <w:rFonts w:ascii="Arial Narrow" w:hAnsi="Arial Narrow"/>
                <w:b/>
                <w:sz w:val="20"/>
                <w:szCs w:val="20"/>
              </w:rPr>
              <w:t>Utilisation</w:t>
            </w:r>
          </w:p>
        </w:tc>
      </w:tr>
      <w:tr w:rsidR="00FC1173" w:rsidRPr="00BC31CD" w14:paraId="123919CD"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19040"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 xml:space="preserve">Uptake rate </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5237C01D" w14:textId="77777777" w:rsidR="00FC1173" w:rsidRPr="002A2441" w:rsidRDefault="00FC1173" w:rsidP="00FC1173">
            <w:pPr>
              <w:widowControl w:val="0"/>
              <w:jc w:val="left"/>
              <w:rPr>
                <w:rFonts w:ascii="Arial Narrow" w:hAnsi="Arial Narrow"/>
                <w:sz w:val="20"/>
                <w:szCs w:val="20"/>
              </w:rPr>
            </w:pPr>
            <w:r w:rsidRPr="00BC31CD">
              <w:rPr>
                <w:rFonts w:ascii="Arial Narrow" w:hAnsi="Arial Narrow"/>
                <w:sz w:val="20"/>
                <w:szCs w:val="20"/>
              </w:rPr>
              <w:t xml:space="preserve">Sponsor assumption: </w:t>
            </w:r>
            <w:r w:rsidR="00AE1A04">
              <w:rPr>
                <w:rFonts w:ascii="Arial Narrow" w:hAnsi="Arial Narrow"/>
                <w:noProof/>
                <w:color w:val="000000"/>
                <w:sz w:val="20"/>
                <w:szCs w:val="20"/>
                <w:highlight w:val="black"/>
              </w:rPr>
              <w:t>''''''</w:t>
            </w:r>
            <w:r w:rsidRPr="002A2441">
              <w:rPr>
                <w:rFonts w:ascii="Arial Narrow" w:hAnsi="Arial Narrow"/>
                <w:sz w:val="20"/>
                <w:szCs w:val="20"/>
              </w:rPr>
              <w:t xml:space="preserve">% in Year 1 increasing to </w:t>
            </w:r>
            <w:r w:rsidR="00AE1A04">
              <w:rPr>
                <w:rFonts w:ascii="Arial Narrow" w:hAnsi="Arial Narrow"/>
                <w:noProof/>
                <w:color w:val="000000"/>
                <w:sz w:val="20"/>
                <w:szCs w:val="20"/>
                <w:highlight w:val="black"/>
              </w:rPr>
              <w:t>'''''''</w:t>
            </w:r>
            <w:r w:rsidRPr="002A2441">
              <w:rPr>
                <w:rFonts w:ascii="Arial Narrow" w:hAnsi="Arial Narrow"/>
                <w:sz w:val="20"/>
                <w:szCs w:val="20"/>
              </w:rPr>
              <w:t>% by Year 6.</w:t>
            </w:r>
          </w:p>
          <w:tbl>
            <w:tblPr>
              <w:tblStyle w:val="TableGrid"/>
              <w:tblW w:w="0" w:type="auto"/>
              <w:tblCellMar>
                <w:left w:w="28" w:type="dxa"/>
                <w:right w:w="28" w:type="dxa"/>
              </w:tblCellMar>
              <w:tblLook w:val="04A0" w:firstRow="1" w:lastRow="0" w:firstColumn="1" w:lastColumn="0" w:noHBand="0" w:noVBand="1"/>
              <w:tblCaption w:val="Uptake rate "/>
            </w:tblPr>
            <w:tblGrid>
              <w:gridCol w:w="1761"/>
              <w:gridCol w:w="851"/>
              <w:gridCol w:w="850"/>
              <w:gridCol w:w="992"/>
              <w:gridCol w:w="851"/>
              <w:gridCol w:w="850"/>
              <w:gridCol w:w="851"/>
            </w:tblGrid>
            <w:tr w:rsidR="00FC1173" w:rsidRPr="002A2441" w14:paraId="61EEC7E2" w14:textId="77777777" w:rsidTr="00173E64">
              <w:trPr>
                <w:tblHeader/>
              </w:trPr>
              <w:tc>
                <w:tcPr>
                  <w:tcW w:w="1761" w:type="dxa"/>
                </w:tcPr>
                <w:p w14:paraId="3FD202B5" w14:textId="77777777" w:rsidR="00FC1173" w:rsidRPr="002A2441" w:rsidRDefault="00FC1173" w:rsidP="00FC1173">
                  <w:pPr>
                    <w:widowControl w:val="0"/>
                    <w:jc w:val="left"/>
                    <w:rPr>
                      <w:rFonts w:ascii="Arial Narrow" w:hAnsi="Arial Narrow"/>
                      <w:sz w:val="20"/>
                      <w:szCs w:val="20"/>
                    </w:rPr>
                  </w:pPr>
                </w:p>
              </w:tc>
              <w:tc>
                <w:tcPr>
                  <w:tcW w:w="851" w:type="dxa"/>
                </w:tcPr>
                <w:p w14:paraId="76BEC25A" w14:textId="77777777" w:rsidR="00FC1173" w:rsidRPr="002A2441" w:rsidRDefault="00FC1173" w:rsidP="00FC1173">
                  <w:pPr>
                    <w:widowControl w:val="0"/>
                    <w:jc w:val="center"/>
                    <w:rPr>
                      <w:rFonts w:ascii="Arial Narrow" w:hAnsi="Arial Narrow"/>
                      <w:b/>
                      <w:bCs/>
                      <w:sz w:val="20"/>
                      <w:szCs w:val="20"/>
                    </w:rPr>
                  </w:pPr>
                  <w:r w:rsidRPr="002A2441">
                    <w:rPr>
                      <w:rFonts w:ascii="Arial Narrow" w:hAnsi="Arial Narrow"/>
                      <w:b/>
                      <w:bCs/>
                      <w:sz w:val="20"/>
                      <w:szCs w:val="20"/>
                    </w:rPr>
                    <w:t>Year 1</w:t>
                  </w:r>
                </w:p>
              </w:tc>
              <w:tc>
                <w:tcPr>
                  <w:tcW w:w="850" w:type="dxa"/>
                </w:tcPr>
                <w:p w14:paraId="0F32E66B" w14:textId="77777777" w:rsidR="00FC1173" w:rsidRPr="002A2441" w:rsidRDefault="00FC1173" w:rsidP="00FC1173">
                  <w:pPr>
                    <w:widowControl w:val="0"/>
                    <w:jc w:val="center"/>
                    <w:rPr>
                      <w:rFonts w:ascii="Arial Narrow" w:hAnsi="Arial Narrow"/>
                      <w:b/>
                      <w:bCs/>
                      <w:sz w:val="20"/>
                      <w:szCs w:val="20"/>
                    </w:rPr>
                  </w:pPr>
                  <w:r w:rsidRPr="002A2441">
                    <w:rPr>
                      <w:rFonts w:ascii="Arial Narrow" w:hAnsi="Arial Narrow"/>
                      <w:b/>
                      <w:bCs/>
                      <w:sz w:val="20"/>
                      <w:szCs w:val="20"/>
                    </w:rPr>
                    <w:t>Year 2</w:t>
                  </w:r>
                </w:p>
              </w:tc>
              <w:tc>
                <w:tcPr>
                  <w:tcW w:w="992" w:type="dxa"/>
                </w:tcPr>
                <w:p w14:paraId="2EBE43C1" w14:textId="77777777" w:rsidR="00FC1173" w:rsidRPr="002A2441" w:rsidRDefault="00FC1173" w:rsidP="00FC1173">
                  <w:pPr>
                    <w:widowControl w:val="0"/>
                    <w:jc w:val="center"/>
                    <w:rPr>
                      <w:rFonts w:ascii="Arial Narrow" w:hAnsi="Arial Narrow"/>
                      <w:b/>
                      <w:bCs/>
                      <w:sz w:val="20"/>
                      <w:szCs w:val="20"/>
                    </w:rPr>
                  </w:pPr>
                  <w:r w:rsidRPr="002A2441">
                    <w:rPr>
                      <w:rFonts w:ascii="Arial Narrow" w:hAnsi="Arial Narrow"/>
                      <w:b/>
                      <w:bCs/>
                      <w:sz w:val="20"/>
                      <w:szCs w:val="20"/>
                    </w:rPr>
                    <w:t>Year 3</w:t>
                  </w:r>
                </w:p>
              </w:tc>
              <w:tc>
                <w:tcPr>
                  <w:tcW w:w="851" w:type="dxa"/>
                </w:tcPr>
                <w:p w14:paraId="543A1562" w14:textId="77777777" w:rsidR="00FC1173" w:rsidRPr="002A2441" w:rsidRDefault="00FC1173" w:rsidP="00FC1173">
                  <w:pPr>
                    <w:widowControl w:val="0"/>
                    <w:jc w:val="center"/>
                    <w:rPr>
                      <w:rFonts w:ascii="Arial Narrow" w:hAnsi="Arial Narrow"/>
                      <w:b/>
                      <w:bCs/>
                      <w:sz w:val="20"/>
                      <w:szCs w:val="20"/>
                    </w:rPr>
                  </w:pPr>
                  <w:r w:rsidRPr="002A2441">
                    <w:rPr>
                      <w:rFonts w:ascii="Arial Narrow" w:hAnsi="Arial Narrow"/>
                      <w:b/>
                      <w:bCs/>
                      <w:sz w:val="20"/>
                      <w:szCs w:val="20"/>
                    </w:rPr>
                    <w:t>Year 4</w:t>
                  </w:r>
                </w:p>
              </w:tc>
              <w:tc>
                <w:tcPr>
                  <w:tcW w:w="850" w:type="dxa"/>
                </w:tcPr>
                <w:p w14:paraId="53533B60" w14:textId="77777777" w:rsidR="00FC1173" w:rsidRPr="002A2441" w:rsidRDefault="00FC1173" w:rsidP="00FC1173">
                  <w:pPr>
                    <w:widowControl w:val="0"/>
                    <w:jc w:val="center"/>
                    <w:rPr>
                      <w:rFonts w:ascii="Arial Narrow" w:hAnsi="Arial Narrow"/>
                      <w:b/>
                      <w:bCs/>
                      <w:sz w:val="20"/>
                      <w:szCs w:val="20"/>
                    </w:rPr>
                  </w:pPr>
                  <w:r w:rsidRPr="002A2441">
                    <w:rPr>
                      <w:rFonts w:ascii="Arial Narrow" w:hAnsi="Arial Narrow"/>
                      <w:b/>
                      <w:bCs/>
                      <w:sz w:val="20"/>
                      <w:szCs w:val="20"/>
                    </w:rPr>
                    <w:t>Year 5</w:t>
                  </w:r>
                </w:p>
              </w:tc>
              <w:tc>
                <w:tcPr>
                  <w:tcW w:w="851" w:type="dxa"/>
                </w:tcPr>
                <w:p w14:paraId="3B19A57F" w14:textId="77777777" w:rsidR="00FC1173" w:rsidRPr="002A2441" w:rsidRDefault="00FC1173" w:rsidP="00FC1173">
                  <w:pPr>
                    <w:widowControl w:val="0"/>
                    <w:jc w:val="center"/>
                    <w:rPr>
                      <w:rFonts w:ascii="Arial Narrow" w:hAnsi="Arial Narrow"/>
                      <w:b/>
                      <w:bCs/>
                      <w:sz w:val="20"/>
                      <w:szCs w:val="20"/>
                    </w:rPr>
                  </w:pPr>
                  <w:r w:rsidRPr="002A2441">
                    <w:rPr>
                      <w:rFonts w:ascii="Arial Narrow" w:hAnsi="Arial Narrow"/>
                      <w:b/>
                      <w:bCs/>
                      <w:sz w:val="20"/>
                      <w:szCs w:val="20"/>
                    </w:rPr>
                    <w:t>Year 6</w:t>
                  </w:r>
                </w:p>
              </w:tc>
            </w:tr>
            <w:tr w:rsidR="00FC1173" w:rsidRPr="002A2441" w14:paraId="10786985" w14:textId="77777777" w:rsidTr="00FC1173">
              <w:tc>
                <w:tcPr>
                  <w:tcW w:w="1761" w:type="dxa"/>
                </w:tcPr>
                <w:p w14:paraId="207725A2" w14:textId="77777777" w:rsidR="00FC1173" w:rsidRPr="002A2441" w:rsidRDefault="00FC1173" w:rsidP="00FC1173">
                  <w:pPr>
                    <w:widowControl w:val="0"/>
                    <w:jc w:val="left"/>
                    <w:rPr>
                      <w:rFonts w:ascii="Arial Narrow" w:hAnsi="Arial Narrow"/>
                      <w:sz w:val="20"/>
                      <w:szCs w:val="20"/>
                    </w:rPr>
                  </w:pPr>
                  <w:r w:rsidRPr="002A2441">
                    <w:rPr>
                      <w:rFonts w:ascii="Arial Narrow" w:hAnsi="Arial Narrow"/>
                      <w:sz w:val="20"/>
                      <w:szCs w:val="20"/>
                    </w:rPr>
                    <w:t>Cumulative</w:t>
                  </w:r>
                </w:p>
              </w:tc>
              <w:tc>
                <w:tcPr>
                  <w:tcW w:w="851" w:type="dxa"/>
                </w:tcPr>
                <w:p w14:paraId="15EB8D59" w14:textId="77777777" w:rsidR="00FC1173" w:rsidRPr="002A2441"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0" w:type="dxa"/>
                </w:tcPr>
                <w:p w14:paraId="089A4C7A" w14:textId="77777777" w:rsidR="00FC1173" w:rsidRPr="002A2441"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992" w:type="dxa"/>
                </w:tcPr>
                <w:p w14:paraId="2274A031" w14:textId="77777777" w:rsidR="00FC1173" w:rsidRPr="002A2441"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1" w:type="dxa"/>
                </w:tcPr>
                <w:p w14:paraId="6F32304B" w14:textId="77777777" w:rsidR="00FC1173" w:rsidRPr="002A2441"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0" w:type="dxa"/>
                </w:tcPr>
                <w:p w14:paraId="7373ABCC" w14:textId="77777777" w:rsidR="00FC1173" w:rsidRPr="002A2441"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1" w:type="dxa"/>
                </w:tcPr>
                <w:p w14:paraId="3792A95F" w14:textId="77777777" w:rsidR="00FC1173" w:rsidRPr="002A2441"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r>
            <w:tr w:rsidR="00FC1173" w:rsidRPr="002A2441" w14:paraId="3F649259" w14:textId="77777777" w:rsidTr="00FC1173">
              <w:tc>
                <w:tcPr>
                  <w:tcW w:w="1761" w:type="dxa"/>
                </w:tcPr>
                <w:p w14:paraId="7674DC25" w14:textId="77777777" w:rsidR="00FC1173" w:rsidRPr="002A2441" w:rsidRDefault="00FC1173" w:rsidP="00FC1173">
                  <w:pPr>
                    <w:widowControl w:val="0"/>
                    <w:jc w:val="left"/>
                    <w:rPr>
                      <w:rFonts w:ascii="Arial Narrow" w:hAnsi="Arial Narrow"/>
                      <w:sz w:val="20"/>
                      <w:szCs w:val="20"/>
                    </w:rPr>
                  </w:pPr>
                  <w:r w:rsidRPr="002A2441">
                    <w:rPr>
                      <w:rFonts w:ascii="Arial Narrow" w:hAnsi="Arial Narrow"/>
                      <w:sz w:val="20"/>
                      <w:szCs w:val="20"/>
                    </w:rPr>
                    <w:t>Annual</w:t>
                  </w:r>
                </w:p>
              </w:tc>
              <w:tc>
                <w:tcPr>
                  <w:tcW w:w="851" w:type="dxa"/>
                </w:tcPr>
                <w:p w14:paraId="7C2E668F" w14:textId="77777777" w:rsidR="00FC1173" w:rsidRPr="002A2441" w:rsidRDefault="00AE1A04" w:rsidP="00FC1173">
                  <w:pPr>
                    <w:widowControl w:val="0"/>
                    <w:jc w:val="center"/>
                    <w:rPr>
                      <w:rFonts w:ascii="Arial Narrow" w:hAnsi="Arial Narrow"/>
                      <w:color w:val="000000"/>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0" w:type="dxa"/>
                </w:tcPr>
                <w:p w14:paraId="1B21642D" w14:textId="77777777" w:rsidR="00FC1173" w:rsidRPr="002A2441" w:rsidRDefault="00AE1A04" w:rsidP="00FC1173">
                  <w:pPr>
                    <w:widowControl w:val="0"/>
                    <w:jc w:val="center"/>
                    <w:rPr>
                      <w:rFonts w:ascii="Arial Narrow" w:hAnsi="Arial Narrow"/>
                      <w:color w:val="000000"/>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992" w:type="dxa"/>
                </w:tcPr>
                <w:p w14:paraId="6B0CDF4C" w14:textId="77777777" w:rsidR="00FC1173" w:rsidRPr="002A2441" w:rsidRDefault="00AE1A04" w:rsidP="00FC1173">
                  <w:pPr>
                    <w:widowControl w:val="0"/>
                    <w:jc w:val="center"/>
                    <w:rPr>
                      <w:rFonts w:ascii="Arial Narrow" w:hAnsi="Arial Narrow"/>
                      <w:color w:val="000000"/>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1" w:type="dxa"/>
                </w:tcPr>
                <w:p w14:paraId="67DF555A" w14:textId="77777777" w:rsidR="00FC1173" w:rsidRPr="002A2441" w:rsidRDefault="00AE1A04" w:rsidP="00FC1173">
                  <w:pPr>
                    <w:widowControl w:val="0"/>
                    <w:jc w:val="center"/>
                    <w:rPr>
                      <w:rFonts w:ascii="Arial Narrow" w:hAnsi="Arial Narrow"/>
                      <w:color w:val="000000"/>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0" w:type="dxa"/>
                </w:tcPr>
                <w:p w14:paraId="7DDA4984" w14:textId="77777777" w:rsidR="00FC1173" w:rsidRPr="002A2441" w:rsidRDefault="00AE1A04" w:rsidP="00FC1173">
                  <w:pPr>
                    <w:widowControl w:val="0"/>
                    <w:jc w:val="center"/>
                    <w:rPr>
                      <w:rFonts w:ascii="Arial Narrow" w:hAnsi="Arial Narrow"/>
                      <w:color w:val="000000"/>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c>
                <w:tcPr>
                  <w:tcW w:w="851" w:type="dxa"/>
                </w:tcPr>
                <w:p w14:paraId="3A433567" w14:textId="77777777" w:rsidR="00FC1173" w:rsidRPr="002A2441" w:rsidRDefault="00AE1A04" w:rsidP="00FC1173">
                  <w:pPr>
                    <w:widowControl w:val="0"/>
                    <w:jc w:val="center"/>
                    <w:rPr>
                      <w:rFonts w:ascii="Arial Narrow" w:hAnsi="Arial Narrow"/>
                      <w:color w:val="000000"/>
                      <w:sz w:val="20"/>
                      <w:szCs w:val="20"/>
                    </w:rPr>
                  </w:pPr>
                  <w:r>
                    <w:rPr>
                      <w:rFonts w:ascii="Arial Narrow" w:hAnsi="Arial Narrow"/>
                      <w:noProof/>
                      <w:color w:val="000000"/>
                      <w:sz w:val="20"/>
                      <w:szCs w:val="20"/>
                      <w:highlight w:val="black"/>
                      <w:lang w:eastAsia="en-US"/>
                    </w:rPr>
                    <w:t>'''</w:t>
                  </w:r>
                  <w:r w:rsidR="00FC1173" w:rsidRPr="002A2441">
                    <w:rPr>
                      <w:rFonts w:ascii="Arial Narrow" w:hAnsi="Arial Narrow"/>
                      <w:sz w:val="20"/>
                      <w:szCs w:val="20"/>
                      <w:lang w:eastAsia="en-US"/>
                    </w:rPr>
                    <w:t>%</w:t>
                  </w:r>
                </w:p>
              </w:tc>
            </w:tr>
            <w:tr w:rsidR="00FC1173" w:rsidRPr="002A2441" w14:paraId="4CCA80E3" w14:textId="77777777" w:rsidTr="00FC1173">
              <w:tc>
                <w:tcPr>
                  <w:tcW w:w="7006" w:type="dxa"/>
                  <w:gridSpan w:val="7"/>
                </w:tcPr>
                <w:p w14:paraId="104F49AF" w14:textId="77777777" w:rsidR="00FC1173" w:rsidRPr="002A2441" w:rsidRDefault="00FC1173" w:rsidP="00FC1173">
                  <w:pPr>
                    <w:widowControl w:val="0"/>
                    <w:jc w:val="left"/>
                    <w:rPr>
                      <w:rFonts w:ascii="Arial Narrow" w:hAnsi="Arial Narrow"/>
                      <w:b/>
                      <w:bCs/>
                      <w:sz w:val="20"/>
                      <w:szCs w:val="20"/>
                    </w:rPr>
                  </w:pPr>
                  <w:r w:rsidRPr="002A2441">
                    <w:rPr>
                      <w:rFonts w:ascii="Arial Narrow" w:hAnsi="Arial Narrow"/>
                      <w:b/>
                      <w:bCs/>
                      <w:sz w:val="20"/>
                      <w:szCs w:val="20"/>
                    </w:rPr>
                    <w:t>Treated patients</w:t>
                  </w:r>
                  <w:r w:rsidRPr="002A2441">
                    <w:rPr>
                      <w:rFonts w:ascii="Arial Narrow" w:hAnsi="Arial Narrow"/>
                      <w:b/>
                      <w:bCs/>
                      <w:sz w:val="20"/>
                      <w:szCs w:val="20"/>
                      <w:vertAlign w:val="superscript"/>
                    </w:rPr>
                    <w:t>a</w:t>
                  </w:r>
                </w:p>
              </w:tc>
            </w:tr>
            <w:tr w:rsidR="00FC1173" w:rsidRPr="002A2441" w14:paraId="1AF91285" w14:textId="77777777" w:rsidTr="00FC1173">
              <w:tc>
                <w:tcPr>
                  <w:tcW w:w="1761" w:type="dxa"/>
                </w:tcPr>
                <w:p w14:paraId="0FBF54CB" w14:textId="77777777" w:rsidR="00FC1173" w:rsidRPr="002A2441" w:rsidRDefault="00FC1173" w:rsidP="00FC1173">
                  <w:pPr>
                    <w:widowControl w:val="0"/>
                    <w:jc w:val="left"/>
                    <w:rPr>
                      <w:rFonts w:ascii="Arial Narrow" w:hAnsi="Arial Narrow"/>
                      <w:sz w:val="20"/>
                      <w:szCs w:val="20"/>
                    </w:rPr>
                  </w:pPr>
                  <w:r w:rsidRPr="002A2441">
                    <w:rPr>
                      <w:rFonts w:ascii="Arial Narrow" w:hAnsi="Arial Narrow"/>
                      <w:sz w:val="20"/>
                      <w:szCs w:val="20"/>
                    </w:rPr>
                    <w:t>Cumulative</w:t>
                  </w:r>
                </w:p>
              </w:tc>
              <w:tc>
                <w:tcPr>
                  <w:tcW w:w="851" w:type="dxa"/>
                </w:tcPr>
                <w:p w14:paraId="3A24986F" w14:textId="77777777" w:rsidR="00FC1173" w:rsidRPr="002A2441" w:rsidRDefault="00AE1A04" w:rsidP="00FC1173">
                  <w:pPr>
                    <w:widowControl w:val="0"/>
                    <w:jc w:val="center"/>
                    <w:rPr>
                      <w:rFonts w:ascii="Arial Narrow" w:hAnsi="Arial Narrow"/>
                      <w:b/>
                      <w:bCs/>
                      <w:sz w:val="20"/>
                      <w:szCs w:val="20"/>
                      <w:vertAlign w:val="superscript"/>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0" w:type="dxa"/>
                </w:tcPr>
                <w:p w14:paraId="28F8A601"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992" w:type="dxa"/>
                </w:tcPr>
                <w:p w14:paraId="6605395F"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1" w:type="dxa"/>
                </w:tcPr>
                <w:p w14:paraId="7176D683"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0" w:type="dxa"/>
                </w:tcPr>
                <w:p w14:paraId="77105A18"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1" w:type="dxa"/>
                </w:tcPr>
                <w:p w14:paraId="495D4A52"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r>
            <w:tr w:rsidR="00FC1173" w:rsidRPr="002A2441" w14:paraId="53CA8BE7" w14:textId="77777777" w:rsidTr="00FC1173">
              <w:tc>
                <w:tcPr>
                  <w:tcW w:w="1761" w:type="dxa"/>
                </w:tcPr>
                <w:p w14:paraId="60482CEA" w14:textId="77777777" w:rsidR="00FC1173" w:rsidRPr="002A2441" w:rsidRDefault="00FC1173" w:rsidP="00FC1173">
                  <w:pPr>
                    <w:widowControl w:val="0"/>
                    <w:jc w:val="left"/>
                    <w:rPr>
                      <w:rFonts w:ascii="Arial Narrow" w:hAnsi="Arial Narrow"/>
                      <w:sz w:val="20"/>
                      <w:szCs w:val="20"/>
                    </w:rPr>
                  </w:pPr>
                  <w:r w:rsidRPr="002A2441">
                    <w:rPr>
                      <w:rFonts w:ascii="Arial Narrow" w:hAnsi="Arial Narrow"/>
                      <w:sz w:val="20"/>
                      <w:szCs w:val="20"/>
                    </w:rPr>
                    <w:t>Annual</w:t>
                  </w:r>
                </w:p>
              </w:tc>
              <w:tc>
                <w:tcPr>
                  <w:tcW w:w="851" w:type="dxa"/>
                </w:tcPr>
                <w:p w14:paraId="4BEFFA7A"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0" w:type="dxa"/>
                </w:tcPr>
                <w:p w14:paraId="5069029F"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992" w:type="dxa"/>
                </w:tcPr>
                <w:p w14:paraId="6796619B"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1" w:type="dxa"/>
                </w:tcPr>
                <w:p w14:paraId="0F2B5AF7"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0" w:type="dxa"/>
                </w:tcPr>
                <w:p w14:paraId="0D4D7F8A"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c>
                <w:tcPr>
                  <w:tcW w:w="851" w:type="dxa"/>
                </w:tcPr>
                <w:p w14:paraId="71228162" w14:textId="77777777" w:rsidR="00FC1173" w:rsidRPr="002A2441" w:rsidRDefault="00AE1A04" w:rsidP="00FC1173">
                  <w:pPr>
                    <w:widowControl w:val="0"/>
                    <w:jc w:val="center"/>
                    <w:rPr>
                      <w:rFonts w:ascii="Arial Narrow" w:hAnsi="Arial Narrow"/>
                      <w:b/>
                      <w:bCs/>
                      <w:sz w:val="20"/>
                      <w:szCs w:val="20"/>
                    </w:rPr>
                  </w:pPr>
                  <w:r>
                    <w:rPr>
                      <w:rFonts w:ascii="Arial Narrow" w:hAnsi="Arial Narrow"/>
                      <w:b/>
                      <w:bCs/>
                      <w:noProof/>
                      <w:color w:val="000000"/>
                      <w:sz w:val="20"/>
                      <w:szCs w:val="20"/>
                      <w:highlight w:val="black"/>
                      <w:lang w:eastAsia="en-US"/>
                    </w:rPr>
                    <w:t>'''''''</w:t>
                  </w:r>
                  <w:r w:rsidR="00A14A5F" w:rsidRPr="002A2441">
                    <w:rPr>
                      <w:rFonts w:ascii="Arial Narrow" w:hAnsi="Arial Narrow"/>
                      <w:b/>
                      <w:bCs/>
                      <w:sz w:val="20"/>
                      <w:szCs w:val="20"/>
                      <w:vertAlign w:val="superscript"/>
                      <w:lang w:eastAsia="en-US"/>
                    </w:rPr>
                    <w:t>1</w:t>
                  </w:r>
                </w:p>
              </w:tc>
            </w:tr>
          </w:tbl>
          <w:p w14:paraId="1C660E23" w14:textId="77777777" w:rsidR="00FC1173" w:rsidRPr="00BC31CD" w:rsidRDefault="00FC1173" w:rsidP="00FC1173">
            <w:pPr>
              <w:widowControl w:val="0"/>
              <w:tabs>
                <w:tab w:val="left" w:pos="101"/>
              </w:tabs>
              <w:jc w:val="left"/>
              <w:rPr>
                <w:rFonts w:ascii="Arial Narrow" w:hAnsi="Arial Narrow"/>
                <w:sz w:val="18"/>
                <w:szCs w:val="18"/>
              </w:rPr>
            </w:pPr>
            <w:r w:rsidRPr="002A2441">
              <w:rPr>
                <w:rFonts w:ascii="Arial Narrow" w:hAnsi="Arial Narrow"/>
                <w:sz w:val="18"/>
                <w:szCs w:val="18"/>
                <w:vertAlign w:val="superscript"/>
              </w:rPr>
              <w:t>a</w:t>
            </w:r>
            <w:r w:rsidRPr="002A2441">
              <w:rPr>
                <w:rFonts w:ascii="Arial Narrow" w:hAnsi="Arial Narrow"/>
                <w:sz w:val="18"/>
                <w:szCs w:val="18"/>
              </w:rPr>
              <w:tab/>
              <w:t>The submission did not round patient numbers for treated patients.</w:t>
            </w:r>
          </w:p>
        </w:tc>
      </w:tr>
      <w:tr w:rsidR="00FC1173" w:rsidRPr="00BC31CD" w14:paraId="53214C35"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39F9315"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Treatment duration</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0BDA5CA8"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Lifetime</w:t>
            </w:r>
          </w:p>
        </w:tc>
      </w:tr>
      <w:tr w:rsidR="00FC1173" w:rsidRPr="00BC31CD" w14:paraId="138E0955"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F75696B"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Compliance</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1659F162"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Discontinuation rate 1.4% annually (Weiss 2013)</w:t>
            </w:r>
          </w:p>
        </w:tc>
      </w:tr>
      <w:tr w:rsidR="00FC1173" w:rsidRPr="00BC31CD" w14:paraId="4BE827F6"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B08B55B"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 xml:space="preserve">Number of scripts </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282235BB" w14:textId="77777777" w:rsidR="00FC1173" w:rsidRPr="00BC31CD" w:rsidRDefault="00FC1173" w:rsidP="00FC1173">
            <w:pPr>
              <w:pStyle w:val="TableText0"/>
              <w:rPr>
                <w:bCs w:val="0"/>
                <w:sz w:val="20"/>
                <w:szCs w:val="20"/>
              </w:rPr>
            </w:pPr>
            <w:r w:rsidRPr="00BC31CD">
              <w:rPr>
                <w:bCs w:val="0"/>
                <w:sz w:val="20"/>
                <w:szCs w:val="20"/>
              </w:rPr>
              <w:t>Adults: 4.45 tablets/day; 11.28 packs initiation per year; 22.56 packs continuation per year; 1.88 packs/month</w:t>
            </w:r>
          </w:p>
          <w:p w14:paraId="43742053"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Paediatric patients: 2.75 tablets/day; 6.97 packs initiation per year; 13.94 packs continuation per year; 1.16 packs per month</w:t>
            </w:r>
          </w:p>
          <w:p w14:paraId="5908DE60"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 xml:space="preserve">Weighted average monthly packs: 1.75 </w:t>
            </w:r>
          </w:p>
          <w:tbl>
            <w:tblPr>
              <w:tblStyle w:val="TableGrid"/>
              <w:tblW w:w="0" w:type="auto"/>
              <w:tblLook w:val="04A0" w:firstRow="1" w:lastRow="0" w:firstColumn="1" w:lastColumn="0" w:noHBand="0" w:noVBand="1"/>
              <w:tblCaption w:val="Number of scripts "/>
            </w:tblPr>
            <w:tblGrid>
              <w:gridCol w:w="1759"/>
              <w:gridCol w:w="883"/>
              <w:gridCol w:w="883"/>
              <w:gridCol w:w="884"/>
              <w:gridCol w:w="884"/>
              <w:gridCol w:w="884"/>
              <w:gridCol w:w="884"/>
            </w:tblGrid>
            <w:tr w:rsidR="00FC1173" w:rsidRPr="00BC31CD" w14:paraId="3B698465" w14:textId="77777777" w:rsidTr="00173E64">
              <w:trPr>
                <w:tblHeader/>
              </w:trPr>
              <w:tc>
                <w:tcPr>
                  <w:tcW w:w="1759" w:type="dxa"/>
                </w:tcPr>
                <w:p w14:paraId="4447FAFE" w14:textId="77777777" w:rsidR="00FC1173" w:rsidRPr="00BC31CD" w:rsidRDefault="00FC1173" w:rsidP="00FC1173">
                  <w:pPr>
                    <w:widowControl w:val="0"/>
                    <w:jc w:val="left"/>
                    <w:rPr>
                      <w:rFonts w:ascii="Arial Narrow" w:hAnsi="Arial Narrow"/>
                    </w:rPr>
                  </w:pPr>
                </w:p>
              </w:tc>
              <w:tc>
                <w:tcPr>
                  <w:tcW w:w="883" w:type="dxa"/>
                </w:tcPr>
                <w:p w14:paraId="1874AE41" w14:textId="77777777" w:rsidR="00FC1173" w:rsidRPr="00BC31CD" w:rsidRDefault="00FC1173" w:rsidP="00FC1173">
                  <w:pPr>
                    <w:widowControl w:val="0"/>
                    <w:jc w:val="center"/>
                    <w:rPr>
                      <w:rFonts w:ascii="Arial Narrow" w:hAnsi="Arial Narrow"/>
                      <w:b/>
                      <w:bCs/>
                      <w:sz w:val="20"/>
                      <w:szCs w:val="20"/>
                    </w:rPr>
                  </w:pPr>
                  <w:r w:rsidRPr="00BC31CD">
                    <w:rPr>
                      <w:rFonts w:ascii="Arial Narrow" w:hAnsi="Arial Narrow"/>
                      <w:b/>
                      <w:bCs/>
                      <w:sz w:val="20"/>
                      <w:szCs w:val="20"/>
                    </w:rPr>
                    <w:t>Year 1</w:t>
                  </w:r>
                </w:p>
              </w:tc>
              <w:tc>
                <w:tcPr>
                  <w:tcW w:w="883" w:type="dxa"/>
                </w:tcPr>
                <w:p w14:paraId="4F4DAE22" w14:textId="77777777" w:rsidR="00FC1173" w:rsidRPr="00BC31CD" w:rsidRDefault="00FC1173" w:rsidP="00FC1173">
                  <w:pPr>
                    <w:widowControl w:val="0"/>
                    <w:jc w:val="center"/>
                    <w:rPr>
                      <w:rFonts w:ascii="Arial Narrow" w:hAnsi="Arial Narrow"/>
                      <w:b/>
                      <w:bCs/>
                      <w:sz w:val="20"/>
                      <w:szCs w:val="20"/>
                    </w:rPr>
                  </w:pPr>
                  <w:r w:rsidRPr="00BC31CD">
                    <w:rPr>
                      <w:rFonts w:ascii="Arial Narrow" w:hAnsi="Arial Narrow"/>
                      <w:b/>
                      <w:bCs/>
                      <w:sz w:val="20"/>
                      <w:szCs w:val="20"/>
                    </w:rPr>
                    <w:t>Year 2</w:t>
                  </w:r>
                </w:p>
              </w:tc>
              <w:tc>
                <w:tcPr>
                  <w:tcW w:w="884" w:type="dxa"/>
                </w:tcPr>
                <w:p w14:paraId="721E22DE" w14:textId="77777777" w:rsidR="00FC1173" w:rsidRPr="00BC31CD" w:rsidRDefault="00FC1173" w:rsidP="00FC1173">
                  <w:pPr>
                    <w:widowControl w:val="0"/>
                    <w:jc w:val="center"/>
                    <w:rPr>
                      <w:rFonts w:ascii="Arial Narrow" w:hAnsi="Arial Narrow"/>
                      <w:b/>
                      <w:bCs/>
                      <w:sz w:val="20"/>
                      <w:szCs w:val="20"/>
                    </w:rPr>
                  </w:pPr>
                  <w:r w:rsidRPr="00BC31CD">
                    <w:rPr>
                      <w:rFonts w:ascii="Arial Narrow" w:hAnsi="Arial Narrow"/>
                      <w:b/>
                      <w:bCs/>
                      <w:sz w:val="20"/>
                      <w:szCs w:val="20"/>
                    </w:rPr>
                    <w:t>Year 3</w:t>
                  </w:r>
                </w:p>
              </w:tc>
              <w:tc>
                <w:tcPr>
                  <w:tcW w:w="884" w:type="dxa"/>
                </w:tcPr>
                <w:p w14:paraId="092C9AA9" w14:textId="77777777" w:rsidR="00FC1173" w:rsidRPr="00BC31CD" w:rsidRDefault="00FC1173" w:rsidP="00FC1173">
                  <w:pPr>
                    <w:widowControl w:val="0"/>
                    <w:jc w:val="center"/>
                    <w:rPr>
                      <w:rFonts w:ascii="Arial Narrow" w:hAnsi="Arial Narrow"/>
                      <w:b/>
                      <w:bCs/>
                      <w:sz w:val="20"/>
                      <w:szCs w:val="20"/>
                    </w:rPr>
                  </w:pPr>
                  <w:r w:rsidRPr="00BC31CD">
                    <w:rPr>
                      <w:rFonts w:ascii="Arial Narrow" w:hAnsi="Arial Narrow"/>
                      <w:b/>
                      <w:bCs/>
                      <w:sz w:val="20"/>
                      <w:szCs w:val="20"/>
                    </w:rPr>
                    <w:t>Year 4</w:t>
                  </w:r>
                </w:p>
              </w:tc>
              <w:tc>
                <w:tcPr>
                  <w:tcW w:w="884" w:type="dxa"/>
                </w:tcPr>
                <w:p w14:paraId="0F35EA30" w14:textId="77777777" w:rsidR="00FC1173" w:rsidRPr="00BC31CD" w:rsidRDefault="00FC1173" w:rsidP="00FC1173">
                  <w:pPr>
                    <w:widowControl w:val="0"/>
                    <w:jc w:val="center"/>
                    <w:rPr>
                      <w:rFonts w:ascii="Arial Narrow" w:hAnsi="Arial Narrow"/>
                      <w:b/>
                      <w:bCs/>
                      <w:sz w:val="20"/>
                      <w:szCs w:val="20"/>
                    </w:rPr>
                  </w:pPr>
                  <w:r w:rsidRPr="00BC31CD">
                    <w:rPr>
                      <w:rFonts w:ascii="Arial Narrow" w:hAnsi="Arial Narrow"/>
                      <w:b/>
                      <w:bCs/>
                      <w:sz w:val="20"/>
                      <w:szCs w:val="20"/>
                    </w:rPr>
                    <w:t>Year 5</w:t>
                  </w:r>
                </w:p>
              </w:tc>
              <w:tc>
                <w:tcPr>
                  <w:tcW w:w="884" w:type="dxa"/>
                </w:tcPr>
                <w:p w14:paraId="2265EE09" w14:textId="77777777" w:rsidR="00FC1173" w:rsidRPr="00BC31CD" w:rsidRDefault="00FC1173" w:rsidP="00FC1173">
                  <w:pPr>
                    <w:widowControl w:val="0"/>
                    <w:jc w:val="center"/>
                    <w:rPr>
                      <w:rFonts w:ascii="Arial Narrow" w:hAnsi="Arial Narrow"/>
                      <w:b/>
                      <w:bCs/>
                      <w:sz w:val="20"/>
                      <w:szCs w:val="20"/>
                    </w:rPr>
                  </w:pPr>
                  <w:r w:rsidRPr="00BC31CD">
                    <w:rPr>
                      <w:rFonts w:ascii="Arial Narrow" w:hAnsi="Arial Narrow"/>
                      <w:b/>
                      <w:bCs/>
                      <w:sz w:val="20"/>
                      <w:szCs w:val="20"/>
                    </w:rPr>
                    <w:t>Year 6</w:t>
                  </w:r>
                </w:p>
              </w:tc>
            </w:tr>
            <w:tr w:rsidR="00FC1173" w:rsidRPr="00BC31CD" w14:paraId="0266364E" w14:textId="77777777" w:rsidTr="00FC1173">
              <w:tc>
                <w:tcPr>
                  <w:tcW w:w="1759" w:type="dxa"/>
                </w:tcPr>
                <w:p w14:paraId="5A08E836"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Initiation scripts</w:t>
                  </w:r>
                </w:p>
              </w:tc>
              <w:tc>
                <w:tcPr>
                  <w:tcW w:w="883" w:type="dxa"/>
                </w:tcPr>
                <w:p w14:paraId="22C1516F"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c>
                <w:tcPr>
                  <w:tcW w:w="883" w:type="dxa"/>
                </w:tcPr>
                <w:p w14:paraId="6D5DE5CA"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c>
                <w:tcPr>
                  <w:tcW w:w="884" w:type="dxa"/>
                </w:tcPr>
                <w:p w14:paraId="464567C0"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c>
                <w:tcPr>
                  <w:tcW w:w="884" w:type="dxa"/>
                </w:tcPr>
                <w:p w14:paraId="6FAA03D8"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c>
                <w:tcPr>
                  <w:tcW w:w="884" w:type="dxa"/>
                </w:tcPr>
                <w:p w14:paraId="6862602A"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c>
                <w:tcPr>
                  <w:tcW w:w="884" w:type="dxa"/>
                </w:tcPr>
                <w:p w14:paraId="21101E46"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r>
            <w:tr w:rsidR="00FC1173" w:rsidRPr="00BC31CD" w14:paraId="54E945E6" w14:textId="77777777" w:rsidTr="00FC1173">
              <w:tc>
                <w:tcPr>
                  <w:tcW w:w="1759" w:type="dxa"/>
                </w:tcPr>
                <w:p w14:paraId="263DFDC4"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Continuation scripts</w:t>
                  </w:r>
                </w:p>
              </w:tc>
              <w:tc>
                <w:tcPr>
                  <w:tcW w:w="883" w:type="dxa"/>
                </w:tcPr>
                <w:p w14:paraId="333D2139"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2</w:t>
                  </w:r>
                </w:p>
              </w:tc>
              <w:tc>
                <w:tcPr>
                  <w:tcW w:w="883" w:type="dxa"/>
                </w:tcPr>
                <w:p w14:paraId="4B304A18"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16975203"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46320805"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086A73DF"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76EBF37F" w14:textId="77777777" w:rsidR="00FC1173" w:rsidRPr="00AE1A04" w:rsidRDefault="00AE1A04" w:rsidP="00FC1173">
                  <w:pPr>
                    <w:widowControl w:val="0"/>
                    <w:jc w:val="center"/>
                    <w:rPr>
                      <w:rFonts w:ascii="Arial Narrow" w:hAnsi="Arial Narrow"/>
                      <w:sz w:val="20"/>
                      <w:szCs w:val="20"/>
                    </w:rPr>
                  </w:pPr>
                  <w:r>
                    <w:rPr>
                      <w:rFonts w:ascii="Arial Narrow" w:hAnsi="Arial Narrow"/>
                      <w:noProof/>
                      <w:color w:val="000000"/>
                      <w:sz w:val="20"/>
                      <w:szCs w:val="20"/>
                      <w:highlight w:val="black"/>
                      <w:lang w:eastAsia="en-US"/>
                    </w:rPr>
                    <w:t>'''''''''</w:t>
                  </w:r>
                  <w:r w:rsidR="000C2E5C" w:rsidRPr="000C2E5C">
                    <w:rPr>
                      <w:rFonts w:ascii="Arial Narrow" w:hAnsi="Arial Narrow"/>
                      <w:sz w:val="20"/>
                      <w:szCs w:val="18"/>
                      <w:vertAlign w:val="superscript"/>
                    </w:rPr>
                    <w:t>1</w:t>
                  </w:r>
                </w:p>
              </w:tc>
            </w:tr>
            <w:tr w:rsidR="00FC1173" w:rsidRPr="00BC31CD" w14:paraId="1B4CA48A" w14:textId="77777777" w:rsidTr="00FC1173">
              <w:tc>
                <w:tcPr>
                  <w:tcW w:w="1759" w:type="dxa"/>
                </w:tcPr>
                <w:p w14:paraId="142B5EA6" w14:textId="77777777" w:rsidR="00FC1173" w:rsidRPr="00BC31CD" w:rsidRDefault="00FC1173" w:rsidP="00FC1173">
                  <w:pPr>
                    <w:widowControl w:val="0"/>
                    <w:jc w:val="left"/>
                    <w:rPr>
                      <w:rFonts w:ascii="Arial Narrow" w:hAnsi="Arial Narrow"/>
                      <w:b/>
                      <w:bCs/>
                      <w:sz w:val="20"/>
                      <w:szCs w:val="20"/>
                    </w:rPr>
                  </w:pPr>
                  <w:r w:rsidRPr="00BC31CD">
                    <w:rPr>
                      <w:rFonts w:ascii="Arial Narrow" w:hAnsi="Arial Narrow"/>
                      <w:b/>
                      <w:bCs/>
                      <w:sz w:val="20"/>
                      <w:szCs w:val="20"/>
                    </w:rPr>
                    <w:t>Total scripts</w:t>
                  </w:r>
                </w:p>
              </w:tc>
              <w:tc>
                <w:tcPr>
                  <w:tcW w:w="883" w:type="dxa"/>
                </w:tcPr>
                <w:p w14:paraId="5EDAD4D4" w14:textId="77777777" w:rsidR="00FC1173" w:rsidRPr="00AE1A04" w:rsidRDefault="00AE1A04" w:rsidP="00FC1173">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3" w:type="dxa"/>
                </w:tcPr>
                <w:p w14:paraId="0C23B0A5" w14:textId="77777777" w:rsidR="00FC1173" w:rsidRPr="00AE1A04" w:rsidRDefault="00AE1A04" w:rsidP="00FC1173">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503C656F" w14:textId="77777777" w:rsidR="00FC1173" w:rsidRPr="00AE1A04" w:rsidRDefault="00AE1A04" w:rsidP="00FC1173">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380C35B5" w14:textId="77777777" w:rsidR="00FC1173" w:rsidRPr="00AE1A04" w:rsidRDefault="00AE1A04" w:rsidP="00FC1173">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47752730" w14:textId="77777777" w:rsidR="00FC1173" w:rsidRPr="00AE1A04" w:rsidRDefault="00AE1A04" w:rsidP="00FC1173">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1</w:t>
                  </w:r>
                </w:p>
              </w:tc>
              <w:tc>
                <w:tcPr>
                  <w:tcW w:w="884" w:type="dxa"/>
                </w:tcPr>
                <w:p w14:paraId="746D2C62" w14:textId="77777777" w:rsidR="00FC1173" w:rsidRPr="00AE1A04" w:rsidRDefault="00AE1A04" w:rsidP="00FC1173">
                  <w:pPr>
                    <w:widowControl w:val="0"/>
                    <w:jc w:val="center"/>
                    <w:rPr>
                      <w:rFonts w:ascii="Arial Narrow" w:hAnsi="Arial Narrow"/>
                      <w:b/>
                      <w:bCs/>
                      <w:color w:val="000000"/>
                      <w:sz w:val="20"/>
                      <w:szCs w:val="20"/>
                    </w:rPr>
                  </w:pPr>
                  <w:r>
                    <w:rPr>
                      <w:rFonts w:ascii="Arial Narrow" w:hAnsi="Arial Narrow"/>
                      <w:b/>
                      <w:bCs/>
                      <w:noProof/>
                      <w:color w:val="000000"/>
                      <w:sz w:val="20"/>
                      <w:szCs w:val="20"/>
                      <w:highlight w:val="black"/>
                      <w:lang w:eastAsia="en-US"/>
                    </w:rPr>
                    <w:t>''''''''</w:t>
                  </w:r>
                  <w:r w:rsidR="000C2E5C" w:rsidRPr="000C2E5C">
                    <w:rPr>
                      <w:rFonts w:ascii="Arial Narrow" w:hAnsi="Arial Narrow"/>
                      <w:sz w:val="20"/>
                      <w:szCs w:val="18"/>
                      <w:vertAlign w:val="superscript"/>
                    </w:rPr>
                    <w:t>1</w:t>
                  </w:r>
                </w:p>
              </w:tc>
            </w:tr>
          </w:tbl>
          <w:p w14:paraId="6650FC33" w14:textId="77777777" w:rsidR="00FC1173" w:rsidRPr="00BC31CD" w:rsidRDefault="00FC1173" w:rsidP="00FC1173">
            <w:pPr>
              <w:widowControl w:val="0"/>
              <w:jc w:val="left"/>
              <w:rPr>
                <w:rFonts w:ascii="Arial Narrow" w:hAnsi="Arial Narrow"/>
                <w:sz w:val="20"/>
                <w:szCs w:val="20"/>
              </w:rPr>
            </w:pPr>
          </w:p>
        </w:tc>
      </w:tr>
      <w:tr w:rsidR="00FC1173" w:rsidRPr="00BC31CD" w14:paraId="7773797D" w14:textId="77777777" w:rsidTr="00FC117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1F6BD" w14:textId="77777777" w:rsidR="00FC1173" w:rsidRPr="00BC31CD" w:rsidRDefault="00FC1173" w:rsidP="00FC1173">
            <w:pPr>
              <w:widowControl w:val="0"/>
              <w:jc w:val="left"/>
              <w:rPr>
                <w:rFonts w:ascii="Arial Narrow" w:hAnsi="Arial Narrow"/>
                <w:b/>
                <w:sz w:val="20"/>
                <w:szCs w:val="20"/>
              </w:rPr>
            </w:pPr>
            <w:r w:rsidRPr="00BC31CD">
              <w:rPr>
                <w:rFonts w:ascii="Arial Narrow" w:hAnsi="Arial Narrow"/>
                <w:b/>
                <w:sz w:val="20"/>
                <w:szCs w:val="20"/>
              </w:rPr>
              <w:t xml:space="preserve">Cost of medicines </w:t>
            </w:r>
          </w:p>
        </w:tc>
      </w:tr>
      <w:tr w:rsidR="00FC1173" w:rsidRPr="00BC31CD" w14:paraId="4009527A"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4089F88"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Trientine 4HCl</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79DCE644"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Requested price: $</w:t>
            </w:r>
            <w:r w:rsidR="00AE1A04">
              <w:rPr>
                <w:rFonts w:ascii="Arial Narrow" w:hAnsi="Arial Narrow"/>
                <w:noProof/>
                <w:color w:val="000000"/>
                <w:sz w:val="20"/>
                <w:szCs w:val="20"/>
                <w:highlight w:val="black"/>
              </w:rPr>
              <w:t>''''''''''''''''''</w:t>
            </w:r>
          </w:p>
          <w:p w14:paraId="2A7AB1F2"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Adjusted to account for adult (82%) and paediatric (18%) use: $</w:t>
            </w:r>
            <w:r w:rsidR="00AE1A04">
              <w:rPr>
                <w:rFonts w:ascii="Arial Narrow" w:hAnsi="Arial Narrow"/>
                <w:noProof/>
                <w:color w:val="000000"/>
                <w:sz w:val="20"/>
                <w:szCs w:val="20"/>
                <w:highlight w:val="black"/>
              </w:rPr>
              <w:t>'''''''''''''''''''''</w:t>
            </w:r>
          </w:p>
        </w:tc>
      </w:tr>
      <w:tr w:rsidR="00FC1173" w:rsidRPr="00BC31CD" w14:paraId="4E4097AC"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40ADE9B0"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 xml:space="preserve">Patient co-payment </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6AEAD6D5" w14:textId="77777777" w:rsidR="00FC1173" w:rsidRPr="00BC31CD" w:rsidRDefault="00FC1173" w:rsidP="00FC1173">
            <w:pPr>
              <w:widowControl w:val="0"/>
              <w:jc w:val="left"/>
              <w:rPr>
                <w:rFonts w:ascii="Arial Narrow" w:hAnsi="Arial Narrow"/>
                <w:sz w:val="20"/>
                <w:szCs w:val="20"/>
              </w:rPr>
            </w:pPr>
            <w:r w:rsidRPr="002A2441">
              <w:rPr>
                <w:rFonts w:ascii="Arial Narrow" w:hAnsi="Arial Narrow"/>
                <w:sz w:val="20"/>
                <w:szCs w:val="20"/>
              </w:rPr>
              <w:t>Co-payment calculated as $20.57 for PBS and $6.48 for RPBS.</w:t>
            </w:r>
          </w:p>
        </w:tc>
      </w:tr>
      <w:tr w:rsidR="00FC1173" w:rsidRPr="00BC31CD" w14:paraId="7F3AD7FD" w14:textId="77777777" w:rsidTr="00FC117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789B6" w14:textId="77777777" w:rsidR="00FC1173" w:rsidRPr="00BC31CD" w:rsidRDefault="00FC1173" w:rsidP="00FC1173">
            <w:pPr>
              <w:widowControl w:val="0"/>
              <w:jc w:val="left"/>
              <w:rPr>
                <w:rFonts w:ascii="Arial Narrow" w:hAnsi="Arial Narrow"/>
                <w:b/>
                <w:sz w:val="20"/>
                <w:szCs w:val="20"/>
              </w:rPr>
            </w:pPr>
            <w:r w:rsidRPr="00BC31CD">
              <w:rPr>
                <w:rFonts w:ascii="Arial Narrow" w:hAnsi="Arial Narrow"/>
                <w:b/>
                <w:sz w:val="20"/>
                <w:szCs w:val="20"/>
              </w:rPr>
              <w:t>Impact on other medicines</w:t>
            </w:r>
          </w:p>
        </w:tc>
      </w:tr>
      <w:tr w:rsidR="00FC1173" w:rsidRPr="00BC31CD" w14:paraId="4C92C92D"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F7D130D" w14:textId="77777777" w:rsidR="00FC1173" w:rsidRPr="00BC31CD" w:rsidRDefault="00FC1173" w:rsidP="00FC1173">
            <w:pPr>
              <w:widowControl w:val="0"/>
              <w:jc w:val="left"/>
              <w:rPr>
                <w:rFonts w:ascii="Arial Narrow" w:hAnsi="Arial Narrow" w:cstheme="minorHAnsi"/>
                <w:color w:val="000000"/>
                <w:sz w:val="20"/>
                <w:szCs w:val="20"/>
              </w:rPr>
            </w:pPr>
            <w:r w:rsidRPr="00BC31CD">
              <w:rPr>
                <w:rFonts w:ascii="Arial Narrow" w:hAnsi="Arial Narrow" w:cstheme="minorHAnsi"/>
                <w:color w:val="000000"/>
                <w:sz w:val="20"/>
                <w:szCs w:val="20"/>
              </w:rPr>
              <w:t>Other agents</w:t>
            </w:r>
          </w:p>
        </w:tc>
        <w:tc>
          <w:tcPr>
            <w:tcW w:w="4068" w:type="pct"/>
            <w:tcBorders>
              <w:top w:val="single" w:sz="4" w:space="0" w:color="auto"/>
              <w:left w:val="single" w:sz="4" w:space="0" w:color="auto"/>
              <w:right w:val="single" w:sz="4" w:space="0" w:color="auto"/>
            </w:tcBorders>
            <w:shd w:val="clear" w:color="auto" w:fill="auto"/>
            <w:vAlign w:val="center"/>
          </w:tcPr>
          <w:p w14:paraId="4C50A33A"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None.</w:t>
            </w:r>
          </w:p>
        </w:tc>
      </w:tr>
      <w:tr w:rsidR="00FC1173" w:rsidRPr="00BC31CD" w14:paraId="50BCF135" w14:textId="77777777" w:rsidTr="00FC1173">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CACC6" w14:textId="77777777" w:rsidR="00FC1173" w:rsidRPr="00BC31CD" w:rsidRDefault="00FC1173" w:rsidP="00FC1173">
            <w:pPr>
              <w:widowControl w:val="0"/>
              <w:jc w:val="left"/>
              <w:rPr>
                <w:rFonts w:ascii="Arial Narrow" w:hAnsi="Arial Narrow"/>
                <w:b/>
                <w:sz w:val="20"/>
                <w:szCs w:val="20"/>
              </w:rPr>
            </w:pPr>
            <w:r w:rsidRPr="00BC31CD">
              <w:rPr>
                <w:rFonts w:ascii="Arial Narrow" w:hAnsi="Arial Narrow"/>
                <w:b/>
                <w:sz w:val="20"/>
                <w:szCs w:val="20"/>
              </w:rPr>
              <w:t>MBS usage and costs</w:t>
            </w:r>
          </w:p>
        </w:tc>
      </w:tr>
      <w:tr w:rsidR="00FC1173" w:rsidRPr="00BC31CD" w14:paraId="6BBDEFA2" w14:textId="77777777" w:rsidTr="00FC1173">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7B7E70D1"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MBS items</w:t>
            </w:r>
          </w:p>
        </w:tc>
        <w:tc>
          <w:tcPr>
            <w:tcW w:w="4068" w:type="pct"/>
            <w:tcBorders>
              <w:top w:val="single" w:sz="4" w:space="0" w:color="auto"/>
              <w:left w:val="single" w:sz="4" w:space="0" w:color="auto"/>
              <w:bottom w:val="single" w:sz="4" w:space="0" w:color="auto"/>
              <w:right w:val="single" w:sz="4" w:space="0" w:color="auto"/>
            </w:tcBorders>
            <w:shd w:val="clear" w:color="auto" w:fill="auto"/>
            <w:vAlign w:val="center"/>
          </w:tcPr>
          <w:p w14:paraId="3CBAF7B7" w14:textId="77777777" w:rsidR="00FC1173" w:rsidRPr="00BC31CD" w:rsidRDefault="00FC1173" w:rsidP="00FC1173">
            <w:pPr>
              <w:widowControl w:val="0"/>
              <w:jc w:val="left"/>
              <w:rPr>
                <w:rFonts w:ascii="Arial Narrow" w:hAnsi="Arial Narrow"/>
                <w:sz w:val="20"/>
                <w:szCs w:val="20"/>
              </w:rPr>
            </w:pPr>
            <w:r w:rsidRPr="00BC31CD">
              <w:rPr>
                <w:rFonts w:ascii="Arial Narrow" w:hAnsi="Arial Narrow"/>
                <w:sz w:val="20"/>
                <w:szCs w:val="20"/>
              </w:rPr>
              <w:t>None.</w:t>
            </w:r>
          </w:p>
        </w:tc>
      </w:tr>
    </w:tbl>
    <w:p w14:paraId="709F16FB" w14:textId="77777777" w:rsidR="00FC1173" w:rsidRPr="00BC31CD" w:rsidRDefault="00FC1173" w:rsidP="00FC1173">
      <w:pPr>
        <w:pStyle w:val="TableFooter"/>
        <w:keepNext/>
        <w:keepLines/>
      </w:pPr>
      <w:r w:rsidRPr="00BC31CD">
        <w:t>Source: Table 4-2, p141; Table 4-3, p143; Table 4-9, p148; Table 4-10, p149 Table 4-11, p149; Table 4-12, p150 of the submission.</w:t>
      </w:r>
    </w:p>
    <w:p w14:paraId="22418236" w14:textId="77777777" w:rsidR="00FC1173" w:rsidRDefault="00FC1173" w:rsidP="00FC1173">
      <w:pPr>
        <w:pStyle w:val="TableFigureFooter"/>
        <w:spacing w:after="0"/>
        <w:rPr>
          <w:szCs w:val="18"/>
        </w:rPr>
      </w:pPr>
      <w:r w:rsidRPr="00BC31CD">
        <w:rPr>
          <w:szCs w:val="18"/>
        </w:rPr>
        <w:t>4HCl = tetrahydrochloride; ABS = Australian Bureau of Statistics; DPA=D-penicillamine; WD = Wilson Disease</w:t>
      </w:r>
    </w:p>
    <w:p w14:paraId="462D222A" w14:textId="77777777" w:rsidR="000C2E5C" w:rsidRPr="000C2E5C" w:rsidRDefault="000C2E5C" w:rsidP="00FC1173">
      <w:pPr>
        <w:pStyle w:val="TableFigureFooter"/>
        <w:spacing w:after="0"/>
        <w:rPr>
          <w:i/>
          <w:szCs w:val="18"/>
        </w:rPr>
      </w:pPr>
      <w:r w:rsidRPr="000C2E5C">
        <w:rPr>
          <w:i/>
          <w:szCs w:val="18"/>
        </w:rPr>
        <w:t>The redacted values correspond to the following ranges:</w:t>
      </w:r>
    </w:p>
    <w:p w14:paraId="4C848936" w14:textId="77777777" w:rsidR="000C2E5C" w:rsidRPr="000C2E5C" w:rsidRDefault="000C2E5C" w:rsidP="00FC1173">
      <w:pPr>
        <w:pStyle w:val="TableFigureFooter"/>
        <w:spacing w:after="0"/>
        <w:rPr>
          <w:i/>
          <w:szCs w:val="18"/>
        </w:rPr>
      </w:pPr>
      <w:r w:rsidRPr="000C2E5C">
        <w:rPr>
          <w:i/>
          <w:szCs w:val="18"/>
          <w:vertAlign w:val="superscript"/>
        </w:rPr>
        <w:t>1</w:t>
      </w:r>
      <w:r w:rsidRPr="000C2E5C">
        <w:rPr>
          <w:i/>
          <w:szCs w:val="18"/>
        </w:rPr>
        <w:t xml:space="preserve"> 500 to &lt; 5,000</w:t>
      </w:r>
    </w:p>
    <w:p w14:paraId="1390C24C" w14:textId="77777777" w:rsidR="000C2E5C" w:rsidRPr="000C2E5C" w:rsidRDefault="000C2E5C" w:rsidP="00FC1173">
      <w:pPr>
        <w:pStyle w:val="TableFigureFooter"/>
        <w:spacing w:after="0"/>
        <w:rPr>
          <w:i/>
        </w:rPr>
      </w:pPr>
      <w:r w:rsidRPr="000C2E5C">
        <w:rPr>
          <w:i/>
          <w:szCs w:val="18"/>
          <w:vertAlign w:val="superscript"/>
        </w:rPr>
        <w:t>2</w:t>
      </w:r>
      <w:r w:rsidRPr="000C2E5C">
        <w:rPr>
          <w:i/>
          <w:szCs w:val="18"/>
        </w:rPr>
        <w:t xml:space="preserve"> &lt;500</w:t>
      </w:r>
    </w:p>
    <w:p w14:paraId="337AA3BE" w14:textId="77777777" w:rsidR="00FC1173" w:rsidRPr="00BC31CD" w:rsidRDefault="00FC1173" w:rsidP="00FC1173"/>
    <w:p w14:paraId="02E88A77" w14:textId="77777777" w:rsidR="00FC1173" w:rsidRPr="00BC31CD" w:rsidRDefault="00FC1173" w:rsidP="00FC1173">
      <w:pPr>
        <w:pStyle w:val="3-BodyText"/>
      </w:pPr>
      <w:r w:rsidRPr="00BC31CD">
        <w:t>The estimated patient numbers, prescription numbers and costs for the PBS listing of trientine 4HCl for the treatment of WD are provided below</w:t>
      </w:r>
      <w:r w:rsidRPr="00BC31CD">
        <w:rPr>
          <w:i/>
        </w:rPr>
        <w:t>.</w:t>
      </w:r>
    </w:p>
    <w:p w14:paraId="2E14B3EC" w14:textId="77777777" w:rsidR="00FC1173" w:rsidRPr="00BC31CD" w:rsidRDefault="00FC1173" w:rsidP="00FC1173">
      <w:pPr>
        <w:pStyle w:val="TableFigureHeading"/>
      </w:pPr>
      <w:r w:rsidRPr="00BC31CD">
        <w:rPr>
          <w:rStyle w:val="CommentReference"/>
          <w:b/>
          <w:szCs w:val="24"/>
        </w:rPr>
        <w:t>Table 14: Estimated use and financial implications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096"/>
        <w:gridCol w:w="984"/>
        <w:gridCol w:w="978"/>
        <w:gridCol w:w="1123"/>
        <w:gridCol w:w="986"/>
        <w:gridCol w:w="1071"/>
      </w:tblGrid>
      <w:tr w:rsidR="00FC1173" w:rsidRPr="00BC31CD" w14:paraId="33EAF3CA" w14:textId="77777777" w:rsidTr="00FC1173">
        <w:trPr>
          <w:tblHeader/>
        </w:trPr>
        <w:tc>
          <w:tcPr>
            <w:tcW w:w="1506" w:type="pct"/>
            <w:shd w:val="clear" w:color="auto" w:fill="auto"/>
            <w:vAlign w:val="center"/>
          </w:tcPr>
          <w:p w14:paraId="6B474385" w14:textId="77777777" w:rsidR="00FC1173" w:rsidRPr="00BC31CD" w:rsidRDefault="00FC1173" w:rsidP="00FC1173">
            <w:pPr>
              <w:pStyle w:val="In-tableHeading"/>
              <w:tabs>
                <w:tab w:val="left" w:pos="102"/>
              </w:tabs>
              <w:jc w:val="center"/>
              <w:rPr>
                <w:lang w:val="en-AU"/>
              </w:rPr>
            </w:pPr>
          </w:p>
        </w:tc>
        <w:tc>
          <w:tcPr>
            <w:tcW w:w="614" w:type="pct"/>
            <w:shd w:val="clear" w:color="auto" w:fill="auto"/>
            <w:vAlign w:val="center"/>
          </w:tcPr>
          <w:p w14:paraId="27F62D8B" w14:textId="77777777" w:rsidR="00FC1173" w:rsidRPr="00BC31CD" w:rsidRDefault="00FC1173" w:rsidP="00FC1173">
            <w:pPr>
              <w:pStyle w:val="In-tableHeading"/>
              <w:jc w:val="center"/>
              <w:rPr>
                <w:lang w:val="en-AU"/>
              </w:rPr>
            </w:pPr>
            <w:r w:rsidRPr="00BC31CD">
              <w:rPr>
                <w:lang w:val="en-AU"/>
              </w:rPr>
              <w:t>Year 1</w:t>
            </w:r>
          </w:p>
        </w:tc>
        <w:tc>
          <w:tcPr>
            <w:tcW w:w="551" w:type="pct"/>
            <w:shd w:val="clear" w:color="auto" w:fill="auto"/>
            <w:vAlign w:val="center"/>
          </w:tcPr>
          <w:p w14:paraId="2A3DFA73" w14:textId="77777777" w:rsidR="00FC1173" w:rsidRPr="00BC31CD" w:rsidRDefault="00FC1173" w:rsidP="00FC1173">
            <w:pPr>
              <w:pStyle w:val="In-tableHeading"/>
              <w:jc w:val="center"/>
              <w:rPr>
                <w:lang w:val="en-AU"/>
              </w:rPr>
            </w:pPr>
            <w:r w:rsidRPr="00BC31CD">
              <w:rPr>
                <w:lang w:val="en-AU"/>
              </w:rPr>
              <w:t>Year 2</w:t>
            </w:r>
          </w:p>
        </w:tc>
        <w:tc>
          <w:tcPr>
            <w:tcW w:w="548" w:type="pct"/>
            <w:shd w:val="clear" w:color="auto" w:fill="auto"/>
            <w:vAlign w:val="center"/>
          </w:tcPr>
          <w:p w14:paraId="26BDD629" w14:textId="77777777" w:rsidR="00FC1173" w:rsidRPr="00BC31CD" w:rsidRDefault="00FC1173" w:rsidP="00FC1173">
            <w:pPr>
              <w:pStyle w:val="In-tableHeading"/>
              <w:jc w:val="center"/>
              <w:rPr>
                <w:lang w:val="en-AU"/>
              </w:rPr>
            </w:pPr>
            <w:r w:rsidRPr="00BC31CD">
              <w:rPr>
                <w:lang w:val="en-AU"/>
              </w:rPr>
              <w:t>Year 3</w:t>
            </w:r>
          </w:p>
        </w:tc>
        <w:tc>
          <w:tcPr>
            <w:tcW w:w="629" w:type="pct"/>
            <w:shd w:val="clear" w:color="auto" w:fill="auto"/>
            <w:vAlign w:val="center"/>
          </w:tcPr>
          <w:p w14:paraId="5BCDA834" w14:textId="77777777" w:rsidR="00FC1173" w:rsidRPr="00BC31CD" w:rsidRDefault="00FC1173" w:rsidP="00FC1173">
            <w:pPr>
              <w:pStyle w:val="In-tableHeading"/>
              <w:jc w:val="center"/>
              <w:rPr>
                <w:lang w:val="en-AU"/>
              </w:rPr>
            </w:pPr>
            <w:r w:rsidRPr="00BC31CD">
              <w:rPr>
                <w:lang w:val="en-AU"/>
              </w:rPr>
              <w:t>Year 4</w:t>
            </w:r>
          </w:p>
        </w:tc>
        <w:tc>
          <w:tcPr>
            <w:tcW w:w="552" w:type="pct"/>
            <w:shd w:val="clear" w:color="auto" w:fill="auto"/>
            <w:vAlign w:val="center"/>
          </w:tcPr>
          <w:p w14:paraId="7BBAAD67" w14:textId="77777777" w:rsidR="00FC1173" w:rsidRPr="00BC31CD" w:rsidRDefault="00FC1173" w:rsidP="00FC1173">
            <w:pPr>
              <w:pStyle w:val="In-tableHeading"/>
              <w:jc w:val="center"/>
              <w:rPr>
                <w:lang w:val="en-AU"/>
              </w:rPr>
            </w:pPr>
            <w:r w:rsidRPr="00BC31CD">
              <w:rPr>
                <w:lang w:val="en-AU"/>
              </w:rPr>
              <w:t>Year 5</w:t>
            </w:r>
          </w:p>
        </w:tc>
        <w:tc>
          <w:tcPr>
            <w:tcW w:w="600" w:type="pct"/>
          </w:tcPr>
          <w:p w14:paraId="439B3271" w14:textId="77777777" w:rsidR="00FC1173" w:rsidRPr="00BC31CD" w:rsidRDefault="00FC1173" w:rsidP="00FC1173">
            <w:pPr>
              <w:pStyle w:val="In-tableHeading"/>
              <w:jc w:val="center"/>
              <w:rPr>
                <w:lang w:val="en-AU"/>
              </w:rPr>
            </w:pPr>
            <w:r w:rsidRPr="00BC31CD">
              <w:rPr>
                <w:lang w:val="en-AU"/>
              </w:rPr>
              <w:t>Year 6</w:t>
            </w:r>
          </w:p>
        </w:tc>
      </w:tr>
      <w:tr w:rsidR="00FC1173" w:rsidRPr="00BC31CD" w14:paraId="66088C93" w14:textId="77777777" w:rsidTr="00FC1173">
        <w:tc>
          <w:tcPr>
            <w:tcW w:w="5000" w:type="pct"/>
            <w:gridSpan w:val="7"/>
            <w:shd w:val="clear" w:color="auto" w:fill="auto"/>
            <w:vAlign w:val="center"/>
          </w:tcPr>
          <w:p w14:paraId="579764F2" w14:textId="77777777" w:rsidR="00FC1173" w:rsidRPr="00BC31CD" w:rsidRDefault="00FC1173" w:rsidP="00FC1173">
            <w:pPr>
              <w:pStyle w:val="In-tableHeading"/>
              <w:tabs>
                <w:tab w:val="left" w:pos="102"/>
              </w:tabs>
              <w:rPr>
                <w:bCs/>
                <w:color w:val="000000"/>
                <w:lang w:val="en-AU"/>
              </w:rPr>
            </w:pPr>
            <w:r w:rsidRPr="00BC31CD">
              <w:rPr>
                <w:bCs/>
                <w:color w:val="000000"/>
                <w:lang w:val="en-AU"/>
              </w:rPr>
              <w:t>Estimated extent of use</w:t>
            </w:r>
          </w:p>
        </w:tc>
      </w:tr>
      <w:tr w:rsidR="00FC1173" w:rsidRPr="00BC31CD" w14:paraId="08E86F45" w14:textId="77777777" w:rsidTr="00FC1173">
        <w:tc>
          <w:tcPr>
            <w:tcW w:w="5000" w:type="pct"/>
            <w:gridSpan w:val="7"/>
            <w:shd w:val="clear" w:color="auto" w:fill="auto"/>
            <w:vAlign w:val="center"/>
          </w:tcPr>
          <w:p w14:paraId="7105DC7C" w14:textId="77777777" w:rsidR="00FC1173" w:rsidRPr="00BC31CD" w:rsidRDefault="00FC1173" w:rsidP="00FC1173">
            <w:pPr>
              <w:pStyle w:val="TableText0"/>
              <w:tabs>
                <w:tab w:val="left" w:pos="102"/>
              </w:tabs>
              <w:rPr>
                <w:color w:val="000000"/>
              </w:rPr>
            </w:pPr>
            <w:r w:rsidRPr="00BC31CD">
              <w:t>Number of patients treated</w:t>
            </w:r>
            <w:r w:rsidRPr="00BC31CD">
              <w:rPr>
                <w:vertAlign w:val="superscript"/>
              </w:rPr>
              <w:t>a</w:t>
            </w:r>
          </w:p>
        </w:tc>
      </w:tr>
      <w:tr w:rsidR="00FC1173" w:rsidRPr="00BC31CD" w14:paraId="588A4B31" w14:textId="77777777" w:rsidTr="00FC1173">
        <w:tc>
          <w:tcPr>
            <w:tcW w:w="1506" w:type="pct"/>
            <w:shd w:val="clear" w:color="auto" w:fill="auto"/>
            <w:vAlign w:val="center"/>
          </w:tcPr>
          <w:p w14:paraId="58016509" w14:textId="77777777" w:rsidR="00FC1173" w:rsidRPr="00BC31CD" w:rsidRDefault="00FC1173" w:rsidP="00FC1173">
            <w:pPr>
              <w:pStyle w:val="TableText0"/>
              <w:tabs>
                <w:tab w:val="left" w:pos="102"/>
              </w:tabs>
            </w:pPr>
            <w:r w:rsidRPr="00BC31CD">
              <w:tab/>
              <w:t>Cumulative (tried at least once)</w:t>
            </w:r>
          </w:p>
        </w:tc>
        <w:tc>
          <w:tcPr>
            <w:tcW w:w="614" w:type="pct"/>
            <w:shd w:val="clear" w:color="auto" w:fill="auto"/>
          </w:tcPr>
          <w:p w14:paraId="488DE23C"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551" w:type="pct"/>
            <w:shd w:val="clear" w:color="auto" w:fill="auto"/>
          </w:tcPr>
          <w:p w14:paraId="062CFB15"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548" w:type="pct"/>
            <w:shd w:val="clear" w:color="auto" w:fill="auto"/>
          </w:tcPr>
          <w:p w14:paraId="06A8FB98"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629" w:type="pct"/>
            <w:shd w:val="clear" w:color="auto" w:fill="auto"/>
          </w:tcPr>
          <w:p w14:paraId="1BC8BB15"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552" w:type="pct"/>
            <w:shd w:val="clear" w:color="auto" w:fill="auto"/>
          </w:tcPr>
          <w:p w14:paraId="7EBDC554"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600" w:type="pct"/>
          </w:tcPr>
          <w:p w14:paraId="51482A44"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r>
      <w:tr w:rsidR="00FC1173" w:rsidRPr="00BC31CD" w14:paraId="79F7C192" w14:textId="77777777" w:rsidTr="00FC1173">
        <w:tc>
          <w:tcPr>
            <w:tcW w:w="1506" w:type="pct"/>
            <w:shd w:val="clear" w:color="auto" w:fill="auto"/>
            <w:vAlign w:val="center"/>
          </w:tcPr>
          <w:p w14:paraId="4C73847F" w14:textId="77777777" w:rsidR="00FC1173" w:rsidRPr="00BC31CD" w:rsidRDefault="00FC1173" w:rsidP="00FC1173">
            <w:pPr>
              <w:pStyle w:val="TableText0"/>
              <w:tabs>
                <w:tab w:val="left" w:pos="102"/>
              </w:tabs>
            </w:pPr>
            <w:r w:rsidRPr="00BC31CD">
              <w:tab/>
              <w:t>Annual</w:t>
            </w:r>
          </w:p>
        </w:tc>
        <w:tc>
          <w:tcPr>
            <w:tcW w:w="614" w:type="pct"/>
            <w:shd w:val="clear" w:color="auto" w:fill="auto"/>
          </w:tcPr>
          <w:p w14:paraId="06AED2FC"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551" w:type="pct"/>
            <w:shd w:val="clear" w:color="auto" w:fill="auto"/>
          </w:tcPr>
          <w:p w14:paraId="7BE0AEA9"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548" w:type="pct"/>
            <w:shd w:val="clear" w:color="auto" w:fill="auto"/>
          </w:tcPr>
          <w:p w14:paraId="75999489"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629" w:type="pct"/>
            <w:shd w:val="clear" w:color="auto" w:fill="auto"/>
          </w:tcPr>
          <w:p w14:paraId="1FE43173"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552" w:type="pct"/>
            <w:shd w:val="clear" w:color="auto" w:fill="auto"/>
          </w:tcPr>
          <w:p w14:paraId="1049CEFD"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c>
          <w:tcPr>
            <w:tcW w:w="600" w:type="pct"/>
          </w:tcPr>
          <w:p w14:paraId="7A967AF3"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1</w:t>
            </w:r>
          </w:p>
        </w:tc>
      </w:tr>
      <w:tr w:rsidR="00FC1173" w:rsidRPr="00BC31CD" w14:paraId="54748D1C" w14:textId="77777777" w:rsidTr="00FC1173">
        <w:tc>
          <w:tcPr>
            <w:tcW w:w="1506" w:type="pct"/>
            <w:shd w:val="clear" w:color="auto" w:fill="auto"/>
            <w:vAlign w:val="center"/>
          </w:tcPr>
          <w:p w14:paraId="30CA03A3" w14:textId="77777777" w:rsidR="00FC1173" w:rsidRPr="00BC31CD" w:rsidRDefault="00FC1173" w:rsidP="00FC1173">
            <w:pPr>
              <w:pStyle w:val="TableText0"/>
              <w:tabs>
                <w:tab w:val="left" w:pos="102"/>
              </w:tabs>
              <w:rPr>
                <w:rFonts w:ascii="Times" w:hAnsi="Times"/>
              </w:rPr>
            </w:pPr>
            <w:r w:rsidRPr="00BC31CD">
              <w:t>Number of scripts dispensed</w:t>
            </w:r>
            <w:r w:rsidRPr="00BC31CD">
              <w:rPr>
                <w:vertAlign w:val="superscript"/>
              </w:rPr>
              <w:t>b</w:t>
            </w:r>
          </w:p>
        </w:tc>
        <w:tc>
          <w:tcPr>
            <w:tcW w:w="614" w:type="pct"/>
            <w:shd w:val="clear" w:color="auto" w:fill="auto"/>
          </w:tcPr>
          <w:p w14:paraId="50FA58F5"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2</w:t>
            </w:r>
          </w:p>
        </w:tc>
        <w:tc>
          <w:tcPr>
            <w:tcW w:w="551" w:type="pct"/>
            <w:shd w:val="clear" w:color="auto" w:fill="auto"/>
          </w:tcPr>
          <w:p w14:paraId="2F33998E"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2</w:t>
            </w:r>
          </w:p>
        </w:tc>
        <w:tc>
          <w:tcPr>
            <w:tcW w:w="548" w:type="pct"/>
            <w:shd w:val="clear" w:color="auto" w:fill="auto"/>
          </w:tcPr>
          <w:p w14:paraId="69969B4C"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2</w:t>
            </w:r>
          </w:p>
        </w:tc>
        <w:tc>
          <w:tcPr>
            <w:tcW w:w="629" w:type="pct"/>
            <w:shd w:val="clear" w:color="auto" w:fill="auto"/>
          </w:tcPr>
          <w:p w14:paraId="51D0B416"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2</w:t>
            </w:r>
          </w:p>
        </w:tc>
        <w:tc>
          <w:tcPr>
            <w:tcW w:w="552" w:type="pct"/>
            <w:shd w:val="clear" w:color="auto" w:fill="auto"/>
          </w:tcPr>
          <w:p w14:paraId="4E998509"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2</w:t>
            </w:r>
          </w:p>
        </w:tc>
        <w:tc>
          <w:tcPr>
            <w:tcW w:w="600" w:type="pct"/>
          </w:tcPr>
          <w:p w14:paraId="72918A53" w14:textId="77777777" w:rsidR="00FC1173" w:rsidRPr="00AE1A04" w:rsidRDefault="00AE1A04" w:rsidP="00FC1173">
            <w:pPr>
              <w:pStyle w:val="TableText0"/>
              <w:jc w:val="center"/>
              <w:rPr>
                <w:color w:val="000000"/>
              </w:rPr>
            </w:pPr>
            <w:r>
              <w:rPr>
                <w:noProof/>
                <w:color w:val="000000"/>
                <w:highlight w:val="black"/>
                <w:lang w:eastAsia="en-US"/>
              </w:rPr>
              <w:t>''''''''''</w:t>
            </w:r>
            <w:r w:rsidR="004F581B">
              <w:rPr>
                <w:vertAlign w:val="superscript"/>
              </w:rPr>
              <w:t>2</w:t>
            </w:r>
          </w:p>
        </w:tc>
      </w:tr>
      <w:tr w:rsidR="00FC1173" w:rsidRPr="00BC31CD" w14:paraId="070F90DA" w14:textId="77777777" w:rsidTr="00FC1173">
        <w:tc>
          <w:tcPr>
            <w:tcW w:w="5000" w:type="pct"/>
            <w:gridSpan w:val="7"/>
            <w:shd w:val="clear" w:color="auto" w:fill="auto"/>
            <w:vAlign w:val="center"/>
          </w:tcPr>
          <w:p w14:paraId="165647DC" w14:textId="77777777" w:rsidR="00FC1173" w:rsidRPr="00BC31CD" w:rsidRDefault="00FC1173" w:rsidP="00FC1173">
            <w:pPr>
              <w:pStyle w:val="In-tableHeading"/>
              <w:tabs>
                <w:tab w:val="left" w:pos="102"/>
              </w:tabs>
              <w:rPr>
                <w:lang w:val="en-AU"/>
              </w:rPr>
            </w:pPr>
            <w:r w:rsidRPr="00BC31CD">
              <w:rPr>
                <w:lang w:val="en-AU"/>
              </w:rPr>
              <w:t>Estimated financial implications of trientine 4HCl</w:t>
            </w:r>
          </w:p>
        </w:tc>
      </w:tr>
      <w:tr w:rsidR="00FC1173" w:rsidRPr="00BC31CD" w14:paraId="1D9E4F81" w14:textId="77777777" w:rsidTr="00FC1173">
        <w:tc>
          <w:tcPr>
            <w:tcW w:w="1506" w:type="pct"/>
            <w:shd w:val="clear" w:color="auto" w:fill="auto"/>
            <w:vAlign w:val="center"/>
          </w:tcPr>
          <w:p w14:paraId="7B34AB12" w14:textId="77777777" w:rsidR="00FC1173" w:rsidRPr="00BC31CD" w:rsidRDefault="00FC1173" w:rsidP="00FC1173">
            <w:pPr>
              <w:pStyle w:val="TableText0"/>
              <w:tabs>
                <w:tab w:val="left" w:pos="102"/>
              </w:tabs>
              <w:rPr>
                <w:sz w:val="19"/>
                <w:szCs w:val="19"/>
              </w:rPr>
            </w:pPr>
            <w:r w:rsidRPr="00BC31CD">
              <w:rPr>
                <w:sz w:val="19"/>
                <w:szCs w:val="19"/>
              </w:rPr>
              <w:t>Cost to PBS/RPBS less copayments</w:t>
            </w:r>
          </w:p>
        </w:tc>
        <w:tc>
          <w:tcPr>
            <w:tcW w:w="614" w:type="pct"/>
            <w:shd w:val="clear" w:color="auto" w:fill="auto"/>
          </w:tcPr>
          <w:p w14:paraId="2E93D45E" w14:textId="77777777" w:rsidR="00FC1173" w:rsidRPr="00AE1A04" w:rsidRDefault="00AE1A04" w:rsidP="00FC1173">
            <w:pPr>
              <w:pStyle w:val="TableText0"/>
              <w:jc w:val="center"/>
              <w:rPr>
                <w:bCs w:val="0"/>
              </w:rPr>
            </w:pPr>
            <w:r>
              <w:rPr>
                <w:bCs w:val="0"/>
                <w:noProof/>
                <w:color w:val="000000"/>
                <w:highlight w:val="black"/>
              </w:rPr>
              <w:t>'''''''''''''''''''''''''''''</w:t>
            </w:r>
            <w:r w:rsidR="004F581B">
              <w:rPr>
                <w:vertAlign w:val="superscript"/>
              </w:rPr>
              <w:t>3</w:t>
            </w:r>
          </w:p>
        </w:tc>
        <w:tc>
          <w:tcPr>
            <w:tcW w:w="551" w:type="pct"/>
            <w:shd w:val="clear" w:color="auto" w:fill="auto"/>
          </w:tcPr>
          <w:p w14:paraId="7846D351" w14:textId="77777777" w:rsidR="00FC1173" w:rsidRPr="00AE1A04" w:rsidRDefault="00AE1A04" w:rsidP="00FC1173">
            <w:pPr>
              <w:pStyle w:val="TableText0"/>
              <w:jc w:val="center"/>
              <w:rPr>
                <w:bCs w:val="0"/>
              </w:rPr>
            </w:pPr>
            <w:r>
              <w:rPr>
                <w:bCs w:val="0"/>
                <w:noProof/>
                <w:color w:val="000000"/>
                <w:highlight w:val="black"/>
              </w:rPr>
              <w:t>'''''''''''''''''''''''''''</w:t>
            </w:r>
            <w:r w:rsidR="004F581B">
              <w:rPr>
                <w:vertAlign w:val="superscript"/>
              </w:rPr>
              <w:t>3</w:t>
            </w:r>
          </w:p>
        </w:tc>
        <w:tc>
          <w:tcPr>
            <w:tcW w:w="548" w:type="pct"/>
            <w:shd w:val="clear" w:color="auto" w:fill="auto"/>
          </w:tcPr>
          <w:p w14:paraId="5025BAF8" w14:textId="77777777" w:rsidR="00FC1173" w:rsidRPr="00AE1A04" w:rsidRDefault="00AE1A04" w:rsidP="00FC1173">
            <w:pPr>
              <w:pStyle w:val="TableText0"/>
              <w:jc w:val="center"/>
              <w:rPr>
                <w:bCs w:val="0"/>
              </w:rPr>
            </w:pPr>
            <w:r>
              <w:rPr>
                <w:bCs w:val="0"/>
                <w:noProof/>
                <w:color w:val="000000"/>
                <w:highlight w:val="black"/>
              </w:rPr>
              <w:t>''''''''''''''''''''''''''</w:t>
            </w:r>
            <w:r w:rsidR="004F581B">
              <w:rPr>
                <w:vertAlign w:val="superscript"/>
              </w:rPr>
              <w:t>3</w:t>
            </w:r>
          </w:p>
        </w:tc>
        <w:tc>
          <w:tcPr>
            <w:tcW w:w="629" w:type="pct"/>
            <w:shd w:val="clear" w:color="auto" w:fill="auto"/>
          </w:tcPr>
          <w:p w14:paraId="52828F57" w14:textId="77777777" w:rsidR="00FC1173" w:rsidRPr="00AE1A04" w:rsidRDefault="00AE1A04" w:rsidP="00FC1173">
            <w:pPr>
              <w:pStyle w:val="TableText0"/>
              <w:jc w:val="center"/>
              <w:rPr>
                <w:bCs w:val="0"/>
              </w:rPr>
            </w:pPr>
            <w:r>
              <w:rPr>
                <w:bCs w:val="0"/>
                <w:noProof/>
                <w:color w:val="000000"/>
                <w:highlight w:val="black"/>
              </w:rPr>
              <w:t>''''''''''''''''''''''''''''</w:t>
            </w:r>
            <w:r w:rsidR="004F581B">
              <w:rPr>
                <w:vertAlign w:val="superscript"/>
              </w:rPr>
              <w:t>3</w:t>
            </w:r>
          </w:p>
        </w:tc>
        <w:tc>
          <w:tcPr>
            <w:tcW w:w="552" w:type="pct"/>
            <w:shd w:val="clear" w:color="auto" w:fill="auto"/>
          </w:tcPr>
          <w:p w14:paraId="75C1CEE0" w14:textId="77777777" w:rsidR="00FC1173" w:rsidRPr="00AE1A04" w:rsidRDefault="00AE1A04" w:rsidP="00FC1173">
            <w:pPr>
              <w:pStyle w:val="TableText0"/>
              <w:jc w:val="center"/>
              <w:rPr>
                <w:bCs w:val="0"/>
              </w:rPr>
            </w:pPr>
            <w:r>
              <w:rPr>
                <w:bCs w:val="0"/>
                <w:noProof/>
                <w:color w:val="000000"/>
                <w:highlight w:val="black"/>
              </w:rPr>
              <w:t>'''''''''''''''''''''''''''</w:t>
            </w:r>
            <w:r w:rsidR="004F581B">
              <w:rPr>
                <w:vertAlign w:val="superscript"/>
              </w:rPr>
              <w:t>3</w:t>
            </w:r>
          </w:p>
        </w:tc>
        <w:tc>
          <w:tcPr>
            <w:tcW w:w="600" w:type="pct"/>
          </w:tcPr>
          <w:p w14:paraId="272A5226" w14:textId="77777777" w:rsidR="00FC1173" w:rsidRPr="00AE1A04" w:rsidRDefault="00AE1A04" w:rsidP="00FC1173">
            <w:pPr>
              <w:pStyle w:val="TableText0"/>
              <w:jc w:val="center"/>
              <w:rPr>
                <w:bCs w:val="0"/>
              </w:rPr>
            </w:pPr>
            <w:r>
              <w:rPr>
                <w:bCs w:val="0"/>
                <w:noProof/>
                <w:color w:val="000000"/>
                <w:highlight w:val="black"/>
              </w:rPr>
              <w:t>''''''''''''''''''''''''''</w:t>
            </w:r>
            <w:r w:rsidR="004F581B">
              <w:rPr>
                <w:vertAlign w:val="superscript"/>
              </w:rPr>
              <w:t>3</w:t>
            </w:r>
          </w:p>
        </w:tc>
      </w:tr>
      <w:tr w:rsidR="00FC1173" w:rsidRPr="00BC31CD" w14:paraId="48EDB164" w14:textId="77777777" w:rsidTr="00FC1173">
        <w:tc>
          <w:tcPr>
            <w:tcW w:w="5000" w:type="pct"/>
            <w:gridSpan w:val="7"/>
            <w:shd w:val="clear" w:color="auto" w:fill="auto"/>
            <w:vAlign w:val="center"/>
          </w:tcPr>
          <w:p w14:paraId="5D5CB737" w14:textId="77777777" w:rsidR="00FC1173" w:rsidRPr="00BC31CD" w:rsidRDefault="00FC1173" w:rsidP="00FC1173">
            <w:pPr>
              <w:pStyle w:val="In-tableHeading"/>
              <w:tabs>
                <w:tab w:val="left" w:pos="102"/>
              </w:tabs>
              <w:rPr>
                <w:lang w:val="en-AU"/>
              </w:rPr>
            </w:pPr>
            <w:r w:rsidRPr="00BC31CD">
              <w:rPr>
                <w:lang w:val="en-AU"/>
              </w:rPr>
              <w:t>Net financial implications</w:t>
            </w:r>
          </w:p>
        </w:tc>
      </w:tr>
      <w:tr w:rsidR="00FC1173" w:rsidRPr="00BC31CD" w14:paraId="0FB1D837" w14:textId="77777777" w:rsidTr="00FC1173">
        <w:tc>
          <w:tcPr>
            <w:tcW w:w="1506" w:type="pct"/>
            <w:shd w:val="clear" w:color="auto" w:fill="auto"/>
            <w:vAlign w:val="center"/>
          </w:tcPr>
          <w:p w14:paraId="61BB1F32" w14:textId="77777777" w:rsidR="00FC1173" w:rsidRPr="00BC31CD" w:rsidRDefault="00FC1173" w:rsidP="00FC1173">
            <w:pPr>
              <w:pStyle w:val="TableText0"/>
              <w:tabs>
                <w:tab w:val="left" w:pos="102"/>
              </w:tabs>
              <w:rPr>
                <w:sz w:val="19"/>
                <w:szCs w:val="19"/>
              </w:rPr>
            </w:pPr>
            <w:r w:rsidRPr="00BC31CD">
              <w:rPr>
                <w:sz w:val="19"/>
                <w:szCs w:val="19"/>
              </w:rPr>
              <w:t>Net cost to PBS/RPBS</w:t>
            </w:r>
          </w:p>
        </w:tc>
        <w:tc>
          <w:tcPr>
            <w:tcW w:w="614" w:type="pct"/>
            <w:shd w:val="clear" w:color="auto" w:fill="auto"/>
          </w:tcPr>
          <w:p w14:paraId="62A8A125" w14:textId="77777777" w:rsidR="00FC1173" w:rsidRPr="00AE1A04" w:rsidRDefault="00AE1A04" w:rsidP="00FC1173">
            <w:pPr>
              <w:pStyle w:val="TableText0"/>
              <w:jc w:val="center"/>
            </w:pPr>
            <w:r>
              <w:rPr>
                <w:bCs w:val="0"/>
                <w:noProof/>
                <w:color w:val="000000"/>
                <w:highlight w:val="black"/>
              </w:rPr>
              <w:t>''''''''''''''''''''''''''</w:t>
            </w:r>
            <w:r w:rsidR="004F581B">
              <w:rPr>
                <w:vertAlign w:val="superscript"/>
              </w:rPr>
              <w:t>3</w:t>
            </w:r>
          </w:p>
        </w:tc>
        <w:tc>
          <w:tcPr>
            <w:tcW w:w="551" w:type="pct"/>
            <w:shd w:val="clear" w:color="auto" w:fill="auto"/>
          </w:tcPr>
          <w:p w14:paraId="7A3AFC6D" w14:textId="77777777" w:rsidR="00FC1173" w:rsidRPr="00AE1A04" w:rsidRDefault="00AE1A04" w:rsidP="00FC1173">
            <w:pPr>
              <w:pStyle w:val="TableText0"/>
              <w:jc w:val="center"/>
            </w:pPr>
            <w:r>
              <w:rPr>
                <w:bCs w:val="0"/>
                <w:noProof/>
                <w:color w:val="000000"/>
                <w:highlight w:val="black"/>
              </w:rPr>
              <w:t>''''''''''''''''''''''''</w:t>
            </w:r>
            <w:r w:rsidR="004F581B">
              <w:rPr>
                <w:vertAlign w:val="superscript"/>
              </w:rPr>
              <w:t>3</w:t>
            </w:r>
          </w:p>
        </w:tc>
        <w:tc>
          <w:tcPr>
            <w:tcW w:w="548" w:type="pct"/>
            <w:shd w:val="clear" w:color="auto" w:fill="auto"/>
          </w:tcPr>
          <w:p w14:paraId="43F2E8B2" w14:textId="77777777" w:rsidR="00FC1173" w:rsidRPr="00AE1A04" w:rsidRDefault="00AE1A04" w:rsidP="00FC1173">
            <w:pPr>
              <w:pStyle w:val="TableText0"/>
              <w:jc w:val="center"/>
            </w:pPr>
            <w:r>
              <w:rPr>
                <w:bCs w:val="0"/>
                <w:noProof/>
                <w:color w:val="000000"/>
                <w:highlight w:val="black"/>
              </w:rPr>
              <w:t>''''''''''''''''''''''''</w:t>
            </w:r>
            <w:r w:rsidR="004F581B">
              <w:rPr>
                <w:vertAlign w:val="superscript"/>
              </w:rPr>
              <w:t>3</w:t>
            </w:r>
          </w:p>
        </w:tc>
        <w:tc>
          <w:tcPr>
            <w:tcW w:w="629" w:type="pct"/>
            <w:shd w:val="clear" w:color="auto" w:fill="auto"/>
          </w:tcPr>
          <w:p w14:paraId="58D5BB52" w14:textId="77777777" w:rsidR="00FC1173" w:rsidRPr="00AE1A04" w:rsidRDefault="00AE1A04" w:rsidP="00FC1173">
            <w:pPr>
              <w:pStyle w:val="TableText0"/>
              <w:jc w:val="center"/>
            </w:pPr>
            <w:r>
              <w:rPr>
                <w:bCs w:val="0"/>
                <w:noProof/>
                <w:color w:val="000000"/>
                <w:highlight w:val="black"/>
              </w:rPr>
              <w:t>'''''''''''''''''''''''''''</w:t>
            </w:r>
            <w:r w:rsidR="004F581B">
              <w:rPr>
                <w:vertAlign w:val="superscript"/>
              </w:rPr>
              <w:t>3</w:t>
            </w:r>
          </w:p>
        </w:tc>
        <w:tc>
          <w:tcPr>
            <w:tcW w:w="552" w:type="pct"/>
            <w:shd w:val="clear" w:color="auto" w:fill="auto"/>
          </w:tcPr>
          <w:p w14:paraId="1A801DA5" w14:textId="77777777" w:rsidR="00FC1173" w:rsidRPr="00AE1A04" w:rsidRDefault="00AE1A04" w:rsidP="00FC1173">
            <w:pPr>
              <w:pStyle w:val="TableText0"/>
              <w:jc w:val="center"/>
            </w:pPr>
            <w:r>
              <w:rPr>
                <w:bCs w:val="0"/>
                <w:noProof/>
                <w:color w:val="000000"/>
                <w:highlight w:val="black"/>
              </w:rPr>
              <w:t>''''''''''''''''''''''''''</w:t>
            </w:r>
            <w:r w:rsidR="004F581B">
              <w:rPr>
                <w:vertAlign w:val="superscript"/>
              </w:rPr>
              <w:t>3</w:t>
            </w:r>
          </w:p>
        </w:tc>
        <w:tc>
          <w:tcPr>
            <w:tcW w:w="600" w:type="pct"/>
          </w:tcPr>
          <w:p w14:paraId="3FFE0926" w14:textId="77777777" w:rsidR="00FC1173" w:rsidRPr="00AE1A04" w:rsidRDefault="00AE1A04" w:rsidP="00FC1173">
            <w:pPr>
              <w:pStyle w:val="TableText0"/>
              <w:jc w:val="center"/>
            </w:pPr>
            <w:r>
              <w:rPr>
                <w:bCs w:val="0"/>
                <w:noProof/>
                <w:color w:val="000000"/>
                <w:highlight w:val="black"/>
              </w:rPr>
              <w:t>''''''''''''''''''''''''''</w:t>
            </w:r>
            <w:r w:rsidR="004F581B">
              <w:rPr>
                <w:vertAlign w:val="superscript"/>
              </w:rPr>
              <w:t>3</w:t>
            </w:r>
          </w:p>
        </w:tc>
      </w:tr>
    </w:tbl>
    <w:p w14:paraId="34C06E8D" w14:textId="77777777" w:rsidR="00FC1173" w:rsidRPr="00BC31CD" w:rsidRDefault="00FC1173" w:rsidP="00FC1173">
      <w:pPr>
        <w:pStyle w:val="TableFigureFooter"/>
      </w:pPr>
      <w:r w:rsidRPr="00BC31CD">
        <w:t>Source: Table 4-13, p150 of the submission.</w:t>
      </w:r>
    </w:p>
    <w:p w14:paraId="555DF661" w14:textId="77777777" w:rsidR="00FC1173" w:rsidRPr="00BC31CD" w:rsidRDefault="00FC1173" w:rsidP="00FC1173">
      <w:pPr>
        <w:pStyle w:val="TableFigureFooter"/>
        <w:rPr>
          <w:szCs w:val="18"/>
        </w:rPr>
      </w:pPr>
      <w:r w:rsidRPr="00BC31CD">
        <w:rPr>
          <w:szCs w:val="18"/>
        </w:rPr>
        <w:t>4HCl = tetrahydrochloride</w:t>
      </w:r>
    </w:p>
    <w:p w14:paraId="10C1DB4E" w14:textId="77777777" w:rsidR="00FC1173" w:rsidRPr="00BC31CD" w:rsidRDefault="00FC1173" w:rsidP="00FC1173">
      <w:pPr>
        <w:pStyle w:val="TableFigureFooter"/>
        <w:tabs>
          <w:tab w:val="left" w:pos="142"/>
        </w:tabs>
        <w:rPr>
          <w:rStyle w:val="CommentReference"/>
        </w:rPr>
      </w:pPr>
      <w:r w:rsidRPr="00BC31CD">
        <w:rPr>
          <w:vertAlign w:val="superscript"/>
        </w:rPr>
        <w:t>a</w:t>
      </w:r>
      <w:r w:rsidRPr="00BC31CD">
        <w:tab/>
        <w:t>The submission presented numbers which represented partial patients, as rounding was not used.</w:t>
      </w:r>
    </w:p>
    <w:p w14:paraId="780700AC" w14:textId="77777777" w:rsidR="00FC1173" w:rsidRDefault="00FC1173" w:rsidP="00FC1173">
      <w:pPr>
        <w:pStyle w:val="TableFigureFooter"/>
        <w:tabs>
          <w:tab w:val="left" w:pos="142"/>
        </w:tabs>
      </w:pPr>
      <w:r w:rsidRPr="00BC31CD">
        <w:rPr>
          <w:vertAlign w:val="superscript"/>
        </w:rPr>
        <w:t>b</w:t>
      </w:r>
      <w:r w:rsidRPr="00BC31CD">
        <w:tab/>
        <w:t>Assuming 1.75 monthly packs, weighted across adult and paediatric use, as estimated by the submission.</w:t>
      </w:r>
    </w:p>
    <w:p w14:paraId="3FB1AF4F" w14:textId="77777777" w:rsidR="004F581B" w:rsidRPr="004F581B" w:rsidRDefault="004F581B" w:rsidP="00FC1173">
      <w:pPr>
        <w:pStyle w:val="TableFigureFooter"/>
        <w:tabs>
          <w:tab w:val="left" w:pos="142"/>
        </w:tabs>
        <w:rPr>
          <w:i/>
        </w:rPr>
      </w:pPr>
      <w:r w:rsidRPr="004F581B">
        <w:rPr>
          <w:i/>
        </w:rPr>
        <w:t>The redacted values correspond to the following ranges:</w:t>
      </w:r>
    </w:p>
    <w:p w14:paraId="1E9F4809" w14:textId="77777777" w:rsidR="004F581B" w:rsidRPr="004F581B" w:rsidRDefault="004F581B" w:rsidP="00FC1173">
      <w:pPr>
        <w:pStyle w:val="TableFigureFooter"/>
        <w:tabs>
          <w:tab w:val="left" w:pos="142"/>
        </w:tabs>
        <w:rPr>
          <w:i/>
        </w:rPr>
      </w:pPr>
      <w:r w:rsidRPr="004F581B">
        <w:rPr>
          <w:i/>
          <w:vertAlign w:val="superscript"/>
        </w:rPr>
        <w:t>1</w:t>
      </w:r>
      <w:r w:rsidRPr="004F581B">
        <w:rPr>
          <w:i/>
        </w:rPr>
        <w:t xml:space="preserve"> &lt;500</w:t>
      </w:r>
    </w:p>
    <w:p w14:paraId="5F9B4F0B" w14:textId="77777777" w:rsidR="004F581B" w:rsidRPr="004F581B" w:rsidRDefault="004F581B" w:rsidP="00FC1173">
      <w:pPr>
        <w:pStyle w:val="TableFigureFooter"/>
        <w:tabs>
          <w:tab w:val="left" w:pos="142"/>
        </w:tabs>
        <w:rPr>
          <w:i/>
        </w:rPr>
      </w:pPr>
      <w:r w:rsidRPr="004F581B">
        <w:rPr>
          <w:i/>
          <w:vertAlign w:val="superscript"/>
        </w:rPr>
        <w:t>2</w:t>
      </w:r>
      <w:r w:rsidRPr="004F581B">
        <w:rPr>
          <w:i/>
        </w:rPr>
        <w:t xml:space="preserve"> 500 to &lt; 5,000</w:t>
      </w:r>
    </w:p>
    <w:p w14:paraId="643447AA" w14:textId="77777777" w:rsidR="004F581B" w:rsidRPr="004F581B" w:rsidRDefault="004F581B" w:rsidP="00FC1173">
      <w:pPr>
        <w:pStyle w:val="TableFigureFooter"/>
        <w:tabs>
          <w:tab w:val="left" w:pos="142"/>
        </w:tabs>
        <w:rPr>
          <w:i/>
        </w:rPr>
      </w:pPr>
      <w:r w:rsidRPr="004F581B">
        <w:rPr>
          <w:i/>
          <w:vertAlign w:val="superscript"/>
        </w:rPr>
        <w:t>3</w:t>
      </w:r>
      <w:r w:rsidRPr="004F581B">
        <w:rPr>
          <w:i/>
        </w:rPr>
        <w:t xml:space="preserve"> $0 to &lt; $10 million</w:t>
      </w:r>
    </w:p>
    <w:p w14:paraId="44AE2976" w14:textId="01638CBE" w:rsidR="004C14F1" w:rsidRPr="002A2441" w:rsidRDefault="00FC1173" w:rsidP="00FC1173">
      <w:pPr>
        <w:pStyle w:val="3-BodyText"/>
      </w:pPr>
      <w:r w:rsidRPr="002A2441">
        <w:t>The total cost to the PBS/RPBS of listing trientine 4HCl was estimated to be $</w:t>
      </w:r>
      <w:r w:rsidR="004F581B" w:rsidRPr="002A2441">
        <w:t>0 to &lt;</w:t>
      </w:r>
      <w:r w:rsidR="0065791D">
        <w:t> </w:t>
      </w:r>
      <w:r w:rsidR="004F581B" w:rsidRPr="002A2441">
        <w:t>$10</w:t>
      </w:r>
      <w:r w:rsidR="0065791D">
        <w:t> </w:t>
      </w:r>
      <w:r w:rsidRPr="002A2441">
        <w:t>million in Year 6, and a total of $</w:t>
      </w:r>
      <w:r w:rsidR="004F581B" w:rsidRPr="002A2441">
        <w:t>30 million to &lt; $40</w:t>
      </w:r>
      <w:r w:rsidRPr="002A2441">
        <w:t xml:space="preserve"> million over the first 6 years of listing. </w:t>
      </w:r>
    </w:p>
    <w:p w14:paraId="68797280" w14:textId="41E707D8" w:rsidR="00FC1173" w:rsidRPr="00BC31CD" w:rsidRDefault="00FC1173" w:rsidP="00FC1173">
      <w:pPr>
        <w:pStyle w:val="3-BodyText"/>
        <w:rPr>
          <w:iCs/>
        </w:rPr>
      </w:pPr>
      <w:r w:rsidRPr="00BC31CD">
        <w:t xml:space="preserve">The </w:t>
      </w:r>
      <w:r w:rsidR="002D27D0" w:rsidRPr="00BC31CD">
        <w:t xml:space="preserve">DUSC noted that the </w:t>
      </w:r>
      <w:r w:rsidRPr="00BC31CD">
        <w:t>number of treated patients and scripts was heavily influenced by the submission’s assumption</w:t>
      </w:r>
      <w:r w:rsidR="004C14F1" w:rsidRPr="00BC31CD">
        <w:t>s</w:t>
      </w:r>
      <w:r w:rsidRPr="00BC31CD">
        <w:t xml:space="preserve"> that a 50% diagnosis rate </w:t>
      </w:r>
      <w:r w:rsidR="004C14F1" w:rsidRPr="00BC31CD">
        <w:t xml:space="preserve">(Sandahl 2020) </w:t>
      </w:r>
      <w:r w:rsidRPr="00BC31CD">
        <w:t>should be applied to prevalent patients, that only 75% of patients are treated with DPA</w:t>
      </w:r>
      <w:r w:rsidR="004C14F1" w:rsidRPr="00BC31CD">
        <w:t xml:space="preserve"> and, of those, 30% are intolerant to DPA</w:t>
      </w:r>
      <w:r w:rsidRPr="00BC31CD">
        <w:t xml:space="preserve">. </w:t>
      </w:r>
      <w:r w:rsidR="004C14F1" w:rsidRPr="00BC31CD">
        <w:rPr>
          <w:iCs/>
        </w:rPr>
        <w:t>DUSC considered the 50% diagnosis rate and the assumption that 75% of patients would use DPA as a first-line treatment were underestimated. The 50% diagnosis rate was based on a 1984 study and DUSC considered that it was likely that screening and diagnosis of WD would have improved since. The DUSC also considered that it was not reasonable to assume that 75% of patients are treated with DPA when no other pharmacological treatment is available. DUSC noted that this may have been an attempt to account for asymptomatic patients.</w:t>
      </w:r>
    </w:p>
    <w:p w14:paraId="162A8227" w14:textId="1CBAC3DA" w:rsidR="00FC1173" w:rsidRPr="002A2441" w:rsidRDefault="00FC1173" w:rsidP="00A075D1">
      <w:pPr>
        <w:pStyle w:val="3-BodyText"/>
      </w:pPr>
      <w:r w:rsidRPr="00BC31CD">
        <w:t xml:space="preserve">If the 50% diagnosis rate and 75% DPA usage rate were removed from the estimates, then the </w:t>
      </w:r>
      <w:r w:rsidRPr="002A2441">
        <w:t>number of treated patients increased by more than 2.5 times, as did the estimated net cost to the PBS/RPBS, to $</w:t>
      </w:r>
      <w:r w:rsidR="004F581B" w:rsidRPr="002A2441">
        <w:t>90 million to &lt; $100</w:t>
      </w:r>
      <w:r w:rsidRPr="002A2441">
        <w:t xml:space="preserve"> million over the first 6</w:t>
      </w:r>
      <w:r w:rsidR="0065791D">
        <w:t> </w:t>
      </w:r>
      <w:r w:rsidRPr="002A2441">
        <w:t>years of listing.</w:t>
      </w:r>
    </w:p>
    <w:p w14:paraId="77CFC9FD" w14:textId="77777777" w:rsidR="00FC1173" w:rsidRPr="00BC31CD" w:rsidRDefault="00FC1173" w:rsidP="00FC1173">
      <w:pPr>
        <w:pStyle w:val="3-BodyText"/>
      </w:pPr>
      <w:r w:rsidRPr="002A2441">
        <w:t>The financial estimates presented by the submission assumed a dose of 668</w:t>
      </w:r>
      <w:r w:rsidR="004C14F1" w:rsidRPr="002A2441">
        <w:t xml:space="preserve"> </w:t>
      </w:r>
      <w:r w:rsidRPr="002A2441">
        <w:t>mg/day (4.45 tablets) for adults and 2.75 tablets</w:t>
      </w:r>
      <w:r w:rsidRPr="00BC31CD">
        <w:t xml:space="preserve"> per day for children. The adult dose was sourced from 2017/18 Special Access Scheme (SAS) applications, which may or may not represent what is used on an individual patient basis. </w:t>
      </w:r>
    </w:p>
    <w:p w14:paraId="7984D51C" w14:textId="77777777" w:rsidR="00FC1173" w:rsidRPr="00BC31CD" w:rsidRDefault="00FC1173" w:rsidP="00FC1173">
      <w:pPr>
        <w:pStyle w:val="3-BodyText"/>
      </w:pPr>
      <w:r w:rsidRPr="00BC31CD">
        <w:t>The financial estimates were also adjusted for adult (82%) and paediatric use (18%), which decreased the requested DPMQ from $</w:t>
      </w:r>
      <w:r w:rsidR="00AE1A04">
        <w:rPr>
          <w:noProof/>
          <w:color w:val="000000"/>
          <w:highlight w:val="black"/>
        </w:rPr>
        <w:t>'''''''''''''''</w:t>
      </w:r>
      <w:r w:rsidRPr="00BC31CD">
        <w:t xml:space="preserve"> to $</w:t>
      </w:r>
      <w:r w:rsidR="00AE1A04">
        <w:rPr>
          <w:noProof/>
          <w:color w:val="000000"/>
          <w:highlight w:val="black"/>
        </w:rPr>
        <w:t>''''''''''''''''''</w:t>
      </w:r>
      <w:r w:rsidRPr="00BC31CD">
        <w:t xml:space="preserve">. It could not be determined if those adult and paediatric proportions would be observed in clinical practice. </w:t>
      </w:r>
    </w:p>
    <w:p w14:paraId="77F08A14" w14:textId="25C526EC" w:rsidR="004C14F1" w:rsidRPr="00BC31CD" w:rsidRDefault="004C14F1" w:rsidP="00FC1173">
      <w:pPr>
        <w:pStyle w:val="3-BodyText"/>
      </w:pPr>
      <w:bookmarkStart w:id="35" w:name="_Hlk88636670"/>
      <w:r w:rsidRPr="00BC31CD">
        <w:t xml:space="preserve">The DUSC also noted that there was a potential for </w:t>
      </w:r>
      <w:r w:rsidR="00296261" w:rsidRPr="00BC31CD">
        <w:t xml:space="preserve">use beyond the proposed restriction </w:t>
      </w:r>
      <w:r w:rsidRPr="00BC31CD">
        <w:t>into (i) the first line population; (ii) patients aged less than 5 years; and (iii)</w:t>
      </w:r>
      <w:r w:rsidR="0065791D">
        <w:t> </w:t>
      </w:r>
      <w:r w:rsidRPr="00BC31CD">
        <w:t>patients with neurological deterioration misinterpreted for DPA intolerance rather than disease progression.</w:t>
      </w:r>
      <w:bookmarkEnd w:id="35"/>
    </w:p>
    <w:p w14:paraId="61EE2BA8" w14:textId="77777777" w:rsidR="00576972" w:rsidRPr="00BC31CD" w:rsidRDefault="00576972" w:rsidP="00D852EB">
      <w:pPr>
        <w:pStyle w:val="4-SubsectionHeading"/>
      </w:pPr>
      <w:r w:rsidRPr="00BC31CD">
        <w:t>Financial Management – Risk Sharing Arrangements</w:t>
      </w:r>
      <w:bookmarkEnd w:id="33"/>
      <w:bookmarkEnd w:id="34"/>
    </w:p>
    <w:p w14:paraId="090DB8C2" w14:textId="77777777" w:rsidR="00533A62" w:rsidRPr="00BC31CD" w:rsidRDefault="00533A62" w:rsidP="00F61C18">
      <w:pPr>
        <w:pStyle w:val="ListParagraph"/>
        <w:numPr>
          <w:ilvl w:val="1"/>
          <w:numId w:val="1"/>
        </w:numPr>
      </w:pPr>
      <w:r w:rsidRPr="00BC31CD">
        <w:t xml:space="preserve">The submission proposed a cap-based </w:t>
      </w:r>
      <w:bookmarkStart w:id="36" w:name="_Hlk84839645"/>
      <w:r w:rsidRPr="00BC31CD">
        <w:t xml:space="preserve">risk share arrangement </w:t>
      </w:r>
      <w:r w:rsidR="00E451EA" w:rsidRPr="00BC31CD">
        <w:t xml:space="preserve">(RSA) </w:t>
      </w:r>
      <w:bookmarkEnd w:id="36"/>
      <w:r w:rsidRPr="00BC31CD">
        <w:t>could be used to protect against use of trientine 4HCl in patients who would not otherwise be considered intolerant to DPA.</w:t>
      </w:r>
      <w:r w:rsidR="00611789" w:rsidRPr="00BC31CD">
        <w:t xml:space="preserve"> </w:t>
      </w:r>
      <w:r w:rsidRPr="00BC31CD">
        <w:t>The submission indicated the use and cost of trientine 4HCl could form the basis of a financial cap, with the extent of the rebate for expenditure beyond the cap to be negotiated between the sponsor and the Department of Health.</w:t>
      </w:r>
    </w:p>
    <w:p w14:paraId="6E758D17" w14:textId="77777777" w:rsidR="00533A62" w:rsidRPr="00BC31CD" w:rsidRDefault="00533A62" w:rsidP="00533A62">
      <w:pPr>
        <w:pStyle w:val="3-BodyText"/>
      </w:pPr>
      <w:r w:rsidRPr="00BC31CD">
        <w:t xml:space="preserve">The sponsor claimed that PBS listing of trientine 4HCl at a cost-effective price and with an appropriate </w:t>
      </w:r>
      <w:r w:rsidR="00E451EA" w:rsidRPr="00BC31CD">
        <w:t>RSA</w:t>
      </w:r>
      <w:r w:rsidRPr="00BC31CD">
        <w:t xml:space="preserve"> in place is financially more sustainable for the Australian healthcare system and more equitable than the ad hoc and uncapped funding at undisclosed prices being conducted through public hospitals.</w:t>
      </w:r>
      <w:r w:rsidR="00611789" w:rsidRPr="00BC31CD">
        <w:t xml:space="preserve"> </w:t>
      </w:r>
      <w:r w:rsidRPr="00BC31CD">
        <w:t xml:space="preserve">The </w:t>
      </w:r>
      <w:r w:rsidR="000D2294" w:rsidRPr="00BC31CD">
        <w:t xml:space="preserve">ESC considered the </w:t>
      </w:r>
      <w:r w:rsidRPr="00BC31CD">
        <w:t>submission has not demonstrated that trientine 4HCl is cost-effective at the requested price</w:t>
      </w:r>
      <w:r w:rsidR="0010018E" w:rsidRPr="00BC31CD">
        <w:t>, or at the price adjusted for adult and paediatric usage applied in the financial estimates</w:t>
      </w:r>
      <w:r w:rsidRPr="00BC31CD">
        <w:t>.</w:t>
      </w:r>
      <w:r w:rsidR="00611789" w:rsidRPr="00BC31CD">
        <w:t xml:space="preserve"> </w:t>
      </w:r>
      <w:r w:rsidR="0010018E" w:rsidRPr="00BC31CD">
        <w:t xml:space="preserve">It is likely that adult and paediatric use would have to form part of the </w:t>
      </w:r>
      <w:r w:rsidR="00E451EA" w:rsidRPr="00BC31CD">
        <w:t>RSA</w:t>
      </w:r>
      <w:r w:rsidR="0010018E" w:rsidRPr="00BC31CD">
        <w:t>.</w:t>
      </w:r>
    </w:p>
    <w:p w14:paraId="2EB2A86A" w14:textId="77777777" w:rsidR="00233751" w:rsidRPr="00BC31CD" w:rsidRDefault="00233751" w:rsidP="00533A62">
      <w:pPr>
        <w:pStyle w:val="3-BodyText"/>
      </w:pPr>
      <w:r w:rsidRPr="00BC31CD">
        <w:t xml:space="preserve">The ESC considered that a RSA based on an appropriate DPMQ and usage estimates </w:t>
      </w:r>
      <w:r w:rsidR="000D387E" w:rsidRPr="00BC31CD">
        <w:t xml:space="preserve">for trientine 4HCl </w:t>
      </w:r>
      <w:r w:rsidRPr="00BC31CD">
        <w:t>would be required to minimise the risk of use beyond the proposed restriction.</w:t>
      </w:r>
    </w:p>
    <w:p w14:paraId="16F3A421" w14:textId="77777777" w:rsidR="00FC1173" w:rsidRPr="00BC31CD" w:rsidRDefault="00FC1173" w:rsidP="00FC1173">
      <w:pPr>
        <w:pStyle w:val="3-BodyText"/>
        <w:numPr>
          <w:ilvl w:val="0"/>
          <w:numId w:val="0"/>
        </w:numPr>
        <w:ind w:left="720"/>
        <w:rPr>
          <w:i/>
          <w:iCs/>
        </w:rPr>
      </w:pPr>
      <w:r w:rsidRPr="00BC31CD">
        <w:rPr>
          <w:i/>
          <w:iCs/>
        </w:rPr>
        <w:t>For more detail on PBAC’s view, see section 7 PBAC outcome.</w:t>
      </w:r>
    </w:p>
    <w:p w14:paraId="1BEC539E" w14:textId="77777777" w:rsidR="00E07903" w:rsidRPr="00BC31CD" w:rsidRDefault="00E07903" w:rsidP="00E07903">
      <w:pPr>
        <w:pStyle w:val="2-SectionHeading"/>
      </w:pPr>
      <w:bookmarkStart w:id="37" w:name="_Hlk76381249"/>
      <w:bookmarkStart w:id="38" w:name="_Hlk76377955"/>
      <w:r w:rsidRPr="00BC31CD">
        <w:t>PBAC Outcome</w:t>
      </w:r>
    </w:p>
    <w:p w14:paraId="54508EC4" w14:textId="5724C4F5"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did not recommend trientine </w:t>
      </w:r>
      <w:r w:rsidR="00444159" w:rsidRPr="00BC31CD">
        <w:rPr>
          <w:rFonts w:asciiTheme="minorHAnsi" w:hAnsiTheme="minorHAnsi"/>
          <w:snapToGrid w:val="0"/>
        </w:rPr>
        <w:t>tetra</w:t>
      </w:r>
      <w:r w:rsidRPr="00BC31CD">
        <w:rPr>
          <w:rFonts w:asciiTheme="minorHAnsi" w:hAnsiTheme="minorHAnsi"/>
          <w:snapToGrid w:val="0"/>
        </w:rPr>
        <w:t xml:space="preserve">hydrochloride (4HCl) for the treatment of patients with Wilson </w:t>
      </w:r>
      <w:r w:rsidR="00485E49" w:rsidRPr="00BC31CD">
        <w:rPr>
          <w:rFonts w:asciiTheme="minorHAnsi" w:hAnsiTheme="minorHAnsi"/>
          <w:snapToGrid w:val="0"/>
        </w:rPr>
        <w:t>D</w:t>
      </w:r>
      <w:r w:rsidRPr="00BC31CD">
        <w:rPr>
          <w:rFonts w:asciiTheme="minorHAnsi" w:hAnsiTheme="minorHAnsi"/>
          <w:snapToGrid w:val="0"/>
        </w:rPr>
        <w:t xml:space="preserve">isease (WD) intolerant to penicillamine/D-penicillamine (DPA) therapy. Although the PBAC accepted that chelation therapy prevents the progression of WD, the PBAC considered that the proposed place in therapy for trientine 4HCl and the nomination of best supportive care (BSC) as the comparator were unacceptable as they were inconsistent with current clinical practice and the available treatment guidelines. The PBAC therefore considered that the economic evaluation </w:t>
      </w:r>
      <w:r w:rsidR="00444159" w:rsidRPr="00BC31CD">
        <w:rPr>
          <w:rFonts w:asciiTheme="minorHAnsi" w:hAnsiTheme="minorHAnsi"/>
          <w:snapToGrid w:val="0"/>
        </w:rPr>
        <w:t>that</w:t>
      </w:r>
      <w:r w:rsidRPr="00BC31CD">
        <w:rPr>
          <w:rFonts w:asciiTheme="minorHAnsi" w:hAnsiTheme="minorHAnsi"/>
          <w:snapToGrid w:val="0"/>
        </w:rPr>
        <w:t xml:space="preserve"> compared trientine 4HCl with BSC was uninformative. In addition, the PBAC considered that the financial estimates were high, particularly at the proposed price. The PBAC considered that a cost minimisation approach versus DPA would be more appropriate.</w:t>
      </w:r>
    </w:p>
    <w:p w14:paraId="3181E226" w14:textId="77777777" w:rsidR="002D27D0" w:rsidRPr="00BC31CD" w:rsidRDefault="002D27D0" w:rsidP="002D27D0">
      <w:pPr>
        <w:widowControl w:val="0"/>
        <w:numPr>
          <w:ilvl w:val="1"/>
          <w:numId w:val="6"/>
        </w:numPr>
        <w:spacing w:after="120"/>
        <w:rPr>
          <w:rFonts w:asciiTheme="minorHAnsi" w:hAnsiTheme="minorHAnsi"/>
          <w:snapToGrid w:val="0"/>
        </w:rPr>
      </w:pPr>
      <w:bookmarkStart w:id="39" w:name="_Hlk88832381"/>
      <w:r w:rsidRPr="00BC31CD">
        <w:rPr>
          <w:rFonts w:asciiTheme="minorHAnsi" w:hAnsiTheme="minorHAnsi"/>
          <w:snapToGrid w:val="0"/>
        </w:rPr>
        <w:t>The PBAC noted that the submission proposed that trientine 4HCl be used as a second-</w:t>
      </w:r>
      <w:bookmarkStart w:id="40" w:name="_Hlk88832310"/>
      <w:r w:rsidRPr="00BC31CD">
        <w:rPr>
          <w:rFonts w:asciiTheme="minorHAnsi" w:hAnsiTheme="minorHAnsi"/>
          <w:snapToGrid w:val="0"/>
        </w:rPr>
        <w:t xml:space="preserve">line treatment in patients intolerant to DPA. </w:t>
      </w:r>
      <w:bookmarkEnd w:id="39"/>
      <w:r w:rsidRPr="00BC31CD">
        <w:rPr>
          <w:rFonts w:asciiTheme="minorHAnsi" w:hAnsiTheme="minorHAnsi"/>
          <w:snapToGrid w:val="0"/>
        </w:rPr>
        <w:t>The PBAC noted that although this aligned with the TGA indication, it was not consistent with the three available treatment guidelines developed for WD from the American Association for the Study of Liver Diseases (AASLD), the European Association of the Study of the Liver (EASL) and the European Society for Paediatric Gastroenterology, Hepatology and Nutrition (ESPGHAN)</w:t>
      </w:r>
      <w:r w:rsidRPr="00BC31CD">
        <w:rPr>
          <w:rStyle w:val="FootnoteReference"/>
          <w:rFonts w:asciiTheme="minorHAnsi" w:hAnsiTheme="minorHAnsi"/>
        </w:rPr>
        <w:footnoteReference w:id="7"/>
      </w:r>
      <w:r w:rsidRPr="00BC31CD">
        <w:rPr>
          <w:rFonts w:asciiTheme="minorHAnsi" w:hAnsiTheme="minorHAnsi"/>
          <w:snapToGrid w:val="0"/>
        </w:rPr>
        <w:t xml:space="preserve">, </w:t>
      </w:r>
      <w:r w:rsidR="00054BAA" w:rsidRPr="00BC31CD">
        <w:rPr>
          <w:rFonts w:asciiTheme="minorHAnsi" w:hAnsiTheme="minorHAnsi"/>
          <w:snapToGrid w:val="0"/>
        </w:rPr>
        <w:t>n</w:t>
      </w:r>
      <w:r w:rsidRPr="00BC31CD">
        <w:rPr>
          <w:rFonts w:asciiTheme="minorHAnsi" w:hAnsiTheme="minorHAnsi"/>
          <w:snapToGrid w:val="0"/>
        </w:rPr>
        <w:t>or</w:t>
      </w:r>
      <w:r w:rsidR="00054BAA" w:rsidRPr="00BC31CD">
        <w:rPr>
          <w:rFonts w:asciiTheme="minorHAnsi" w:hAnsiTheme="minorHAnsi"/>
          <w:snapToGrid w:val="0"/>
        </w:rPr>
        <w:t xml:space="preserve"> was it consistent with</w:t>
      </w:r>
      <w:r w:rsidRPr="00BC31CD">
        <w:rPr>
          <w:rFonts w:asciiTheme="minorHAnsi" w:hAnsiTheme="minorHAnsi"/>
          <w:snapToGrid w:val="0"/>
        </w:rPr>
        <w:t xml:space="preserve"> some state-based hospital formularies, all </w:t>
      </w:r>
      <w:r w:rsidR="00054BAA" w:rsidRPr="00BC31CD">
        <w:rPr>
          <w:rFonts w:asciiTheme="minorHAnsi" w:hAnsiTheme="minorHAnsi"/>
          <w:snapToGrid w:val="0"/>
        </w:rPr>
        <w:t xml:space="preserve">of </w:t>
      </w:r>
      <w:r w:rsidRPr="00BC31CD">
        <w:rPr>
          <w:rFonts w:asciiTheme="minorHAnsi" w:hAnsiTheme="minorHAnsi"/>
          <w:snapToGrid w:val="0"/>
        </w:rPr>
        <w:t xml:space="preserve">which considered that the initial therapy should be a chelating agent consisting of either DPA or trientine. </w:t>
      </w:r>
    </w:p>
    <w:p w14:paraId="5ECDA9B0"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noted that the submission nominated BSC as the comparator in DPA intolerant patients. Noting the available guidelines and the clinical evidence presented, the PBAC considered that the proposed place in therapy for trientine </w:t>
      </w:r>
      <w:r w:rsidR="00444159" w:rsidRPr="00BC31CD">
        <w:rPr>
          <w:rFonts w:asciiTheme="minorHAnsi" w:hAnsiTheme="minorHAnsi"/>
          <w:snapToGrid w:val="0"/>
        </w:rPr>
        <w:t>4</w:t>
      </w:r>
      <w:r w:rsidRPr="00BC31CD">
        <w:rPr>
          <w:rFonts w:asciiTheme="minorHAnsi" w:hAnsiTheme="minorHAnsi"/>
          <w:snapToGrid w:val="0"/>
        </w:rPr>
        <w:t>HCl should be line agnostic.</w:t>
      </w:r>
      <w:bookmarkEnd w:id="40"/>
      <w:r w:rsidRPr="00BC31CD">
        <w:rPr>
          <w:rFonts w:asciiTheme="minorHAnsi" w:hAnsiTheme="minorHAnsi"/>
          <w:snapToGrid w:val="0"/>
        </w:rPr>
        <w:t xml:space="preserve"> Therefore, the PBAC considered that the appropriate comparator was DPA. </w:t>
      </w:r>
    </w:p>
    <w:p w14:paraId="12F3B5A2" w14:textId="77777777" w:rsidR="00444159"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The PBAC noted that the clinical evidence presented by the submission consisted of</w:t>
      </w:r>
      <w:r w:rsidR="00444159" w:rsidRPr="00BC31CD">
        <w:rPr>
          <w:rFonts w:asciiTheme="minorHAnsi" w:hAnsiTheme="minorHAnsi"/>
          <w:snapToGrid w:val="0"/>
        </w:rPr>
        <w:t>:</w:t>
      </w:r>
      <w:r w:rsidRPr="00BC31CD">
        <w:rPr>
          <w:rFonts w:asciiTheme="minorHAnsi" w:hAnsiTheme="minorHAnsi"/>
          <w:snapToGrid w:val="0"/>
        </w:rPr>
        <w:t xml:space="preserve"> </w:t>
      </w:r>
    </w:p>
    <w:p w14:paraId="2A8BC286" w14:textId="77777777" w:rsidR="00444159" w:rsidRPr="00BC31CD" w:rsidRDefault="00444159" w:rsidP="006522CC">
      <w:pPr>
        <w:widowControl w:val="0"/>
        <w:numPr>
          <w:ilvl w:val="1"/>
          <w:numId w:val="9"/>
        </w:numPr>
        <w:spacing w:after="120"/>
        <w:ind w:left="1077" w:hanging="357"/>
        <w:rPr>
          <w:rFonts w:asciiTheme="minorHAnsi" w:hAnsiTheme="minorHAnsi"/>
          <w:snapToGrid w:val="0"/>
        </w:rPr>
      </w:pPr>
      <w:r w:rsidRPr="00BC31CD">
        <w:rPr>
          <w:rFonts w:asciiTheme="minorHAnsi" w:hAnsiTheme="minorHAnsi"/>
          <w:snapToGrid w:val="0"/>
        </w:rPr>
        <w:t>pharmacokinetic studies, which were used to establish the equivalence of trientine 4HCl with the existing trientine dihydrochloride (2HCl) products;</w:t>
      </w:r>
    </w:p>
    <w:p w14:paraId="4EB24AC6" w14:textId="77777777" w:rsidR="00444159" w:rsidRPr="00BC31CD" w:rsidRDefault="002D27D0" w:rsidP="006522CC">
      <w:pPr>
        <w:widowControl w:val="0"/>
        <w:numPr>
          <w:ilvl w:val="1"/>
          <w:numId w:val="9"/>
        </w:numPr>
        <w:spacing w:after="120"/>
        <w:ind w:left="1077" w:hanging="357"/>
        <w:rPr>
          <w:rFonts w:asciiTheme="minorHAnsi" w:hAnsiTheme="minorHAnsi"/>
          <w:snapToGrid w:val="0"/>
        </w:rPr>
      </w:pPr>
      <w:r w:rsidRPr="00BC31CD">
        <w:rPr>
          <w:rFonts w:asciiTheme="minorHAnsi" w:hAnsiTheme="minorHAnsi"/>
          <w:snapToGrid w:val="0"/>
        </w:rPr>
        <w:t xml:space="preserve">three observational studies evaluating DPA and trientine </w:t>
      </w:r>
      <w:r w:rsidR="00444159" w:rsidRPr="00BC31CD">
        <w:rPr>
          <w:rFonts w:asciiTheme="minorHAnsi" w:hAnsiTheme="minorHAnsi"/>
          <w:snapToGrid w:val="0"/>
        </w:rPr>
        <w:t xml:space="preserve">(mostly </w:t>
      </w:r>
      <w:r w:rsidRPr="00BC31CD">
        <w:rPr>
          <w:rFonts w:asciiTheme="minorHAnsi" w:hAnsiTheme="minorHAnsi"/>
          <w:snapToGrid w:val="0"/>
        </w:rPr>
        <w:t>2HCl</w:t>
      </w:r>
      <w:r w:rsidR="00444159" w:rsidRPr="00BC31CD">
        <w:rPr>
          <w:rFonts w:asciiTheme="minorHAnsi" w:hAnsiTheme="minorHAnsi"/>
          <w:snapToGrid w:val="0"/>
        </w:rPr>
        <w:t>)</w:t>
      </w:r>
      <w:r w:rsidRPr="00BC31CD">
        <w:rPr>
          <w:rFonts w:asciiTheme="minorHAnsi" w:hAnsiTheme="minorHAnsi"/>
          <w:snapToGrid w:val="0"/>
        </w:rPr>
        <w:t xml:space="preserve"> and </w:t>
      </w:r>
      <w:r w:rsidR="00444159" w:rsidRPr="00BC31CD">
        <w:rPr>
          <w:rFonts w:asciiTheme="minorHAnsi" w:hAnsiTheme="minorHAnsi"/>
          <w:snapToGrid w:val="0"/>
        </w:rPr>
        <w:t>an unpublished randomised controlled trial (CHELATE) comparing trientine 4HCl to DPA; and</w:t>
      </w:r>
    </w:p>
    <w:p w14:paraId="28EB5B55" w14:textId="77777777" w:rsidR="00444159" w:rsidRPr="00BC31CD" w:rsidRDefault="00444159" w:rsidP="006522CC">
      <w:pPr>
        <w:widowControl w:val="0"/>
        <w:numPr>
          <w:ilvl w:val="1"/>
          <w:numId w:val="9"/>
        </w:numPr>
        <w:spacing w:after="120"/>
        <w:ind w:left="1077" w:hanging="357"/>
        <w:rPr>
          <w:rFonts w:asciiTheme="minorHAnsi" w:hAnsiTheme="minorHAnsi"/>
          <w:snapToGrid w:val="0"/>
        </w:rPr>
      </w:pPr>
      <w:r w:rsidRPr="00BC31CD">
        <w:rPr>
          <w:rFonts w:asciiTheme="minorHAnsi" w:hAnsiTheme="minorHAnsi"/>
          <w:snapToGrid w:val="0"/>
        </w:rPr>
        <w:t xml:space="preserve">a </w:t>
      </w:r>
      <w:r w:rsidR="002D27D0" w:rsidRPr="00BC31CD">
        <w:rPr>
          <w:rFonts w:asciiTheme="minorHAnsi" w:hAnsiTheme="minorHAnsi"/>
          <w:snapToGrid w:val="0"/>
        </w:rPr>
        <w:t xml:space="preserve">meta-analysis of four </w:t>
      </w:r>
      <w:r w:rsidRPr="00BC31CD">
        <w:rPr>
          <w:rFonts w:asciiTheme="minorHAnsi" w:hAnsiTheme="minorHAnsi"/>
          <w:snapToGrid w:val="0"/>
        </w:rPr>
        <w:t xml:space="preserve">observational </w:t>
      </w:r>
      <w:r w:rsidR="002D27D0" w:rsidRPr="00BC31CD">
        <w:rPr>
          <w:rFonts w:asciiTheme="minorHAnsi" w:hAnsiTheme="minorHAnsi"/>
          <w:snapToGrid w:val="0"/>
        </w:rPr>
        <w:t>studies</w:t>
      </w:r>
      <w:r w:rsidRPr="00BC31CD">
        <w:rPr>
          <w:rFonts w:asciiTheme="minorHAnsi" w:hAnsiTheme="minorHAnsi"/>
          <w:snapToGrid w:val="0"/>
        </w:rPr>
        <w:t>,</w:t>
      </w:r>
      <w:r w:rsidR="002D27D0" w:rsidRPr="00BC31CD">
        <w:rPr>
          <w:rFonts w:asciiTheme="minorHAnsi" w:hAnsiTheme="minorHAnsi"/>
          <w:snapToGrid w:val="0"/>
        </w:rPr>
        <w:t xml:space="preserve"> </w:t>
      </w:r>
      <w:r w:rsidRPr="00BC31CD">
        <w:rPr>
          <w:rFonts w:asciiTheme="minorHAnsi" w:hAnsiTheme="minorHAnsi"/>
          <w:snapToGrid w:val="0"/>
        </w:rPr>
        <w:t xml:space="preserve">plus data from one additional study, </w:t>
      </w:r>
      <w:r w:rsidR="002D27D0" w:rsidRPr="00BC31CD">
        <w:rPr>
          <w:rFonts w:asciiTheme="minorHAnsi" w:hAnsiTheme="minorHAnsi"/>
          <w:snapToGrid w:val="0"/>
        </w:rPr>
        <w:t xml:space="preserve">comparing chelation therapy versus best supportive care. </w:t>
      </w:r>
    </w:p>
    <w:p w14:paraId="681B97B4"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The PBAC considered that the quality of the evidence presented was poor and that risk of bias was high in all the presented studies.</w:t>
      </w:r>
    </w:p>
    <w:p w14:paraId="0597CDB4"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noted that these studies were used to inform a 2-step indirect treatment comparison, which firstly compared trientine 4HCl to DPA and then compared chelation therapy, which consisted of DPA only, to BSC. </w:t>
      </w:r>
    </w:p>
    <w:p w14:paraId="2BBB28CA"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noted that the submission claimed that trientine 4HCl was non-inferior to DPA in terms of effectiveness. The PBAC had low confidence </w:t>
      </w:r>
      <w:r w:rsidR="00485E49" w:rsidRPr="00BC31CD">
        <w:rPr>
          <w:rFonts w:asciiTheme="minorHAnsi" w:hAnsiTheme="minorHAnsi"/>
          <w:snapToGrid w:val="0"/>
        </w:rPr>
        <w:t xml:space="preserve">in </w:t>
      </w:r>
      <w:r w:rsidRPr="00BC31CD">
        <w:rPr>
          <w:rFonts w:asciiTheme="minorHAnsi" w:hAnsiTheme="minorHAnsi"/>
          <w:snapToGrid w:val="0"/>
        </w:rPr>
        <w:t xml:space="preserve">the evidence presented as the data were of too low a quality to determine quantitative estimates of the effect size between trientine 4HCl and DPA in terms of similarity or difference. However, the PBAC considered that the claim that trientine 4HCl and DPA were non-inferior in terms of efficacy was consistent with the accepted clinical approach to treatment and the available guidelines. The PBAC considered that it was likely that trientine 4HCl was </w:t>
      </w:r>
      <w:r w:rsidR="006503C9" w:rsidRPr="00BC31CD">
        <w:rPr>
          <w:rFonts w:asciiTheme="minorHAnsi" w:hAnsiTheme="minorHAnsi"/>
          <w:snapToGrid w:val="0"/>
        </w:rPr>
        <w:t>superior</w:t>
      </w:r>
      <w:r w:rsidRPr="00BC31CD">
        <w:rPr>
          <w:rFonts w:asciiTheme="minorHAnsi" w:hAnsiTheme="minorHAnsi"/>
          <w:snapToGrid w:val="0"/>
        </w:rPr>
        <w:t xml:space="preserve"> compared to DPA in terms of safety</w:t>
      </w:r>
      <w:r w:rsidR="006503C9" w:rsidRPr="00BC31CD">
        <w:rPr>
          <w:rFonts w:asciiTheme="minorHAnsi" w:hAnsiTheme="minorHAnsi"/>
          <w:snapToGrid w:val="0"/>
        </w:rPr>
        <w:t>, but this was poorly supported by the evidence presented</w:t>
      </w:r>
      <w:r w:rsidRPr="00BC31CD">
        <w:rPr>
          <w:rFonts w:asciiTheme="minorHAnsi" w:hAnsiTheme="minorHAnsi"/>
          <w:snapToGrid w:val="0"/>
        </w:rPr>
        <w:t>.</w:t>
      </w:r>
    </w:p>
    <w:p w14:paraId="4618A247"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considered that the claim that chelation therapy, and thus trientine 4HCl, was superior to BSC in terms of efficacy was reasonable, on the basis of chelation treatment being accepted as an effective and lifesaving treatment for WD, but </w:t>
      </w:r>
      <w:r w:rsidR="00485E49" w:rsidRPr="00BC31CD">
        <w:rPr>
          <w:rFonts w:asciiTheme="minorHAnsi" w:hAnsiTheme="minorHAnsi"/>
          <w:snapToGrid w:val="0"/>
        </w:rPr>
        <w:t xml:space="preserve">the magnitude of benefit </w:t>
      </w:r>
      <w:r w:rsidRPr="00BC31CD">
        <w:rPr>
          <w:rFonts w:asciiTheme="minorHAnsi" w:hAnsiTheme="minorHAnsi"/>
          <w:snapToGrid w:val="0"/>
        </w:rPr>
        <w:t xml:space="preserve">was poorly supported by the evidence presented. </w:t>
      </w:r>
      <w:r w:rsidR="00974706" w:rsidRPr="00BC31CD">
        <w:rPr>
          <w:rFonts w:asciiTheme="minorHAnsi" w:hAnsiTheme="minorHAnsi"/>
          <w:snapToGrid w:val="0"/>
        </w:rPr>
        <w:t xml:space="preserve">The PBAC considered that the claim the trientine was inferior in terms of safety compared to BSC </w:t>
      </w:r>
      <w:r w:rsidR="00ED7910" w:rsidRPr="00BC31CD">
        <w:rPr>
          <w:rFonts w:asciiTheme="minorHAnsi" w:hAnsiTheme="minorHAnsi"/>
          <w:snapToGrid w:val="0"/>
        </w:rPr>
        <w:t>could not be assessed based on the evidence presented</w:t>
      </w:r>
      <w:r w:rsidR="00974706" w:rsidRPr="00BC31CD">
        <w:rPr>
          <w:rFonts w:asciiTheme="minorHAnsi" w:hAnsiTheme="minorHAnsi"/>
          <w:snapToGrid w:val="0"/>
        </w:rPr>
        <w:t xml:space="preserve">. </w:t>
      </w:r>
      <w:r w:rsidRPr="00BC31CD">
        <w:rPr>
          <w:rFonts w:asciiTheme="minorHAnsi" w:hAnsiTheme="minorHAnsi"/>
          <w:snapToGrid w:val="0"/>
        </w:rPr>
        <w:t>The PBAC reiterated that the most informative comparison was between trientine 4HCl and DPA.</w:t>
      </w:r>
    </w:p>
    <w:p w14:paraId="3A164FEA"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noted that the submission presented a cost-utility analysis comparing trientine 4HCl with BSC. The PBAC considered that the results of the economic analysis were highly uncertain as the studies presented did not provide a basis for a quantitative estimate of effective size for trientine 4HCl versus </w:t>
      </w:r>
      <w:r w:rsidR="00974706" w:rsidRPr="00BC31CD">
        <w:rPr>
          <w:rFonts w:asciiTheme="minorHAnsi" w:hAnsiTheme="minorHAnsi"/>
          <w:snapToGrid w:val="0"/>
        </w:rPr>
        <w:t xml:space="preserve">BSC, </w:t>
      </w:r>
      <w:r w:rsidRPr="00BC31CD">
        <w:rPr>
          <w:rFonts w:asciiTheme="minorHAnsi" w:hAnsiTheme="minorHAnsi"/>
          <w:snapToGrid w:val="0"/>
        </w:rPr>
        <w:t>the underlying clinical data that supported most of the input parameters was of a poor quality</w:t>
      </w:r>
      <w:r w:rsidR="00974706" w:rsidRPr="00BC31CD">
        <w:rPr>
          <w:rFonts w:asciiTheme="minorHAnsi" w:hAnsiTheme="minorHAnsi"/>
          <w:snapToGrid w:val="0"/>
        </w:rPr>
        <w:t xml:space="preserve"> and the base case did not include the costs and outcomes of liver transplant</w:t>
      </w:r>
      <w:r w:rsidRPr="00BC31CD">
        <w:rPr>
          <w:rFonts w:asciiTheme="minorHAnsi" w:hAnsiTheme="minorHAnsi"/>
          <w:snapToGrid w:val="0"/>
        </w:rPr>
        <w:t xml:space="preserve">. </w:t>
      </w:r>
    </w:p>
    <w:p w14:paraId="0504A0D9"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also noted that the economic model was highly sensitive to both the dose and the price of trientine 4HCl applied in the model. </w:t>
      </w:r>
    </w:p>
    <w:p w14:paraId="1D9B5A55"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Noting the available guidelines and the claim in the submission that trientine 4HCl was non-inferior to DPA, the PBAC considered that the economic model was uninformative and that the substantially higher price requested for trientine 4HCl compared to DPA was not justified. The PBAC considered that the economic evaluation should be based on a cost minimisation approach versus DPA for both initial and maintenance treatment.</w:t>
      </w:r>
    </w:p>
    <w:p w14:paraId="6BE53CE0"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The PBAC noted that the estimated financial implications provided in the submission</w:t>
      </w:r>
      <w:r w:rsidR="004C14F1" w:rsidRPr="00BC31CD">
        <w:rPr>
          <w:rFonts w:asciiTheme="minorHAnsi" w:hAnsiTheme="minorHAnsi"/>
          <w:snapToGrid w:val="0"/>
        </w:rPr>
        <w:t xml:space="preserve">. The PBAC considered that the epidemiology of WD was not well established and that the modelling assumptions applied were not well justified or supported by the evidence. The PBAC </w:t>
      </w:r>
      <w:r w:rsidR="00974706" w:rsidRPr="00BC31CD">
        <w:rPr>
          <w:rFonts w:asciiTheme="minorHAnsi" w:hAnsiTheme="minorHAnsi"/>
          <w:snapToGrid w:val="0"/>
        </w:rPr>
        <w:t xml:space="preserve">also </w:t>
      </w:r>
      <w:r w:rsidR="004C14F1" w:rsidRPr="00BC31CD">
        <w:rPr>
          <w:rFonts w:asciiTheme="minorHAnsi" w:hAnsiTheme="minorHAnsi"/>
          <w:snapToGrid w:val="0"/>
        </w:rPr>
        <w:t>noted that the estimates</w:t>
      </w:r>
      <w:r w:rsidRPr="00BC31CD">
        <w:rPr>
          <w:rFonts w:asciiTheme="minorHAnsi" w:hAnsiTheme="minorHAnsi"/>
          <w:snapToGrid w:val="0"/>
        </w:rPr>
        <w:t xml:space="preserve"> were sensitive to the assumed dose and the </w:t>
      </w:r>
      <w:r w:rsidR="00974706" w:rsidRPr="00BC31CD">
        <w:rPr>
          <w:rFonts w:asciiTheme="minorHAnsi" w:hAnsiTheme="minorHAnsi"/>
          <w:snapToGrid w:val="0"/>
        </w:rPr>
        <w:t>proportions of adult and paediatric patients</w:t>
      </w:r>
      <w:r w:rsidRPr="00BC31CD">
        <w:rPr>
          <w:rFonts w:asciiTheme="minorHAnsi" w:hAnsiTheme="minorHAnsi"/>
          <w:snapToGrid w:val="0"/>
        </w:rPr>
        <w:t xml:space="preserve">. Overall, the PBAC considered that the estimates were high, primarily due to the price of trientine 4HCl requested. </w:t>
      </w:r>
    </w:p>
    <w:p w14:paraId="545D60F3"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The PBAC considered that if trientine 4HCl was cost minimised to DPA a risk sharing arrangement would not be required.</w:t>
      </w:r>
    </w:p>
    <w:p w14:paraId="1D5D229F"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snapToGrid w:val="0"/>
        </w:rPr>
        <w:t>The PBAC considered the outstanding issues could be easily resolved in a simple resubmission for trientine 4HCl using the early re-entry pathway. If the sponsor accepts this pathway, the following changes may address these outstanding issues without requiring further re-evaluation:</w:t>
      </w:r>
    </w:p>
    <w:p w14:paraId="1905E729" w14:textId="1772FF82" w:rsidR="002D27D0" w:rsidRPr="00BC31CD" w:rsidRDefault="002D27D0" w:rsidP="006522CC">
      <w:pPr>
        <w:widowControl w:val="0"/>
        <w:numPr>
          <w:ilvl w:val="1"/>
          <w:numId w:val="8"/>
        </w:numPr>
        <w:spacing w:after="120"/>
        <w:ind w:left="1077" w:hanging="357"/>
        <w:rPr>
          <w:rFonts w:asciiTheme="minorHAnsi" w:hAnsiTheme="minorHAnsi"/>
          <w:snapToGrid w:val="0"/>
        </w:rPr>
      </w:pPr>
      <w:r w:rsidRPr="00BC31CD">
        <w:rPr>
          <w:rFonts w:asciiTheme="minorHAnsi" w:hAnsiTheme="minorHAnsi"/>
          <w:snapToGrid w:val="0"/>
        </w:rPr>
        <w:t>A line-agnostic place in therapy, with nomination of DPA as the primary comparator</w:t>
      </w:r>
    </w:p>
    <w:p w14:paraId="1281C89E" w14:textId="31C0D48D" w:rsidR="002D27D0" w:rsidRPr="00BC31CD" w:rsidRDefault="002D27D0" w:rsidP="006522CC">
      <w:pPr>
        <w:widowControl w:val="0"/>
        <w:numPr>
          <w:ilvl w:val="1"/>
          <w:numId w:val="8"/>
        </w:numPr>
        <w:spacing w:after="120"/>
        <w:ind w:left="1077" w:hanging="357"/>
        <w:rPr>
          <w:rFonts w:asciiTheme="minorHAnsi" w:hAnsiTheme="minorHAnsi"/>
          <w:snapToGrid w:val="0"/>
        </w:rPr>
      </w:pPr>
      <w:r w:rsidRPr="00BC31CD">
        <w:rPr>
          <w:snapToGrid w:val="0"/>
        </w:rPr>
        <w:t>An economic evaluation based on a cost minimisation approach versus DPA</w:t>
      </w:r>
    </w:p>
    <w:p w14:paraId="17FA1C22" w14:textId="77777777" w:rsidR="002D27D0" w:rsidRPr="00BC31CD" w:rsidRDefault="00373CFE" w:rsidP="006522CC">
      <w:pPr>
        <w:widowControl w:val="0"/>
        <w:numPr>
          <w:ilvl w:val="1"/>
          <w:numId w:val="8"/>
        </w:numPr>
        <w:spacing w:after="120"/>
        <w:ind w:left="1077" w:hanging="357"/>
        <w:rPr>
          <w:rFonts w:asciiTheme="minorHAnsi" w:hAnsiTheme="minorHAnsi"/>
          <w:snapToGrid w:val="0"/>
        </w:rPr>
      </w:pPr>
      <w:r w:rsidRPr="00BC31CD">
        <w:rPr>
          <w:snapToGrid w:val="0"/>
        </w:rPr>
        <w:t>U</w:t>
      </w:r>
      <w:r w:rsidR="002D27D0" w:rsidRPr="00BC31CD">
        <w:rPr>
          <w:snapToGrid w:val="0"/>
        </w:rPr>
        <w:t>tilisation and financial estimates</w:t>
      </w:r>
      <w:r w:rsidRPr="00BC31CD">
        <w:rPr>
          <w:snapToGrid w:val="0"/>
        </w:rPr>
        <w:t xml:space="preserve"> updated to align with the revised place in therapy</w:t>
      </w:r>
      <w:r w:rsidR="002D27D0" w:rsidRPr="00BC31CD">
        <w:rPr>
          <w:snapToGrid w:val="0"/>
        </w:rPr>
        <w:t xml:space="preserve">. </w:t>
      </w:r>
    </w:p>
    <w:p w14:paraId="711609CF"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snapToGrid w:val="0"/>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758332A5" w14:textId="77777777" w:rsidR="002D27D0" w:rsidRPr="00BC31CD" w:rsidRDefault="002D27D0" w:rsidP="002D27D0">
      <w:pPr>
        <w:widowControl w:val="0"/>
        <w:numPr>
          <w:ilvl w:val="1"/>
          <w:numId w:val="6"/>
        </w:numPr>
        <w:spacing w:after="120"/>
        <w:rPr>
          <w:rFonts w:asciiTheme="minorHAnsi" w:hAnsiTheme="minorHAnsi"/>
          <w:snapToGrid w:val="0"/>
        </w:rPr>
      </w:pPr>
      <w:r w:rsidRPr="00BC31CD">
        <w:rPr>
          <w:rFonts w:asciiTheme="minorHAnsi" w:hAnsiTheme="minorHAnsi"/>
          <w:snapToGrid w:val="0"/>
        </w:rPr>
        <w:t xml:space="preserve">The PBAC noted that this submission is eligible for an Independent Review. </w:t>
      </w:r>
    </w:p>
    <w:p w14:paraId="453AEC3C" w14:textId="77777777" w:rsidR="002D27D0" w:rsidRPr="00BC31CD" w:rsidRDefault="002D27D0" w:rsidP="002D27D0">
      <w:pPr>
        <w:spacing w:before="240"/>
        <w:rPr>
          <w:rFonts w:asciiTheme="minorHAnsi" w:hAnsiTheme="minorHAnsi"/>
          <w:b/>
          <w:bCs/>
          <w:snapToGrid w:val="0"/>
        </w:rPr>
      </w:pPr>
      <w:r w:rsidRPr="00BC31CD">
        <w:rPr>
          <w:rFonts w:asciiTheme="minorHAnsi" w:hAnsiTheme="minorHAnsi"/>
          <w:b/>
          <w:bCs/>
          <w:snapToGrid w:val="0"/>
        </w:rPr>
        <w:t>Outcome:</w:t>
      </w:r>
    </w:p>
    <w:p w14:paraId="0085A33A" w14:textId="77777777" w:rsidR="002D27D0" w:rsidRPr="00BC31CD" w:rsidRDefault="002D27D0" w:rsidP="002D27D0">
      <w:pPr>
        <w:rPr>
          <w:rFonts w:asciiTheme="minorHAnsi" w:hAnsiTheme="minorHAnsi"/>
          <w:bCs/>
          <w:snapToGrid w:val="0"/>
        </w:rPr>
      </w:pPr>
      <w:r w:rsidRPr="00BC31CD">
        <w:rPr>
          <w:rFonts w:asciiTheme="minorHAnsi" w:hAnsiTheme="minorHAnsi"/>
          <w:bCs/>
          <w:snapToGrid w:val="0"/>
        </w:rPr>
        <w:t xml:space="preserve">Not recommended </w:t>
      </w:r>
    </w:p>
    <w:p w14:paraId="4B87D81D" w14:textId="77777777" w:rsidR="006522CC" w:rsidRPr="006522CC" w:rsidRDefault="006522CC" w:rsidP="006522CC">
      <w:pPr>
        <w:pStyle w:val="2-SectionHeading"/>
      </w:pPr>
      <w:r w:rsidRPr="00C07617">
        <w:t>Context for Decision</w:t>
      </w:r>
    </w:p>
    <w:p w14:paraId="357AAB76" w14:textId="77777777" w:rsidR="006522CC" w:rsidRPr="007129F2" w:rsidRDefault="006522CC" w:rsidP="006522CC">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10A4A2" w14:textId="77777777" w:rsidR="006522CC" w:rsidRPr="006522CC" w:rsidRDefault="006522CC" w:rsidP="006522CC">
      <w:pPr>
        <w:pStyle w:val="2-SectionHeading"/>
      </w:pPr>
      <w:r>
        <w:t>Sponsor’s Comment</w:t>
      </w:r>
    </w:p>
    <w:p w14:paraId="3E7C11D3" w14:textId="235558CC" w:rsidR="00375014" w:rsidRPr="0065791D" w:rsidRDefault="00AB555E" w:rsidP="0065791D">
      <w:pPr>
        <w:pStyle w:val="2-SectionHeading"/>
        <w:numPr>
          <w:ilvl w:val="0"/>
          <w:numId w:val="0"/>
        </w:numPr>
        <w:ind w:left="720"/>
        <w:outlineLvl w:val="9"/>
        <w:rPr>
          <w:b w:val="0"/>
          <w:bCs/>
          <w:snapToGrid/>
          <w:sz w:val="24"/>
          <w:szCs w:val="24"/>
          <w:lang w:val="en-GB"/>
        </w:rPr>
      </w:pPr>
      <w:r w:rsidRPr="00AB555E">
        <w:rPr>
          <w:b w:val="0"/>
          <w:bCs/>
          <w:snapToGrid/>
          <w:sz w:val="24"/>
          <w:szCs w:val="24"/>
          <w:lang w:val="en-GB"/>
        </w:rPr>
        <w:t>Orphalan is disappointed with the PBAC’s decision not to recommend a PBS listing for trientine 4HCl to treat WD. We are concerned that in this setting, there is now a lack of access to any effective chelating therapies to treat this life-threatening condition. We will continue to work with the PBAC process to help ensure equitable and sustainable access to trientine 4HCl for the patient population intolerant to DPA.</w:t>
      </w:r>
      <w:bookmarkEnd w:id="37"/>
      <w:bookmarkEnd w:id="38"/>
    </w:p>
    <w:sectPr w:rsidR="00375014" w:rsidRPr="0065791D" w:rsidSect="00734E2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C1DD" w14:textId="77777777" w:rsidR="006C6AE0" w:rsidRDefault="006C6AE0" w:rsidP="00124A51">
      <w:r>
        <w:separator/>
      </w:r>
    </w:p>
    <w:p w14:paraId="635C1486" w14:textId="77777777" w:rsidR="006C6AE0" w:rsidRDefault="006C6AE0"/>
  </w:endnote>
  <w:endnote w:type="continuationSeparator" w:id="0">
    <w:p w14:paraId="456673E0" w14:textId="77777777" w:rsidR="006C6AE0" w:rsidRDefault="006C6AE0" w:rsidP="00124A51">
      <w:r>
        <w:continuationSeparator/>
      </w:r>
    </w:p>
    <w:p w14:paraId="0678239B" w14:textId="77777777" w:rsidR="006C6AE0" w:rsidRDefault="006C6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2A87" w:usb1="080E0000" w:usb2="00000010" w:usb3="00000000" w:csb0="0004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B12" w14:textId="77777777" w:rsidR="00173E64" w:rsidRDefault="0017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FC0D3" w14:textId="77777777" w:rsidR="006C6AE0" w:rsidRDefault="006C6AE0">
    <w:pPr>
      <w:pStyle w:val="Footer"/>
      <w:jc w:val="center"/>
    </w:pPr>
  </w:p>
  <w:sdt>
    <w:sdtPr>
      <w:id w:val="-198933070"/>
      <w:docPartObj>
        <w:docPartGallery w:val="Page Numbers (Bottom of Page)"/>
        <w:docPartUnique/>
      </w:docPartObj>
    </w:sdtPr>
    <w:sdtEndPr>
      <w:rPr>
        <w:b/>
        <w:bCs/>
        <w:noProof/>
      </w:rPr>
    </w:sdtEndPr>
    <w:sdtContent>
      <w:p w14:paraId="61254C45" w14:textId="16F48F97" w:rsidR="006C6AE0" w:rsidRPr="00FC1173" w:rsidRDefault="006C6AE0">
        <w:pPr>
          <w:pStyle w:val="Footer"/>
          <w:jc w:val="center"/>
          <w:rPr>
            <w:b/>
            <w:bCs/>
          </w:rPr>
        </w:pPr>
        <w:r w:rsidRPr="00FC1173">
          <w:rPr>
            <w:b/>
            <w:bCs/>
          </w:rPr>
          <w:fldChar w:fldCharType="begin"/>
        </w:r>
        <w:r w:rsidRPr="00FC1173">
          <w:rPr>
            <w:b/>
            <w:bCs/>
          </w:rPr>
          <w:instrText xml:space="preserve"> PAGE   \* MERGEFORMAT </w:instrText>
        </w:r>
        <w:r w:rsidRPr="00FC1173">
          <w:rPr>
            <w:b/>
            <w:bCs/>
          </w:rPr>
          <w:fldChar w:fldCharType="separate"/>
        </w:r>
        <w:r w:rsidR="00173E64">
          <w:rPr>
            <w:b/>
            <w:bCs/>
            <w:noProof/>
          </w:rPr>
          <w:t>1</w:t>
        </w:r>
        <w:r w:rsidRPr="00FC1173">
          <w:rPr>
            <w:b/>
            <w:bCs/>
            <w:noProof/>
          </w:rPr>
          <w:fldChar w:fldCharType="end"/>
        </w:r>
      </w:p>
    </w:sdtContent>
  </w:sdt>
  <w:p w14:paraId="6EEBE960" w14:textId="77777777" w:rsidR="006C6AE0" w:rsidRDefault="006C6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AE44" w14:textId="77777777" w:rsidR="00173E64" w:rsidRDefault="0017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F66B" w14:textId="77777777" w:rsidR="006C6AE0" w:rsidRDefault="006C6AE0" w:rsidP="00124A51">
      <w:r>
        <w:separator/>
      </w:r>
    </w:p>
    <w:p w14:paraId="75831BEB" w14:textId="77777777" w:rsidR="006C6AE0" w:rsidRDefault="006C6AE0"/>
  </w:footnote>
  <w:footnote w:type="continuationSeparator" w:id="0">
    <w:p w14:paraId="5565AD12" w14:textId="77777777" w:rsidR="006C6AE0" w:rsidRDefault="006C6AE0" w:rsidP="00124A51">
      <w:r>
        <w:continuationSeparator/>
      </w:r>
    </w:p>
    <w:p w14:paraId="38AD678D" w14:textId="77777777" w:rsidR="006C6AE0" w:rsidRDefault="006C6AE0"/>
  </w:footnote>
  <w:footnote w:id="1">
    <w:p w14:paraId="5635A066" w14:textId="38A4BC87" w:rsidR="006C6AE0" w:rsidRPr="005A7C04" w:rsidRDefault="006C6AE0" w:rsidP="00293F58">
      <w:pPr>
        <w:pStyle w:val="NormalWeb"/>
        <w:spacing w:before="0" w:after="0"/>
        <w:rPr>
          <w:rFonts w:ascii="Calibri" w:eastAsia="TimesNewRomanPSMT" w:hAnsi="Calibri" w:cs="Calibri"/>
          <w:sz w:val="20"/>
          <w:szCs w:val="20"/>
        </w:rPr>
      </w:pPr>
      <w:r>
        <w:rPr>
          <w:rStyle w:val="FootnoteReference"/>
        </w:rPr>
        <w:footnoteRef/>
      </w:r>
      <w:r>
        <w:t xml:space="preserve"> </w:t>
      </w:r>
      <w:r w:rsidRPr="005A7C04">
        <w:rPr>
          <w:rFonts w:ascii="Calibri" w:hAnsi="Calibri" w:cs="Calibri"/>
          <w:sz w:val="20"/>
          <w:szCs w:val="20"/>
        </w:rPr>
        <w:t xml:space="preserve">Walshe JM. In </w:t>
      </w:r>
      <w:r w:rsidRPr="005A7C04">
        <w:rPr>
          <w:rFonts w:ascii="Calibri" w:eastAsia="TimesNewRomanPSMT" w:hAnsi="Calibri" w:cs="Calibri"/>
          <w:sz w:val="20"/>
          <w:szCs w:val="20"/>
        </w:rPr>
        <w:t>Papadatos CJ and Bartsocas CS (eds)</w:t>
      </w:r>
      <w:r>
        <w:rPr>
          <w:rFonts w:ascii="Calibri" w:eastAsia="TimesNewRomanPSMT" w:hAnsi="Calibri" w:cs="Calibri"/>
          <w:sz w:val="20"/>
          <w:szCs w:val="20"/>
        </w:rPr>
        <w:t>,</w:t>
      </w:r>
      <w:r w:rsidRPr="005A7C04">
        <w:rPr>
          <w:rFonts w:ascii="Calibri" w:eastAsia="TimesNewRomanPSMT" w:hAnsi="Calibri" w:cs="Calibri"/>
          <w:sz w:val="20"/>
          <w:szCs w:val="20"/>
        </w:rPr>
        <w:t xml:space="preserve"> 1979: </w:t>
      </w:r>
      <w:r w:rsidRPr="005A7C04">
        <w:rPr>
          <w:rFonts w:ascii="Calibri" w:eastAsia="TimesNewRomanPSMT" w:hAnsi="Calibri" w:cs="Calibri"/>
          <w:i/>
          <w:iCs/>
          <w:sz w:val="20"/>
          <w:szCs w:val="20"/>
        </w:rPr>
        <w:t xml:space="preserve">The management of genetic disorders; </w:t>
      </w:r>
    </w:p>
    <w:p w14:paraId="625740B8" w14:textId="77777777" w:rsidR="006C6AE0" w:rsidRDefault="006C6AE0" w:rsidP="00293F58">
      <w:pPr>
        <w:pStyle w:val="FootnoteText"/>
      </w:pPr>
      <w:r w:rsidRPr="005A7C04">
        <w:rPr>
          <w:rFonts w:eastAsia="TimesNewRomanPSMT" w:cs="Calibri"/>
        </w:rPr>
        <w:t>p271-280. Alan R. Liss, Inc., New York.</w:t>
      </w:r>
    </w:p>
  </w:footnote>
  <w:footnote w:id="2">
    <w:p w14:paraId="485AC09D" w14:textId="3926A89B" w:rsidR="006C6AE0" w:rsidRDefault="006C6AE0" w:rsidP="00293F58">
      <w:pPr>
        <w:pStyle w:val="FootnoteText"/>
      </w:pPr>
      <w:r>
        <w:rPr>
          <w:rStyle w:val="FootnoteReference"/>
        </w:rPr>
        <w:footnoteRef/>
      </w:r>
      <w:r>
        <w:t xml:space="preserve"> Purchase R. </w:t>
      </w:r>
      <w:r w:rsidRPr="00630C9E">
        <w:rPr>
          <w:rFonts w:cs="Calibri"/>
          <w:color w:val="111111"/>
          <w:kern w:val="36"/>
          <w:lang w:eastAsia="en-GB"/>
        </w:rPr>
        <w:t>The production of pharmaceutical grade trientine dihydrochloride for the treatment of Wilson's disease: a personal account</w:t>
      </w:r>
      <w:r>
        <w:rPr>
          <w:rFonts w:cs="Calibri"/>
          <w:color w:val="111111"/>
          <w:kern w:val="36"/>
          <w:lang w:eastAsia="en-GB"/>
        </w:rPr>
        <w:t xml:space="preserve">. </w:t>
      </w:r>
      <w:r w:rsidRPr="005A7C04">
        <w:rPr>
          <w:rFonts w:cs="Calibri"/>
          <w:i/>
          <w:iCs/>
          <w:color w:val="111111"/>
          <w:kern w:val="36"/>
          <w:lang w:eastAsia="en-GB"/>
        </w:rPr>
        <w:t>UK Newsletter, Wilson’s Disease Support Group</w:t>
      </w:r>
      <w:r>
        <w:rPr>
          <w:rFonts w:cs="Calibri"/>
          <w:color w:val="111111"/>
          <w:kern w:val="36"/>
          <w:lang w:eastAsia="en-GB"/>
        </w:rPr>
        <w:t xml:space="preserve"> 2016; p12-14.</w:t>
      </w:r>
    </w:p>
  </w:footnote>
  <w:footnote w:id="3">
    <w:p w14:paraId="5C9C24D8" w14:textId="77777777" w:rsidR="006C6AE0" w:rsidRDefault="006C6AE0" w:rsidP="00A075D1">
      <w:pPr>
        <w:pStyle w:val="FootnoteText"/>
      </w:pPr>
      <w:r>
        <w:rPr>
          <w:rStyle w:val="FootnoteReference"/>
        </w:rPr>
        <w:footnoteRef/>
      </w:r>
      <w:r>
        <w:t xml:space="preserve"> Saroli Pulumbo C, Schilsky ML. Clinical practice guidelines in Wilson disease. Ann Transl Med. 2019;7(Suppl 2):S65.doi:10.21037/atm.2018.12.53</w:t>
      </w:r>
    </w:p>
  </w:footnote>
  <w:footnote w:id="4">
    <w:p w14:paraId="6D3E5C31" w14:textId="77777777" w:rsidR="006C6AE0" w:rsidRDefault="006C6AE0">
      <w:pPr>
        <w:pStyle w:val="FootnoteText"/>
      </w:pPr>
      <w:r>
        <w:rPr>
          <w:rStyle w:val="FootnoteReference"/>
        </w:rPr>
        <w:footnoteRef/>
      </w:r>
      <w:r>
        <w:t xml:space="preserve"> Saroli Pulumbo C, Schilsky ML. Clinical practice guidelines in Wilson disease. Ann Transl Med. 2019;7(Suppl 2):S65.doi:10.21037/atm.2018.12.53</w:t>
      </w:r>
    </w:p>
  </w:footnote>
  <w:footnote w:id="5">
    <w:p w14:paraId="0C63A8F5" w14:textId="114E8916" w:rsidR="006C6AE0" w:rsidRDefault="006C6AE0" w:rsidP="00A541DD">
      <w:pPr>
        <w:pStyle w:val="FootnoteText"/>
      </w:pPr>
      <w:r>
        <w:rPr>
          <w:rStyle w:val="FootnoteReference"/>
        </w:rPr>
        <w:footnoteRef/>
      </w:r>
      <w:r>
        <w:t xml:space="preserve"> </w:t>
      </w:r>
      <w:r w:rsidRPr="00905CAA">
        <w:rPr>
          <w:rFonts w:cs="Calibri"/>
        </w:rPr>
        <w:t>Scott I.</w:t>
      </w:r>
      <w:r>
        <w:rPr>
          <w:rFonts w:cs="Calibri"/>
        </w:rPr>
        <w:t xml:space="preserve"> Interpreting risks and ratios in therapy trials.</w:t>
      </w:r>
      <w:r w:rsidRPr="00905CAA">
        <w:rPr>
          <w:rFonts w:cs="Calibri"/>
          <w:i/>
          <w:iCs/>
        </w:rPr>
        <w:t xml:space="preserve"> Aust Prescr 2008;</w:t>
      </w:r>
      <w:r>
        <w:rPr>
          <w:rFonts w:cs="Calibri"/>
          <w:i/>
          <w:iCs/>
        </w:rPr>
        <w:t xml:space="preserve"> </w:t>
      </w:r>
      <w:r w:rsidRPr="00905CAA">
        <w:rPr>
          <w:rFonts w:cs="Calibri"/>
          <w:i/>
          <w:iCs/>
        </w:rPr>
        <w:t>31:12–16</w:t>
      </w:r>
      <w:r>
        <w:rPr>
          <w:rFonts w:cs="Calibri"/>
          <w:i/>
          <w:iCs/>
        </w:rPr>
        <w:t>.</w:t>
      </w:r>
    </w:p>
  </w:footnote>
  <w:footnote w:id="6">
    <w:p w14:paraId="66557ADF" w14:textId="0CEDCE5D" w:rsidR="006C6AE0" w:rsidRDefault="006C6AE0" w:rsidP="00A541DD">
      <w:pPr>
        <w:pStyle w:val="FootnoteText"/>
      </w:pPr>
      <w:r>
        <w:rPr>
          <w:rStyle w:val="FootnoteReference"/>
        </w:rPr>
        <w:footnoteRef/>
      </w:r>
      <w:r>
        <w:t xml:space="preserve"> </w:t>
      </w:r>
      <w:r w:rsidRPr="00DB6BF6">
        <w:rPr>
          <w:rFonts w:cs="Calibri"/>
        </w:rPr>
        <w:t>George A, Stead T S, Ganti L</w:t>
      </w:r>
      <w:r>
        <w:rPr>
          <w:rFonts w:cs="Calibri"/>
        </w:rPr>
        <w:t xml:space="preserve">. </w:t>
      </w:r>
      <w:r w:rsidRPr="00DB6BF6">
        <w:rPr>
          <w:rFonts w:cs="Calibri"/>
        </w:rPr>
        <w:t xml:space="preserve">What’s the </w:t>
      </w:r>
      <w:r>
        <w:rPr>
          <w:rFonts w:cs="Calibri"/>
        </w:rPr>
        <w:t>ri</w:t>
      </w:r>
      <w:r w:rsidRPr="00DB6BF6">
        <w:rPr>
          <w:rFonts w:cs="Calibri"/>
        </w:rPr>
        <w:t xml:space="preserve">sk: Differentiating </w:t>
      </w:r>
      <w:r>
        <w:rPr>
          <w:rFonts w:cs="Calibri"/>
        </w:rPr>
        <w:t>r</w:t>
      </w:r>
      <w:r w:rsidRPr="00DB6BF6">
        <w:rPr>
          <w:rFonts w:cs="Calibri"/>
        </w:rPr>
        <w:t xml:space="preserve">isk </w:t>
      </w:r>
      <w:r>
        <w:rPr>
          <w:rFonts w:cs="Calibri"/>
        </w:rPr>
        <w:t>r</w:t>
      </w:r>
      <w:r w:rsidRPr="00DB6BF6">
        <w:rPr>
          <w:rFonts w:cs="Calibri"/>
        </w:rPr>
        <w:t xml:space="preserve">atios, </w:t>
      </w:r>
      <w:r>
        <w:rPr>
          <w:rFonts w:cs="Calibri"/>
        </w:rPr>
        <w:t>o</w:t>
      </w:r>
      <w:r w:rsidRPr="00DB6BF6">
        <w:rPr>
          <w:rFonts w:cs="Calibri"/>
        </w:rPr>
        <w:t xml:space="preserve">dds </w:t>
      </w:r>
      <w:r>
        <w:rPr>
          <w:rFonts w:cs="Calibri"/>
        </w:rPr>
        <w:t>r</w:t>
      </w:r>
      <w:r w:rsidRPr="00DB6BF6">
        <w:rPr>
          <w:rFonts w:cs="Calibri"/>
        </w:rPr>
        <w:t xml:space="preserve">atios, and </w:t>
      </w:r>
      <w:r>
        <w:rPr>
          <w:rFonts w:cs="Calibri"/>
        </w:rPr>
        <w:t>h</w:t>
      </w:r>
      <w:r w:rsidRPr="00DB6BF6">
        <w:rPr>
          <w:rFonts w:cs="Calibri"/>
        </w:rPr>
        <w:t xml:space="preserve">azard </w:t>
      </w:r>
      <w:r>
        <w:rPr>
          <w:rFonts w:cs="Calibri"/>
        </w:rPr>
        <w:t>r</w:t>
      </w:r>
      <w:r w:rsidRPr="00DB6BF6">
        <w:rPr>
          <w:rFonts w:cs="Calibri"/>
        </w:rPr>
        <w:t xml:space="preserve">atios? </w:t>
      </w:r>
      <w:r w:rsidRPr="00DB6BF6">
        <w:rPr>
          <w:rFonts w:cs="Calibri"/>
          <w:i/>
          <w:iCs/>
        </w:rPr>
        <w:t>Cureus</w:t>
      </w:r>
      <w:r w:rsidRPr="00DB6BF6">
        <w:rPr>
          <w:rFonts w:cs="Calibri"/>
        </w:rPr>
        <w:t xml:space="preserve"> 12(8): e10047. doi:10.7759/cureus.10047</w:t>
      </w:r>
      <w:r>
        <w:rPr>
          <w:rFonts w:cs="Calibri"/>
        </w:rPr>
        <w:t>.</w:t>
      </w:r>
    </w:p>
  </w:footnote>
  <w:footnote w:id="7">
    <w:p w14:paraId="78579BDE" w14:textId="77777777" w:rsidR="006C6AE0" w:rsidRDefault="006C6AE0" w:rsidP="002D27D0">
      <w:pPr>
        <w:pStyle w:val="FootnoteText"/>
      </w:pPr>
      <w:r>
        <w:rPr>
          <w:rStyle w:val="FootnoteReference"/>
        </w:rPr>
        <w:footnoteRef/>
      </w:r>
      <w:r>
        <w:t xml:space="preserve"> Saroli Pulumbo C, Schilsky ML. Clinical practice guidelines in Wilson disease. Ann Transl Med. 2019;7(Suppl 2):S65.doi:10.21037/atm.2018.12.53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7C6EA" w14:textId="77777777" w:rsidR="00173E64" w:rsidRDefault="0017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61A5" w14:textId="77777777" w:rsidR="006C6AE0" w:rsidRPr="00FC1173" w:rsidRDefault="006C6AE0">
    <w:pPr>
      <w:pStyle w:val="Header"/>
      <w:rPr>
        <w:i/>
        <w:iCs/>
      </w:rPr>
    </w:pPr>
    <w:r>
      <w:rPr>
        <w:i/>
        <w:iCs/>
      </w:rPr>
      <w:t>Public Summary Document</w:t>
    </w:r>
    <w:r w:rsidRPr="00FC1173">
      <w:rPr>
        <w:i/>
        <w:iCs/>
      </w:rPr>
      <w:t xml:space="preserve"> – November 2021 PBAC Meeting</w:t>
    </w:r>
  </w:p>
  <w:p w14:paraId="11FFDF2B" w14:textId="77777777" w:rsidR="006C6AE0" w:rsidRDefault="006C6AE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D766" w14:textId="77777777" w:rsidR="00173E64" w:rsidRDefault="00173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12D6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845DAD"/>
    <w:multiLevelType w:val="multilevel"/>
    <w:tmpl w:val="F2CC21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F7655"/>
    <w:multiLevelType w:val="multilevel"/>
    <w:tmpl w:val="E1A8659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B863CC"/>
    <w:multiLevelType w:val="multilevel"/>
    <w:tmpl w:val="8CDC6AFC"/>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784D033C"/>
    <w:multiLevelType w:val="multilevel"/>
    <w:tmpl w:val="4AEA7628"/>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3"/>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DF6"/>
    <w:rsid w:val="0000110B"/>
    <w:rsid w:val="00001C08"/>
    <w:rsid w:val="00003499"/>
    <w:rsid w:val="000034DB"/>
    <w:rsid w:val="000039B7"/>
    <w:rsid w:val="0000569A"/>
    <w:rsid w:val="0000639A"/>
    <w:rsid w:val="00007191"/>
    <w:rsid w:val="00007293"/>
    <w:rsid w:val="00013247"/>
    <w:rsid w:val="00015886"/>
    <w:rsid w:val="000162EF"/>
    <w:rsid w:val="00016A8D"/>
    <w:rsid w:val="000207C9"/>
    <w:rsid w:val="00021627"/>
    <w:rsid w:val="0002225F"/>
    <w:rsid w:val="0002268A"/>
    <w:rsid w:val="0002327C"/>
    <w:rsid w:val="00023763"/>
    <w:rsid w:val="00024F8F"/>
    <w:rsid w:val="000258DA"/>
    <w:rsid w:val="000274B8"/>
    <w:rsid w:val="00030AE4"/>
    <w:rsid w:val="00033863"/>
    <w:rsid w:val="00035DC0"/>
    <w:rsid w:val="00036829"/>
    <w:rsid w:val="00040895"/>
    <w:rsid w:val="000435EE"/>
    <w:rsid w:val="00043C37"/>
    <w:rsid w:val="00045017"/>
    <w:rsid w:val="00045A2B"/>
    <w:rsid w:val="0004698F"/>
    <w:rsid w:val="00051041"/>
    <w:rsid w:val="00051DE2"/>
    <w:rsid w:val="000539D0"/>
    <w:rsid w:val="00053A6F"/>
    <w:rsid w:val="00054621"/>
    <w:rsid w:val="000546D7"/>
    <w:rsid w:val="00054BAA"/>
    <w:rsid w:val="000550D6"/>
    <w:rsid w:val="0005589C"/>
    <w:rsid w:val="00056ECF"/>
    <w:rsid w:val="000604DF"/>
    <w:rsid w:val="000653B5"/>
    <w:rsid w:val="00066360"/>
    <w:rsid w:val="00066AF8"/>
    <w:rsid w:val="00071248"/>
    <w:rsid w:val="000720B9"/>
    <w:rsid w:val="000737F7"/>
    <w:rsid w:val="00073822"/>
    <w:rsid w:val="00073D46"/>
    <w:rsid w:val="00074167"/>
    <w:rsid w:val="0007672F"/>
    <w:rsid w:val="00076B54"/>
    <w:rsid w:val="000774F0"/>
    <w:rsid w:val="00080909"/>
    <w:rsid w:val="000812CA"/>
    <w:rsid w:val="00081E63"/>
    <w:rsid w:val="0008258D"/>
    <w:rsid w:val="00083E99"/>
    <w:rsid w:val="000844F7"/>
    <w:rsid w:val="00084FA8"/>
    <w:rsid w:val="000856C5"/>
    <w:rsid w:val="00085949"/>
    <w:rsid w:val="00085C31"/>
    <w:rsid w:val="00086725"/>
    <w:rsid w:val="000902D9"/>
    <w:rsid w:val="00090BCF"/>
    <w:rsid w:val="00090C7E"/>
    <w:rsid w:val="00091014"/>
    <w:rsid w:val="00092600"/>
    <w:rsid w:val="0009262B"/>
    <w:rsid w:val="0009293A"/>
    <w:rsid w:val="00093310"/>
    <w:rsid w:val="0009445C"/>
    <w:rsid w:val="00095200"/>
    <w:rsid w:val="00095FD2"/>
    <w:rsid w:val="00095FE5"/>
    <w:rsid w:val="000961B4"/>
    <w:rsid w:val="00096284"/>
    <w:rsid w:val="00097497"/>
    <w:rsid w:val="000A004E"/>
    <w:rsid w:val="000A1BC0"/>
    <w:rsid w:val="000A2962"/>
    <w:rsid w:val="000A3418"/>
    <w:rsid w:val="000A4846"/>
    <w:rsid w:val="000A52BA"/>
    <w:rsid w:val="000A6039"/>
    <w:rsid w:val="000A7453"/>
    <w:rsid w:val="000A7D08"/>
    <w:rsid w:val="000B0121"/>
    <w:rsid w:val="000B0670"/>
    <w:rsid w:val="000B0E75"/>
    <w:rsid w:val="000B2DCB"/>
    <w:rsid w:val="000B34E1"/>
    <w:rsid w:val="000B3CD7"/>
    <w:rsid w:val="000B4941"/>
    <w:rsid w:val="000B5BBF"/>
    <w:rsid w:val="000B5CE0"/>
    <w:rsid w:val="000B6CAC"/>
    <w:rsid w:val="000B7612"/>
    <w:rsid w:val="000B78AE"/>
    <w:rsid w:val="000C0E15"/>
    <w:rsid w:val="000C2E5C"/>
    <w:rsid w:val="000C3DF9"/>
    <w:rsid w:val="000C6713"/>
    <w:rsid w:val="000D1539"/>
    <w:rsid w:val="000D1B50"/>
    <w:rsid w:val="000D1BFC"/>
    <w:rsid w:val="000D1D5D"/>
    <w:rsid w:val="000D2294"/>
    <w:rsid w:val="000D281A"/>
    <w:rsid w:val="000D2848"/>
    <w:rsid w:val="000D2E3E"/>
    <w:rsid w:val="000D326A"/>
    <w:rsid w:val="000D35A1"/>
    <w:rsid w:val="000D387E"/>
    <w:rsid w:val="000D405D"/>
    <w:rsid w:val="000D51FB"/>
    <w:rsid w:val="000D5D6E"/>
    <w:rsid w:val="000D784A"/>
    <w:rsid w:val="000E0640"/>
    <w:rsid w:val="000E135D"/>
    <w:rsid w:val="000F00BA"/>
    <w:rsid w:val="000F316A"/>
    <w:rsid w:val="000F3345"/>
    <w:rsid w:val="000F3C74"/>
    <w:rsid w:val="000F4BB8"/>
    <w:rsid w:val="000F4FA9"/>
    <w:rsid w:val="000F53FB"/>
    <w:rsid w:val="000F54CF"/>
    <w:rsid w:val="000F7127"/>
    <w:rsid w:val="000F7B54"/>
    <w:rsid w:val="0010018E"/>
    <w:rsid w:val="00100692"/>
    <w:rsid w:val="00100F8A"/>
    <w:rsid w:val="00101E43"/>
    <w:rsid w:val="00102C4E"/>
    <w:rsid w:val="00103682"/>
    <w:rsid w:val="0010452E"/>
    <w:rsid w:val="00105AE2"/>
    <w:rsid w:val="001060C6"/>
    <w:rsid w:val="001061A8"/>
    <w:rsid w:val="001066A2"/>
    <w:rsid w:val="00106975"/>
    <w:rsid w:val="00106B80"/>
    <w:rsid w:val="001073F6"/>
    <w:rsid w:val="0011032E"/>
    <w:rsid w:val="0011348B"/>
    <w:rsid w:val="001138A0"/>
    <w:rsid w:val="00115982"/>
    <w:rsid w:val="00116C53"/>
    <w:rsid w:val="001204BF"/>
    <w:rsid w:val="0012071A"/>
    <w:rsid w:val="00121799"/>
    <w:rsid w:val="001222FC"/>
    <w:rsid w:val="00123902"/>
    <w:rsid w:val="00124A51"/>
    <w:rsid w:val="00126621"/>
    <w:rsid w:val="001268B8"/>
    <w:rsid w:val="00126989"/>
    <w:rsid w:val="00126B1D"/>
    <w:rsid w:val="001301E9"/>
    <w:rsid w:val="00131304"/>
    <w:rsid w:val="0013157C"/>
    <w:rsid w:val="00131D82"/>
    <w:rsid w:val="0013275E"/>
    <w:rsid w:val="00132B22"/>
    <w:rsid w:val="00133033"/>
    <w:rsid w:val="001331F0"/>
    <w:rsid w:val="00133D36"/>
    <w:rsid w:val="00135C49"/>
    <w:rsid w:val="001365AD"/>
    <w:rsid w:val="00137645"/>
    <w:rsid w:val="0014015A"/>
    <w:rsid w:val="00140E99"/>
    <w:rsid w:val="00142A32"/>
    <w:rsid w:val="00143225"/>
    <w:rsid w:val="00143F67"/>
    <w:rsid w:val="00145540"/>
    <w:rsid w:val="001456B0"/>
    <w:rsid w:val="001475E7"/>
    <w:rsid w:val="001511A3"/>
    <w:rsid w:val="00151A00"/>
    <w:rsid w:val="00154017"/>
    <w:rsid w:val="001550B7"/>
    <w:rsid w:val="00156F8F"/>
    <w:rsid w:val="00157130"/>
    <w:rsid w:val="001573C3"/>
    <w:rsid w:val="001576B1"/>
    <w:rsid w:val="0016047B"/>
    <w:rsid w:val="00160A4C"/>
    <w:rsid w:val="00162913"/>
    <w:rsid w:val="00162AD6"/>
    <w:rsid w:val="00163195"/>
    <w:rsid w:val="001639C5"/>
    <w:rsid w:val="00163EFF"/>
    <w:rsid w:val="00163F66"/>
    <w:rsid w:val="001661FB"/>
    <w:rsid w:val="001671A0"/>
    <w:rsid w:val="0016767F"/>
    <w:rsid w:val="00171B58"/>
    <w:rsid w:val="00173565"/>
    <w:rsid w:val="00173B07"/>
    <w:rsid w:val="00173E64"/>
    <w:rsid w:val="001751FA"/>
    <w:rsid w:val="00175A0A"/>
    <w:rsid w:val="00176B3A"/>
    <w:rsid w:val="00180B51"/>
    <w:rsid w:val="00181D9C"/>
    <w:rsid w:val="00184B0E"/>
    <w:rsid w:val="0018752F"/>
    <w:rsid w:val="00191F5C"/>
    <w:rsid w:val="001927A9"/>
    <w:rsid w:val="00193838"/>
    <w:rsid w:val="00194AD8"/>
    <w:rsid w:val="00195222"/>
    <w:rsid w:val="0019596A"/>
    <w:rsid w:val="001975D8"/>
    <w:rsid w:val="001A03A5"/>
    <w:rsid w:val="001A178E"/>
    <w:rsid w:val="001A2C5D"/>
    <w:rsid w:val="001A43FA"/>
    <w:rsid w:val="001A47C5"/>
    <w:rsid w:val="001A5008"/>
    <w:rsid w:val="001A59FB"/>
    <w:rsid w:val="001A5E9E"/>
    <w:rsid w:val="001A6354"/>
    <w:rsid w:val="001A6366"/>
    <w:rsid w:val="001A7AE8"/>
    <w:rsid w:val="001B02F6"/>
    <w:rsid w:val="001B0E73"/>
    <w:rsid w:val="001B204E"/>
    <w:rsid w:val="001B2372"/>
    <w:rsid w:val="001B2C5D"/>
    <w:rsid w:val="001B3443"/>
    <w:rsid w:val="001B34FD"/>
    <w:rsid w:val="001B4960"/>
    <w:rsid w:val="001B4D20"/>
    <w:rsid w:val="001C2720"/>
    <w:rsid w:val="001C298F"/>
    <w:rsid w:val="001C2A9B"/>
    <w:rsid w:val="001C4299"/>
    <w:rsid w:val="001C4874"/>
    <w:rsid w:val="001C5319"/>
    <w:rsid w:val="001C5D04"/>
    <w:rsid w:val="001C5F94"/>
    <w:rsid w:val="001C6499"/>
    <w:rsid w:val="001C6E66"/>
    <w:rsid w:val="001D1100"/>
    <w:rsid w:val="001D1391"/>
    <w:rsid w:val="001D1469"/>
    <w:rsid w:val="001D2508"/>
    <w:rsid w:val="001D25D7"/>
    <w:rsid w:val="001D2DBA"/>
    <w:rsid w:val="001D32B9"/>
    <w:rsid w:val="001D3F1F"/>
    <w:rsid w:val="001D50B2"/>
    <w:rsid w:val="001D72D6"/>
    <w:rsid w:val="001D7645"/>
    <w:rsid w:val="001E1E86"/>
    <w:rsid w:val="001E238E"/>
    <w:rsid w:val="001E2483"/>
    <w:rsid w:val="001E2B1E"/>
    <w:rsid w:val="001E2CFF"/>
    <w:rsid w:val="001E2F24"/>
    <w:rsid w:val="001E30D4"/>
    <w:rsid w:val="001E34DF"/>
    <w:rsid w:val="001E468A"/>
    <w:rsid w:val="001E4891"/>
    <w:rsid w:val="001E4BD6"/>
    <w:rsid w:val="001E5027"/>
    <w:rsid w:val="001E52EB"/>
    <w:rsid w:val="001E61D2"/>
    <w:rsid w:val="001E740C"/>
    <w:rsid w:val="001F1235"/>
    <w:rsid w:val="001F1CB3"/>
    <w:rsid w:val="001F38B5"/>
    <w:rsid w:val="001F4081"/>
    <w:rsid w:val="001F6123"/>
    <w:rsid w:val="001F6DCB"/>
    <w:rsid w:val="001F7361"/>
    <w:rsid w:val="001F7644"/>
    <w:rsid w:val="002011B0"/>
    <w:rsid w:val="00203181"/>
    <w:rsid w:val="002032E6"/>
    <w:rsid w:val="00203783"/>
    <w:rsid w:val="0020385F"/>
    <w:rsid w:val="00205033"/>
    <w:rsid w:val="0020516D"/>
    <w:rsid w:val="002068A0"/>
    <w:rsid w:val="00207021"/>
    <w:rsid w:val="0020732F"/>
    <w:rsid w:val="00207D00"/>
    <w:rsid w:val="002105C1"/>
    <w:rsid w:val="002138AB"/>
    <w:rsid w:val="00213EF5"/>
    <w:rsid w:val="00214AA7"/>
    <w:rsid w:val="00214B13"/>
    <w:rsid w:val="00216BA5"/>
    <w:rsid w:val="00216BF5"/>
    <w:rsid w:val="00220E07"/>
    <w:rsid w:val="00223483"/>
    <w:rsid w:val="00223B49"/>
    <w:rsid w:val="00223D5A"/>
    <w:rsid w:val="0022407D"/>
    <w:rsid w:val="00224DD4"/>
    <w:rsid w:val="002278A0"/>
    <w:rsid w:val="00227BBE"/>
    <w:rsid w:val="00227E02"/>
    <w:rsid w:val="002309CC"/>
    <w:rsid w:val="00230FD2"/>
    <w:rsid w:val="00231A0D"/>
    <w:rsid w:val="0023209F"/>
    <w:rsid w:val="00233751"/>
    <w:rsid w:val="00233C01"/>
    <w:rsid w:val="0023413C"/>
    <w:rsid w:val="002346F0"/>
    <w:rsid w:val="002356FD"/>
    <w:rsid w:val="0023629D"/>
    <w:rsid w:val="0023706F"/>
    <w:rsid w:val="00237255"/>
    <w:rsid w:val="00240100"/>
    <w:rsid w:val="00240A49"/>
    <w:rsid w:val="002424AF"/>
    <w:rsid w:val="002439DC"/>
    <w:rsid w:val="00244169"/>
    <w:rsid w:val="002441D2"/>
    <w:rsid w:val="002448D7"/>
    <w:rsid w:val="00244DC8"/>
    <w:rsid w:val="002458BA"/>
    <w:rsid w:val="00245CE9"/>
    <w:rsid w:val="00245D5B"/>
    <w:rsid w:val="0024636C"/>
    <w:rsid w:val="00247925"/>
    <w:rsid w:val="00251006"/>
    <w:rsid w:val="002524D5"/>
    <w:rsid w:val="00253B1D"/>
    <w:rsid w:val="00254DB8"/>
    <w:rsid w:val="00254DCF"/>
    <w:rsid w:val="0025534B"/>
    <w:rsid w:val="00255BB7"/>
    <w:rsid w:val="00257541"/>
    <w:rsid w:val="00257A39"/>
    <w:rsid w:val="00257AC4"/>
    <w:rsid w:val="00261945"/>
    <w:rsid w:val="00261EEF"/>
    <w:rsid w:val="00262A1A"/>
    <w:rsid w:val="00262A87"/>
    <w:rsid w:val="00264D26"/>
    <w:rsid w:val="00264FCC"/>
    <w:rsid w:val="00267642"/>
    <w:rsid w:val="00267AEA"/>
    <w:rsid w:val="002700E6"/>
    <w:rsid w:val="00271D8D"/>
    <w:rsid w:val="00272704"/>
    <w:rsid w:val="0027294B"/>
    <w:rsid w:val="00272A6A"/>
    <w:rsid w:val="00272BB0"/>
    <w:rsid w:val="00273D9D"/>
    <w:rsid w:val="00273EB4"/>
    <w:rsid w:val="00274682"/>
    <w:rsid w:val="00275C5A"/>
    <w:rsid w:val="00275C80"/>
    <w:rsid w:val="00280FC4"/>
    <w:rsid w:val="00281014"/>
    <w:rsid w:val="00281076"/>
    <w:rsid w:val="00282676"/>
    <w:rsid w:val="0028665D"/>
    <w:rsid w:val="00287E61"/>
    <w:rsid w:val="00292958"/>
    <w:rsid w:val="00293F58"/>
    <w:rsid w:val="002956DB"/>
    <w:rsid w:val="00296261"/>
    <w:rsid w:val="002A0DCC"/>
    <w:rsid w:val="002A14AB"/>
    <w:rsid w:val="002A15E3"/>
    <w:rsid w:val="002A1DCB"/>
    <w:rsid w:val="002A2441"/>
    <w:rsid w:val="002A29CB"/>
    <w:rsid w:val="002A2ADE"/>
    <w:rsid w:val="002A2C28"/>
    <w:rsid w:val="002A2F50"/>
    <w:rsid w:val="002A342F"/>
    <w:rsid w:val="002A5C87"/>
    <w:rsid w:val="002A6CD7"/>
    <w:rsid w:val="002B05A1"/>
    <w:rsid w:val="002B09A4"/>
    <w:rsid w:val="002B1C1F"/>
    <w:rsid w:val="002B3E17"/>
    <w:rsid w:val="002B417B"/>
    <w:rsid w:val="002B432F"/>
    <w:rsid w:val="002B537D"/>
    <w:rsid w:val="002B5CCD"/>
    <w:rsid w:val="002B62B3"/>
    <w:rsid w:val="002B6754"/>
    <w:rsid w:val="002B6CCE"/>
    <w:rsid w:val="002C04AC"/>
    <w:rsid w:val="002C092B"/>
    <w:rsid w:val="002C109F"/>
    <w:rsid w:val="002C2510"/>
    <w:rsid w:val="002C2775"/>
    <w:rsid w:val="002C27C1"/>
    <w:rsid w:val="002C3061"/>
    <w:rsid w:val="002C5099"/>
    <w:rsid w:val="002C5621"/>
    <w:rsid w:val="002C5889"/>
    <w:rsid w:val="002C71CE"/>
    <w:rsid w:val="002D03A7"/>
    <w:rsid w:val="002D08F8"/>
    <w:rsid w:val="002D27D0"/>
    <w:rsid w:val="002D5397"/>
    <w:rsid w:val="002D5624"/>
    <w:rsid w:val="002D577C"/>
    <w:rsid w:val="002E09BB"/>
    <w:rsid w:val="002E0BF5"/>
    <w:rsid w:val="002E1071"/>
    <w:rsid w:val="002E15B9"/>
    <w:rsid w:val="002E1669"/>
    <w:rsid w:val="002E182E"/>
    <w:rsid w:val="002E185D"/>
    <w:rsid w:val="002E2158"/>
    <w:rsid w:val="002E367F"/>
    <w:rsid w:val="002E449D"/>
    <w:rsid w:val="002E4F02"/>
    <w:rsid w:val="002E66C0"/>
    <w:rsid w:val="002E6EDC"/>
    <w:rsid w:val="002E7722"/>
    <w:rsid w:val="002F07BA"/>
    <w:rsid w:val="002F0DA9"/>
    <w:rsid w:val="002F0F61"/>
    <w:rsid w:val="002F1014"/>
    <w:rsid w:val="002F1333"/>
    <w:rsid w:val="002F32A9"/>
    <w:rsid w:val="002F3E1F"/>
    <w:rsid w:val="002F5AA9"/>
    <w:rsid w:val="002F643C"/>
    <w:rsid w:val="002F71C0"/>
    <w:rsid w:val="002F74F1"/>
    <w:rsid w:val="003009EC"/>
    <w:rsid w:val="00300E2A"/>
    <w:rsid w:val="00301017"/>
    <w:rsid w:val="0030155F"/>
    <w:rsid w:val="00304EC9"/>
    <w:rsid w:val="0030587B"/>
    <w:rsid w:val="00305FCE"/>
    <w:rsid w:val="00306D98"/>
    <w:rsid w:val="0030786C"/>
    <w:rsid w:val="0031031A"/>
    <w:rsid w:val="00310981"/>
    <w:rsid w:val="003124D9"/>
    <w:rsid w:val="00312594"/>
    <w:rsid w:val="0031472C"/>
    <w:rsid w:val="00314C70"/>
    <w:rsid w:val="00315498"/>
    <w:rsid w:val="00316474"/>
    <w:rsid w:val="00316BA3"/>
    <w:rsid w:val="003217F2"/>
    <w:rsid w:val="00322107"/>
    <w:rsid w:val="00322355"/>
    <w:rsid w:val="00322846"/>
    <w:rsid w:val="00325096"/>
    <w:rsid w:val="00325426"/>
    <w:rsid w:val="00326DA7"/>
    <w:rsid w:val="003270E4"/>
    <w:rsid w:val="00327B23"/>
    <w:rsid w:val="00330DAA"/>
    <w:rsid w:val="00330F5C"/>
    <w:rsid w:val="00333C05"/>
    <w:rsid w:val="00334066"/>
    <w:rsid w:val="00335818"/>
    <w:rsid w:val="0033666D"/>
    <w:rsid w:val="003366C9"/>
    <w:rsid w:val="00336ABE"/>
    <w:rsid w:val="003371B0"/>
    <w:rsid w:val="003375CE"/>
    <w:rsid w:val="00340DF1"/>
    <w:rsid w:val="00343CAB"/>
    <w:rsid w:val="00345774"/>
    <w:rsid w:val="003517F9"/>
    <w:rsid w:val="00351BA9"/>
    <w:rsid w:val="00352B56"/>
    <w:rsid w:val="00354F64"/>
    <w:rsid w:val="0035620E"/>
    <w:rsid w:val="003574DD"/>
    <w:rsid w:val="00357DDC"/>
    <w:rsid w:val="00360345"/>
    <w:rsid w:val="0036112D"/>
    <w:rsid w:val="00361A05"/>
    <w:rsid w:val="003624C4"/>
    <w:rsid w:val="003631C8"/>
    <w:rsid w:val="00363B00"/>
    <w:rsid w:val="003654AC"/>
    <w:rsid w:val="00365B93"/>
    <w:rsid w:val="003710CF"/>
    <w:rsid w:val="00371EFD"/>
    <w:rsid w:val="00371FF9"/>
    <w:rsid w:val="0037358A"/>
    <w:rsid w:val="00373CFE"/>
    <w:rsid w:val="003747B2"/>
    <w:rsid w:val="00375014"/>
    <w:rsid w:val="003750F6"/>
    <w:rsid w:val="003753F2"/>
    <w:rsid w:val="003760FC"/>
    <w:rsid w:val="00376208"/>
    <w:rsid w:val="0037623E"/>
    <w:rsid w:val="00376282"/>
    <w:rsid w:val="00381F7D"/>
    <w:rsid w:val="00382B3C"/>
    <w:rsid w:val="0038365C"/>
    <w:rsid w:val="0038369B"/>
    <w:rsid w:val="00383B78"/>
    <w:rsid w:val="00384692"/>
    <w:rsid w:val="00385A9D"/>
    <w:rsid w:val="00386C1F"/>
    <w:rsid w:val="003902B1"/>
    <w:rsid w:val="00390978"/>
    <w:rsid w:val="00390AD4"/>
    <w:rsid w:val="0039179C"/>
    <w:rsid w:val="00392976"/>
    <w:rsid w:val="00393074"/>
    <w:rsid w:val="00395EEB"/>
    <w:rsid w:val="00396896"/>
    <w:rsid w:val="00396FD0"/>
    <w:rsid w:val="003978BC"/>
    <w:rsid w:val="003A1346"/>
    <w:rsid w:val="003A17E7"/>
    <w:rsid w:val="003A1A7A"/>
    <w:rsid w:val="003A1BA6"/>
    <w:rsid w:val="003A1CC5"/>
    <w:rsid w:val="003A2392"/>
    <w:rsid w:val="003A2831"/>
    <w:rsid w:val="003A3229"/>
    <w:rsid w:val="003A3CB6"/>
    <w:rsid w:val="003A3ED1"/>
    <w:rsid w:val="003A44DB"/>
    <w:rsid w:val="003A5E1B"/>
    <w:rsid w:val="003A602C"/>
    <w:rsid w:val="003A668E"/>
    <w:rsid w:val="003B2036"/>
    <w:rsid w:val="003B3971"/>
    <w:rsid w:val="003B55D1"/>
    <w:rsid w:val="003B5A5E"/>
    <w:rsid w:val="003B5B61"/>
    <w:rsid w:val="003C1654"/>
    <w:rsid w:val="003C187E"/>
    <w:rsid w:val="003C5542"/>
    <w:rsid w:val="003C6E31"/>
    <w:rsid w:val="003C7D19"/>
    <w:rsid w:val="003C7D2F"/>
    <w:rsid w:val="003D1828"/>
    <w:rsid w:val="003D1DE4"/>
    <w:rsid w:val="003D1E9A"/>
    <w:rsid w:val="003D2422"/>
    <w:rsid w:val="003D251E"/>
    <w:rsid w:val="003D37A9"/>
    <w:rsid w:val="003D39A1"/>
    <w:rsid w:val="003D3FBF"/>
    <w:rsid w:val="003D4A30"/>
    <w:rsid w:val="003D7346"/>
    <w:rsid w:val="003D7452"/>
    <w:rsid w:val="003D79BB"/>
    <w:rsid w:val="003D7C3B"/>
    <w:rsid w:val="003D7C98"/>
    <w:rsid w:val="003D7D9D"/>
    <w:rsid w:val="003E0543"/>
    <w:rsid w:val="003E236E"/>
    <w:rsid w:val="003E24F0"/>
    <w:rsid w:val="003E34A8"/>
    <w:rsid w:val="003E3A08"/>
    <w:rsid w:val="003E749E"/>
    <w:rsid w:val="003E7864"/>
    <w:rsid w:val="003E7E70"/>
    <w:rsid w:val="003F3B08"/>
    <w:rsid w:val="003F4156"/>
    <w:rsid w:val="003F4F42"/>
    <w:rsid w:val="003F5ADF"/>
    <w:rsid w:val="004009C7"/>
    <w:rsid w:val="00400B29"/>
    <w:rsid w:val="0040504B"/>
    <w:rsid w:val="004059F4"/>
    <w:rsid w:val="00407035"/>
    <w:rsid w:val="00407D7E"/>
    <w:rsid w:val="00407FE5"/>
    <w:rsid w:val="004101B0"/>
    <w:rsid w:val="00410326"/>
    <w:rsid w:val="00410708"/>
    <w:rsid w:val="00410EC7"/>
    <w:rsid w:val="00411B39"/>
    <w:rsid w:val="004127A7"/>
    <w:rsid w:val="00413A1E"/>
    <w:rsid w:val="00414476"/>
    <w:rsid w:val="00414C2E"/>
    <w:rsid w:val="004151CF"/>
    <w:rsid w:val="00416270"/>
    <w:rsid w:val="00416364"/>
    <w:rsid w:val="0042042D"/>
    <w:rsid w:val="0042047F"/>
    <w:rsid w:val="00420AA6"/>
    <w:rsid w:val="00420B9F"/>
    <w:rsid w:val="00420D3B"/>
    <w:rsid w:val="00421929"/>
    <w:rsid w:val="0042192C"/>
    <w:rsid w:val="00421989"/>
    <w:rsid w:val="00421994"/>
    <w:rsid w:val="00421A8B"/>
    <w:rsid w:val="0042206A"/>
    <w:rsid w:val="00422260"/>
    <w:rsid w:val="0042413F"/>
    <w:rsid w:val="004311B3"/>
    <w:rsid w:val="0043197D"/>
    <w:rsid w:val="004319F8"/>
    <w:rsid w:val="00431E55"/>
    <w:rsid w:val="004321F6"/>
    <w:rsid w:val="00433044"/>
    <w:rsid w:val="00433FDC"/>
    <w:rsid w:val="00434088"/>
    <w:rsid w:val="004375B9"/>
    <w:rsid w:val="004379C5"/>
    <w:rsid w:val="00440563"/>
    <w:rsid w:val="0044259E"/>
    <w:rsid w:val="004428D0"/>
    <w:rsid w:val="00443A48"/>
    <w:rsid w:val="00444159"/>
    <w:rsid w:val="00444185"/>
    <w:rsid w:val="004443A7"/>
    <w:rsid w:val="0044442C"/>
    <w:rsid w:val="00445941"/>
    <w:rsid w:val="004464EB"/>
    <w:rsid w:val="00447D26"/>
    <w:rsid w:val="00447DFC"/>
    <w:rsid w:val="004502FE"/>
    <w:rsid w:val="00450553"/>
    <w:rsid w:val="004555D8"/>
    <w:rsid w:val="00455D45"/>
    <w:rsid w:val="00457550"/>
    <w:rsid w:val="00460034"/>
    <w:rsid w:val="0046092B"/>
    <w:rsid w:val="00460FDE"/>
    <w:rsid w:val="004617E5"/>
    <w:rsid w:val="00463464"/>
    <w:rsid w:val="00464595"/>
    <w:rsid w:val="0046516B"/>
    <w:rsid w:val="004658B5"/>
    <w:rsid w:val="004665AF"/>
    <w:rsid w:val="00467792"/>
    <w:rsid w:val="00471EA5"/>
    <w:rsid w:val="00472A79"/>
    <w:rsid w:val="004730C3"/>
    <w:rsid w:val="00473213"/>
    <w:rsid w:val="00473F19"/>
    <w:rsid w:val="004747B9"/>
    <w:rsid w:val="00475E22"/>
    <w:rsid w:val="00477229"/>
    <w:rsid w:val="0047787E"/>
    <w:rsid w:val="0048088E"/>
    <w:rsid w:val="00480F2B"/>
    <w:rsid w:val="0048136C"/>
    <w:rsid w:val="00482720"/>
    <w:rsid w:val="004834E6"/>
    <w:rsid w:val="004835E7"/>
    <w:rsid w:val="004838F8"/>
    <w:rsid w:val="00483DAE"/>
    <w:rsid w:val="00483E1C"/>
    <w:rsid w:val="00484D1D"/>
    <w:rsid w:val="004855A8"/>
    <w:rsid w:val="00485E49"/>
    <w:rsid w:val="00485F46"/>
    <w:rsid w:val="004867E2"/>
    <w:rsid w:val="00490B17"/>
    <w:rsid w:val="004910DD"/>
    <w:rsid w:val="00491B3A"/>
    <w:rsid w:val="00492CFD"/>
    <w:rsid w:val="00494207"/>
    <w:rsid w:val="004942F9"/>
    <w:rsid w:val="00494DD5"/>
    <w:rsid w:val="00495196"/>
    <w:rsid w:val="004959E5"/>
    <w:rsid w:val="00496129"/>
    <w:rsid w:val="004962D2"/>
    <w:rsid w:val="0049675F"/>
    <w:rsid w:val="00496B03"/>
    <w:rsid w:val="00497402"/>
    <w:rsid w:val="004A02C5"/>
    <w:rsid w:val="004A0DA1"/>
    <w:rsid w:val="004A13D6"/>
    <w:rsid w:val="004A181A"/>
    <w:rsid w:val="004A3552"/>
    <w:rsid w:val="004A3987"/>
    <w:rsid w:val="004A52E9"/>
    <w:rsid w:val="004A6040"/>
    <w:rsid w:val="004A6597"/>
    <w:rsid w:val="004A7848"/>
    <w:rsid w:val="004B1CB4"/>
    <w:rsid w:val="004B2F18"/>
    <w:rsid w:val="004B3B73"/>
    <w:rsid w:val="004B3DDB"/>
    <w:rsid w:val="004B4434"/>
    <w:rsid w:val="004B44FD"/>
    <w:rsid w:val="004B5CFC"/>
    <w:rsid w:val="004B6F79"/>
    <w:rsid w:val="004B774D"/>
    <w:rsid w:val="004C090E"/>
    <w:rsid w:val="004C1027"/>
    <w:rsid w:val="004C14F1"/>
    <w:rsid w:val="004C4460"/>
    <w:rsid w:val="004C4AED"/>
    <w:rsid w:val="004C65B1"/>
    <w:rsid w:val="004D2C2D"/>
    <w:rsid w:val="004D687F"/>
    <w:rsid w:val="004D69B5"/>
    <w:rsid w:val="004D7227"/>
    <w:rsid w:val="004E0E7F"/>
    <w:rsid w:val="004E0EB8"/>
    <w:rsid w:val="004E18E9"/>
    <w:rsid w:val="004E2ADC"/>
    <w:rsid w:val="004E3E6C"/>
    <w:rsid w:val="004E43B2"/>
    <w:rsid w:val="004E6EB3"/>
    <w:rsid w:val="004F1D02"/>
    <w:rsid w:val="004F2086"/>
    <w:rsid w:val="004F2679"/>
    <w:rsid w:val="004F2F21"/>
    <w:rsid w:val="004F3160"/>
    <w:rsid w:val="004F3DE5"/>
    <w:rsid w:val="004F581B"/>
    <w:rsid w:val="004F59FE"/>
    <w:rsid w:val="004F6913"/>
    <w:rsid w:val="004F7724"/>
    <w:rsid w:val="004F7865"/>
    <w:rsid w:val="00500912"/>
    <w:rsid w:val="0050174E"/>
    <w:rsid w:val="00501854"/>
    <w:rsid w:val="0050219B"/>
    <w:rsid w:val="00503038"/>
    <w:rsid w:val="005032D7"/>
    <w:rsid w:val="00503F17"/>
    <w:rsid w:val="00506928"/>
    <w:rsid w:val="00506ADE"/>
    <w:rsid w:val="00507025"/>
    <w:rsid w:val="005077EF"/>
    <w:rsid w:val="00510965"/>
    <w:rsid w:val="0051136C"/>
    <w:rsid w:val="00511AD5"/>
    <w:rsid w:val="00511DC7"/>
    <w:rsid w:val="005128C2"/>
    <w:rsid w:val="0051372C"/>
    <w:rsid w:val="00513A9C"/>
    <w:rsid w:val="005142C5"/>
    <w:rsid w:val="0051501B"/>
    <w:rsid w:val="005152B5"/>
    <w:rsid w:val="00515749"/>
    <w:rsid w:val="00515F6C"/>
    <w:rsid w:val="00516741"/>
    <w:rsid w:val="0051785B"/>
    <w:rsid w:val="0052123C"/>
    <w:rsid w:val="00521319"/>
    <w:rsid w:val="00522316"/>
    <w:rsid w:val="00522BC8"/>
    <w:rsid w:val="00523C28"/>
    <w:rsid w:val="005245F6"/>
    <w:rsid w:val="0053176B"/>
    <w:rsid w:val="00533A62"/>
    <w:rsid w:val="005354E5"/>
    <w:rsid w:val="0053599E"/>
    <w:rsid w:val="00536F42"/>
    <w:rsid w:val="00537182"/>
    <w:rsid w:val="005403C0"/>
    <w:rsid w:val="005410F5"/>
    <w:rsid w:val="00541EDD"/>
    <w:rsid w:val="00541F53"/>
    <w:rsid w:val="00542743"/>
    <w:rsid w:val="00542C2D"/>
    <w:rsid w:val="005441FA"/>
    <w:rsid w:val="005442FE"/>
    <w:rsid w:val="00545D5C"/>
    <w:rsid w:val="005478BD"/>
    <w:rsid w:val="005479E3"/>
    <w:rsid w:val="00551985"/>
    <w:rsid w:val="00552BD3"/>
    <w:rsid w:val="005532A0"/>
    <w:rsid w:val="00554691"/>
    <w:rsid w:val="00554AC5"/>
    <w:rsid w:val="00555109"/>
    <w:rsid w:val="005555DE"/>
    <w:rsid w:val="00556B35"/>
    <w:rsid w:val="0055741A"/>
    <w:rsid w:val="00557534"/>
    <w:rsid w:val="005611B7"/>
    <w:rsid w:val="005618D4"/>
    <w:rsid w:val="005624DF"/>
    <w:rsid w:val="00564638"/>
    <w:rsid w:val="00564E7D"/>
    <w:rsid w:val="00565DF0"/>
    <w:rsid w:val="0056696F"/>
    <w:rsid w:val="00566FA4"/>
    <w:rsid w:val="00570CE9"/>
    <w:rsid w:val="00572269"/>
    <w:rsid w:val="0057244A"/>
    <w:rsid w:val="00572F26"/>
    <w:rsid w:val="00573DAC"/>
    <w:rsid w:val="005750C5"/>
    <w:rsid w:val="005752DE"/>
    <w:rsid w:val="00575D8D"/>
    <w:rsid w:val="00575ECC"/>
    <w:rsid w:val="00576972"/>
    <w:rsid w:val="005777D5"/>
    <w:rsid w:val="00581F6F"/>
    <w:rsid w:val="00583699"/>
    <w:rsid w:val="00584F50"/>
    <w:rsid w:val="00585CDD"/>
    <w:rsid w:val="00587058"/>
    <w:rsid w:val="00590965"/>
    <w:rsid w:val="00591957"/>
    <w:rsid w:val="0059676E"/>
    <w:rsid w:val="00596901"/>
    <w:rsid w:val="00596D4D"/>
    <w:rsid w:val="00596E78"/>
    <w:rsid w:val="00597BF9"/>
    <w:rsid w:val="005A309A"/>
    <w:rsid w:val="005A373D"/>
    <w:rsid w:val="005A3954"/>
    <w:rsid w:val="005A3C3D"/>
    <w:rsid w:val="005A3EBE"/>
    <w:rsid w:val="005B00DF"/>
    <w:rsid w:val="005B0B58"/>
    <w:rsid w:val="005B255F"/>
    <w:rsid w:val="005B3088"/>
    <w:rsid w:val="005B4E53"/>
    <w:rsid w:val="005B5857"/>
    <w:rsid w:val="005B72F5"/>
    <w:rsid w:val="005C11B4"/>
    <w:rsid w:val="005C19C4"/>
    <w:rsid w:val="005C1B83"/>
    <w:rsid w:val="005C25FF"/>
    <w:rsid w:val="005C2D55"/>
    <w:rsid w:val="005C346B"/>
    <w:rsid w:val="005C794D"/>
    <w:rsid w:val="005D044D"/>
    <w:rsid w:val="005D0AA2"/>
    <w:rsid w:val="005D0ABD"/>
    <w:rsid w:val="005D18AD"/>
    <w:rsid w:val="005D26B4"/>
    <w:rsid w:val="005D4DB7"/>
    <w:rsid w:val="005D5018"/>
    <w:rsid w:val="005D5337"/>
    <w:rsid w:val="005D6BAC"/>
    <w:rsid w:val="005D72C2"/>
    <w:rsid w:val="005E0421"/>
    <w:rsid w:val="005E0AE7"/>
    <w:rsid w:val="005E6A84"/>
    <w:rsid w:val="005E6CBC"/>
    <w:rsid w:val="005E6EE7"/>
    <w:rsid w:val="005E72FF"/>
    <w:rsid w:val="005E73C0"/>
    <w:rsid w:val="005F01CE"/>
    <w:rsid w:val="005F12A5"/>
    <w:rsid w:val="005F25D6"/>
    <w:rsid w:val="005F2706"/>
    <w:rsid w:val="005F2C07"/>
    <w:rsid w:val="005F6A8F"/>
    <w:rsid w:val="005F6BB7"/>
    <w:rsid w:val="005F7588"/>
    <w:rsid w:val="005F7C0C"/>
    <w:rsid w:val="006033D4"/>
    <w:rsid w:val="00603DB9"/>
    <w:rsid w:val="00605C30"/>
    <w:rsid w:val="00606FBA"/>
    <w:rsid w:val="00607669"/>
    <w:rsid w:val="006076F4"/>
    <w:rsid w:val="00607AFD"/>
    <w:rsid w:val="00610F59"/>
    <w:rsid w:val="00611789"/>
    <w:rsid w:val="00611A02"/>
    <w:rsid w:val="00612F97"/>
    <w:rsid w:val="0061345D"/>
    <w:rsid w:val="006138DF"/>
    <w:rsid w:val="006152B4"/>
    <w:rsid w:val="0061549B"/>
    <w:rsid w:val="00616802"/>
    <w:rsid w:val="006169CF"/>
    <w:rsid w:val="00617E12"/>
    <w:rsid w:val="00620C25"/>
    <w:rsid w:val="00621477"/>
    <w:rsid w:val="00621890"/>
    <w:rsid w:val="006219FA"/>
    <w:rsid w:val="00621ADA"/>
    <w:rsid w:val="00622135"/>
    <w:rsid w:val="00623F7B"/>
    <w:rsid w:val="00625C17"/>
    <w:rsid w:val="00630D14"/>
    <w:rsid w:val="0063158F"/>
    <w:rsid w:val="00631D6B"/>
    <w:rsid w:val="00632183"/>
    <w:rsid w:val="006330A1"/>
    <w:rsid w:val="0063457C"/>
    <w:rsid w:val="0063479F"/>
    <w:rsid w:val="00634921"/>
    <w:rsid w:val="006353F0"/>
    <w:rsid w:val="006357B5"/>
    <w:rsid w:val="006364A1"/>
    <w:rsid w:val="0063678E"/>
    <w:rsid w:val="00637BFD"/>
    <w:rsid w:val="00641C4E"/>
    <w:rsid w:val="00641EEC"/>
    <w:rsid w:val="00641FB3"/>
    <w:rsid w:val="00642279"/>
    <w:rsid w:val="00642B8C"/>
    <w:rsid w:val="0064434C"/>
    <w:rsid w:val="00644A3C"/>
    <w:rsid w:val="006471CC"/>
    <w:rsid w:val="00647A29"/>
    <w:rsid w:val="00647F43"/>
    <w:rsid w:val="006503C9"/>
    <w:rsid w:val="0065079F"/>
    <w:rsid w:val="006522CC"/>
    <w:rsid w:val="00652A28"/>
    <w:rsid w:val="0065379F"/>
    <w:rsid w:val="00653CB7"/>
    <w:rsid w:val="00654645"/>
    <w:rsid w:val="00656188"/>
    <w:rsid w:val="00656262"/>
    <w:rsid w:val="00656286"/>
    <w:rsid w:val="006566AA"/>
    <w:rsid w:val="0065715A"/>
    <w:rsid w:val="0065791D"/>
    <w:rsid w:val="006610F1"/>
    <w:rsid w:val="006619C4"/>
    <w:rsid w:val="00661C6B"/>
    <w:rsid w:val="0066334F"/>
    <w:rsid w:val="0066460D"/>
    <w:rsid w:val="00664755"/>
    <w:rsid w:val="0066568A"/>
    <w:rsid w:val="006678D1"/>
    <w:rsid w:val="00671004"/>
    <w:rsid w:val="00671C7D"/>
    <w:rsid w:val="00672646"/>
    <w:rsid w:val="00674E42"/>
    <w:rsid w:val="0067508A"/>
    <w:rsid w:val="00675800"/>
    <w:rsid w:val="006767C6"/>
    <w:rsid w:val="006777A5"/>
    <w:rsid w:val="0067784C"/>
    <w:rsid w:val="00680572"/>
    <w:rsid w:val="00680E08"/>
    <w:rsid w:val="006813F8"/>
    <w:rsid w:val="00682112"/>
    <w:rsid w:val="006824CD"/>
    <w:rsid w:val="00682683"/>
    <w:rsid w:val="00682BA6"/>
    <w:rsid w:val="006831D2"/>
    <w:rsid w:val="00684314"/>
    <w:rsid w:val="00686957"/>
    <w:rsid w:val="006872BA"/>
    <w:rsid w:val="006874B5"/>
    <w:rsid w:val="00690795"/>
    <w:rsid w:val="00691648"/>
    <w:rsid w:val="006917D7"/>
    <w:rsid w:val="00691A38"/>
    <w:rsid w:val="0069434C"/>
    <w:rsid w:val="00694F44"/>
    <w:rsid w:val="00696F51"/>
    <w:rsid w:val="006975CB"/>
    <w:rsid w:val="00697929"/>
    <w:rsid w:val="006979A5"/>
    <w:rsid w:val="006A070B"/>
    <w:rsid w:val="006A6B99"/>
    <w:rsid w:val="006A7E5F"/>
    <w:rsid w:val="006B261B"/>
    <w:rsid w:val="006B2C90"/>
    <w:rsid w:val="006B35E6"/>
    <w:rsid w:val="006B3694"/>
    <w:rsid w:val="006B3C27"/>
    <w:rsid w:val="006B465A"/>
    <w:rsid w:val="006B52DB"/>
    <w:rsid w:val="006B6DD0"/>
    <w:rsid w:val="006B78C8"/>
    <w:rsid w:val="006C0399"/>
    <w:rsid w:val="006C2A8E"/>
    <w:rsid w:val="006C3255"/>
    <w:rsid w:val="006C3F26"/>
    <w:rsid w:val="006C4C1A"/>
    <w:rsid w:val="006C5023"/>
    <w:rsid w:val="006C561F"/>
    <w:rsid w:val="006C5C3F"/>
    <w:rsid w:val="006C6AE0"/>
    <w:rsid w:val="006C6D3A"/>
    <w:rsid w:val="006D0D17"/>
    <w:rsid w:val="006D3C7D"/>
    <w:rsid w:val="006D3DDA"/>
    <w:rsid w:val="006D44E7"/>
    <w:rsid w:val="006D4659"/>
    <w:rsid w:val="006D5D5F"/>
    <w:rsid w:val="006D68FB"/>
    <w:rsid w:val="006D7D5C"/>
    <w:rsid w:val="006E2868"/>
    <w:rsid w:val="006E3C91"/>
    <w:rsid w:val="006E567C"/>
    <w:rsid w:val="006E74E2"/>
    <w:rsid w:val="006F0BCD"/>
    <w:rsid w:val="006F0E85"/>
    <w:rsid w:val="006F1A8B"/>
    <w:rsid w:val="006F1C29"/>
    <w:rsid w:val="006F1F0A"/>
    <w:rsid w:val="006F306C"/>
    <w:rsid w:val="006F3105"/>
    <w:rsid w:val="006F63A5"/>
    <w:rsid w:val="007009D3"/>
    <w:rsid w:val="0070142B"/>
    <w:rsid w:val="00702054"/>
    <w:rsid w:val="0070221D"/>
    <w:rsid w:val="00702310"/>
    <w:rsid w:val="0070276E"/>
    <w:rsid w:val="00702F25"/>
    <w:rsid w:val="00702F8F"/>
    <w:rsid w:val="00703DF8"/>
    <w:rsid w:val="007053AE"/>
    <w:rsid w:val="007079FC"/>
    <w:rsid w:val="00710B09"/>
    <w:rsid w:val="00711A36"/>
    <w:rsid w:val="00714C26"/>
    <w:rsid w:val="0071529C"/>
    <w:rsid w:val="007162E9"/>
    <w:rsid w:val="007170DA"/>
    <w:rsid w:val="0071720B"/>
    <w:rsid w:val="007172AD"/>
    <w:rsid w:val="0072012F"/>
    <w:rsid w:val="00720801"/>
    <w:rsid w:val="0072154C"/>
    <w:rsid w:val="007220E7"/>
    <w:rsid w:val="00722B1B"/>
    <w:rsid w:val="00723943"/>
    <w:rsid w:val="0072416F"/>
    <w:rsid w:val="00724318"/>
    <w:rsid w:val="0072451A"/>
    <w:rsid w:val="007245E7"/>
    <w:rsid w:val="00725634"/>
    <w:rsid w:val="00725DEA"/>
    <w:rsid w:val="007264B8"/>
    <w:rsid w:val="00727C94"/>
    <w:rsid w:val="00731B0A"/>
    <w:rsid w:val="00731C62"/>
    <w:rsid w:val="00731EAE"/>
    <w:rsid w:val="00733073"/>
    <w:rsid w:val="00734C48"/>
    <w:rsid w:val="00734E22"/>
    <w:rsid w:val="00735033"/>
    <w:rsid w:val="00735328"/>
    <w:rsid w:val="0073685B"/>
    <w:rsid w:val="00740F1E"/>
    <w:rsid w:val="00741CA6"/>
    <w:rsid w:val="007449BF"/>
    <w:rsid w:val="007454BB"/>
    <w:rsid w:val="00746737"/>
    <w:rsid w:val="00746BC0"/>
    <w:rsid w:val="007510B4"/>
    <w:rsid w:val="00752142"/>
    <w:rsid w:val="007523F9"/>
    <w:rsid w:val="0075357E"/>
    <w:rsid w:val="00755CF1"/>
    <w:rsid w:val="007573E8"/>
    <w:rsid w:val="00760C4E"/>
    <w:rsid w:val="00760F9E"/>
    <w:rsid w:val="007627BE"/>
    <w:rsid w:val="00762FE4"/>
    <w:rsid w:val="00763897"/>
    <w:rsid w:val="0076429C"/>
    <w:rsid w:val="00764F03"/>
    <w:rsid w:val="00765B1A"/>
    <w:rsid w:val="00767F23"/>
    <w:rsid w:val="007707A5"/>
    <w:rsid w:val="00771A81"/>
    <w:rsid w:val="0077213F"/>
    <w:rsid w:val="00772757"/>
    <w:rsid w:val="00777335"/>
    <w:rsid w:val="007806D8"/>
    <w:rsid w:val="00780DC3"/>
    <w:rsid w:val="00780EC7"/>
    <w:rsid w:val="0078211A"/>
    <w:rsid w:val="007836DA"/>
    <w:rsid w:val="00784332"/>
    <w:rsid w:val="007843F2"/>
    <w:rsid w:val="00785A9F"/>
    <w:rsid w:val="007868DB"/>
    <w:rsid w:val="007916CF"/>
    <w:rsid w:val="00791B81"/>
    <w:rsid w:val="007925DF"/>
    <w:rsid w:val="007929E5"/>
    <w:rsid w:val="00793001"/>
    <w:rsid w:val="007934C6"/>
    <w:rsid w:val="0079368C"/>
    <w:rsid w:val="007941F2"/>
    <w:rsid w:val="00796632"/>
    <w:rsid w:val="007A075B"/>
    <w:rsid w:val="007A08AA"/>
    <w:rsid w:val="007A0A12"/>
    <w:rsid w:val="007A132D"/>
    <w:rsid w:val="007A1345"/>
    <w:rsid w:val="007A19F9"/>
    <w:rsid w:val="007A2DDB"/>
    <w:rsid w:val="007A3E77"/>
    <w:rsid w:val="007A53A5"/>
    <w:rsid w:val="007A5F83"/>
    <w:rsid w:val="007A70BA"/>
    <w:rsid w:val="007B0D68"/>
    <w:rsid w:val="007B251D"/>
    <w:rsid w:val="007B4F58"/>
    <w:rsid w:val="007B528D"/>
    <w:rsid w:val="007B63CA"/>
    <w:rsid w:val="007B6952"/>
    <w:rsid w:val="007B6EF1"/>
    <w:rsid w:val="007B77D1"/>
    <w:rsid w:val="007C0471"/>
    <w:rsid w:val="007C07C7"/>
    <w:rsid w:val="007C1719"/>
    <w:rsid w:val="007C1CD9"/>
    <w:rsid w:val="007C32EF"/>
    <w:rsid w:val="007C361D"/>
    <w:rsid w:val="007C4B84"/>
    <w:rsid w:val="007C4F63"/>
    <w:rsid w:val="007C6A1C"/>
    <w:rsid w:val="007C70FF"/>
    <w:rsid w:val="007C7C25"/>
    <w:rsid w:val="007D004F"/>
    <w:rsid w:val="007D0B38"/>
    <w:rsid w:val="007D3415"/>
    <w:rsid w:val="007D43B6"/>
    <w:rsid w:val="007D5440"/>
    <w:rsid w:val="007D5B22"/>
    <w:rsid w:val="007D5C6D"/>
    <w:rsid w:val="007D69EB"/>
    <w:rsid w:val="007D7F51"/>
    <w:rsid w:val="007E128F"/>
    <w:rsid w:val="007E2D22"/>
    <w:rsid w:val="007F036C"/>
    <w:rsid w:val="007F0695"/>
    <w:rsid w:val="007F1017"/>
    <w:rsid w:val="007F31BA"/>
    <w:rsid w:val="007F4A3F"/>
    <w:rsid w:val="007F4A61"/>
    <w:rsid w:val="007F5255"/>
    <w:rsid w:val="007F56CC"/>
    <w:rsid w:val="007F60EB"/>
    <w:rsid w:val="007F61C2"/>
    <w:rsid w:val="00800160"/>
    <w:rsid w:val="00800674"/>
    <w:rsid w:val="008014D0"/>
    <w:rsid w:val="00805142"/>
    <w:rsid w:val="0080546B"/>
    <w:rsid w:val="00805FA2"/>
    <w:rsid w:val="00805FCE"/>
    <w:rsid w:val="008065E3"/>
    <w:rsid w:val="0080708D"/>
    <w:rsid w:val="00807A8B"/>
    <w:rsid w:val="00811383"/>
    <w:rsid w:val="00812149"/>
    <w:rsid w:val="0081277B"/>
    <w:rsid w:val="00812CAC"/>
    <w:rsid w:val="0081578E"/>
    <w:rsid w:val="00816361"/>
    <w:rsid w:val="008166EF"/>
    <w:rsid w:val="008169C6"/>
    <w:rsid w:val="00816DE3"/>
    <w:rsid w:val="00816FEF"/>
    <w:rsid w:val="00820A8C"/>
    <w:rsid w:val="008215FB"/>
    <w:rsid w:val="00822EE9"/>
    <w:rsid w:val="00823174"/>
    <w:rsid w:val="0082361F"/>
    <w:rsid w:val="00825751"/>
    <w:rsid w:val="008264EB"/>
    <w:rsid w:val="00833B05"/>
    <w:rsid w:val="008362B4"/>
    <w:rsid w:val="00837E9C"/>
    <w:rsid w:val="00840CA2"/>
    <w:rsid w:val="008417DA"/>
    <w:rsid w:val="00842EC2"/>
    <w:rsid w:val="0084374F"/>
    <w:rsid w:val="00844456"/>
    <w:rsid w:val="00844A22"/>
    <w:rsid w:val="00844F36"/>
    <w:rsid w:val="00845964"/>
    <w:rsid w:val="00847703"/>
    <w:rsid w:val="00847DF5"/>
    <w:rsid w:val="0085309D"/>
    <w:rsid w:val="00854A9F"/>
    <w:rsid w:val="00855D03"/>
    <w:rsid w:val="00856897"/>
    <w:rsid w:val="00856E9A"/>
    <w:rsid w:val="00857334"/>
    <w:rsid w:val="0086075D"/>
    <w:rsid w:val="00862502"/>
    <w:rsid w:val="00862CC1"/>
    <w:rsid w:val="00864EE6"/>
    <w:rsid w:val="008657B6"/>
    <w:rsid w:val="008660D4"/>
    <w:rsid w:val="00866A18"/>
    <w:rsid w:val="00867539"/>
    <w:rsid w:val="00871FA9"/>
    <w:rsid w:val="008728E9"/>
    <w:rsid w:val="00874EEE"/>
    <w:rsid w:val="00875712"/>
    <w:rsid w:val="008771C3"/>
    <w:rsid w:val="008777C5"/>
    <w:rsid w:val="00877B30"/>
    <w:rsid w:val="00880D01"/>
    <w:rsid w:val="00881838"/>
    <w:rsid w:val="00882874"/>
    <w:rsid w:val="00882E3C"/>
    <w:rsid w:val="00883787"/>
    <w:rsid w:val="008855E4"/>
    <w:rsid w:val="008867C5"/>
    <w:rsid w:val="00886CD2"/>
    <w:rsid w:val="00891A8A"/>
    <w:rsid w:val="00891E6F"/>
    <w:rsid w:val="0089275D"/>
    <w:rsid w:val="00892A36"/>
    <w:rsid w:val="00893239"/>
    <w:rsid w:val="00894489"/>
    <w:rsid w:val="008963A5"/>
    <w:rsid w:val="00896D5D"/>
    <w:rsid w:val="00897100"/>
    <w:rsid w:val="0089764F"/>
    <w:rsid w:val="008A1135"/>
    <w:rsid w:val="008A1F9E"/>
    <w:rsid w:val="008A2109"/>
    <w:rsid w:val="008A2AEB"/>
    <w:rsid w:val="008A3363"/>
    <w:rsid w:val="008A3371"/>
    <w:rsid w:val="008A3C3E"/>
    <w:rsid w:val="008A4140"/>
    <w:rsid w:val="008A4449"/>
    <w:rsid w:val="008A5E2B"/>
    <w:rsid w:val="008A79DE"/>
    <w:rsid w:val="008B1757"/>
    <w:rsid w:val="008B1843"/>
    <w:rsid w:val="008B1E93"/>
    <w:rsid w:val="008B5994"/>
    <w:rsid w:val="008B7992"/>
    <w:rsid w:val="008B7D7E"/>
    <w:rsid w:val="008C23EE"/>
    <w:rsid w:val="008C3B99"/>
    <w:rsid w:val="008C5610"/>
    <w:rsid w:val="008C5739"/>
    <w:rsid w:val="008C7ECB"/>
    <w:rsid w:val="008D0F38"/>
    <w:rsid w:val="008D18C8"/>
    <w:rsid w:val="008D1B81"/>
    <w:rsid w:val="008D22B3"/>
    <w:rsid w:val="008D3B86"/>
    <w:rsid w:val="008D4755"/>
    <w:rsid w:val="008D4A9D"/>
    <w:rsid w:val="008D4C3D"/>
    <w:rsid w:val="008D7055"/>
    <w:rsid w:val="008D743C"/>
    <w:rsid w:val="008D758E"/>
    <w:rsid w:val="008E0D3C"/>
    <w:rsid w:val="008E1B9E"/>
    <w:rsid w:val="008E33F8"/>
    <w:rsid w:val="008E510D"/>
    <w:rsid w:val="008E55AB"/>
    <w:rsid w:val="008E6FD0"/>
    <w:rsid w:val="008E7737"/>
    <w:rsid w:val="008F01E6"/>
    <w:rsid w:val="008F120A"/>
    <w:rsid w:val="008F1832"/>
    <w:rsid w:val="008F2646"/>
    <w:rsid w:val="008F27E0"/>
    <w:rsid w:val="008F3079"/>
    <w:rsid w:val="008F48EB"/>
    <w:rsid w:val="008F4F0B"/>
    <w:rsid w:val="008F5A2D"/>
    <w:rsid w:val="0090039D"/>
    <w:rsid w:val="009046C4"/>
    <w:rsid w:val="00904B3B"/>
    <w:rsid w:val="00905F97"/>
    <w:rsid w:val="00906147"/>
    <w:rsid w:val="009062A5"/>
    <w:rsid w:val="00907E26"/>
    <w:rsid w:val="00910FA7"/>
    <w:rsid w:val="00911272"/>
    <w:rsid w:val="009135D6"/>
    <w:rsid w:val="00914C77"/>
    <w:rsid w:val="00915B8A"/>
    <w:rsid w:val="00916384"/>
    <w:rsid w:val="00921ACB"/>
    <w:rsid w:val="00921F1F"/>
    <w:rsid w:val="00921F81"/>
    <w:rsid w:val="0092230B"/>
    <w:rsid w:val="0092369B"/>
    <w:rsid w:val="0092396A"/>
    <w:rsid w:val="0092720E"/>
    <w:rsid w:val="00927E26"/>
    <w:rsid w:val="00931051"/>
    <w:rsid w:val="009321D7"/>
    <w:rsid w:val="00933C86"/>
    <w:rsid w:val="00934070"/>
    <w:rsid w:val="00934988"/>
    <w:rsid w:val="009357E7"/>
    <w:rsid w:val="00936EBB"/>
    <w:rsid w:val="00937089"/>
    <w:rsid w:val="00944ED1"/>
    <w:rsid w:val="00944F8A"/>
    <w:rsid w:val="00947A1F"/>
    <w:rsid w:val="00947B3E"/>
    <w:rsid w:val="009510A2"/>
    <w:rsid w:val="00953257"/>
    <w:rsid w:val="0095474C"/>
    <w:rsid w:val="0095732F"/>
    <w:rsid w:val="009607C3"/>
    <w:rsid w:val="00962CB9"/>
    <w:rsid w:val="0096328D"/>
    <w:rsid w:val="00964312"/>
    <w:rsid w:val="00965B8A"/>
    <w:rsid w:val="0097071F"/>
    <w:rsid w:val="009717AC"/>
    <w:rsid w:val="0097389D"/>
    <w:rsid w:val="00974706"/>
    <w:rsid w:val="009751C1"/>
    <w:rsid w:val="0097705B"/>
    <w:rsid w:val="009811F1"/>
    <w:rsid w:val="00981892"/>
    <w:rsid w:val="00983E57"/>
    <w:rsid w:val="00985A3F"/>
    <w:rsid w:val="00985DE2"/>
    <w:rsid w:val="0098675D"/>
    <w:rsid w:val="00986924"/>
    <w:rsid w:val="00987B08"/>
    <w:rsid w:val="009912E6"/>
    <w:rsid w:val="009926E0"/>
    <w:rsid w:val="009941D2"/>
    <w:rsid w:val="0099451E"/>
    <w:rsid w:val="00996B1A"/>
    <w:rsid w:val="009A0006"/>
    <w:rsid w:val="009A248D"/>
    <w:rsid w:val="009A252F"/>
    <w:rsid w:val="009A2DCC"/>
    <w:rsid w:val="009A3687"/>
    <w:rsid w:val="009A42D0"/>
    <w:rsid w:val="009A4683"/>
    <w:rsid w:val="009A49AC"/>
    <w:rsid w:val="009A5ABC"/>
    <w:rsid w:val="009A6500"/>
    <w:rsid w:val="009A7F10"/>
    <w:rsid w:val="009B3A8C"/>
    <w:rsid w:val="009B3A95"/>
    <w:rsid w:val="009B3E26"/>
    <w:rsid w:val="009B6596"/>
    <w:rsid w:val="009B6CDD"/>
    <w:rsid w:val="009C0C79"/>
    <w:rsid w:val="009C3706"/>
    <w:rsid w:val="009C3A3A"/>
    <w:rsid w:val="009C448A"/>
    <w:rsid w:val="009C44D0"/>
    <w:rsid w:val="009C5FA4"/>
    <w:rsid w:val="009C6CEA"/>
    <w:rsid w:val="009C7B85"/>
    <w:rsid w:val="009D006C"/>
    <w:rsid w:val="009D0254"/>
    <w:rsid w:val="009D1A64"/>
    <w:rsid w:val="009D2009"/>
    <w:rsid w:val="009D5B91"/>
    <w:rsid w:val="009D7217"/>
    <w:rsid w:val="009D792E"/>
    <w:rsid w:val="009D7CA5"/>
    <w:rsid w:val="009E0DFE"/>
    <w:rsid w:val="009E1246"/>
    <w:rsid w:val="009E31F6"/>
    <w:rsid w:val="009E3C05"/>
    <w:rsid w:val="009E3D0A"/>
    <w:rsid w:val="009E4151"/>
    <w:rsid w:val="009E4C07"/>
    <w:rsid w:val="009E4E1A"/>
    <w:rsid w:val="009E583B"/>
    <w:rsid w:val="009E6BD5"/>
    <w:rsid w:val="009E6E0F"/>
    <w:rsid w:val="009F0DFA"/>
    <w:rsid w:val="009F7F10"/>
    <w:rsid w:val="00A00E08"/>
    <w:rsid w:val="00A01184"/>
    <w:rsid w:val="00A037C2"/>
    <w:rsid w:val="00A03859"/>
    <w:rsid w:val="00A03B99"/>
    <w:rsid w:val="00A03D43"/>
    <w:rsid w:val="00A04380"/>
    <w:rsid w:val="00A049A2"/>
    <w:rsid w:val="00A05472"/>
    <w:rsid w:val="00A05C32"/>
    <w:rsid w:val="00A0653F"/>
    <w:rsid w:val="00A07006"/>
    <w:rsid w:val="00A075D1"/>
    <w:rsid w:val="00A07A1B"/>
    <w:rsid w:val="00A113C0"/>
    <w:rsid w:val="00A11CD0"/>
    <w:rsid w:val="00A12036"/>
    <w:rsid w:val="00A120E8"/>
    <w:rsid w:val="00A136B2"/>
    <w:rsid w:val="00A13948"/>
    <w:rsid w:val="00A14A5F"/>
    <w:rsid w:val="00A1524B"/>
    <w:rsid w:val="00A1555B"/>
    <w:rsid w:val="00A155C5"/>
    <w:rsid w:val="00A16104"/>
    <w:rsid w:val="00A16AD8"/>
    <w:rsid w:val="00A21C95"/>
    <w:rsid w:val="00A21CF3"/>
    <w:rsid w:val="00A24813"/>
    <w:rsid w:val="00A254BB"/>
    <w:rsid w:val="00A2753C"/>
    <w:rsid w:val="00A27AEC"/>
    <w:rsid w:val="00A3147E"/>
    <w:rsid w:val="00A318E5"/>
    <w:rsid w:val="00A320DB"/>
    <w:rsid w:val="00A325AF"/>
    <w:rsid w:val="00A33324"/>
    <w:rsid w:val="00A338F4"/>
    <w:rsid w:val="00A35D16"/>
    <w:rsid w:val="00A379B1"/>
    <w:rsid w:val="00A37BCD"/>
    <w:rsid w:val="00A37FC3"/>
    <w:rsid w:val="00A4133C"/>
    <w:rsid w:val="00A41689"/>
    <w:rsid w:val="00A42592"/>
    <w:rsid w:val="00A43470"/>
    <w:rsid w:val="00A43C59"/>
    <w:rsid w:val="00A446AD"/>
    <w:rsid w:val="00A44802"/>
    <w:rsid w:val="00A46649"/>
    <w:rsid w:val="00A50ECD"/>
    <w:rsid w:val="00A518F3"/>
    <w:rsid w:val="00A51AC2"/>
    <w:rsid w:val="00A52729"/>
    <w:rsid w:val="00A53675"/>
    <w:rsid w:val="00A541DD"/>
    <w:rsid w:val="00A54474"/>
    <w:rsid w:val="00A54CE8"/>
    <w:rsid w:val="00A564D7"/>
    <w:rsid w:val="00A56B6A"/>
    <w:rsid w:val="00A56F46"/>
    <w:rsid w:val="00A578DC"/>
    <w:rsid w:val="00A63A51"/>
    <w:rsid w:val="00A640E2"/>
    <w:rsid w:val="00A64D65"/>
    <w:rsid w:val="00A661D2"/>
    <w:rsid w:val="00A66841"/>
    <w:rsid w:val="00A6725B"/>
    <w:rsid w:val="00A6774A"/>
    <w:rsid w:val="00A70605"/>
    <w:rsid w:val="00A73134"/>
    <w:rsid w:val="00A74BD3"/>
    <w:rsid w:val="00A759C8"/>
    <w:rsid w:val="00A76001"/>
    <w:rsid w:val="00A76338"/>
    <w:rsid w:val="00A777B2"/>
    <w:rsid w:val="00A825D4"/>
    <w:rsid w:val="00A828F6"/>
    <w:rsid w:val="00A82B73"/>
    <w:rsid w:val="00A84D04"/>
    <w:rsid w:val="00A84DAF"/>
    <w:rsid w:val="00A86E8B"/>
    <w:rsid w:val="00A87164"/>
    <w:rsid w:val="00A93072"/>
    <w:rsid w:val="00A938BD"/>
    <w:rsid w:val="00A93953"/>
    <w:rsid w:val="00A94204"/>
    <w:rsid w:val="00A94C13"/>
    <w:rsid w:val="00A959D8"/>
    <w:rsid w:val="00A95C4D"/>
    <w:rsid w:val="00AA0B0C"/>
    <w:rsid w:val="00AA113D"/>
    <w:rsid w:val="00AA2DAA"/>
    <w:rsid w:val="00AA554C"/>
    <w:rsid w:val="00AA6129"/>
    <w:rsid w:val="00AA6BD5"/>
    <w:rsid w:val="00AA6BD8"/>
    <w:rsid w:val="00AA6C7D"/>
    <w:rsid w:val="00AA7787"/>
    <w:rsid w:val="00AA7C3A"/>
    <w:rsid w:val="00AA7FD6"/>
    <w:rsid w:val="00AB042A"/>
    <w:rsid w:val="00AB1272"/>
    <w:rsid w:val="00AB19EF"/>
    <w:rsid w:val="00AB25CB"/>
    <w:rsid w:val="00AB2D34"/>
    <w:rsid w:val="00AB3430"/>
    <w:rsid w:val="00AB37B9"/>
    <w:rsid w:val="00AB40B1"/>
    <w:rsid w:val="00AB4AD1"/>
    <w:rsid w:val="00AB555E"/>
    <w:rsid w:val="00AB5E07"/>
    <w:rsid w:val="00AB74EC"/>
    <w:rsid w:val="00AB7BE5"/>
    <w:rsid w:val="00AB7CFA"/>
    <w:rsid w:val="00AC0F24"/>
    <w:rsid w:val="00AC164B"/>
    <w:rsid w:val="00AC23B1"/>
    <w:rsid w:val="00AC2450"/>
    <w:rsid w:val="00AC4BFB"/>
    <w:rsid w:val="00AC5B48"/>
    <w:rsid w:val="00AC5F18"/>
    <w:rsid w:val="00AC6B01"/>
    <w:rsid w:val="00AC6D26"/>
    <w:rsid w:val="00AD1450"/>
    <w:rsid w:val="00AD6502"/>
    <w:rsid w:val="00AD724C"/>
    <w:rsid w:val="00AD7855"/>
    <w:rsid w:val="00AE0695"/>
    <w:rsid w:val="00AE079E"/>
    <w:rsid w:val="00AE1A04"/>
    <w:rsid w:val="00AE1CC1"/>
    <w:rsid w:val="00AE36B2"/>
    <w:rsid w:val="00AE3E41"/>
    <w:rsid w:val="00AE3E7E"/>
    <w:rsid w:val="00AE4E30"/>
    <w:rsid w:val="00AE61B8"/>
    <w:rsid w:val="00AF0588"/>
    <w:rsid w:val="00AF1315"/>
    <w:rsid w:val="00AF19BF"/>
    <w:rsid w:val="00AF1B0A"/>
    <w:rsid w:val="00AF2DC3"/>
    <w:rsid w:val="00B02245"/>
    <w:rsid w:val="00B02533"/>
    <w:rsid w:val="00B02C1F"/>
    <w:rsid w:val="00B033E5"/>
    <w:rsid w:val="00B03A63"/>
    <w:rsid w:val="00B0542E"/>
    <w:rsid w:val="00B0641A"/>
    <w:rsid w:val="00B07119"/>
    <w:rsid w:val="00B07249"/>
    <w:rsid w:val="00B07347"/>
    <w:rsid w:val="00B07C1B"/>
    <w:rsid w:val="00B201A4"/>
    <w:rsid w:val="00B201D1"/>
    <w:rsid w:val="00B213A6"/>
    <w:rsid w:val="00B227E6"/>
    <w:rsid w:val="00B231AC"/>
    <w:rsid w:val="00B235B0"/>
    <w:rsid w:val="00B24069"/>
    <w:rsid w:val="00B24DF6"/>
    <w:rsid w:val="00B26795"/>
    <w:rsid w:val="00B27C95"/>
    <w:rsid w:val="00B3008E"/>
    <w:rsid w:val="00B33AA4"/>
    <w:rsid w:val="00B340BF"/>
    <w:rsid w:val="00B340FF"/>
    <w:rsid w:val="00B34FE2"/>
    <w:rsid w:val="00B35166"/>
    <w:rsid w:val="00B357D8"/>
    <w:rsid w:val="00B360F4"/>
    <w:rsid w:val="00B36612"/>
    <w:rsid w:val="00B36A00"/>
    <w:rsid w:val="00B36FC8"/>
    <w:rsid w:val="00B37BFC"/>
    <w:rsid w:val="00B40358"/>
    <w:rsid w:val="00B41239"/>
    <w:rsid w:val="00B41614"/>
    <w:rsid w:val="00B42851"/>
    <w:rsid w:val="00B42F80"/>
    <w:rsid w:val="00B435CB"/>
    <w:rsid w:val="00B447D9"/>
    <w:rsid w:val="00B454C4"/>
    <w:rsid w:val="00B4699A"/>
    <w:rsid w:val="00B505C8"/>
    <w:rsid w:val="00B50718"/>
    <w:rsid w:val="00B50DB8"/>
    <w:rsid w:val="00B51EBA"/>
    <w:rsid w:val="00B53654"/>
    <w:rsid w:val="00B53905"/>
    <w:rsid w:val="00B53BCA"/>
    <w:rsid w:val="00B545EA"/>
    <w:rsid w:val="00B54729"/>
    <w:rsid w:val="00B54B5B"/>
    <w:rsid w:val="00B5562E"/>
    <w:rsid w:val="00B55862"/>
    <w:rsid w:val="00B55D65"/>
    <w:rsid w:val="00B57000"/>
    <w:rsid w:val="00B57485"/>
    <w:rsid w:val="00B60939"/>
    <w:rsid w:val="00B60AFD"/>
    <w:rsid w:val="00B6144E"/>
    <w:rsid w:val="00B62715"/>
    <w:rsid w:val="00B65611"/>
    <w:rsid w:val="00B65970"/>
    <w:rsid w:val="00B67C73"/>
    <w:rsid w:val="00B706D8"/>
    <w:rsid w:val="00B70E8E"/>
    <w:rsid w:val="00B74BC0"/>
    <w:rsid w:val="00B75B34"/>
    <w:rsid w:val="00B75F75"/>
    <w:rsid w:val="00B76C92"/>
    <w:rsid w:val="00B7789C"/>
    <w:rsid w:val="00B80B85"/>
    <w:rsid w:val="00B818A4"/>
    <w:rsid w:val="00B81D45"/>
    <w:rsid w:val="00B8280D"/>
    <w:rsid w:val="00B84117"/>
    <w:rsid w:val="00B858F0"/>
    <w:rsid w:val="00B85AA2"/>
    <w:rsid w:val="00B8649C"/>
    <w:rsid w:val="00B8695D"/>
    <w:rsid w:val="00B869C9"/>
    <w:rsid w:val="00B86E95"/>
    <w:rsid w:val="00B87F0A"/>
    <w:rsid w:val="00B90C77"/>
    <w:rsid w:val="00B92D0B"/>
    <w:rsid w:val="00B94945"/>
    <w:rsid w:val="00B949A3"/>
    <w:rsid w:val="00B94DD6"/>
    <w:rsid w:val="00B95333"/>
    <w:rsid w:val="00B976D4"/>
    <w:rsid w:val="00BA251A"/>
    <w:rsid w:val="00BA322D"/>
    <w:rsid w:val="00BA5A95"/>
    <w:rsid w:val="00BA63FA"/>
    <w:rsid w:val="00BA6572"/>
    <w:rsid w:val="00BA6A5B"/>
    <w:rsid w:val="00BA6F14"/>
    <w:rsid w:val="00BA703B"/>
    <w:rsid w:val="00BB00B3"/>
    <w:rsid w:val="00BB0BDD"/>
    <w:rsid w:val="00BB176C"/>
    <w:rsid w:val="00BB2A73"/>
    <w:rsid w:val="00BB3A45"/>
    <w:rsid w:val="00BB4966"/>
    <w:rsid w:val="00BB4ACC"/>
    <w:rsid w:val="00BB4FFC"/>
    <w:rsid w:val="00BB6093"/>
    <w:rsid w:val="00BB703E"/>
    <w:rsid w:val="00BB732D"/>
    <w:rsid w:val="00BB7405"/>
    <w:rsid w:val="00BC11F3"/>
    <w:rsid w:val="00BC31CD"/>
    <w:rsid w:val="00BC3631"/>
    <w:rsid w:val="00BC527A"/>
    <w:rsid w:val="00BC591F"/>
    <w:rsid w:val="00BC7D6D"/>
    <w:rsid w:val="00BD1E35"/>
    <w:rsid w:val="00BD2108"/>
    <w:rsid w:val="00BD395E"/>
    <w:rsid w:val="00BD5105"/>
    <w:rsid w:val="00BD5BE1"/>
    <w:rsid w:val="00BD5E32"/>
    <w:rsid w:val="00BD68A3"/>
    <w:rsid w:val="00BD6938"/>
    <w:rsid w:val="00BD6CF3"/>
    <w:rsid w:val="00BE0ECA"/>
    <w:rsid w:val="00BE20C5"/>
    <w:rsid w:val="00BE2180"/>
    <w:rsid w:val="00BE21F2"/>
    <w:rsid w:val="00BE326D"/>
    <w:rsid w:val="00BE4275"/>
    <w:rsid w:val="00BE4D4F"/>
    <w:rsid w:val="00BE69FA"/>
    <w:rsid w:val="00BE6CB2"/>
    <w:rsid w:val="00BE75B6"/>
    <w:rsid w:val="00BF06AE"/>
    <w:rsid w:val="00BF0F95"/>
    <w:rsid w:val="00BF2433"/>
    <w:rsid w:val="00BF4523"/>
    <w:rsid w:val="00BF603D"/>
    <w:rsid w:val="00BF61C9"/>
    <w:rsid w:val="00BF6363"/>
    <w:rsid w:val="00BF6C94"/>
    <w:rsid w:val="00C00424"/>
    <w:rsid w:val="00C02160"/>
    <w:rsid w:val="00C04645"/>
    <w:rsid w:val="00C101AC"/>
    <w:rsid w:val="00C101D5"/>
    <w:rsid w:val="00C10D79"/>
    <w:rsid w:val="00C11078"/>
    <w:rsid w:val="00C1179F"/>
    <w:rsid w:val="00C12C14"/>
    <w:rsid w:val="00C12C59"/>
    <w:rsid w:val="00C12CB5"/>
    <w:rsid w:val="00C1319B"/>
    <w:rsid w:val="00C138F3"/>
    <w:rsid w:val="00C1476B"/>
    <w:rsid w:val="00C15F04"/>
    <w:rsid w:val="00C179B3"/>
    <w:rsid w:val="00C17E3F"/>
    <w:rsid w:val="00C200AA"/>
    <w:rsid w:val="00C22688"/>
    <w:rsid w:val="00C237ED"/>
    <w:rsid w:val="00C24632"/>
    <w:rsid w:val="00C25418"/>
    <w:rsid w:val="00C25D9C"/>
    <w:rsid w:val="00C2778B"/>
    <w:rsid w:val="00C303D3"/>
    <w:rsid w:val="00C31649"/>
    <w:rsid w:val="00C34321"/>
    <w:rsid w:val="00C3434C"/>
    <w:rsid w:val="00C35487"/>
    <w:rsid w:val="00C40385"/>
    <w:rsid w:val="00C41768"/>
    <w:rsid w:val="00C41BE0"/>
    <w:rsid w:val="00C42948"/>
    <w:rsid w:val="00C42F0A"/>
    <w:rsid w:val="00C46FAF"/>
    <w:rsid w:val="00C4724D"/>
    <w:rsid w:val="00C475AA"/>
    <w:rsid w:val="00C509E1"/>
    <w:rsid w:val="00C5132B"/>
    <w:rsid w:val="00C53C98"/>
    <w:rsid w:val="00C55974"/>
    <w:rsid w:val="00C56B3B"/>
    <w:rsid w:val="00C56FCF"/>
    <w:rsid w:val="00C57B6C"/>
    <w:rsid w:val="00C609DE"/>
    <w:rsid w:val="00C61F06"/>
    <w:rsid w:val="00C623D7"/>
    <w:rsid w:val="00C628A6"/>
    <w:rsid w:val="00C636B5"/>
    <w:rsid w:val="00C64344"/>
    <w:rsid w:val="00C65108"/>
    <w:rsid w:val="00C65576"/>
    <w:rsid w:val="00C66165"/>
    <w:rsid w:val="00C7060A"/>
    <w:rsid w:val="00C7151A"/>
    <w:rsid w:val="00C7165F"/>
    <w:rsid w:val="00C717E3"/>
    <w:rsid w:val="00C71F60"/>
    <w:rsid w:val="00C71FC5"/>
    <w:rsid w:val="00C72241"/>
    <w:rsid w:val="00C750C8"/>
    <w:rsid w:val="00C7560F"/>
    <w:rsid w:val="00C80A0E"/>
    <w:rsid w:val="00C81ABE"/>
    <w:rsid w:val="00C81CA9"/>
    <w:rsid w:val="00C82021"/>
    <w:rsid w:val="00C8213F"/>
    <w:rsid w:val="00C82249"/>
    <w:rsid w:val="00C82259"/>
    <w:rsid w:val="00C84A3A"/>
    <w:rsid w:val="00C85154"/>
    <w:rsid w:val="00C854E3"/>
    <w:rsid w:val="00C85B4F"/>
    <w:rsid w:val="00C8797A"/>
    <w:rsid w:val="00C900B8"/>
    <w:rsid w:val="00C90735"/>
    <w:rsid w:val="00C90C71"/>
    <w:rsid w:val="00C91799"/>
    <w:rsid w:val="00C91FD1"/>
    <w:rsid w:val="00C931CF"/>
    <w:rsid w:val="00C938CF"/>
    <w:rsid w:val="00C94053"/>
    <w:rsid w:val="00C949ED"/>
    <w:rsid w:val="00C94B99"/>
    <w:rsid w:val="00C9624D"/>
    <w:rsid w:val="00C969DA"/>
    <w:rsid w:val="00CA0DEF"/>
    <w:rsid w:val="00CA2C77"/>
    <w:rsid w:val="00CA3514"/>
    <w:rsid w:val="00CA3909"/>
    <w:rsid w:val="00CA444F"/>
    <w:rsid w:val="00CA5245"/>
    <w:rsid w:val="00CA63E5"/>
    <w:rsid w:val="00CA71F4"/>
    <w:rsid w:val="00CA7B09"/>
    <w:rsid w:val="00CB12A5"/>
    <w:rsid w:val="00CB1CAC"/>
    <w:rsid w:val="00CB2F2A"/>
    <w:rsid w:val="00CB5B1A"/>
    <w:rsid w:val="00CB6B22"/>
    <w:rsid w:val="00CB7F5F"/>
    <w:rsid w:val="00CC019B"/>
    <w:rsid w:val="00CC0749"/>
    <w:rsid w:val="00CC0BA3"/>
    <w:rsid w:val="00CC0D10"/>
    <w:rsid w:val="00CC1505"/>
    <w:rsid w:val="00CC1B39"/>
    <w:rsid w:val="00CC35EA"/>
    <w:rsid w:val="00CC3848"/>
    <w:rsid w:val="00CC4D4A"/>
    <w:rsid w:val="00CD3F77"/>
    <w:rsid w:val="00CD677E"/>
    <w:rsid w:val="00CD68EB"/>
    <w:rsid w:val="00CD6ADC"/>
    <w:rsid w:val="00CD7193"/>
    <w:rsid w:val="00CE1499"/>
    <w:rsid w:val="00CE173F"/>
    <w:rsid w:val="00CE371A"/>
    <w:rsid w:val="00CE38C8"/>
    <w:rsid w:val="00CE6274"/>
    <w:rsid w:val="00CE77B6"/>
    <w:rsid w:val="00CE77D6"/>
    <w:rsid w:val="00CE7E65"/>
    <w:rsid w:val="00CF2B8D"/>
    <w:rsid w:val="00CF2FF6"/>
    <w:rsid w:val="00CF456B"/>
    <w:rsid w:val="00CF5A22"/>
    <w:rsid w:val="00CF6726"/>
    <w:rsid w:val="00D0043F"/>
    <w:rsid w:val="00D0262E"/>
    <w:rsid w:val="00D05E3D"/>
    <w:rsid w:val="00D06139"/>
    <w:rsid w:val="00D110BD"/>
    <w:rsid w:val="00D11E25"/>
    <w:rsid w:val="00D131C2"/>
    <w:rsid w:val="00D13675"/>
    <w:rsid w:val="00D141E1"/>
    <w:rsid w:val="00D145D5"/>
    <w:rsid w:val="00D14D83"/>
    <w:rsid w:val="00D15314"/>
    <w:rsid w:val="00D16470"/>
    <w:rsid w:val="00D17BC5"/>
    <w:rsid w:val="00D17D6C"/>
    <w:rsid w:val="00D2155B"/>
    <w:rsid w:val="00D23D11"/>
    <w:rsid w:val="00D2443F"/>
    <w:rsid w:val="00D244B6"/>
    <w:rsid w:val="00D259EE"/>
    <w:rsid w:val="00D271EA"/>
    <w:rsid w:val="00D2754D"/>
    <w:rsid w:val="00D27B27"/>
    <w:rsid w:val="00D312B8"/>
    <w:rsid w:val="00D31E02"/>
    <w:rsid w:val="00D32CDC"/>
    <w:rsid w:val="00D33AC4"/>
    <w:rsid w:val="00D33BE9"/>
    <w:rsid w:val="00D33F93"/>
    <w:rsid w:val="00D341C1"/>
    <w:rsid w:val="00D357FF"/>
    <w:rsid w:val="00D40547"/>
    <w:rsid w:val="00D41AA6"/>
    <w:rsid w:val="00D424C7"/>
    <w:rsid w:val="00D43B2A"/>
    <w:rsid w:val="00D43D83"/>
    <w:rsid w:val="00D44769"/>
    <w:rsid w:val="00D465AD"/>
    <w:rsid w:val="00D47575"/>
    <w:rsid w:val="00D50A36"/>
    <w:rsid w:val="00D51C9F"/>
    <w:rsid w:val="00D5243B"/>
    <w:rsid w:val="00D533EC"/>
    <w:rsid w:val="00D5618A"/>
    <w:rsid w:val="00D56A95"/>
    <w:rsid w:val="00D57C5E"/>
    <w:rsid w:val="00D70F16"/>
    <w:rsid w:val="00D72C12"/>
    <w:rsid w:val="00D72F57"/>
    <w:rsid w:val="00D74BD2"/>
    <w:rsid w:val="00D76A44"/>
    <w:rsid w:val="00D8043F"/>
    <w:rsid w:val="00D815EF"/>
    <w:rsid w:val="00D81F26"/>
    <w:rsid w:val="00D82ED4"/>
    <w:rsid w:val="00D840C3"/>
    <w:rsid w:val="00D852EB"/>
    <w:rsid w:val="00D85BC0"/>
    <w:rsid w:val="00D86231"/>
    <w:rsid w:val="00D8633B"/>
    <w:rsid w:val="00D90802"/>
    <w:rsid w:val="00D9117B"/>
    <w:rsid w:val="00D91923"/>
    <w:rsid w:val="00D91B8B"/>
    <w:rsid w:val="00D93753"/>
    <w:rsid w:val="00D95E8A"/>
    <w:rsid w:val="00D97211"/>
    <w:rsid w:val="00D97D81"/>
    <w:rsid w:val="00DA2FEF"/>
    <w:rsid w:val="00DA3167"/>
    <w:rsid w:val="00DA4DC3"/>
    <w:rsid w:val="00DA56B7"/>
    <w:rsid w:val="00DA660D"/>
    <w:rsid w:val="00DA66F0"/>
    <w:rsid w:val="00DA77A5"/>
    <w:rsid w:val="00DB137C"/>
    <w:rsid w:val="00DB3DBF"/>
    <w:rsid w:val="00DB4127"/>
    <w:rsid w:val="00DB484F"/>
    <w:rsid w:val="00DB5AD6"/>
    <w:rsid w:val="00DB66ED"/>
    <w:rsid w:val="00DC04F6"/>
    <w:rsid w:val="00DC0690"/>
    <w:rsid w:val="00DC1D65"/>
    <w:rsid w:val="00DC3C57"/>
    <w:rsid w:val="00DC501A"/>
    <w:rsid w:val="00DC5501"/>
    <w:rsid w:val="00DC6AB7"/>
    <w:rsid w:val="00DC7154"/>
    <w:rsid w:val="00DC762D"/>
    <w:rsid w:val="00DC7E8A"/>
    <w:rsid w:val="00DD03E9"/>
    <w:rsid w:val="00DD0F78"/>
    <w:rsid w:val="00DD273C"/>
    <w:rsid w:val="00DD30C2"/>
    <w:rsid w:val="00DD3AD8"/>
    <w:rsid w:val="00DD3F28"/>
    <w:rsid w:val="00DD3FCA"/>
    <w:rsid w:val="00DD4537"/>
    <w:rsid w:val="00DD4E15"/>
    <w:rsid w:val="00DD5E96"/>
    <w:rsid w:val="00DD7DF9"/>
    <w:rsid w:val="00DE0669"/>
    <w:rsid w:val="00DE1F70"/>
    <w:rsid w:val="00DE2304"/>
    <w:rsid w:val="00DE2475"/>
    <w:rsid w:val="00DE2A17"/>
    <w:rsid w:val="00DE3138"/>
    <w:rsid w:val="00DE37F8"/>
    <w:rsid w:val="00DE3BA5"/>
    <w:rsid w:val="00DE4EB5"/>
    <w:rsid w:val="00DE4FCB"/>
    <w:rsid w:val="00DE5527"/>
    <w:rsid w:val="00DE560D"/>
    <w:rsid w:val="00DE5BAB"/>
    <w:rsid w:val="00DE5D07"/>
    <w:rsid w:val="00DE6228"/>
    <w:rsid w:val="00DE7054"/>
    <w:rsid w:val="00DE72A7"/>
    <w:rsid w:val="00DE7832"/>
    <w:rsid w:val="00DF18FC"/>
    <w:rsid w:val="00DF1B18"/>
    <w:rsid w:val="00DF5D2B"/>
    <w:rsid w:val="00DF63B6"/>
    <w:rsid w:val="00DF6B22"/>
    <w:rsid w:val="00E00E8E"/>
    <w:rsid w:val="00E01510"/>
    <w:rsid w:val="00E048E2"/>
    <w:rsid w:val="00E05630"/>
    <w:rsid w:val="00E06DBB"/>
    <w:rsid w:val="00E07903"/>
    <w:rsid w:val="00E10149"/>
    <w:rsid w:val="00E11340"/>
    <w:rsid w:val="00E122A1"/>
    <w:rsid w:val="00E16372"/>
    <w:rsid w:val="00E16F8F"/>
    <w:rsid w:val="00E172C8"/>
    <w:rsid w:val="00E204B7"/>
    <w:rsid w:val="00E20CB2"/>
    <w:rsid w:val="00E20DF5"/>
    <w:rsid w:val="00E20E4D"/>
    <w:rsid w:val="00E20ED6"/>
    <w:rsid w:val="00E21358"/>
    <w:rsid w:val="00E2249B"/>
    <w:rsid w:val="00E22A0D"/>
    <w:rsid w:val="00E244F6"/>
    <w:rsid w:val="00E25376"/>
    <w:rsid w:val="00E25856"/>
    <w:rsid w:val="00E26F62"/>
    <w:rsid w:val="00E27152"/>
    <w:rsid w:val="00E2771E"/>
    <w:rsid w:val="00E311EF"/>
    <w:rsid w:val="00E32180"/>
    <w:rsid w:val="00E345FE"/>
    <w:rsid w:val="00E34948"/>
    <w:rsid w:val="00E37569"/>
    <w:rsid w:val="00E401B2"/>
    <w:rsid w:val="00E41E30"/>
    <w:rsid w:val="00E42F73"/>
    <w:rsid w:val="00E43D70"/>
    <w:rsid w:val="00E451EA"/>
    <w:rsid w:val="00E466F3"/>
    <w:rsid w:val="00E47B2C"/>
    <w:rsid w:val="00E51560"/>
    <w:rsid w:val="00E51C95"/>
    <w:rsid w:val="00E528DF"/>
    <w:rsid w:val="00E52BFC"/>
    <w:rsid w:val="00E53FC8"/>
    <w:rsid w:val="00E54347"/>
    <w:rsid w:val="00E55424"/>
    <w:rsid w:val="00E55915"/>
    <w:rsid w:val="00E55A58"/>
    <w:rsid w:val="00E55BB5"/>
    <w:rsid w:val="00E55D5F"/>
    <w:rsid w:val="00E60DB6"/>
    <w:rsid w:val="00E622E0"/>
    <w:rsid w:val="00E633B3"/>
    <w:rsid w:val="00E63B0C"/>
    <w:rsid w:val="00E65E79"/>
    <w:rsid w:val="00E66BA2"/>
    <w:rsid w:val="00E67416"/>
    <w:rsid w:val="00E67C69"/>
    <w:rsid w:val="00E718B6"/>
    <w:rsid w:val="00E723BA"/>
    <w:rsid w:val="00E72C5D"/>
    <w:rsid w:val="00E73581"/>
    <w:rsid w:val="00E82CC3"/>
    <w:rsid w:val="00E833F7"/>
    <w:rsid w:val="00E83BDF"/>
    <w:rsid w:val="00E83D9F"/>
    <w:rsid w:val="00E848BA"/>
    <w:rsid w:val="00E85F56"/>
    <w:rsid w:val="00E87A1D"/>
    <w:rsid w:val="00E87B9D"/>
    <w:rsid w:val="00E87FC9"/>
    <w:rsid w:val="00E9094A"/>
    <w:rsid w:val="00E90B36"/>
    <w:rsid w:val="00E90F0F"/>
    <w:rsid w:val="00E91D35"/>
    <w:rsid w:val="00E926A5"/>
    <w:rsid w:val="00E936FB"/>
    <w:rsid w:val="00EA17C3"/>
    <w:rsid w:val="00EA2CAA"/>
    <w:rsid w:val="00EA3864"/>
    <w:rsid w:val="00EA3B16"/>
    <w:rsid w:val="00EA47EB"/>
    <w:rsid w:val="00EA4852"/>
    <w:rsid w:val="00EA67A3"/>
    <w:rsid w:val="00EA7F1C"/>
    <w:rsid w:val="00EB0B41"/>
    <w:rsid w:val="00EB15B6"/>
    <w:rsid w:val="00EB20C8"/>
    <w:rsid w:val="00EB35CE"/>
    <w:rsid w:val="00EB3D06"/>
    <w:rsid w:val="00EB4192"/>
    <w:rsid w:val="00EB4916"/>
    <w:rsid w:val="00EB5A3A"/>
    <w:rsid w:val="00EB5B17"/>
    <w:rsid w:val="00EB7610"/>
    <w:rsid w:val="00EC00C9"/>
    <w:rsid w:val="00EC0ABA"/>
    <w:rsid w:val="00EC0DD9"/>
    <w:rsid w:val="00EC2649"/>
    <w:rsid w:val="00EC31ED"/>
    <w:rsid w:val="00EC5836"/>
    <w:rsid w:val="00EC6503"/>
    <w:rsid w:val="00EC688C"/>
    <w:rsid w:val="00EC6A44"/>
    <w:rsid w:val="00EC7978"/>
    <w:rsid w:val="00ED29E4"/>
    <w:rsid w:val="00ED2C44"/>
    <w:rsid w:val="00ED34C4"/>
    <w:rsid w:val="00ED57EA"/>
    <w:rsid w:val="00ED5BD4"/>
    <w:rsid w:val="00ED732C"/>
    <w:rsid w:val="00ED7910"/>
    <w:rsid w:val="00EE07D3"/>
    <w:rsid w:val="00EE1996"/>
    <w:rsid w:val="00EE1C01"/>
    <w:rsid w:val="00EE1CDC"/>
    <w:rsid w:val="00EE22AF"/>
    <w:rsid w:val="00EF0171"/>
    <w:rsid w:val="00EF0B3B"/>
    <w:rsid w:val="00EF1B25"/>
    <w:rsid w:val="00EF1DA0"/>
    <w:rsid w:val="00EF4747"/>
    <w:rsid w:val="00EF4BF8"/>
    <w:rsid w:val="00EF55D4"/>
    <w:rsid w:val="00EF59B3"/>
    <w:rsid w:val="00EF6F40"/>
    <w:rsid w:val="00EF76D7"/>
    <w:rsid w:val="00F01F66"/>
    <w:rsid w:val="00F02253"/>
    <w:rsid w:val="00F0251A"/>
    <w:rsid w:val="00F033AC"/>
    <w:rsid w:val="00F03C2E"/>
    <w:rsid w:val="00F040AC"/>
    <w:rsid w:val="00F04A66"/>
    <w:rsid w:val="00F04B4B"/>
    <w:rsid w:val="00F0516C"/>
    <w:rsid w:val="00F053F7"/>
    <w:rsid w:val="00F067A2"/>
    <w:rsid w:val="00F07B9E"/>
    <w:rsid w:val="00F104CA"/>
    <w:rsid w:val="00F10641"/>
    <w:rsid w:val="00F1116F"/>
    <w:rsid w:val="00F12286"/>
    <w:rsid w:val="00F1263A"/>
    <w:rsid w:val="00F1273A"/>
    <w:rsid w:val="00F15B77"/>
    <w:rsid w:val="00F17FB2"/>
    <w:rsid w:val="00F212AF"/>
    <w:rsid w:val="00F21495"/>
    <w:rsid w:val="00F24837"/>
    <w:rsid w:val="00F2575F"/>
    <w:rsid w:val="00F25A92"/>
    <w:rsid w:val="00F26356"/>
    <w:rsid w:val="00F27565"/>
    <w:rsid w:val="00F27C95"/>
    <w:rsid w:val="00F307E9"/>
    <w:rsid w:val="00F310D4"/>
    <w:rsid w:val="00F31D5A"/>
    <w:rsid w:val="00F33975"/>
    <w:rsid w:val="00F33DE9"/>
    <w:rsid w:val="00F3546A"/>
    <w:rsid w:val="00F35892"/>
    <w:rsid w:val="00F35E6D"/>
    <w:rsid w:val="00F3619A"/>
    <w:rsid w:val="00F40AAA"/>
    <w:rsid w:val="00F40BA7"/>
    <w:rsid w:val="00F40F9D"/>
    <w:rsid w:val="00F41ACD"/>
    <w:rsid w:val="00F42A30"/>
    <w:rsid w:val="00F46B11"/>
    <w:rsid w:val="00F46CB6"/>
    <w:rsid w:val="00F4756D"/>
    <w:rsid w:val="00F47DE8"/>
    <w:rsid w:val="00F50FB3"/>
    <w:rsid w:val="00F52DDF"/>
    <w:rsid w:val="00F52DF5"/>
    <w:rsid w:val="00F542C1"/>
    <w:rsid w:val="00F55E73"/>
    <w:rsid w:val="00F55EDA"/>
    <w:rsid w:val="00F56548"/>
    <w:rsid w:val="00F56C80"/>
    <w:rsid w:val="00F60092"/>
    <w:rsid w:val="00F60EBA"/>
    <w:rsid w:val="00F6117D"/>
    <w:rsid w:val="00F61C18"/>
    <w:rsid w:val="00F62E15"/>
    <w:rsid w:val="00F65A54"/>
    <w:rsid w:val="00F65F4B"/>
    <w:rsid w:val="00F6645C"/>
    <w:rsid w:val="00F67A69"/>
    <w:rsid w:val="00F70BFF"/>
    <w:rsid w:val="00F70C9D"/>
    <w:rsid w:val="00F71CA2"/>
    <w:rsid w:val="00F74238"/>
    <w:rsid w:val="00F7462B"/>
    <w:rsid w:val="00F74CD9"/>
    <w:rsid w:val="00F76335"/>
    <w:rsid w:val="00F80A7B"/>
    <w:rsid w:val="00F80E5D"/>
    <w:rsid w:val="00F80F0D"/>
    <w:rsid w:val="00F813E8"/>
    <w:rsid w:val="00F81E78"/>
    <w:rsid w:val="00F83107"/>
    <w:rsid w:val="00F851CE"/>
    <w:rsid w:val="00F87942"/>
    <w:rsid w:val="00F91219"/>
    <w:rsid w:val="00F918BF"/>
    <w:rsid w:val="00F92444"/>
    <w:rsid w:val="00F9295E"/>
    <w:rsid w:val="00F933FC"/>
    <w:rsid w:val="00F9393E"/>
    <w:rsid w:val="00F95A5D"/>
    <w:rsid w:val="00F96FD0"/>
    <w:rsid w:val="00F97A78"/>
    <w:rsid w:val="00FA0B20"/>
    <w:rsid w:val="00FA173C"/>
    <w:rsid w:val="00FA24E7"/>
    <w:rsid w:val="00FA5AB9"/>
    <w:rsid w:val="00FA5EE6"/>
    <w:rsid w:val="00FA7956"/>
    <w:rsid w:val="00FA7F41"/>
    <w:rsid w:val="00FB0D20"/>
    <w:rsid w:val="00FB26C5"/>
    <w:rsid w:val="00FB2FCB"/>
    <w:rsid w:val="00FB597F"/>
    <w:rsid w:val="00FB79B8"/>
    <w:rsid w:val="00FB7C55"/>
    <w:rsid w:val="00FC1074"/>
    <w:rsid w:val="00FC1173"/>
    <w:rsid w:val="00FC1884"/>
    <w:rsid w:val="00FC1BB0"/>
    <w:rsid w:val="00FC371D"/>
    <w:rsid w:val="00FC488C"/>
    <w:rsid w:val="00FC5F0B"/>
    <w:rsid w:val="00FD2100"/>
    <w:rsid w:val="00FD436C"/>
    <w:rsid w:val="00FD446D"/>
    <w:rsid w:val="00FD4F2C"/>
    <w:rsid w:val="00FD6394"/>
    <w:rsid w:val="00FD6ADE"/>
    <w:rsid w:val="00FE0E6C"/>
    <w:rsid w:val="00FE1CDC"/>
    <w:rsid w:val="00FE26FF"/>
    <w:rsid w:val="00FE3EFE"/>
    <w:rsid w:val="00FE41E2"/>
    <w:rsid w:val="00FE70C3"/>
    <w:rsid w:val="00FF2AD9"/>
    <w:rsid w:val="00FF359F"/>
    <w:rsid w:val="00FF39CC"/>
    <w:rsid w:val="00FF3DCF"/>
    <w:rsid w:val="00FF3FDE"/>
    <w:rsid w:val="00FF492C"/>
    <w:rsid w:val="00FF4A21"/>
    <w:rsid w:val="00FF562E"/>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62F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1 Char Char,Caption Char Char Char Char,Caption Char Char1,C-Caption, Char Char Char Char Char,Char Char Char Char Char,Caption Char Char,Char,Char Char Char Char Char Char Char,Char Char Char Char Char Char1,IB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1 Char Char Char,Caption Char Char Char Char Char,Caption Char Char1 Char,C-Caption Char, Char Char Char Char Char Char,Char Char Char Char Char Char,Caption Char Char Char,Char Char,IB Caption Char"/>
    <w:link w:val="Caption"/>
    <w:uiPriority w:val="35"/>
    <w:qFormat/>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Table Legend,Bullet1,Bullet 1,Section 5"/>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HealthConsult,PBAC table,MSD Table Grid,Header Table,Source table_,NICE instructions"/>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44456"/>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PBACTableText">
    <w:name w:val="PBAC Table Text"/>
    <w:basedOn w:val="Normal"/>
    <w:link w:val="PBACTableTextChar"/>
    <w:qFormat/>
    <w:rsid w:val="00F80F0D"/>
    <w:pPr>
      <w:keepNext/>
      <w:keepLines/>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F80F0D"/>
    <w:rPr>
      <w:rFonts w:ascii="Arial Narrow" w:hAnsi="Arial Narrow"/>
      <w:lang w:eastAsia="en-US"/>
    </w:rPr>
  </w:style>
  <w:style w:type="paragraph" w:customStyle="1" w:styleId="TableTextHeading">
    <w:name w:val="Table Text Heading"/>
    <w:basedOn w:val="Normal"/>
    <w:uiPriority w:val="99"/>
    <w:qFormat/>
    <w:rsid w:val="000A4846"/>
    <w:pPr>
      <w:keepNext/>
      <w:keepLines/>
      <w:tabs>
        <w:tab w:val="left" w:pos="113"/>
        <w:tab w:val="center" w:pos="142"/>
        <w:tab w:val="center" w:pos="284"/>
        <w:tab w:val="center" w:pos="425"/>
      </w:tabs>
      <w:spacing w:before="20" w:after="40"/>
      <w:jc w:val="left"/>
    </w:pPr>
    <w:rPr>
      <w:rFonts w:ascii="Arial" w:hAnsi="Arial"/>
      <w:b/>
      <w:sz w:val="20"/>
      <w:szCs w:val="20"/>
      <w:lang w:val="en-GB" w:eastAsia="en-US"/>
    </w:rPr>
  </w:style>
  <w:style w:type="character" w:customStyle="1" w:styleId="UnresolvedMention1">
    <w:name w:val="Unresolved Mention1"/>
    <w:basedOn w:val="DefaultParagraphFont"/>
    <w:uiPriority w:val="99"/>
    <w:semiHidden/>
    <w:unhideWhenUsed/>
    <w:rsid w:val="008D758E"/>
    <w:rPr>
      <w:color w:val="605E5C"/>
      <w:shd w:val="clear" w:color="auto" w:fill="E1DFDD"/>
    </w:rPr>
  </w:style>
  <w:style w:type="paragraph" w:customStyle="1" w:styleId="Tablefooter0">
    <w:name w:val="Table footer"/>
    <w:basedOn w:val="Normal"/>
    <w:link w:val="TablefooterChar0"/>
    <w:qFormat/>
    <w:rsid w:val="004855A8"/>
    <w:pPr>
      <w:spacing w:before="80" w:after="80"/>
      <w:jc w:val="left"/>
    </w:pPr>
    <w:rPr>
      <w:rFonts w:ascii="Arial Narrow" w:eastAsiaTheme="minorEastAsia" w:hAnsi="Arial Narrow" w:cs="Arial Narrow"/>
      <w:sz w:val="16"/>
      <w:szCs w:val="16"/>
    </w:rPr>
  </w:style>
  <w:style w:type="character" w:customStyle="1" w:styleId="TablefooterChar0">
    <w:name w:val="Table footer Char"/>
    <w:link w:val="Tablefooter0"/>
    <w:rsid w:val="004855A8"/>
    <w:rPr>
      <w:rFonts w:ascii="Arial Narrow" w:eastAsiaTheme="minorEastAsia" w:hAnsi="Arial Narrow" w:cs="Arial Narrow"/>
      <w:sz w:val="16"/>
      <w:szCs w:val="16"/>
    </w:rPr>
  </w:style>
  <w:style w:type="table" w:customStyle="1" w:styleId="TableGrid2011">
    <w:name w:val="Table Grid2011"/>
    <w:basedOn w:val="TableNormal"/>
    <w:next w:val="TableGrid"/>
    <w:uiPriority w:val="59"/>
    <w:rsid w:val="003E78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B3B73"/>
  </w:style>
  <w:style w:type="character" w:customStyle="1" w:styleId="citation-part">
    <w:name w:val="citation-part"/>
    <w:basedOn w:val="DefaultParagraphFont"/>
    <w:rsid w:val="004B3B73"/>
  </w:style>
  <w:style w:type="character" w:customStyle="1" w:styleId="docsum-pmid">
    <w:name w:val="docsum-pmid"/>
    <w:basedOn w:val="DefaultParagraphFont"/>
    <w:rsid w:val="004B3B73"/>
  </w:style>
  <w:style w:type="paragraph" w:styleId="FootnoteText">
    <w:name w:val="footnote text"/>
    <w:basedOn w:val="Normal"/>
    <w:link w:val="FootnoteTextChar"/>
    <w:semiHidden/>
    <w:unhideWhenUsed/>
    <w:rsid w:val="00545D5C"/>
    <w:rPr>
      <w:sz w:val="20"/>
      <w:szCs w:val="20"/>
    </w:rPr>
  </w:style>
  <w:style w:type="character" w:customStyle="1" w:styleId="FootnoteTextChar">
    <w:name w:val="Footnote Text Char"/>
    <w:basedOn w:val="DefaultParagraphFont"/>
    <w:link w:val="FootnoteText"/>
    <w:semiHidden/>
    <w:rsid w:val="00545D5C"/>
    <w:rPr>
      <w:rFonts w:ascii="Calibri" w:hAnsi="Calibri" w:cs="Arial"/>
    </w:rPr>
  </w:style>
  <w:style w:type="character" w:styleId="FootnoteReference">
    <w:name w:val="footnote reference"/>
    <w:basedOn w:val="DefaultParagraphFont"/>
    <w:semiHidden/>
    <w:unhideWhenUsed/>
    <w:rsid w:val="00545D5C"/>
    <w:rPr>
      <w:vertAlign w:val="superscript"/>
    </w:rPr>
  </w:style>
  <w:style w:type="table" w:customStyle="1" w:styleId="Summarybox2">
    <w:name w:val="Summary box2"/>
    <w:basedOn w:val="TableNormal"/>
    <w:uiPriority w:val="59"/>
    <w:rsid w:val="00C949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0C0E15"/>
  </w:style>
  <w:style w:type="character" w:customStyle="1" w:styleId="3BodytextChar">
    <w:name w:val="3. Body text Char"/>
    <w:basedOn w:val="ListParagraphChar"/>
    <w:link w:val="3Bodytext"/>
    <w:locked/>
    <w:rsid w:val="000C0E15"/>
    <w:rPr>
      <w:rFonts w:asciiTheme="minorHAnsi" w:hAnsiTheme="minorHAnsi" w:cstheme="minorBidi"/>
      <w:snapToGrid/>
      <w:sz w:val="22"/>
      <w:szCs w:val="22"/>
    </w:rPr>
  </w:style>
  <w:style w:type="paragraph" w:customStyle="1" w:styleId="3Bodytext">
    <w:name w:val="3. Body text"/>
    <w:basedOn w:val="ListParagraph"/>
    <w:link w:val="3BodytextChar"/>
    <w:qFormat/>
    <w:rsid w:val="000C0E15"/>
    <w:pPr>
      <w:numPr>
        <w:numId w:val="0"/>
      </w:numPr>
      <w:ind w:left="720" w:hanging="720"/>
      <w:jc w:val="left"/>
    </w:pPr>
    <w:rPr>
      <w:rFonts w:cstheme="minorBidi"/>
      <w:snapToGrid/>
      <w:sz w:val="22"/>
      <w:szCs w:val="22"/>
    </w:rPr>
  </w:style>
  <w:style w:type="paragraph" w:customStyle="1" w:styleId="3-SubsectionHeading">
    <w:name w:val="3-Subsection Heading"/>
    <w:basedOn w:val="Heading2"/>
    <w:next w:val="Normal"/>
    <w:link w:val="3-SubsectionHeadingChar"/>
    <w:qFormat/>
    <w:rsid w:val="00FC117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C1173"/>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29570113">
      <w:bodyDiv w:val="1"/>
      <w:marLeft w:val="0"/>
      <w:marRight w:val="0"/>
      <w:marTop w:val="0"/>
      <w:marBottom w:val="0"/>
      <w:divBdr>
        <w:top w:val="none" w:sz="0" w:space="0" w:color="auto"/>
        <w:left w:val="none" w:sz="0" w:space="0" w:color="auto"/>
        <w:bottom w:val="none" w:sz="0" w:space="0" w:color="auto"/>
        <w:right w:val="none" w:sz="0" w:space="0" w:color="auto"/>
      </w:divBdr>
    </w:div>
    <w:div w:id="78216491">
      <w:bodyDiv w:val="1"/>
      <w:marLeft w:val="0"/>
      <w:marRight w:val="0"/>
      <w:marTop w:val="0"/>
      <w:marBottom w:val="0"/>
      <w:divBdr>
        <w:top w:val="none" w:sz="0" w:space="0" w:color="auto"/>
        <w:left w:val="none" w:sz="0" w:space="0" w:color="auto"/>
        <w:bottom w:val="none" w:sz="0" w:space="0" w:color="auto"/>
        <w:right w:val="none" w:sz="0" w:space="0" w:color="auto"/>
      </w:divBdr>
      <w:divsChild>
        <w:div w:id="135493186">
          <w:marLeft w:val="0"/>
          <w:marRight w:val="0"/>
          <w:marTop w:val="0"/>
          <w:marBottom w:val="0"/>
          <w:divBdr>
            <w:top w:val="none" w:sz="0" w:space="0" w:color="auto"/>
            <w:left w:val="none" w:sz="0" w:space="0" w:color="auto"/>
            <w:bottom w:val="none" w:sz="0" w:space="0" w:color="auto"/>
            <w:right w:val="none" w:sz="0" w:space="0" w:color="auto"/>
          </w:divBdr>
          <w:divsChild>
            <w:div w:id="1638611405">
              <w:marLeft w:val="0"/>
              <w:marRight w:val="0"/>
              <w:marTop w:val="0"/>
              <w:marBottom w:val="0"/>
              <w:divBdr>
                <w:top w:val="none" w:sz="0" w:space="0" w:color="auto"/>
                <w:left w:val="none" w:sz="0" w:space="0" w:color="auto"/>
                <w:bottom w:val="none" w:sz="0" w:space="0" w:color="auto"/>
                <w:right w:val="none" w:sz="0" w:space="0" w:color="auto"/>
              </w:divBdr>
              <w:divsChild>
                <w:div w:id="1245529032">
                  <w:marLeft w:val="0"/>
                  <w:marRight w:val="0"/>
                  <w:marTop w:val="0"/>
                  <w:marBottom w:val="0"/>
                  <w:divBdr>
                    <w:top w:val="none" w:sz="0" w:space="0" w:color="auto"/>
                    <w:left w:val="none" w:sz="0" w:space="0" w:color="auto"/>
                    <w:bottom w:val="none" w:sz="0" w:space="0" w:color="auto"/>
                    <w:right w:val="none" w:sz="0" w:space="0" w:color="auto"/>
                  </w:divBdr>
                  <w:divsChild>
                    <w:div w:id="965113745">
                      <w:marLeft w:val="0"/>
                      <w:marRight w:val="0"/>
                      <w:marTop w:val="0"/>
                      <w:marBottom w:val="0"/>
                      <w:divBdr>
                        <w:top w:val="none" w:sz="0" w:space="0" w:color="auto"/>
                        <w:left w:val="none" w:sz="0" w:space="0" w:color="auto"/>
                        <w:bottom w:val="none" w:sz="0" w:space="0" w:color="auto"/>
                        <w:right w:val="none" w:sz="0" w:space="0" w:color="auto"/>
                      </w:divBdr>
                    </w:div>
                    <w:div w:id="3185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795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45362276">
      <w:bodyDiv w:val="1"/>
      <w:marLeft w:val="0"/>
      <w:marRight w:val="0"/>
      <w:marTop w:val="0"/>
      <w:marBottom w:val="0"/>
      <w:divBdr>
        <w:top w:val="none" w:sz="0" w:space="0" w:color="auto"/>
        <w:left w:val="none" w:sz="0" w:space="0" w:color="auto"/>
        <w:bottom w:val="none" w:sz="0" w:space="0" w:color="auto"/>
        <w:right w:val="none" w:sz="0" w:space="0" w:color="auto"/>
      </w:divBdr>
    </w:div>
    <w:div w:id="148788920">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61924784">
      <w:bodyDiv w:val="1"/>
      <w:marLeft w:val="0"/>
      <w:marRight w:val="0"/>
      <w:marTop w:val="0"/>
      <w:marBottom w:val="0"/>
      <w:divBdr>
        <w:top w:val="none" w:sz="0" w:space="0" w:color="auto"/>
        <w:left w:val="none" w:sz="0" w:space="0" w:color="auto"/>
        <w:bottom w:val="none" w:sz="0" w:space="0" w:color="auto"/>
        <w:right w:val="none" w:sz="0" w:space="0" w:color="auto"/>
      </w:divBdr>
    </w:div>
    <w:div w:id="712728754">
      <w:bodyDiv w:val="1"/>
      <w:marLeft w:val="0"/>
      <w:marRight w:val="0"/>
      <w:marTop w:val="0"/>
      <w:marBottom w:val="0"/>
      <w:divBdr>
        <w:top w:val="none" w:sz="0" w:space="0" w:color="auto"/>
        <w:left w:val="none" w:sz="0" w:space="0" w:color="auto"/>
        <w:bottom w:val="none" w:sz="0" w:space="0" w:color="auto"/>
        <w:right w:val="none" w:sz="0" w:space="0" w:color="auto"/>
      </w:divBdr>
    </w:div>
    <w:div w:id="792595596">
      <w:bodyDiv w:val="1"/>
      <w:marLeft w:val="0"/>
      <w:marRight w:val="0"/>
      <w:marTop w:val="0"/>
      <w:marBottom w:val="0"/>
      <w:divBdr>
        <w:top w:val="none" w:sz="0" w:space="0" w:color="auto"/>
        <w:left w:val="none" w:sz="0" w:space="0" w:color="auto"/>
        <w:bottom w:val="none" w:sz="0" w:space="0" w:color="auto"/>
        <w:right w:val="none" w:sz="0" w:space="0" w:color="auto"/>
      </w:divBdr>
    </w:div>
    <w:div w:id="821317562">
      <w:bodyDiv w:val="1"/>
      <w:marLeft w:val="0"/>
      <w:marRight w:val="0"/>
      <w:marTop w:val="0"/>
      <w:marBottom w:val="0"/>
      <w:divBdr>
        <w:top w:val="none" w:sz="0" w:space="0" w:color="auto"/>
        <w:left w:val="none" w:sz="0" w:space="0" w:color="auto"/>
        <w:bottom w:val="none" w:sz="0" w:space="0" w:color="auto"/>
        <w:right w:val="none" w:sz="0" w:space="0" w:color="auto"/>
      </w:divBdr>
    </w:div>
    <w:div w:id="88671844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2038">
      <w:bodyDiv w:val="1"/>
      <w:marLeft w:val="0"/>
      <w:marRight w:val="0"/>
      <w:marTop w:val="0"/>
      <w:marBottom w:val="0"/>
      <w:divBdr>
        <w:top w:val="none" w:sz="0" w:space="0" w:color="auto"/>
        <w:left w:val="none" w:sz="0" w:space="0" w:color="auto"/>
        <w:bottom w:val="none" w:sz="0" w:space="0" w:color="auto"/>
        <w:right w:val="none" w:sz="0" w:space="0" w:color="auto"/>
      </w:divBdr>
    </w:div>
    <w:div w:id="1216893232">
      <w:bodyDiv w:val="1"/>
      <w:marLeft w:val="0"/>
      <w:marRight w:val="0"/>
      <w:marTop w:val="0"/>
      <w:marBottom w:val="0"/>
      <w:divBdr>
        <w:top w:val="none" w:sz="0" w:space="0" w:color="auto"/>
        <w:left w:val="none" w:sz="0" w:space="0" w:color="auto"/>
        <w:bottom w:val="none" w:sz="0" w:space="0" w:color="auto"/>
        <w:right w:val="none" w:sz="0" w:space="0" w:color="auto"/>
      </w:divBdr>
    </w:div>
    <w:div w:id="1454713857">
      <w:bodyDiv w:val="1"/>
      <w:marLeft w:val="0"/>
      <w:marRight w:val="0"/>
      <w:marTop w:val="0"/>
      <w:marBottom w:val="0"/>
      <w:divBdr>
        <w:top w:val="none" w:sz="0" w:space="0" w:color="auto"/>
        <w:left w:val="none" w:sz="0" w:space="0" w:color="auto"/>
        <w:bottom w:val="none" w:sz="0" w:space="0" w:color="auto"/>
        <w:right w:val="none" w:sz="0" w:space="0" w:color="auto"/>
      </w:divBdr>
      <w:divsChild>
        <w:div w:id="1893882802">
          <w:marLeft w:val="0"/>
          <w:marRight w:val="0"/>
          <w:marTop w:val="0"/>
          <w:marBottom w:val="0"/>
          <w:divBdr>
            <w:top w:val="none" w:sz="0" w:space="0" w:color="auto"/>
            <w:left w:val="none" w:sz="0" w:space="0" w:color="auto"/>
            <w:bottom w:val="none" w:sz="0" w:space="0" w:color="auto"/>
            <w:right w:val="none" w:sz="0" w:space="0" w:color="auto"/>
          </w:divBdr>
          <w:divsChild>
            <w:div w:id="2061051472">
              <w:marLeft w:val="0"/>
              <w:marRight w:val="0"/>
              <w:marTop w:val="0"/>
              <w:marBottom w:val="0"/>
              <w:divBdr>
                <w:top w:val="none" w:sz="0" w:space="0" w:color="auto"/>
                <w:left w:val="none" w:sz="0" w:space="0" w:color="auto"/>
                <w:bottom w:val="none" w:sz="0" w:space="0" w:color="auto"/>
                <w:right w:val="none" w:sz="0" w:space="0" w:color="auto"/>
              </w:divBdr>
            </w:div>
            <w:div w:id="14361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1038">
      <w:bodyDiv w:val="1"/>
      <w:marLeft w:val="0"/>
      <w:marRight w:val="0"/>
      <w:marTop w:val="0"/>
      <w:marBottom w:val="0"/>
      <w:divBdr>
        <w:top w:val="none" w:sz="0" w:space="0" w:color="auto"/>
        <w:left w:val="none" w:sz="0" w:space="0" w:color="auto"/>
        <w:bottom w:val="none" w:sz="0" w:space="0" w:color="auto"/>
        <w:right w:val="none" w:sz="0" w:space="0" w:color="auto"/>
      </w:divBdr>
    </w:div>
    <w:div w:id="1790708749">
      <w:bodyDiv w:val="1"/>
      <w:marLeft w:val="0"/>
      <w:marRight w:val="0"/>
      <w:marTop w:val="0"/>
      <w:marBottom w:val="0"/>
      <w:divBdr>
        <w:top w:val="none" w:sz="0" w:space="0" w:color="auto"/>
        <w:left w:val="none" w:sz="0" w:space="0" w:color="auto"/>
        <w:bottom w:val="none" w:sz="0" w:space="0" w:color="auto"/>
        <w:right w:val="none" w:sz="0" w:space="0" w:color="auto"/>
      </w:divBdr>
    </w:div>
    <w:div w:id="1810828778">
      <w:bodyDiv w:val="1"/>
      <w:marLeft w:val="0"/>
      <w:marRight w:val="0"/>
      <w:marTop w:val="0"/>
      <w:marBottom w:val="0"/>
      <w:divBdr>
        <w:top w:val="none" w:sz="0" w:space="0" w:color="auto"/>
        <w:left w:val="none" w:sz="0" w:space="0" w:color="auto"/>
        <w:bottom w:val="none" w:sz="0" w:space="0" w:color="auto"/>
        <w:right w:val="none" w:sz="0" w:space="0" w:color="auto"/>
      </w:divBdr>
    </w:div>
    <w:div w:id="187276613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64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7E31-4647-403D-8EDA-F22DDAFB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9684</Words>
  <Characters>54288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2022-03-15T21:53:00Z</dcterms:created>
  <dcterms:modified xsi:type="dcterms:W3CDTF">2022-03-15T21:53:00Z</dcterms:modified>
</cp:coreProperties>
</file>