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A6D7C" w14:textId="3E9A3D33" w:rsidR="00901250" w:rsidRPr="00901250" w:rsidRDefault="00C205E3" w:rsidP="00901250">
      <w:pPr>
        <w:pStyle w:val="1-MainHeading"/>
      </w:pPr>
      <w:r>
        <w:t>5.20</w:t>
      </w:r>
      <w:r w:rsidR="007E490F" w:rsidRPr="00984C58">
        <w:tab/>
      </w:r>
      <w:bookmarkStart w:id="0" w:name="_Hlk79134868"/>
      <w:r w:rsidR="00B81FBD" w:rsidRPr="00B81FBD">
        <w:t>ETANERCEPT</w:t>
      </w:r>
      <w:bookmarkEnd w:id="0"/>
      <w:r w:rsidR="007E490F" w:rsidRPr="00984C58">
        <w:br/>
      </w:r>
      <w:r w:rsidRPr="00C205E3">
        <w:t>50</w:t>
      </w:r>
      <w:r w:rsidR="005B5642">
        <w:t xml:space="preserve"> </w:t>
      </w:r>
      <w:r w:rsidRPr="00C205E3">
        <w:t>mg in 1</w:t>
      </w:r>
      <w:r w:rsidR="005B5642">
        <w:t xml:space="preserve"> </w:t>
      </w:r>
      <w:r w:rsidRPr="00C205E3">
        <w:t>mL pre-filled syringe</w:t>
      </w:r>
      <w:r w:rsidR="007E490F" w:rsidRPr="00984C58">
        <w:t>,</w:t>
      </w:r>
      <w:r w:rsidR="007E490F" w:rsidRPr="00984C58">
        <w:br/>
      </w:r>
      <w:bookmarkStart w:id="1" w:name="_Hlk79134926"/>
      <w:r w:rsidR="00901250" w:rsidRPr="00901250">
        <w:t>Rymti</w:t>
      </w:r>
      <w:r w:rsidR="009E10AD">
        <w:t>®</w:t>
      </w:r>
      <w:bookmarkEnd w:id="1"/>
      <w:r w:rsidR="007E490F" w:rsidRPr="00984C58">
        <w:t>,</w:t>
      </w:r>
      <w:r w:rsidR="007E490F" w:rsidRPr="00984C58">
        <w:br/>
      </w:r>
      <w:r w:rsidR="00901250" w:rsidRPr="00901250">
        <w:t>Alphapharm Pty Ltd</w:t>
      </w:r>
    </w:p>
    <w:p w14:paraId="5F4D54C1" w14:textId="7087011E" w:rsidR="00E11F44" w:rsidRPr="00E11F44" w:rsidRDefault="007E490F" w:rsidP="00CD6257">
      <w:pPr>
        <w:pStyle w:val="2-SectionHeading"/>
        <w:rPr>
          <w:rFonts w:cstheme="minorHAnsi"/>
          <w:color w:val="FF0000"/>
        </w:rPr>
      </w:pPr>
      <w:r w:rsidRPr="0033263D">
        <w:t xml:space="preserve">Purpose of </w:t>
      </w:r>
      <w:r w:rsidR="00FA0B04">
        <w:t>Submission</w:t>
      </w:r>
    </w:p>
    <w:p w14:paraId="57B7B4DB" w14:textId="4FAD5004" w:rsidR="005B5642" w:rsidRDefault="00901250" w:rsidP="00CA0036">
      <w:pPr>
        <w:pStyle w:val="3-BodyText"/>
        <w:numPr>
          <w:ilvl w:val="1"/>
          <w:numId w:val="2"/>
        </w:numPr>
      </w:pPr>
      <w:r w:rsidRPr="00BD5D08">
        <w:t xml:space="preserve">The Category 3 </w:t>
      </w:r>
      <w:bookmarkStart w:id="2" w:name="_Hlk79744520"/>
      <w:r w:rsidRPr="00BD5D08">
        <w:t xml:space="preserve">submission sought </w:t>
      </w:r>
      <w:bookmarkStart w:id="3" w:name="_Hlk86676059"/>
      <w:r w:rsidRPr="00BD5D08">
        <w:t xml:space="preserve">Section 85 and Section 100 </w:t>
      </w:r>
      <w:r w:rsidRPr="00BD5D08">
        <w:rPr>
          <w:rFonts w:cstheme="minorHAnsi"/>
          <w:szCs w:val="24"/>
        </w:rPr>
        <w:t>Highly Specialised Drug Program</w:t>
      </w:r>
      <w:r>
        <w:rPr>
          <w:rFonts w:cstheme="minorHAnsi"/>
          <w:szCs w:val="24"/>
        </w:rPr>
        <w:t xml:space="preserve"> </w:t>
      </w:r>
      <w:r w:rsidR="005B5642">
        <w:rPr>
          <w:rFonts w:cstheme="minorHAnsi"/>
          <w:szCs w:val="24"/>
        </w:rPr>
        <w:t>(</w:t>
      </w:r>
      <w:r w:rsidRPr="00BD5D08">
        <w:t>HSD</w:t>
      </w:r>
      <w:r>
        <w:t>)</w:t>
      </w:r>
      <w:r w:rsidRPr="00BD5D08">
        <w:t xml:space="preserve"> </w:t>
      </w:r>
      <w:bookmarkStart w:id="4" w:name="_Hlk86754103"/>
      <w:r w:rsidRPr="00BD5D08">
        <w:t xml:space="preserve">listings of a new brand of biosimilar </w:t>
      </w:r>
      <w:r w:rsidR="009748BF">
        <w:t>brand of</w:t>
      </w:r>
      <w:r w:rsidRPr="00BD5D08">
        <w:t xml:space="preserve"> </w:t>
      </w:r>
      <w:r w:rsidRPr="00901250">
        <w:t xml:space="preserve">etanercept </w:t>
      </w:r>
      <w:r w:rsidRPr="00BD5D08">
        <w:t xml:space="preserve">in the form of </w:t>
      </w:r>
      <w:bookmarkStart w:id="5" w:name="_Hlk79135136"/>
      <w:r w:rsidR="008D7AA4" w:rsidRPr="008D7AA4">
        <w:t>50</w:t>
      </w:r>
      <w:r w:rsidR="005B5642">
        <w:t xml:space="preserve"> </w:t>
      </w:r>
      <w:r w:rsidR="008D7AA4" w:rsidRPr="008D7AA4">
        <w:t>mg in 1</w:t>
      </w:r>
      <w:r w:rsidR="005B5642">
        <w:t xml:space="preserve"> </w:t>
      </w:r>
      <w:r w:rsidR="008D7AA4" w:rsidRPr="008D7AA4">
        <w:t xml:space="preserve">mL </w:t>
      </w:r>
      <w:bookmarkEnd w:id="5"/>
      <w:r w:rsidRPr="00BD5D08">
        <w:rPr>
          <w:rFonts w:cstheme="minorHAnsi"/>
        </w:rPr>
        <w:t>pre-filled syringe (PFS</w:t>
      </w:r>
      <w:r w:rsidR="00A605DB">
        <w:rPr>
          <w:rFonts w:cstheme="minorHAnsi"/>
        </w:rPr>
        <w:t xml:space="preserve">; </w:t>
      </w:r>
      <w:r w:rsidR="00A605DB" w:rsidRPr="00F55E78">
        <w:rPr>
          <w:rFonts w:cstheme="minorHAnsi"/>
        </w:rPr>
        <w:t>herein</w:t>
      </w:r>
      <w:r w:rsidR="00A605DB">
        <w:rPr>
          <w:rFonts w:cstheme="minorHAnsi"/>
        </w:rPr>
        <w:t xml:space="preserve"> referred to as Rymti PFS</w:t>
      </w:r>
      <w:r w:rsidR="008D7AA4">
        <w:rPr>
          <w:rFonts w:cstheme="minorHAnsi"/>
        </w:rPr>
        <w:t xml:space="preserve">) </w:t>
      </w:r>
      <w:r w:rsidR="009748BF">
        <w:t xml:space="preserve">under </w:t>
      </w:r>
      <w:r w:rsidRPr="00BD5D08">
        <w:t xml:space="preserve">the same </w:t>
      </w:r>
      <w:r w:rsidR="009748BF">
        <w:t>circumstances</w:t>
      </w:r>
      <w:r w:rsidRPr="00BD5D08">
        <w:t xml:space="preserve"> as </w:t>
      </w:r>
      <w:r>
        <w:t>the</w:t>
      </w:r>
      <w:r w:rsidRPr="00BD5D08">
        <w:t xml:space="preserve"> PBS-listed reference biologic </w:t>
      </w:r>
      <w:bookmarkStart w:id="6" w:name="_Hlk79138347"/>
      <w:r w:rsidR="008D7AA4" w:rsidRPr="008D7AA4">
        <w:t>Enbrel</w:t>
      </w:r>
      <w:bookmarkEnd w:id="6"/>
      <w:r w:rsidR="008D7AA4" w:rsidRPr="008D7AA4">
        <w:t>®</w:t>
      </w:r>
      <w:bookmarkEnd w:id="2"/>
      <w:bookmarkEnd w:id="4"/>
      <w:r w:rsidRPr="00BD5D08">
        <w:t>.</w:t>
      </w:r>
      <w:r w:rsidR="005B5642">
        <w:t xml:space="preserve"> </w:t>
      </w:r>
      <w:bookmarkEnd w:id="3"/>
    </w:p>
    <w:p w14:paraId="3D1D4320" w14:textId="77777777" w:rsidR="007E490F" w:rsidRPr="00FD6D8E" w:rsidRDefault="007E490F" w:rsidP="00CA0036">
      <w:pPr>
        <w:pStyle w:val="2-SectionHeading"/>
      </w:pPr>
      <w:r w:rsidRPr="009E2E8E">
        <w:t>Background</w:t>
      </w:r>
      <w:r>
        <w:t xml:space="preserve"> </w:t>
      </w:r>
    </w:p>
    <w:p w14:paraId="33C2C319" w14:textId="77777777" w:rsidR="007E490F" w:rsidRDefault="007E490F" w:rsidP="007E490F">
      <w:pPr>
        <w:pStyle w:val="4-SubsectionHeading"/>
      </w:pPr>
      <w:r>
        <w:t>Registration</w:t>
      </w:r>
      <w:r w:rsidRPr="009324A6">
        <w:t xml:space="preserve"> status</w:t>
      </w:r>
    </w:p>
    <w:p w14:paraId="0E6F3BD4" w14:textId="38C95059" w:rsidR="008D7AA4" w:rsidRDefault="00F56938" w:rsidP="00073FC9">
      <w:pPr>
        <w:pStyle w:val="3Bodytext"/>
      </w:pPr>
      <w:bookmarkStart w:id="7" w:name="_Hlk80088683"/>
      <w:r w:rsidRPr="00F56938">
        <w:t>Rymti</w:t>
      </w:r>
      <w:bookmarkEnd w:id="7"/>
      <w:r w:rsidR="008D7AA4">
        <w:t xml:space="preserve"> </w:t>
      </w:r>
      <w:bookmarkStart w:id="8" w:name="_Hlk80956828"/>
      <w:r w:rsidR="00F65D4B">
        <w:t xml:space="preserve">PFS </w:t>
      </w:r>
      <w:bookmarkEnd w:id="8"/>
      <w:r w:rsidR="008D7AA4">
        <w:t xml:space="preserve">was TGA </w:t>
      </w:r>
      <w:r w:rsidR="009748BF">
        <w:t>regist</w:t>
      </w:r>
      <w:r w:rsidR="00BA10FC">
        <w:t>e</w:t>
      </w:r>
      <w:r w:rsidR="009748BF">
        <w:t>red</w:t>
      </w:r>
      <w:r w:rsidR="008D7AA4">
        <w:t xml:space="preserve"> </w:t>
      </w:r>
      <w:r w:rsidR="006E021C">
        <w:t xml:space="preserve">on </w:t>
      </w:r>
      <w:r w:rsidR="00820206">
        <w:t>1</w:t>
      </w:r>
      <w:r w:rsidR="008D7AA4">
        <w:t xml:space="preserve"> October 2020</w:t>
      </w:r>
      <w:r w:rsidR="00073FC9">
        <w:t xml:space="preserve"> as a biosimilar medicine to Enbrel</w:t>
      </w:r>
      <w:r w:rsidR="00F7344C">
        <w:t>.</w:t>
      </w:r>
      <w:r w:rsidR="005D4D7C">
        <w:t xml:space="preserve"> </w:t>
      </w:r>
      <w:r w:rsidR="009748BF">
        <w:t>T</w:t>
      </w:r>
      <w:r w:rsidR="00AC1E89">
        <w:t xml:space="preserve">he wording of the indications for Rymti is not identical to the wording of the indications for Enbrel. </w:t>
      </w:r>
      <w:r w:rsidR="00F7344C">
        <w:t>T</w:t>
      </w:r>
      <w:r w:rsidR="00F7344C" w:rsidRPr="005E2526">
        <w:t xml:space="preserve">he clinical evaluator recommended approval of </w:t>
      </w:r>
      <w:r w:rsidR="006F30ED">
        <w:t>Rymti</w:t>
      </w:r>
      <w:r w:rsidR="00F7344C" w:rsidRPr="005E2526">
        <w:t xml:space="preserve"> for all the approved indications of the reference product Enbrel, with the proposed dosing instructions that direct the prescriber to other etanercept products for patients weighing less than 62.5 kg</w:t>
      </w:r>
      <w:r w:rsidR="00F7344C">
        <w:t xml:space="preserve"> (p30, Australian Public Assessment Report for Etanercept).</w:t>
      </w:r>
    </w:p>
    <w:p w14:paraId="37418AA4" w14:textId="46CA4875" w:rsidR="006341E4" w:rsidRPr="00527EC3" w:rsidRDefault="00C70A7F" w:rsidP="007F5559">
      <w:pPr>
        <w:pStyle w:val="3Bodytext"/>
        <w:jc w:val="both"/>
      </w:pPr>
      <w:r w:rsidRPr="00527EC3">
        <w:t>The submission also sought Section 85 and Section 100 HSD listings of etanercept in the form of 50 mg in 1</w:t>
      </w:r>
      <w:r w:rsidR="005E19BC" w:rsidRPr="00527EC3">
        <w:t xml:space="preserve"> </w:t>
      </w:r>
      <w:r w:rsidRPr="00527EC3">
        <w:t xml:space="preserve">mL </w:t>
      </w:r>
      <w:r w:rsidR="006B513A" w:rsidRPr="00527EC3">
        <w:t xml:space="preserve">pre-filled </w:t>
      </w:r>
      <w:r w:rsidRPr="00527EC3">
        <w:t>auto-injector. The sub</w:t>
      </w:r>
      <w:r w:rsidR="006B513A" w:rsidRPr="00527EC3">
        <w:t xml:space="preserve">mission also requested </w:t>
      </w:r>
      <w:r w:rsidR="008F5128" w:rsidRPr="00527EC3">
        <w:t xml:space="preserve">a </w:t>
      </w:r>
      <w:r w:rsidR="006B513A" w:rsidRPr="00527EC3">
        <w:t xml:space="preserve">brand name change from Rymti to Nepexto. </w:t>
      </w:r>
      <w:r w:rsidR="003D34B6" w:rsidRPr="00527EC3">
        <w:t xml:space="preserve">The submission </w:t>
      </w:r>
      <w:r w:rsidR="008F5128" w:rsidRPr="00527EC3">
        <w:t xml:space="preserve">noted </w:t>
      </w:r>
      <w:r w:rsidR="003D34B6" w:rsidRPr="00527EC3">
        <w:t xml:space="preserve">an application </w:t>
      </w:r>
      <w:r w:rsidR="00EC1EF8" w:rsidRPr="00527EC3">
        <w:t>for</w:t>
      </w:r>
      <w:r w:rsidR="008F5128" w:rsidRPr="00527EC3">
        <w:t xml:space="preserve"> these </w:t>
      </w:r>
      <w:r w:rsidR="003D34B6" w:rsidRPr="00527EC3">
        <w:t>request</w:t>
      </w:r>
      <w:r w:rsidR="008F5128" w:rsidRPr="00527EC3">
        <w:t xml:space="preserve">s </w:t>
      </w:r>
      <w:r w:rsidR="00EC1EF8" w:rsidRPr="00527EC3">
        <w:t xml:space="preserve">were </w:t>
      </w:r>
      <w:r w:rsidR="008F5128" w:rsidRPr="00527EC3">
        <w:t xml:space="preserve">submitted to the TGA, however, </w:t>
      </w:r>
      <w:r w:rsidR="003D34B6" w:rsidRPr="00527EC3">
        <w:t>no TGA decision outcome</w:t>
      </w:r>
      <w:r w:rsidR="005E19BC" w:rsidRPr="00527EC3">
        <w:t xml:space="preserve"> </w:t>
      </w:r>
      <w:r w:rsidR="008F5128" w:rsidRPr="00527EC3">
        <w:t xml:space="preserve">was available at the time of </w:t>
      </w:r>
      <w:r w:rsidR="00527EC3" w:rsidRPr="00527EC3">
        <w:t>the November 2021 PBAC meeting</w:t>
      </w:r>
      <w:r w:rsidR="003D34B6" w:rsidRPr="00527EC3">
        <w:t xml:space="preserve">. </w:t>
      </w:r>
      <w:r w:rsidR="00EC1EF8" w:rsidRPr="00527EC3">
        <w:t>Therefore, t</w:t>
      </w:r>
      <w:r w:rsidR="005E19BC" w:rsidRPr="00527EC3">
        <w:t xml:space="preserve">hese requests were not considered </w:t>
      </w:r>
      <w:r w:rsidR="00EC1EF8" w:rsidRPr="00527EC3">
        <w:t xml:space="preserve">in this submission </w:t>
      </w:r>
      <w:r w:rsidR="005E19BC" w:rsidRPr="00527EC3">
        <w:t xml:space="preserve">because </w:t>
      </w:r>
      <w:r w:rsidR="00EC1EF8" w:rsidRPr="00527EC3">
        <w:t>the required</w:t>
      </w:r>
      <w:r w:rsidR="005D4D7C" w:rsidRPr="00527EC3">
        <w:t xml:space="preserve"> TGA</w:t>
      </w:r>
      <w:r w:rsidR="00EC1EF8" w:rsidRPr="00527EC3">
        <w:t xml:space="preserve"> documentation were not available at the time of lodging the</w:t>
      </w:r>
      <w:r w:rsidR="00787CB9" w:rsidRPr="00527EC3">
        <w:t xml:space="preserve"> Category 3</w:t>
      </w:r>
      <w:r w:rsidR="00EC1EF8" w:rsidRPr="00527EC3">
        <w:t xml:space="preserve"> submission</w:t>
      </w:r>
      <w:r w:rsidR="006F18B7">
        <w:t xml:space="preserve"> and the </w:t>
      </w:r>
      <w:r w:rsidR="006F18B7" w:rsidRPr="006F18B7">
        <w:t>November 2021 PBAC meeting</w:t>
      </w:r>
      <w:r w:rsidR="005E19BC" w:rsidRPr="00527EC3">
        <w:t xml:space="preserve">. </w:t>
      </w:r>
    </w:p>
    <w:p w14:paraId="5A203A4E" w14:textId="77777777" w:rsidR="006341E4" w:rsidRPr="00CB2C83" w:rsidRDefault="006341E4" w:rsidP="00CB2C83">
      <w:pPr>
        <w:pStyle w:val="4-SubsectionHeading"/>
      </w:pPr>
      <w:r w:rsidRPr="005E2526">
        <w:t xml:space="preserve">Previous PBAC consideration </w:t>
      </w:r>
    </w:p>
    <w:p w14:paraId="1B30833F" w14:textId="2F36C4B2" w:rsidR="006341E4" w:rsidRPr="00527EC3" w:rsidRDefault="006341E4" w:rsidP="007F5559">
      <w:pPr>
        <w:pStyle w:val="3Bodytext"/>
        <w:jc w:val="both"/>
        <w:rPr>
          <w:iCs/>
        </w:rPr>
      </w:pPr>
      <w:r w:rsidRPr="00527EC3">
        <w:rPr>
          <w:iCs/>
        </w:rPr>
        <w:t>Rymti has not previously been considered by the PBAC.</w:t>
      </w:r>
    </w:p>
    <w:p w14:paraId="3E07BC79" w14:textId="6DD5498F" w:rsidR="00641A43" w:rsidRPr="00527EC3" w:rsidRDefault="00B477D1" w:rsidP="007F5559">
      <w:pPr>
        <w:pStyle w:val="3Bodytext"/>
        <w:jc w:val="both"/>
        <w:rPr>
          <w:iCs/>
        </w:rPr>
      </w:pPr>
      <w:r w:rsidRPr="00527EC3">
        <w:rPr>
          <w:iCs/>
        </w:rPr>
        <w:t>Enbrel (reference</w:t>
      </w:r>
      <w:r w:rsidR="005C4DC5" w:rsidRPr="00527EC3">
        <w:rPr>
          <w:iCs/>
        </w:rPr>
        <w:t xml:space="preserve"> brand</w:t>
      </w:r>
      <w:r w:rsidRPr="00527EC3">
        <w:rPr>
          <w:iCs/>
        </w:rPr>
        <w:t>) and Brenzys (biosimilar</w:t>
      </w:r>
      <w:r w:rsidR="00A27A18" w:rsidRPr="00527EC3">
        <w:rPr>
          <w:iCs/>
        </w:rPr>
        <w:t xml:space="preserve"> brand</w:t>
      </w:r>
      <w:r w:rsidRPr="00527EC3">
        <w:rPr>
          <w:iCs/>
        </w:rPr>
        <w:t xml:space="preserve">) are currently listed on the PBS. Brenzys was listed on 1 April 2017. </w:t>
      </w:r>
      <w:r w:rsidR="006341E4" w:rsidRPr="00527EC3">
        <w:rPr>
          <w:iCs/>
        </w:rPr>
        <w:t>The PBAC recommended Brenzys®</w:t>
      </w:r>
      <w:r w:rsidR="007D5C6B" w:rsidRPr="00527EC3">
        <w:rPr>
          <w:iCs/>
        </w:rPr>
        <w:t>,</w:t>
      </w:r>
      <w:r w:rsidR="006341E4" w:rsidRPr="00527EC3">
        <w:rPr>
          <w:iCs/>
        </w:rPr>
        <w:t xml:space="preserve"> </w:t>
      </w:r>
      <w:r w:rsidR="00A27A18" w:rsidRPr="00527EC3">
        <w:rPr>
          <w:iCs/>
        </w:rPr>
        <w:t xml:space="preserve">noting it was </w:t>
      </w:r>
      <w:r w:rsidR="006341E4" w:rsidRPr="00527EC3">
        <w:rPr>
          <w:iCs/>
        </w:rPr>
        <w:t>a biosimilar of originator brand Enbrel</w:t>
      </w:r>
      <w:r w:rsidR="007D5C6B" w:rsidRPr="00527EC3">
        <w:rPr>
          <w:iCs/>
        </w:rPr>
        <w:t>,</w:t>
      </w:r>
      <w:r w:rsidR="006341E4" w:rsidRPr="00527EC3">
        <w:rPr>
          <w:iCs/>
        </w:rPr>
        <w:t xml:space="preserve"> on a cost minimisation basis with Enbrel for all adult indications at its July 2016</w:t>
      </w:r>
      <w:r w:rsidRPr="00527EC3">
        <w:rPr>
          <w:iCs/>
        </w:rPr>
        <w:t xml:space="preserve"> meeting</w:t>
      </w:r>
      <w:r w:rsidR="006341E4" w:rsidRPr="00527EC3">
        <w:rPr>
          <w:iCs/>
        </w:rPr>
        <w:t>.</w:t>
      </w:r>
    </w:p>
    <w:p w14:paraId="6794307A" w14:textId="085B1127" w:rsidR="00AE2785" w:rsidRPr="005C47E0" w:rsidRDefault="00AE2785" w:rsidP="00F2691F">
      <w:pPr>
        <w:pStyle w:val="3Bodytext"/>
        <w:rPr>
          <w:i/>
          <w:iCs/>
        </w:rPr>
      </w:pPr>
      <w:r w:rsidRPr="00527EC3">
        <w:rPr>
          <w:iCs/>
        </w:rPr>
        <w:t>The PBAC recommended</w:t>
      </w:r>
      <w:r w:rsidR="00B477D1" w:rsidRPr="00527EC3">
        <w:rPr>
          <w:iCs/>
        </w:rPr>
        <w:t xml:space="preserve"> a second etanercept biosimilar,</w:t>
      </w:r>
      <w:r w:rsidRPr="00527EC3">
        <w:rPr>
          <w:iCs/>
        </w:rPr>
        <w:t xml:space="preserve"> Erelzi</w:t>
      </w:r>
      <w:r w:rsidR="00B477D1" w:rsidRPr="00527EC3">
        <w:rPr>
          <w:iCs/>
        </w:rPr>
        <w:t xml:space="preserve">®, </w:t>
      </w:r>
      <w:r w:rsidRPr="00527EC3">
        <w:rPr>
          <w:iCs/>
        </w:rPr>
        <w:t>at its March 201</w:t>
      </w:r>
      <w:r w:rsidR="00B477D1" w:rsidRPr="00527EC3">
        <w:rPr>
          <w:iCs/>
        </w:rPr>
        <w:t>8 meeting. The PBAC recommended Erelzi be listed for adult and juvenile indications</w:t>
      </w:r>
      <w:r w:rsidRPr="005E2526">
        <w:rPr>
          <w:i/>
        </w:rPr>
        <w:t xml:space="preserve">. </w:t>
      </w:r>
    </w:p>
    <w:p w14:paraId="44E1DA13" w14:textId="77777777" w:rsidR="005C47E0" w:rsidRPr="009A29BB" w:rsidRDefault="005C47E0" w:rsidP="005C47E0">
      <w:pPr>
        <w:pStyle w:val="3Bodytext"/>
        <w:numPr>
          <w:ilvl w:val="0"/>
          <w:numId w:val="0"/>
        </w:numPr>
        <w:ind w:left="720"/>
        <w:rPr>
          <w:rFonts w:eastAsia="Times New Roman" w:cstheme="minorHAnsi"/>
          <w:i/>
          <w:szCs w:val="24"/>
        </w:rPr>
      </w:pPr>
      <w:bookmarkStart w:id="9" w:name="_Hlk86757640"/>
      <w:r w:rsidRPr="009A29BB">
        <w:rPr>
          <w:rFonts w:eastAsia="Times New Roman" w:cstheme="minorHAnsi"/>
          <w:i/>
          <w:szCs w:val="24"/>
        </w:rPr>
        <w:lastRenderedPageBreak/>
        <w:t xml:space="preserve">For more detail on PBAC’s view, see section 6 PBAC outcome. </w:t>
      </w:r>
    </w:p>
    <w:bookmarkEnd w:id="9"/>
    <w:p w14:paraId="1B8790B6" w14:textId="77777777" w:rsidR="00964A9F" w:rsidRDefault="00964A9F" w:rsidP="00964A9F">
      <w:pPr>
        <w:pStyle w:val="2-SectionHeading"/>
      </w:pPr>
      <w:r w:rsidRPr="009D507A">
        <w:t xml:space="preserve">Requested listing </w:t>
      </w:r>
    </w:p>
    <w:p w14:paraId="0D25A78E" w14:textId="16023483" w:rsidR="00F56938" w:rsidRPr="00F56938" w:rsidRDefault="00F56938" w:rsidP="00CA0036">
      <w:pPr>
        <w:numPr>
          <w:ilvl w:val="1"/>
          <w:numId w:val="2"/>
        </w:numPr>
        <w:spacing w:after="120"/>
        <w:rPr>
          <w:rFonts w:asciiTheme="minorHAnsi" w:eastAsiaTheme="minorHAnsi" w:hAnsiTheme="minorHAnsi" w:cstheme="minorBidi"/>
          <w:szCs w:val="22"/>
          <w:lang w:eastAsia="en-US"/>
        </w:rPr>
      </w:pPr>
      <w:r w:rsidRPr="00F56938">
        <w:rPr>
          <w:rFonts w:asciiTheme="minorHAnsi" w:eastAsiaTheme="minorHAnsi" w:hAnsiTheme="minorHAnsi" w:cstheme="minorBidi"/>
          <w:szCs w:val="22"/>
          <w:lang w:eastAsia="en-US"/>
        </w:rPr>
        <w:t xml:space="preserve">The </w:t>
      </w:r>
      <w:r w:rsidR="00EC1EF8">
        <w:rPr>
          <w:rFonts w:asciiTheme="minorHAnsi" w:eastAsiaTheme="minorHAnsi" w:hAnsiTheme="minorHAnsi" w:cstheme="minorBidi"/>
          <w:szCs w:val="22"/>
          <w:lang w:eastAsia="en-US"/>
        </w:rPr>
        <w:t xml:space="preserve">submission </w:t>
      </w:r>
      <w:r w:rsidRPr="00F56938">
        <w:rPr>
          <w:rFonts w:asciiTheme="minorHAnsi" w:eastAsiaTheme="minorHAnsi" w:hAnsiTheme="minorHAnsi" w:cstheme="minorBidi"/>
          <w:szCs w:val="22"/>
          <w:lang w:eastAsia="en-US"/>
        </w:rPr>
        <w:t>proposed</w:t>
      </w:r>
      <w:r w:rsidR="00122369">
        <w:rPr>
          <w:rFonts w:asciiTheme="minorHAnsi" w:eastAsiaTheme="minorHAnsi" w:hAnsiTheme="minorHAnsi" w:cstheme="minorBidi"/>
          <w:szCs w:val="22"/>
          <w:lang w:eastAsia="en-US"/>
        </w:rPr>
        <w:t xml:space="preserve"> identical</w:t>
      </w:r>
      <w:r w:rsidR="00EC1EF8">
        <w:rPr>
          <w:rFonts w:asciiTheme="minorHAnsi" w:eastAsiaTheme="minorHAnsi" w:hAnsiTheme="minorHAnsi" w:cstheme="minorBidi"/>
          <w:szCs w:val="22"/>
          <w:lang w:eastAsia="en-US"/>
        </w:rPr>
        <w:t xml:space="preserve"> </w:t>
      </w:r>
      <w:r w:rsidRPr="00F56938">
        <w:rPr>
          <w:rFonts w:asciiTheme="minorHAnsi" w:eastAsiaTheme="minorHAnsi" w:hAnsiTheme="minorHAnsi" w:cstheme="minorBidi"/>
          <w:szCs w:val="22"/>
          <w:lang w:eastAsia="en-US"/>
        </w:rPr>
        <w:t xml:space="preserve">listings for all indications for which the reference brand </w:t>
      </w:r>
      <w:r w:rsidR="00FA4083" w:rsidRPr="00FA4083">
        <w:rPr>
          <w:rFonts w:asciiTheme="minorHAnsi" w:eastAsiaTheme="minorHAnsi" w:hAnsiTheme="minorHAnsi" w:cstheme="minorBidi"/>
          <w:szCs w:val="22"/>
          <w:lang w:eastAsia="en-US"/>
        </w:rPr>
        <w:t>Enbrel</w:t>
      </w:r>
      <w:r w:rsidRPr="00F56938">
        <w:rPr>
          <w:rFonts w:asciiTheme="minorHAnsi" w:eastAsiaTheme="minorHAnsi" w:hAnsiTheme="minorHAnsi" w:cstheme="minorBidi"/>
          <w:szCs w:val="22"/>
          <w:lang w:eastAsia="en-US"/>
        </w:rPr>
        <w:t xml:space="preserve"> </w:t>
      </w:r>
      <w:r w:rsidR="00DD4656">
        <w:rPr>
          <w:rFonts w:asciiTheme="minorHAnsi" w:eastAsiaTheme="minorHAnsi" w:hAnsiTheme="minorHAnsi" w:cstheme="minorBidi"/>
          <w:szCs w:val="22"/>
          <w:lang w:eastAsia="en-US"/>
        </w:rPr>
        <w:t xml:space="preserve">in the form of </w:t>
      </w:r>
      <w:r w:rsidR="00DD4656" w:rsidRPr="00DD4656">
        <w:rPr>
          <w:rFonts w:asciiTheme="minorHAnsi" w:eastAsiaTheme="minorHAnsi" w:hAnsiTheme="minorHAnsi" w:cstheme="minorBidi"/>
          <w:szCs w:val="22"/>
          <w:lang w:eastAsia="en-US"/>
        </w:rPr>
        <w:t>etanercept 50</w:t>
      </w:r>
      <w:r w:rsidR="00EC1EF8">
        <w:rPr>
          <w:rFonts w:asciiTheme="minorHAnsi" w:eastAsiaTheme="minorHAnsi" w:hAnsiTheme="minorHAnsi" w:cstheme="minorBidi"/>
          <w:szCs w:val="22"/>
          <w:lang w:eastAsia="en-US"/>
        </w:rPr>
        <w:t> </w:t>
      </w:r>
      <w:r w:rsidR="00DD4656" w:rsidRPr="00DD4656">
        <w:rPr>
          <w:rFonts w:asciiTheme="minorHAnsi" w:eastAsiaTheme="minorHAnsi" w:hAnsiTheme="minorHAnsi" w:cstheme="minorBidi"/>
          <w:szCs w:val="22"/>
          <w:lang w:eastAsia="en-US"/>
        </w:rPr>
        <w:t>mg in 1</w:t>
      </w:r>
      <w:r w:rsidR="00EC1EF8">
        <w:rPr>
          <w:rFonts w:asciiTheme="minorHAnsi" w:eastAsiaTheme="minorHAnsi" w:hAnsiTheme="minorHAnsi" w:cstheme="minorBidi"/>
          <w:szCs w:val="22"/>
          <w:lang w:eastAsia="en-US"/>
        </w:rPr>
        <w:t> </w:t>
      </w:r>
      <w:r w:rsidR="00DD4656" w:rsidRPr="00DD4656">
        <w:rPr>
          <w:rFonts w:asciiTheme="minorHAnsi" w:eastAsiaTheme="minorHAnsi" w:hAnsiTheme="minorHAnsi" w:cstheme="minorBidi"/>
          <w:szCs w:val="22"/>
          <w:lang w:eastAsia="en-US"/>
        </w:rPr>
        <w:t xml:space="preserve">mL PFS </w:t>
      </w:r>
      <w:r w:rsidRPr="00F56938">
        <w:rPr>
          <w:rFonts w:asciiTheme="minorHAnsi" w:eastAsiaTheme="minorHAnsi" w:hAnsiTheme="minorHAnsi" w:cstheme="minorBidi"/>
          <w:szCs w:val="22"/>
          <w:lang w:eastAsia="en-US"/>
        </w:rPr>
        <w:t>is currently PBS listed:</w:t>
      </w:r>
    </w:p>
    <w:p w14:paraId="63D6394C" w14:textId="77777777" w:rsidR="00DD4656" w:rsidRPr="00DD4656" w:rsidRDefault="00DD4656" w:rsidP="00DD4656">
      <w:pPr>
        <w:numPr>
          <w:ilvl w:val="0"/>
          <w:numId w:val="21"/>
        </w:numPr>
        <w:spacing w:after="120"/>
        <w:ind w:hanging="447"/>
        <w:jc w:val="left"/>
        <w:rPr>
          <w:rFonts w:asciiTheme="minorHAnsi" w:hAnsiTheme="minorHAnsi" w:cstheme="minorHAnsi"/>
          <w:snapToGrid w:val="0"/>
        </w:rPr>
      </w:pPr>
      <w:bookmarkStart w:id="10" w:name="_Hlk88039354"/>
      <w:r w:rsidRPr="00DD4656">
        <w:rPr>
          <w:rFonts w:asciiTheme="minorHAnsi" w:hAnsiTheme="minorHAnsi" w:cstheme="minorHAnsi"/>
          <w:snapToGrid w:val="0"/>
        </w:rPr>
        <w:t>Severe active rheumatoid arthritis</w:t>
      </w:r>
    </w:p>
    <w:p w14:paraId="4C156B8B" w14:textId="0569E866" w:rsidR="006B5FDE" w:rsidRPr="006B5FDE" w:rsidRDefault="00DD4656" w:rsidP="00CA0036">
      <w:pPr>
        <w:numPr>
          <w:ilvl w:val="0"/>
          <w:numId w:val="21"/>
        </w:numPr>
        <w:spacing w:after="120"/>
        <w:ind w:hanging="447"/>
        <w:jc w:val="left"/>
        <w:rPr>
          <w:rFonts w:asciiTheme="minorHAnsi" w:hAnsiTheme="minorHAnsi" w:cstheme="minorHAnsi"/>
          <w:snapToGrid w:val="0"/>
        </w:rPr>
      </w:pPr>
      <w:r w:rsidRPr="00DD4656">
        <w:rPr>
          <w:rFonts w:asciiTheme="minorHAnsi" w:hAnsiTheme="minorHAnsi" w:cstheme="minorHAnsi"/>
          <w:snapToGrid w:val="0"/>
        </w:rPr>
        <w:t>Severe psoriatic arthritis</w:t>
      </w:r>
    </w:p>
    <w:p w14:paraId="6899FFE7" w14:textId="5A0F3D12" w:rsidR="006B5FDE" w:rsidRDefault="006B5FDE" w:rsidP="00CA0036">
      <w:pPr>
        <w:numPr>
          <w:ilvl w:val="0"/>
          <w:numId w:val="21"/>
        </w:numPr>
        <w:spacing w:after="120"/>
        <w:ind w:hanging="447"/>
        <w:jc w:val="left"/>
        <w:rPr>
          <w:rFonts w:asciiTheme="minorHAnsi" w:hAnsiTheme="minorHAnsi" w:cstheme="minorHAnsi"/>
          <w:snapToGrid w:val="0"/>
        </w:rPr>
      </w:pPr>
      <w:r w:rsidRPr="006B5FDE">
        <w:rPr>
          <w:rFonts w:asciiTheme="minorHAnsi" w:hAnsiTheme="minorHAnsi" w:cstheme="minorHAnsi"/>
          <w:snapToGrid w:val="0"/>
        </w:rPr>
        <w:t xml:space="preserve">Ankylosing </w:t>
      </w:r>
      <w:r w:rsidR="009500B9">
        <w:rPr>
          <w:rFonts w:asciiTheme="minorHAnsi" w:hAnsiTheme="minorHAnsi" w:cstheme="minorHAnsi"/>
          <w:snapToGrid w:val="0"/>
        </w:rPr>
        <w:t>s</w:t>
      </w:r>
      <w:r w:rsidRPr="006B5FDE">
        <w:rPr>
          <w:rFonts w:asciiTheme="minorHAnsi" w:hAnsiTheme="minorHAnsi" w:cstheme="minorHAnsi"/>
          <w:snapToGrid w:val="0"/>
        </w:rPr>
        <w:t>pondylitis</w:t>
      </w:r>
    </w:p>
    <w:p w14:paraId="77FCA43F" w14:textId="399BEF9B" w:rsidR="00DD4656" w:rsidRPr="006B5FDE" w:rsidRDefault="00DD4656" w:rsidP="00CA0036">
      <w:pPr>
        <w:numPr>
          <w:ilvl w:val="0"/>
          <w:numId w:val="21"/>
        </w:numPr>
        <w:spacing w:after="120"/>
        <w:ind w:hanging="447"/>
        <w:jc w:val="left"/>
        <w:rPr>
          <w:rFonts w:asciiTheme="minorHAnsi" w:hAnsiTheme="minorHAnsi" w:cstheme="minorHAnsi"/>
          <w:snapToGrid w:val="0"/>
        </w:rPr>
      </w:pPr>
      <w:r w:rsidRPr="00DD4656">
        <w:rPr>
          <w:rFonts w:asciiTheme="minorHAnsi" w:hAnsiTheme="minorHAnsi" w:cstheme="minorHAnsi"/>
          <w:snapToGrid w:val="0"/>
        </w:rPr>
        <w:t>Severe chronic plaque psoriasis</w:t>
      </w:r>
    </w:p>
    <w:p w14:paraId="311E16E3" w14:textId="3BCA8AE5" w:rsidR="00DD4656" w:rsidRDefault="006B5FDE" w:rsidP="00F2691F">
      <w:pPr>
        <w:numPr>
          <w:ilvl w:val="0"/>
          <w:numId w:val="21"/>
        </w:numPr>
        <w:spacing w:after="120"/>
        <w:ind w:hanging="447"/>
        <w:jc w:val="left"/>
        <w:rPr>
          <w:rFonts w:asciiTheme="minorHAnsi" w:hAnsiTheme="minorHAnsi" w:cstheme="minorHAnsi"/>
          <w:snapToGrid w:val="0"/>
        </w:rPr>
      </w:pPr>
      <w:r w:rsidRPr="00DD4656">
        <w:rPr>
          <w:rFonts w:asciiTheme="minorHAnsi" w:hAnsiTheme="minorHAnsi" w:cstheme="minorHAnsi"/>
          <w:snapToGrid w:val="0"/>
        </w:rPr>
        <w:t xml:space="preserve">Juvenile </w:t>
      </w:r>
      <w:r w:rsidR="009500B9">
        <w:rPr>
          <w:rFonts w:asciiTheme="minorHAnsi" w:hAnsiTheme="minorHAnsi" w:cstheme="minorHAnsi"/>
          <w:snapToGrid w:val="0"/>
        </w:rPr>
        <w:t>i</w:t>
      </w:r>
      <w:r w:rsidRPr="00DD4656">
        <w:rPr>
          <w:rFonts w:asciiTheme="minorHAnsi" w:hAnsiTheme="minorHAnsi" w:cstheme="minorHAnsi"/>
          <w:snapToGrid w:val="0"/>
        </w:rPr>
        <w:t xml:space="preserve">diopathic </w:t>
      </w:r>
      <w:r w:rsidR="009500B9">
        <w:rPr>
          <w:rFonts w:asciiTheme="minorHAnsi" w:hAnsiTheme="minorHAnsi" w:cstheme="minorHAnsi"/>
          <w:snapToGrid w:val="0"/>
        </w:rPr>
        <w:t>a</w:t>
      </w:r>
      <w:r w:rsidRPr="00DD4656">
        <w:rPr>
          <w:rFonts w:asciiTheme="minorHAnsi" w:hAnsiTheme="minorHAnsi" w:cstheme="minorHAnsi"/>
          <w:snapToGrid w:val="0"/>
        </w:rPr>
        <w:t>rthritis</w:t>
      </w:r>
    </w:p>
    <w:bookmarkEnd w:id="10"/>
    <w:p w14:paraId="04D134E0" w14:textId="0A5E4BB0" w:rsidR="00B477D1" w:rsidRPr="009A29BB" w:rsidRDefault="00F7344C" w:rsidP="007F5559">
      <w:pPr>
        <w:spacing w:after="120"/>
        <w:ind w:left="720"/>
        <w:rPr>
          <w:rFonts w:asciiTheme="minorHAnsi" w:hAnsiTheme="minorHAnsi" w:cstheme="minorHAnsi"/>
          <w:iCs/>
        </w:rPr>
      </w:pPr>
      <w:r w:rsidRPr="009A29BB">
        <w:rPr>
          <w:rFonts w:asciiTheme="minorHAnsi" w:hAnsiTheme="minorHAnsi" w:cstheme="minorHAnsi"/>
          <w:iCs/>
        </w:rPr>
        <w:t xml:space="preserve">The submission noted that only </w:t>
      </w:r>
      <w:r w:rsidR="007A6BB0" w:rsidRPr="009A29BB">
        <w:rPr>
          <w:rFonts w:asciiTheme="minorHAnsi" w:hAnsiTheme="minorHAnsi" w:cstheme="minorHAnsi"/>
          <w:iCs/>
        </w:rPr>
        <w:t xml:space="preserve">the </w:t>
      </w:r>
      <w:bookmarkStart w:id="11" w:name="_Hlk88039177"/>
      <w:r w:rsidRPr="009A29BB">
        <w:rPr>
          <w:rFonts w:asciiTheme="minorHAnsi" w:hAnsiTheme="minorHAnsi" w:cstheme="minorHAnsi"/>
          <w:iCs/>
        </w:rPr>
        <w:t>Enbre</w:t>
      </w:r>
      <w:bookmarkEnd w:id="11"/>
      <w:r w:rsidRPr="009A29BB">
        <w:rPr>
          <w:rFonts w:asciiTheme="minorHAnsi" w:hAnsiTheme="minorHAnsi" w:cstheme="minorHAnsi"/>
          <w:iCs/>
        </w:rPr>
        <w:t xml:space="preserve">l </w:t>
      </w:r>
      <w:r w:rsidR="007A6BB0" w:rsidRPr="009A29BB">
        <w:rPr>
          <w:rFonts w:asciiTheme="minorHAnsi" w:hAnsiTheme="minorHAnsi" w:cstheme="minorHAnsi"/>
          <w:iCs/>
        </w:rPr>
        <w:t xml:space="preserve">brand </w:t>
      </w:r>
      <w:r w:rsidRPr="009A29BB">
        <w:rPr>
          <w:rFonts w:asciiTheme="minorHAnsi" w:hAnsiTheme="minorHAnsi" w:cstheme="minorHAnsi"/>
          <w:iCs/>
        </w:rPr>
        <w:t>is listed for severe chronic plaque psoriasis (under 18</w:t>
      </w:r>
      <w:r w:rsidR="009500B9" w:rsidRPr="009A29BB">
        <w:rPr>
          <w:rFonts w:asciiTheme="minorHAnsi" w:hAnsiTheme="minorHAnsi" w:cstheme="minorHAnsi"/>
          <w:iCs/>
        </w:rPr>
        <w:t xml:space="preserve"> </w:t>
      </w:r>
      <w:r w:rsidRPr="009A29BB">
        <w:rPr>
          <w:rFonts w:asciiTheme="minorHAnsi" w:hAnsiTheme="minorHAnsi" w:cstheme="minorHAnsi"/>
          <w:iCs/>
        </w:rPr>
        <w:t>y</w:t>
      </w:r>
      <w:r w:rsidR="009500B9" w:rsidRPr="009A29BB">
        <w:rPr>
          <w:rFonts w:asciiTheme="minorHAnsi" w:hAnsiTheme="minorHAnsi" w:cstheme="minorHAnsi"/>
          <w:iCs/>
        </w:rPr>
        <w:t>ea</w:t>
      </w:r>
      <w:r w:rsidRPr="009A29BB">
        <w:rPr>
          <w:rFonts w:asciiTheme="minorHAnsi" w:hAnsiTheme="minorHAnsi" w:cstheme="minorHAnsi"/>
          <w:iCs/>
        </w:rPr>
        <w:t>rs</w:t>
      </w:r>
      <w:r w:rsidR="009500B9" w:rsidRPr="009A29BB">
        <w:rPr>
          <w:rFonts w:asciiTheme="minorHAnsi" w:hAnsiTheme="minorHAnsi" w:cstheme="minorHAnsi"/>
          <w:iCs/>
        </w:rPr>
        <w:t xml:space="preserve">; </w:t>
      </w:r>
      <w:r w:rsidRPr="009A29BB">
        <w:rPr>
          <w:rFonts w:asciiTheme="minorHAnsi" w:hAnsiTheme="minorHAnsi" w:cstheme="minorHAnsi"/>
          <w:iCs/>
        </w:rPr>
        <w:t xml:space="preserve">PBS item 1963H). </w:t>
      </w:r>
      <w:r w:rsidR="00AC1E89" w:rsidRPr="009A29BB">
        <w:rPr>
          <w:rFonts w:asciiTheme="minorHAnsi" w:hAnsiTheme="minorHAnsi" w:cstheme="minorHAnsi"/>
          <w:iCs/>
        </w:rPr>
        <w:t xml:space="preserve">The TGA approval for Rymti </w:t>
      </w:r>
      <w:r w:rsidR="005D4D7C" w:rsidRPr="009A29BB">
        <w:rPr>
          <w:rFonts w:asciiTheme="minorHAnsi" w:hAnsiTheme="minorHAnsi" w:cstheme="minorHAnsi"/>
          <w:iCs/>
        </w:rPr>
        <w:t xml:space="preserve">PFS </w:t>
      </w:r>
      <w:r w:rsidR="00AC1E89" w:rsidRPr="009A29BB">
        <w:rPr>
          <w:rFonts w:asciiTheme="minorHAnsi" w:hAnsiTheme="minorHAnsi" w:cstheme="minorHAnsi"/>
          <w:iCs/>
        </w:rPr>
        <w:t xml:space="preserve">states that children and adolescents weighing less than 62.5 kg should not receive Rymti and that these patients should be accurately dosed on a mg/kg basis with other etanercept products. At its July 2016 meeting, the PBAC noted similar advice from the TGA delegate regarding Brenzys where they did not intend to approve Brenzys for registration for juvenile plaque psoriasis or juvenile idiopathic arthritis because it </w:t>
      </w:r>
      <w:r w:rsidR="009500B9" w:rsidRPr="009A29BB">
        <w:rPr>
          <w:rFonts w:asciiTheme="minorHAnsi" w:hAnsiTheme="minorHAnsi" w:cstheme="minorHAnsi"/>
          <w:iCs/>
        </w:rPr>
        <w:t>wa</w:t>
      </w:r>
      <w:r w:rsidR="00AC1E89" w:rsidRPr="009A29BB">
        <w:rPr>
          <w:rFonts w:asciiTheme="minorHAnsi" w:hAnsiTheme="minorHAnsi" w:cstheme="minorHAnsi"/>
          <w:iCs/>
        </w:rPr>
        <w:t>s not available in a dose form that would enable weight based dosing for children weighing less than 62.5 kg. As such the PBAC recommended that Brenzys should also not be subsidised for these indications (paragraph 7.3, etanercept (Brenzys), Public Summary Document, July 2016</w:t>
      </w:r>
      <w:r w:rsidR="00AF40C1" w:rsidRPr="009A29BB">
        <w:rPr>
          <w:rFonts w:asciiTheme="minorHAnsi" w:hAnsiTheme="minorHAnsi" w:cstheme="minorHAnsi"/>
          <w:iCs/>
        </w:rPr>
        <w:t xml:space="preserve"> PBAC meeting).</w:t>
      </w:r>
      <w:r w:rsidR="00AC1E89" w:rsidRPr="009A29BB">
        <w:rPr>
          <w:rFonts w:asciiTheme="minorHAnsi" w:hAnsiTheme="minorHAnsi" w:cstheme="minorHAnsi"/>
          <w:iCs/>
        </w:rPr>
        <w:t xml:space="preserve"> </w:t>
      </w:r>
      <w:r w:rsidR="00AF40C1" w:rsidRPr="009A29BB">
        <w:rPr>
          <w:rFonts w:asciiTheme="minorHAnsi" w:hAnsiTheme="minorHAnsi" w:cstheme="minorHAnsi"/>
          <w:iCs/>
        </w:rPr>
        <w:t xml:space="preserve">Therefore, it </w:t>
      </w:r>
      <w:r w:rsidR="00CB2F79" w:rsidRPr="009A29BB">
        <w:rPr>
          <w:rFonts w:asciiTheme="minorHAnsi" w:hAnsiTheme="minorHAnsi" w:cstheme="minorHAnsi"/>
          <w:iCs/>
        </w:rPr>
        <w:t xml:space="preserve">would </w:t>
      </w:r>
      <w:r w:rsidR="00AF40C1" w:rsidRPr="009A29BB">
        <w:rPr>
          <w:rFonts w:asciiTheme="minorHAnsi" w:hAnsiTheme="minorHAnsi" w:cstheme="minorHAnsi"/>
          <w:iCs/>
        </w:rPr>
        <w:t>be appropriate for Rymti to be have an identical listing as Brenzys for the same form and strength.</w:t>
      </w:r>
    </w:p>
    <w:p w14:paraId="269259A9" w14:textId="71B0AEF2" w:rsidR="009500B9" w:rsidRPr="009A29BB" w:rsidRDefault="004A3F3F" w:rsidP="0084294E">
      <w:pPr>
        <w:numPr>
          <w:ilvl w:val="1"/>
          <w:numId w:val="2"/>
        </w:numPr>
        <w:spacing w:after="120"/>
        <w:rPr>
          <w:rFonts w:asciiTheme="minorHAnsi" w:hAnsiTheme="minorHAnsi" w:cstheme="minorHAnsi"/>
          <w:iCs/>
        </w:rPr>
      </w:pPr>
      <w:r w:rsidRPr="009A29BB">
        <w:rPr>
          <w:rFonts w:asciiTheme="minorHAnsi" w:hAnsiTheme="minorHAnsi" w:cstheme="minorHAnsi"/>
          <w:iCs/>
        </w:rPr>
        <w:t>The PBAC advise</w:t>
      </w:r>
      <w:r w:rsidR="006F18B7" w:rsidRPr="009A29BB">
        <w:rPr>
          <w:rFonts w:asciiTheme="minorHAnsi" w:hAnsiTheme="minorHAnsi" w:cstheme="minorHAnsi"/>
          <w:iCs/>
        </w:rPr>
        <w:t>d</w:t>
      </w:r>
      <w:r w:rsidRPr="009A29BB">
        <w:rPr>
          <w:rFonts w:asciiTheme="minorHAnsi" w:hAnsiTheme="minorHAnsi" w:cstheme="minorHAnsi"/>
          <w:iCs/>
        </w:rPr>
        <w:t xml:space="preserve"> b</w:t>
      </w:r>
      <w:r w:rsidR="009500B9" w:rsidRPr="009A29BB">
        <w:rPr>
          <w:rFonts w:asciiTheme="minorHAnsi" w:hAnsiTheme="minorHAnsi" w:cstheme="minorHAnsi"/>
          <w:iCs/>
        </w:rPr>
        <w:t xml:space="preserve">iosimilar uptake drivers which currently apply to Brenzys, including the differential treatment in authority requirements for subsequent continuing treatment with the reference and biosimilar brands, </w:t>
      </w:r>
      <w:r w:rsidR="006F18B7" w:rsidRPr="009A29BB">
        <w:rPr>
          <w:rFonts w:asciiTheme="minorHAnsi" w:hAnsiTheme="minorHAnsi" w:cstheme="minorHAnsi"/>
          <w:iCs/>
        </w:rPr>
        <w:t>would</w:t>
      </w:r>
      <w:r w:rsidR="009500B9" w:rsidRPr="009A29BB">
        <w:rPr>
          <w:rFonts w:asciiTheme="minorHAnsi" w:hAnsiTheme="minorHAnsi" w:cstheme="minorHAnsi"/>
          <w:iCs/>
        </w:rPr>
        <w:t xml:space="preserve"> also apply to Rymti</w:t>
      </w:r>
      <w:r w:rsidR="009A29BB">
        <w:rPr>
          <w:rFonts w:asciiTheme="minorHAnsi" w:hAnsiTheme="minorHAnsi" w:cstheme="minorHAnsi"/>
          <w:iCs/>
        </w:rPr>
        <w:t xml:space="preserve"> PFS</w:t>
      </w:r>
      <w:r w:rsidR="009500B9" w:rsidRPr="009A29BB">
        <w:rPr>
          <w:rFonts w:asciiTheme="minorHAnsi" w:hAnsiTheme="minorHAnsi" w:cstheme="minorHAnsi"/>
          <w:iCs/>
        </w:rPr>
        <w:t>.</w:t>
      </w:r>
    </w:p>
    <w:p w14:paraId="2EEA734F" w14:textId="79E2179C" w:rsidR="00FA4083" w:rsidRPr="009A29BB" w:rsidRDefault="00FA4083" w:rsidP="00FD4C11">
      <w:pPr>
        <w:numPr>
          <w:ilvl w:val="1"/>
          <w:numId w:val="2"/>
        </w:numPr>
        <w:spacing w:after="120"/>
        <w:rPr>
          <w:rFonts w:asciiTheme="minorHAnsi" w:hAnsiTheme="minorHAnsi" w:cstheme="minorHAnsi"/>
        </w:rPr>
      </w:pPr>
      <w:r w:rsidRPr="009A29BB">
        <w:rPr>
          <w:rFonts w:asciiTheme="minorHAnsi" w:hAnsiTheme="minorHAnsi" w:cstheme="minorHAnsi"/>
        </w:rPr>
        <w:t xml:space="preserve">The submission requested Rymti PFS to be ‘a’-flagged against Enbrel of the same strength and form. The PBAC previously advised that, under Section 101(4AACD) of the </w:t>
      </w:r>
      <w:r w:rsidRPr="006B1135">
        <w:rPr>
          <w:rFonts w:asciiTheme="minorHAnsi" w:hAnsiTheme="minorHAnsi" w:cstheme="minorHAnsi"/>
          <w:i/>
          <w:iCs/>
        </w:rPr>
        <w:t>National Health Act 1953</w:t>
      </w:r>
      <w:r w:rsidRPr="009A29BB">
        <w:rPr>
          <w:rFonts w:asciiTheme="minorHAnsi" w:hAnsiTheme="minorHAnsi" w:cstheme="minorHAnsi"/>
        </w:rPr>
        <w:t xml:space="preserve"> (the Act), in the Schedule of Pharmaceutical Benefits, the same form and strength for the brands </w:t>
      </w:r>
      <w:bookmarkStart w:id="12" w:name="_Hlk79153128"/>
      <w:r w:rsidR="00B70427" w:rsidRPr="009A29BB">
        <w:rPr>
          <w:rFonts w:asciiTheme="minorHAnsi" w:hAnsiTheme="minorHAnsi" w:cstheme="minorHAnsi"/>
        </w:rPr>
        <w:t>Brenzys</w:t>
      </w:r>
      <w:r w:rsidRPr="009A29BB">
        <w:rPr>
          <w:rFonts w:asciiTheme="minorHAnsi" w:hAnsiTheme="minorHAnsi" w:cstheme="minorHAnsi"/>
        </w:rPr>
        <w:t xml:space="preserve"> and </w:t>
      </w:r>
      <w:r w:rsidR="00B70427" w:rsidRPr="009A29BB">
        <w:rPr>
          <w:rFonts w:asciiTheme="minorHAnsi" w:hAnsiTheme="minorHAnsi" w:cstheme="minorHAnsi"/>
        </w:rPr>
        <w:t>Enbrel</w:t>
      </w:r>
      <w:r w:rsidRPr="009A29BB">
        <w:rPr>
          <w:rFonts w:asciiTheme="minorHAnsi" w:hAnsiTheme="minorHAnsi" w:cstheme="minorHAnsi"/>
        </w:rPr>
        <w:t xml:space="preserve"> </w:t>
      </w:r>
      <w:bookmarkEnd w:id="12"/>
      <w:r w:rsidRPr="009A29BB">
        <w:rPr>
          <w:rFonts w:asciiTheme="minorHAnsi" w:hAnsiTheme="minorHAnsi" w:cstheme="minorHAnsi"/>
        </w:rPr>
        <w:t xml:space="preserve">should be treated as equivalent (‘a’ flagged) to each other for the purpose of substitution. </w:t>
      </w:r>
      <w:bookmarkStart w:id="13" w:name="_Hlk79154097"/>
      <w:r w:rsidRPr="009A29BB">
        <w:rPr>
          <w:rFonts w:asciiTheme="minorHAnsi" w:hAnsiTheme="minorHAnsi" w:cstheme="minorHAnsi"/>
        </w:rPr>
        <w:t xml:space="preserve">The </w:t>
      </w:r>
      <w:r w:rsidR="00FD4C11" w:rsidRPr="009A29BB">
        <w:rPr>
          <w:rFonts w:asciiTheme="minorHAnsi" w:eastAsiaTheme="minorHAnsi" w:hAnsiTheme="minorHAnsi" w:cstheme="minorHAnsi"/>
        </w:rPr>
        <w:t>PBAC advise</w:t>
      </w:r>
      <w:r w:rsidR="006F18B7" w:rsidRPr="009A29BB">
        <w:rPr>
          <w:rFonts w:asciiTheme="minorHAnsi" w:eastAsiaTheme="minorHAnsi" w:hAnsiTheme="minorHAnsi" w:cstheme="minorHAnsi"/>
        </w:rPr>
        <w:t>d</w:t>
      </w:r>
      <w:r w:rsidR="00FD4C11" w:rsidRPr="009A29BB">
        <w:rPr>
          <w:rFonts w:asciiTheme="minorHAnsi" w:eastAsiaTheme="minorHAnsi" w:hAnsiTheme="minorHAnsi" w:cstheme="minorHAnsi"/>
        </w:rPr>
        <w:t>, under Section 101(4AACD) of the Act, in the Schedule of Pharmaceutical Benefits the same form and strength of Brenzys, Enbrel and Rymti</w:t>
      </w:r>
      <w:r w:rsidR="009A29BB">
        <w:rPr>
          <w:rFonts w:asciiTheme="minorHAnsi" w:eastAsiaTheme="minorHAnsi" w:hAnsiTheme="minorHAnsi" w:cstheme="minorHAnsi"/>
        </w:rPr>
        <w:t xml:space="preserve"> PFS</w:t>
      </w:r>
      <w:r w:rsidR="00FD4C11" w:rsidRPr="009A29BB">
        <w:rPr>
          <w:rFonts w:asciiTheme="minorHAnsi" w:eastAsiaTheme="minorHAnsi" w:hAnsiTheme="minorHAnsi" w:cstheme="minorHAnsi"/>
        </w:rPr>
        <w:t xml:space="preserve"> should be treated as equivalent (‘a’-flagged) to each other for the purpose of substitution.</w:t>
      </w:r>
    </w:p>
    <w:bookmarkEnd w:id="13"/>
    <w:p w14:paraId="09470AB6" w14:textId="3F29991D" w:rsidR="00B70427" w:rsidRPr="009A29BB" w:rsidRDefault="00B70427" w:rsidP="0084294E">
      <w:pPr>
        <w:numPr>
          <w:ilvl w:val="1"/>
          <w:numId w:val="2"/>
        </w:numPr>
        <w:spacing w:after="120"/>
        <w:rPr>
          <w:rFonts w:asciiTheme="minorHAnsi" w:hAnsiTheme="minorHAnsi" w:cstheme="minorHAnsi"/>
          <w:lang w:eastAsia="en-US"/>
        </w:rPr>
      </w:pPr>
      <w:r w:rsidRPr="009A29BB">
        <w:rPr>
          <w:rFonts w:asciiTheme="minorHAnsi" w:hAnsiTheme="minorHAnsi" w:cstheme="minorHAnsi"/>
          <w:lang w:eastAsia="en-US"/>
        </w:rPr>
        <w:t>The requested restrictions are complex due to the number of items and indications required for the listing. If recommended by the PBAC, implementation of these listings may occur across separate stages. As the applicant requested no changes to the restrictions compared to Enbrel, the restrictions have not been reproduced.</w:t>
      </w:r>
    </w:p>
    <w:p w14:paraId="3E177812" w14:textId="77777777" w:rsidR="005C47E0" w:rsidRPr="009A29BB" w:rsidRDefault="005C47E0" w:rsidP="005C47E0">
      <w:pPr>
        <w:pStyle w:val="3Bodytext"/>
        <w:numPr>
          <w:ilvl w:val="0"/>
          <w:numId w:val="0"/>
        </w:numPr>
        <w:ind w:left="720"/>
        <w:rPr>
          <w:rFonts w:eastAsia="Times New Roman" w:cstheme="minorHAnsi"/>
          <w:i/>
          <w:szCs w:val="24"/>
        </w:rPr>
      </w:pPr>
      <w:r w:rsidRPr="009A29BB">
        <w:rPr>
          <w:rFonts w:eastAsia="Times New Roman" w:cstheme="minorHAnsi"/>
          <w:i/>
          <w:szCs w:val="24"/>
        </w:rPr>
        <w:lastRenderedPageBreak/>
        <w:t xml:space="preserve">For more detail on PBAC’s view, see section 6 PBAC outcome. </w:t>
      </w:r>
    </w:p>
    <w:p w14:paraId="29A96004" w14:textId="77777777" w:rsidR="00C27C1C" w:rsidRPr="00922200" w:rsidRDefault="00C27C1C" w:rsidP="00CA0036">
      <w:pPr>
        <w:pStyle w:val="2-SectionHeading"/>
      </w:pPr>
      <w:r w:rsidRPr="003C2FB5">
        <w:t>Comparator</w:t>
      </w:r>
      <w:r>
        <w:t xml:space="preserve"> </w:t>
      </w:r>
    </w:p>
    <w:p w14:paraId="7C5D63C6" w14:textId="47FAA765" w:rsidR="008C7A6C" w:rsidRDefault="008C7A6C" w:rsidP="008C7A6C">
      <w:pPr>
        <w:pStyle w:val="3-BodyText"/>
        <w:numPr>
          <w:ilvl w:val="1"/>
          <w:numId w:val="2"/>
        </w:numPr>
      </w:pPr>
      <w:r w:rsidRPr="00A373CD">
        <w:rPr>
          <w:lang w:eastAsia="en-US"/>
        </w:rPr>
        <w:t xml:space="preserve">The submission nominated the reference brand of </w:t>
      </w:r>
      <w:bookmarkStart w:id="14" w:name="_Hlk86752887"/>
      <w:r w:rsidRPr="00A373CD">
        <w:rPr>
          <w:lang w:eastAsia="en-US"/>
        </w:rPr>
        <w:t xml:space="preserve">etanercept, </w:t>
      </w:r>
      <w:bookmarkStart w:id="15" w:name="_Hlk79157576"/>
      <w:r w:rsidRPr="00A373CD">
        <w:rPr>
          <w:lang w:eastAsia="en-US"/>
        </w:rPr>
        <w:t>Enbrel</w:t>
      </w:r>
      <w:bookmarkEnd w:id="14"/>
      <w:bookmarkEnd w:id="15"/>
      <w:r w:rsidRPr="00A373CD">
        <w:rPr>
          <w:lang w:eastAsia="en-US"/>
        </w:rPr>
        <w:t xml:space="preserve">, as the main comparator. </w:t>
      </w:r>
      <w:r w:rsidR="006F30ED">
        <w:rPr>
          <w:lang w:eastAsia="en-US"/>
        </w:rPr>
        <w:t>The PBAC considered t</w:t>
      </w:r>
      <w:r w:rsidRPr="00A373CD">
        <w:rPr>
          <w:lang w:eastAsia="en-US"/>
        </w:rPr>
        <w:t>his was appropriate</w:t>
      </w:r>
      <w:r w:rsidR="006F30ED">
        <w:rPr>
          <w:lang w:eastAsia="en-US"/>
        </w:rPr>
        <w:t xml:space="preserve"> and advised</w:t>
      </w:r>
      <w:r w:rsidR="00C50A4D">
        <w:rPr>
          <w:lang w:eastAsia="en-US"/>
        </w:rPr>
        <w:t xml:space="preserve"> that</w:t>
      </w:r>
      <w:r w:rsidR="00AF40C1" w:rsidRPr="00A373CD">
        <w:rPr>
          <w:lang w:eastAsia="en-US"/>
        </w:rPr>
        <w:t xml:space="preserve"> </w:t>
      </w:r>
      <w:bookmarkStart w:id="16" w:name="_Hlk86753021"/>
      <w:r w:rsidR="00AF40C1" w:rsidRPr="00A373CD">
        <w:rPr>
          <w:lang w:eastAsia="en-US"/>
        </w:rPr>
        <w:t xml:space="preserve">Brenzys </w:t>
      </w:r>
      <w:r w:rsidR="006F30ED">
        <w:rPr>
          <w:lang w:eastAsia="en-US"/>
        </w:rPr>
        <w:t xml:space="preserve">was </w:t>
      </w:r>
      <w:r w:rsidR="00AF40C1" w:rsidRPr="00A373CD">
        <w:rPr>
          <w:lang w:eastAsia="en-US"/>
        </w:rPr>
        <w:t xml:space="preserve">also </w:t>
      </w:r>
      <w:r w:rsidR="00EA5E27" w:rsidRPr="00A373CD">
        <w:rPr>
          <w:lang w:eastAsia="en-US"/>
        </w:rPr>
        <w:t xml:space="preserve">an </w:t>
      </w:r>
      <w:r w:rsidR="00AF40C1" w:rsidRPr="00A373CD">
        <w:rPr>
          <w:lang w:eastAsia="en-US"/>
        </w:rPr>
        <w:t>appropriate</w:t>
      </w:r>
      <w:r w:rsidR="00EA5E27" w:rsidRPr="00A373CD">
        <w:rPr>
          <w:lang w:eastAsia="en-US"/>
        </w:rPr>
        <w:t xml:space="preserve"> comparator</w:t>
      </w:r>
      <w:r w:rsidRPr="00A373CD">
        <w:t>.</w:t>
      </w:r>
    </w:p>
    <w:p w14:paraId="1CB4D725" w14:textId="77777777" w:rsidR="005C47E0" w:rsidRPr="009A29BB" w:rsidRDefault="005C47E0" w:rsidP="005C47E0">
      <w:pPr>
        <w:pStyle w:val="3Bodytext"/>
        <w:numPr>
          <w:ilvl w:val="0"/>
          <w:numId w:val="0"/>
        </w:numPr>
        <w:ind w:left="720"/>
        <w:rPr>
          <w:rFonts w:eastAsia="Times New Roman" w:cstheme="minorHAnsi"/>
          <w:i/>
          <w:szCs w:val="24"/>
        </w:rPr>
      </w:pPr>
      <w:r w:rsidRPr="009A29BB">
        <w:rPr>
          <w:rFonts w:eastAsia="Times New Roman" w:cstheme="minorHAnsi"/>
          <w:i/>
          <w:szCs w:val="24"/>
        </w:rPr>
        <w:t xml:space="preserve">For more detail on PBAC’s view, see section 6 PBAC outcome. </w:t>
      </w:r>
    </w:p>
    <w:bookmarkEnd w:id="16"/>
    <w:p w14:paraId="0436B7D8" w14:textId="77777777" w:rsidR="00C27C1C" w:rsidRDefault="00C27C1C" w:rsidP="00CA0036">
      <w:pPr>
        <w:pStyle w:val="Heading1"/>
        <w:keepLines/>
        <w:numPr>
          <w:ilvl w:val="0"/>
          <w:numId w:val="2"/>
        </w:numPr>
        <w:spacing w:before="240"/>
        <w:ind w:left="709" w:hanging="709"/>
        <w:rPr>
          <w:sz w:val="32"/>
          <w:szCs w:val="32"/>
        </w:rPr>
      </w:pPr>
      <w:r w:rsidRPr="003C2FB5">
        <w:rPr>
          <w:sz w:val="32"/>
          <w:szCs w:val="32"/>
        </w:rPr>
        <w:t>Consideration of the evidence</w:t>
      </w:r>
    </w:p>
    <w:p w14:paraId="3B226B75" w14:textId="77777777" w:rsidR="00181CCB" w:rsidRPr="00A033A3" w:rsidRDefault="00181CCB" w:rsidP="00181CCB">
      <w:pPr>
        <w:pStyle w:val="4-SubsectionHeading"/>
      </w:pPr>
      <w:bookmarkStart w:id="17" w:name="_Hlk86822661"/>
      <w:r w:rsidRPr="00A033A3">
        <w:t>Sponsor hearing</w:t>
      </w:r>
    </w:p>
    <w:p w14:paraId="32813761" w14:textId="77777777" w:rsidR="00181CCB" w:rsidRPr="00A033A3" w:rsidRDefault="00181CCB" w:rsidP="00181CCB">
      <w:pPr>
        <w:pStyle w:val="3Bodytext"/>
        <w:rPr>
          <w:lang w:eastAsia="en-US"/>
        </w:rPr>
      </w:pPr>
      <w:r w:rsidRPr="00A033A3">
        <w:rPr>
          <w:snapToGrid w:val="0"/>
        </w:rPr>
        <w:t>There was no hearing for this item.</w:t>
      </w:r>
    </w:p>
    <w:p w14:paraId="22364FD8" w14:textId="77777777" w:rsidR="00181CCB" w:rsidRPr="00A033A3" w:rsidRDefault="00181CCB" w:rsidP="00181CCB">
      <w:pPr>
        <w:pStyle w:val="4-SubsectionHeading"/>
      </w:pPr>
      <w:r w:rsidRPr="00A033A3">
        <w:t>Consumer comments</w:t>
      </w:r>
    </w:p>
    <w:p w14:paraId="18A1CF83" w14:textId="77777777" w:rsidR="00181CCB" w:rsidRPr="00A033A3" w:rsidRDefault="00181CCB" w:rsidP="00181CCB">
      <w:pPr>
        <w:pStyle w:val="3Bodytext"/>
        <w:rPr>
          <w:lang w:eastAsia="en-US"/>
        </w:rPr>
      </w:pPr>
      <w:r w:rsidRPr="00A033A3">
        <w:rPr>
          <w:snapToGrid w:val="0"/>
        </w:rPr>
        <w:t xml:space="preserve">The PBAC noted that </w:t>
      </w:r>
      <w:r>
        <w:rPr>
          <w:snapToGrid w:val="0"/>
        </w:rPr>
        <w:t xml:space="preserve">this item received </w:t>
      </w:r>
      <w:r w:rsidRPr="00A033A3">
        <w:rPr>
          <w:snapToGrid w:val="0"/>
        </w:rPr>
        <w:t>no consumer comments.</w:t>
      </w:r>
    </w:p>
    <w:bookmarkEnd w:id="17"/>
    <w:p w14:paraId="3F679FE9" w14:textId="7F10F79B" w:rsidR="00C27C1C" w:rsidRPr="00937958" w:rsidRDefault="00C27C1C" w:rsidP="00C27C1C">
      <w:pPr>
        <w:pStyle w:val="4-SubsectionHeading"/>
        <w:keepNext w:val="0"/>
        <w:rPr>
          <w:lang w:eastAsia="en-US"/>
        </w:rPr>
      </w:pPr>
      <w:r w:rsidRPr="003C2FB5">
        <w:rPr>
          <w:lang w:eastAsia="en-US"/>
        </w:rPr>
        <w:t>Clinical trials</w:t>
      </w:r>
      <w:r>
        <w:rPr>
          <w:lang w:eastAsia="en-US"/>
        </w:rPr>
        <w:t xml:space="preserve"> </w:t>
      </w:r>
    </w:p>
    <w:p w14:paraId="6DACC561" w14:textId="0C0F9B60" w:rsidR="008C7A6C" w:rsidRPr="00D01B13" w:rsidRDefault="008C7A6C">
      <w:pPr>
        <w:pStyle w:val="3-BodyText"/>
        <w:numPr>
          <w:ilvl w:val="1"/>
          <w:numId w:val="2"/>
        </w:numPr>
        <w:rPr>
          <w:bCs/>
          <w:lang w:eastAsia="en-US"/>
        </w:rPr>
      </w:pPr>
      <w:r w:rsidRPr="00D01B13">
        <w:rPr>
          <w:lang w:eastAsia="en-US"/>
        </w:rPr>
        <w:t xml:space="preserve">The submission presented the following </w:t>
      </w:r>
      <w:r w:rsidRPr="00D01B13">
        <w:rPr>
          <w:bCs/>
          <w:lang w:eastAsia="en-US"/>
        </w:rPr>
        <w:t>clinical study report</w:t>
      </w:r>
      <w:r w:rsidR="00D7134A" w:rsidRPr="00D01B13">
        <w:rPr>
          <w:bCs/>
          <w:lang w:eastAsia="en-US"/>
        </w:rPr>
        <w:t>s</w:t>
      </w:r>
      <w:r w:rsidRPr="006F30ED">
        <w:rPr>
          <w:bCs/>
          <w:lang w:eastAsia="en-US"/>
        </w:rPr>
        <w:t>.</w:t>
      </w:r>
      <w:r w:rsidR="0094393F" w:rsidRPr="006F30ED">
        <w:rPr>
          <w:bCs/>
          <w:lang w:eastAsia="en-US"/>
        </w:rPr>
        <w:t xml:space="preserve"> </w:t>
      </w:r>
      <w:r w:rsidR="0094393F" w:rsidRPr="00D01B13">
        <w:rPr>
          <w:lang w:eastAsia="en-US"/>
        </w:rPr>
        <w:t>As a Category 3 submission, no evaluation of the clinical evidence was undertaken.</w:t>
      </w:r>
    </w:p>
    <w:p w14:paraId="330CF99E" w14:textId="77777777" w:rsidR="008C7A6C" w:rsidRPr="00BD5D08" w:rsidRDefault="008C7A6C" w:rsidP="008C7A6C">
      <w:pPr>
        <w:rPr>
          <w:rFonts w:ascii="Arial Narrow" w:hAnsi="Arial Narrow" w:cstheme="minorHAnsi"/>
          <w:b/>
          <w:bCs/>
          <w:sz w:val="20"/>
          <w:szCs w:val="20"/>
        </w:rPr>
      </w:pPr>
      <w:r w:rsidRPr="00BD5D08">
        <w:rPr>
          <w:rFonts w:ascii="Arial Narrow" w:hAnsi="Arial Narrow" w:cstheme="minorHAnsi"/>
          <w:b/>
          <w:bCs/>
          <w:sz w:val="20"/>
          <w:szCs w:val="20"/>
        </w:rPr>
        <w:t>Table 1. Studies presented in the submission</w:t>
      </w:r>
    </w:p>
    <w:tbl>
      <w:tblPr>
        <w:tblStyle w:val="TableGrid"/>
        <w:tblW w:w="5000" w:type="pct"/>
        <w:tblLook w:val="04A0" w:firstRow="1" w:lastRow="0" w:firstColumn="1" w:lastColumn="0" w:noHBand="0" w:noVBand="1"/>
        <w:tblCaption w:val="Table 1. Studies presented in the submission"/>
      </w:tblPr>
      <w:tblGrid>
        <w:gridCol w:w="1592"/>
        <w:gridCol w:w="5404"/>
        <w:gridCol w:w="2020"/>
      </w:tblGrid>
      <w:tr w:rsidR="008C7A6C" w:rsidRPr="00BD5D08" w14:paraId="6A38739C" w14:textId="77777777" w:rsidTr="00B467EF">
        <w:trPr>
          <w:trHeight w:val="154"/>
          <w:tblHeader/>
        </w:trPr>
        <w:tc>
          <w:tcPr>
            <w:tcW w:w="883" w:type="pct"/>
          </w:tcPr>
          <w:p w14:paraId="13D0F75F" w14:textId="77777777" w:rsidR="008C7A6C" w:rsidRPr="00D93956" w:rsidRDefault="008C7A6C" w:rsidP="00F2691F">
            <w:pPr>
              <w:rPr>
                <w:rFonts w:ascii="Arial Narrow" w:hAnsi="Arial Narrow" w:cstheme="minorHAnsi"/>
                <w:b/>
                <w:bCs/>
                <w:sz w:val="20"/>
                <w:szCs w:val="20"/>
              </w:rPr>
            </w:pPr>
            <w:r w:rsidRPr="00D93956">
              <w:rPr>
                <w:rFonts w:ascii="Arial Narrow" w:hAnsi="Arial Narrow" w:cstheme="minorHAnsi"/>
                <w:b/>
                <w:bCs/>
                <w:sz w:val="20"/>
                <w:szCs w:val="20"/>
              </w:rPr>
              <w:t>Trial ID</w:t>
            </w:r>
          </w:p>
        </w:tc>
        <w:tc>
          <w:tcPr>
            <w:tcW w:w="2997" w:type="pct"/>
          </w:tcPr>
          <w:p w14:paraId="52AEAA3D" w14:textId="77777777" w:rsidR="008C7A6C" w:rsidRPr="00D93956" w:rsidRDefault="008C7A6C" w:rsidP="00F2691F">
            <w:pPr>
              <w:rPr>
                <w:rFonts w:ascii="Arial Narrow" w:hAnsi="Arial Narrow" w:cstheme="minorHAnsi"/>
                <w:b/>
                <w:bCs/>
                <w:sz w:val="20"/>
                <w:szCs w:val="20"/>
              </w:rPr>
            </w:pPr>
            <w:r w:rsidRPr="00D93956">
              <w:rPr>
                <w:rFonts w:ascii="Arial Narrow" w:hAnsi="Arial Narrow" w:cstheme="minorHAnsi"/>
                <w:b/>
                <w:bCs/>
                <w:sz w:val="20"/>
                <w:szCs w:val="20"/>
              </w:rPr>
              <w:t>Protocol/Publication Title</w:t>
            </w:r>
          </w:p>
        </w:tc>
        <w:tc>
          <w:tcPr>
            <w:tcW w:w="1120" w:type="pct"/>
          </w:tcPr>
          <w:p w14:paraId="11C5BEE1" w14:textId="77777777" w:rsidR="008C7A6C" w:rsidRPr="00D93956" w:rsidRDefault="008C7A6C" w:rsidP="00F2691F">
            <w:pPr>
              <w:rPr>
                <w:rFonts w:ascii="Arial Narrow" w:hAnsi="Arial Narrow" w:cstheme="minorHAnsi"/>
                <w:b/>
                <w:bCs/>
                <w:sz w:val="20"/>
                <w:szCs w:val="20"/>
              </w:rPr>
            </w:pPr>
            <w:r w:rsidRPr="00D93956">
              <w:rPr>
                <w:rFonts w:ascii="Arial Narrow" w:hAnsi="Arial Narrow" w:cstheme="minorHAnsi"/>
                <w:b/>
                <w:bCs/>
                <w:sz w:val="20"/>
                <w:szCs w:val="20"/>
              </w:rPr>
              <w:t>Publication Citation</w:t>
            </w:r>
          </w:p>
        </w:tc>
      </w:tr>
      <w:tr w:rsidR="00A26AB8" w:rsidRPr="00BD5D08" w14:paraId="1DEB85EE" w14:textId="77777777" w:rsidTr="00F2691F">
        <w:tc>
          <w:tcPr>
            <w:tcW w:w="883" w:type="pct"/>
          </w:tcPr>
          <w:p w14:paraId="12B81884" w14:textId="4BECB6FF" w:rsidR="00A26AB8" w:rsidRPr="00D93956" w:rsidRDefault="00615494" w:rsidP="00A26AB8">
            <w:pPr>
              <w:rPr>
                <w:rFonts w:ascii="Arial Narrow" w:hAnsi="Arial Narrow" w:cstheme="minorHAnsi"/>
                <w:bCs/>
                <w:sz w:val="20"/>
                <w:szCs w:val="20"/>
              </w:rPr>
            </w:pPr>
            <w:r w:rsidRPr="00615494">
              <w:rPr>
                <w:rFonts w:ascii="Arial Narrow" w:hAnsi="Arial Narrow" w:cstheme="minorHAnsi"/>
                <w:bCs/>
                <w:sz w:val="20"/>
                <w:szCs w:val="20"/>
              </w:rPr>
              <w:t>LBC-14-155</w:t>
            </w:r>
          </w:p>
        </w:tc>
        <w:tc>
          <w:tcPr>
            <w:tcW w:w="2997" w:type="pct"/>
          </w:tcPr>
          <w:p w14:paraId="3B91488F" w14:textId="22C347FB" w:rsidR="00A26AB8" w:rsidRPr="00BD5D08" w:rsidRDefault="00A26AB8" w:rsidP="00A26AB8">
            <w:pPr>
              <w:rPr>
                <w:rFonts w:ascii="Arial Narrow" w:hAnsi="Arial Narrow" w:cstheme="minorHAnsi"/>
                <w:bCs/>
                <w:sz w:val="20"/>
                <w:szCs w:val="20"/>
              </w:rPr>
            </w:pPr>
            <w:r w:rsidRPr="00A26AB8">
              <w:rPr>
                <w:rFonts w:ascii="Arial Narrow" w:hAnsi="Arial Narrow" w:cstheme="minorHAnsi"/>
                <w:bCs/>
                <w:sz w:val="20"/>
                <w:szCs w:val="20"/>
              </w:rPr>
              <w:t>A phase 1 :An Open Label, Balanced, Randomized, Single-Dose, Two-Treatment, Two-Sequence, Two-Period, Crossover, Comparative Pharmacokinetics-Pharmacodynamics Study of Etanercept Lupin 50 mg Solution for Injection for Subcutaneous Injection Manufactured by Lupin Limited, India and Enbrel (Etanercept 50 mg) Solution for Injection for Subcutaneous Injection Manufactured by John Wyeth and Brother Ltd., UK in Healthy, Adult, Human Male Subjects</w:t>
            </w:r>
            <w:r>
              <w:rPr>
                <w:sz w:val="22"/>
                <w:szCs w:val="22"/>
              </w:rPr>
              <w:t xml:space="preserve"> </w:t>
            </w:r>
          </w:p>
        </w:tc>
        <w:tc>
          <w:tcPr>
            <w:tcW w:w="1120" w:type="pct"/>
          </w:tcPr>
          <w:p w14:paraId="4C70C968" w14:textId="5D0DBD52" w:rsidR="00A26AB8" w:rsidRPr="00D93956" w:rsidRDefault="00C2248C" w:rsidP="00A26AB8">
            <w:pPr>
              <w:rPr>
                <w:rFonts w:ascii="Arial Narrow" w:hAnsi="Arial Narrow" w:cstheme="minorHAnsi"/>
                <w:bCs/>
                <w:sz w:val="20"/>
                <w:szCs w:val="20"/>
              </w:rPr>
            </w:pPr>
            <w:r w:rsidRPr="00D93956">
              <w:rPr>
                <w:rFonts w:ascii="Arial Narrow" w:hAnsi="Arial Narrow" w:cstheme="minorHAnsi"/>
                <w:bCs/>
                <w:sz w:val="20"/>
                <w:szCs w:val="20"/>
              </w:rPr>
              <w:t>Clinical Study Report</w:t>
            </w:r>
            <w:r>
              <w:rPr>
                <w:rFonts w:ascii="Arial Narrow" w:hAnsi="Arial Narrow" w:cstheme="minorHAnsi"/>
                <w:bCs/>
                <w:sz w:val="20"/>
                <w:szCs w:val="20"/>
              </w:rPr>
              <w:t xml:space="preserve"> </w:t>
            </w:r>
            <w:r w:rsidRPr="00615494">
              <w:rPr>
                <w:rFonts w:ascii="Arial Narrow" w:hAnsi="Arial Narrow" w:cstheme="minorHAnsi"/>
                <w:bCs/>
                <w:sz w:val="20"/>
                <w:szCs w:val="20"/>
              </w:rPr>
              <w:t>8/2014 – 11/2014</w:t>
            </w:r>
          </w:p>
        </w:tc>
      </w:tr>
      <w:tr w:rsidR="00A26AB8" w:rsidRPr="00BD5D08" w14:paraId="7ABCE303" w14:textId="77777777" w:rsidTr="00F2691F">
        <w:tc>
          <w:tcPr>
            <w:tcW w:w="883" w:type="pct"/>
          </w:tcPr>
          <w:p w14:paraId="3100D81E" w14:textId="3DCCB247" w:rsidR="00A26AB8" w:rsidRPr="00A26AB8" w:rsidRDefault="00A26AB8" w:rsidP="00A26AB8">
            <w:pPr>
              <w:rPr>
                <w:rFonts w:ascii="Arial Narrow" w:hAnsi="Arial Narrow" w:cstheme="minorHAnsi"/>
                <w:bCs/>
                <w:sz w:val="20"/>
                <w:szCs w:val="20"/>
              </w:rPr>
            </w:pPr>
            <w:r w:rsidRPr="00A26AB8">
              <w:rPr>
                <w:rFonts w:ascii="Arial Narrow" w:hAnsi="Arial Narrow" w:cstheme="minorHAnsi"/>
                <w:bCs/>
                <w:sz w:val="20"/>
                <w:szCs w:val="20"/>
              </w:rPr>
              <w:t>YLB113-001</w:t>
            </w:r>
          </w:p>
        </w:tc>
        <w:tc>
          <w:tcPr>
            <w:tcW w:w="2997" w:type="pct"/>
          </w:tcPr>
          <w:p w14:paraId="086FCABF" w14:textId="4968B16A" w:rsidR="00A26AB8" w:rsidRPr="00A26AB8" w:rsidRDefault="00A26AB8" w:rsidP="00A26AB8">
            <w:pPr>
              <w:rPr>
                <w:rFonts w:ascii="Arial Narrow" w:hAnsi="Arial Narrow" w:cstheme="minorHAnsi"/>
                <w:bCs/>
                <w:sz w:val="20"/>
                <w:szCs w:val="20"/>
              </w:rPr>
            </w:pPr>
            <w:r w:rsidRPr="00A26AB8">
              <w:rPr>
                <w:rFonts w:ascii="Arial Narrow" w:hAnsi="Arial Narrow" w:cstheme="minorHAnsi"/>
                <w:bCs/>
                <w:sz w:val="20"/>
                <w:szCs w:val="20"/>
              </w:rPr>
              <w:t>A Phase 1</w:t>
            </w:r>
            <w:r>
              <w:rPr>
                <w:rFonts w:ascii="Arial Narrow" w:hAnsi="Arial Narrow" w:cstheme="minorHAnsi"/>
                <w:bCs/>
                <w:sz w:val="20"/>
                <w:szCs w:val="20"/>
              </w:rPr>
              <w:t xml:space="preserve">: </w:t>
            </w:r>
            <w:r w:rsidRPr="00A26AB8">
              <w:rPr>
                <w:rFonts w:ascii="Arial Narrow" w:hAnsi="Arial Narrow" w:cstheme="minorHAnsi"/>
                <w:bCs/>
                <w:sz w:val="20"/>
                <w:szCs w:val="20"/>
              </w:rPr>
              <w:t xml:space="preserve"> comparative pharmacokinetic and safety study of Etanercept Lupin vs Enbrel 25 mg solution for SC injection in healthy, adult, human male subjects.</w:t>
            </w:r>
          </w:p>
        </w:tc>
        <w:tc>
          <w:tcPr>
            <w:tcW w:w="1120" w:type="pct"/>
          </w:tcPr>
          <w:p w14:paraId="43C1BEAE" w14:textId="030C4182" w:rsidR="00A26AB8" w:rsidRPr="00D93956" w:rsidRDefault="00615494" w:rsidP="00A26AB8">
            <w:pPr>
              <w:rPr>
                <w:rFonts w:ascii="Arial Narrow" w:hAnsi="Arial Narrow" w:cstheme="minorHAnsi"/>
                <w:bCs/>
                <w:sz w:val="20"/>
                <w:szCs w:val="20"/>
              </w:rPr>
            </w:pPr>
            <w:r w:rsidRPr="00615494">
              <w:rPr>
                <w:rFonts w:ascii="Arial Narrow" w:hAnsi="Arial Narrow" w:cstheme="minorHAnsi"/>
                <w:bCs/>
                <w:sz w:val="20"/>
                <w:szCs w:val="20"/>
              </w:rPr>
              <w:t>Clinical Study Report 7/2014 – 10/2014</w:t>
            </w:r>
          </w:p>
        </w:tc>
      </w:tr>
      <w:tr w:rsidR="00A26AB8" w:rsidRPr="00BD5D08" w14:paraId="6965A31F" w14:textId="77777777" w:rsidTr="00F2691F">
        <w:tc>
          <w:tcPr>
            <w:tcW w:w="883" w:type="pct"/>
          </w:tcPr>
          <w:p w14:paraId="728098A1" w14:textId="677585F2" w:rsidR="00A26AB8" w:rsidRPr="00A26AB8" w:rsidRDefault="00A26AB8" w:rsidP="00A26AB8">
            <w:pPr>
              <w:rPr>
                <w:rFonts w:ascii="Arial Narrow" w:hAnsi="Arial Narrow" w:cstheme="minorHAnsi"/>
                <w:bCs/>
                <w:sz w:val="20"/>
                <w:szCs w:val="20"/>
              </w:rPr>
            </w:pPr>
            <w:r w:rsidRPr="00A26AB8">
              <w:rPr>
                <w:rFonts w:ascii="Arial Narrow" w:hAnsi="Arial Narrow" w:cstheme="minorHAnsi"/>
                <w:bCs/>
                <w:sz w:val="20"/>
                <w:szCs w:val="20"/>
              </w:rPr>
              <w:t>YLB113-002</w:t>
            </w:r>
          </w:p>
        </w:tc>
        <w:tc>
          <w:tcPr>
            <w:tcW w:w="2997" w:type="pct"/>
          </w:tcPr>
          <w:p w14:paraId="4A6C570B" w14:textId="1C0DF70F" w:rsidR="00A26AB8" w:rsidRPr="00A26AB8" w:rsidRDefault="00A26AB8" w:rsidP="00A26AB8">
            <w:pPr>
              <w:rPr>
                <w:rFonts w:ascii="Arial Narrow" w:hAnsi="Arial Narrow" w:cstheme="minorHAnsi"/>
                <w:bCs/>
                <w:sz w:val="20"/>
                <w:szCs w:val="20"/>
              </w:rPr>
            </w:pPr>
            <w:r>
              <w:rPr>
                <w:rFonts w:ascii="Arial Narrow" w:hAnsi="Arial Narrow" w:cstheme="minorHAnsi"/>
                <w:bCs/>
                <w:sz w:val="20"/>
                <w:szCs w:val="20"/>
              </w:rPr>
              <w:t xml:space="preserve">A phase 3: </w:t>
            </w:r>
            <w:r w:rsidRPr="00A26AB8">
              <w:rPr>
                <w:rFonts w:ascii="Arial Narrow" w:hAnsi="Arial Narrow" w:cstheme="minorHAnsi"/>
                <w:bCs/>
                <w:sz w:val="20"/>
                <w:szCs w:val="20"/>
              </w:rPr>
              <w:t>A Comparative Study to Assess the Efficacy, Safety and Immunogenicity of Etanercept Lupin and Enbrel for the Treatment of Rheumatoid Arthritis</w:t>
            </w:r>
          </w:p>
        </w:tc>
        <w:tc>
          <w:tcPr>
            <w:tcW w:w="1120" w:type="pct"/>
          </w:tcPr>
          <w:p w14:paraId="395412E5" w14:textId="441EAF0B" w:rsidR="00A26AB8" w:rsidRPr="00D93956" w:rsidRDefault="00615494" w:rsidP="00615494">
            <w:pPr>
              <w:rPr>
                <w:rFonts w:ascii="Arial Narrow" w:hAnsi="Arial Narrow" w:cstheme="minorHAnsi"/>
                <w:bCs/>
                <w:sz w:val="20"/>
                <w:szCs w:val="20"/>
              </w:rPr>
            </w:pPr>
            <w:r w:rsidRPr="00615494">
              <w:rPr>
                <w:rFonts w:ascii="Arial Narrow" w:hAnsi="Arial Narrow" w:cstheme="minorHAnsi"/>
                <w:bCs/>
                <w:sz w:val="20"/>
                <w:szCs w:val="20"/>
              </w:rPr>
              <w:t>Clinical Study Report</w:t>
            </w:r>
            <w:r>
              <w:rPr>
                <w:rFonts w:ascii="Arial Narrow" w:hAnsi="Arial Narrow" w:cstheme="minorHAnsi"/>
                <w:bCs/>
                <w:sz w:val="20"/>
                <w:szCs w:val="20"/>
              </w:rPr>
              <w:t xml:space="preserve"> date </w:t>
            </w:r>
            <w:r w:rsidRPr="00615494">
              <w:rPr>
                <w:rFonts w:ascii="Arial Narrow" w:hAnsi="Arial Narrow" w:cstheme="minorHAnsi"/>
                <w:bCs/>
                <w:sz w:val="20"/>
                <w:szCs w:val="20"/>
              </w:rPr>
              <w:t>07/2015-06/2017</w:t>
            </w:r>
          </w:p>
        </w:tc>
      </w:tr>
    </w:tbl>
    <w:p w14:paraId="6F7DCB8F" w14:textId="32632C4F" w:rsidR="008C7A6C" w:rsidRDefault="008C7A6C" w:rsidP="008C7A6C">
      <w:pPr>
        <w:pStyle w:val="3-BodyText"/>
        <w:numPr>
          <w:ilvl w:val="0"/>
          <w:numId w:val="0"/>
        </w:numPr>
        <w:rPr>
          <w:rFonts w:ascii="Arial Narrow" w:hAnsi="Arial Narrow"/>
          <w:bCs/>
          <w:sz w:val="18"/>
          <w:szCs w:val="18"/>
          <w:lang w:eastAsia="en-US"/>
        </w:rPr>
      </w:pPr>
      <w:r w:rsidRPr="00D93956">
        <w:rPr>
          <w:rFonts w:ascii="Arial Narrow" w:hAnsi="Arial Narrow"/>
          <w:bCs/>
          <w:sz w:val="18"/>
          <w:szCs w:val="18"/>
          <w:lang w:eastAsia="en-US"/>
        </w:rPr>
        <w:t xml:space="preserve">Source: </w:t>
      </w:r>
      <w:r w:rsidR="005D4D7C">
        <w:rPr>
          <w:rFonts w:ascii="Arial Narrow" w:hAnsi="Arial Narrow"/>
          <w:bCs/>
          <w:sz w:val="18"/>
          <w:szCs w:val="18"/>
          <w:lang w:eastAsia="en-US"/>
        </w:rPr>
        <w:t>Rymti main body of submission, p13</w:t>
      </w:r>
      <w:r w:rsidR="0052095F" w:rsidRPr="0052095F">
        <w:rPr>
          <w:rFonts w:ascii="Arial Narrow" w:hAnsi="Arial Narrow"/>
          <w:bCs/>
          <w:sz w:val="18"/>
          <w:szCs w:val="18"/>
          <w:lang w:eastAsia="en-US"/>
        </w:rPr>
        <w:t xml:space="preserve"> </w:t>
      </w:r>
    </w:p>
    <w:p w14:paraId="646CFAFC" w14:textId="38006267" w:rsidR="004B3415" w:rsidRPr="00DD19F6" w:rsidRDefault="004B3415" w:rsidP="004B3415">
      <w:pPr>
        <w:pStyle w:val="3-BodyText"/>
        <w:numPr>
          <w:ilvl w:val="1"/>
          <w:numId w:val="2"/>
        </w:numPr>
        <w:rPr>
          <w:lang w:eastAsia="en-US"/>
        </w:rPr>
      </w:pPr>
      <w:r w:rsidRPr="00DD19F6">
        <w:rPr>
          <w:lang w:eastAsia="en-US"/>
        </w:rPr>
        <w:t xml:space="preserve">The clinical trials presented in the submission </w:t>
      </w:r>
      <w:r w:rsidR="0094393F" w:rsidRPr="00DD19F6">
        <w:rPr>
          <w:lang w:eastAsia="en-US"/>
        </w:rPr>
        <w:t xml:space="preserve">were evaluated by the </w:t>
      </w:r>
      <w:r w:rsidRPr="00DD19F6">
        <w:rPr>
          <w:lang w:eastAsia="en-US"/>
        </w:rPr>
        <w:t>TGA to register Rymti</w:t>
      </w:r>
      <w:r w:rsidR="005D4D7C" w:rsidRPr="00DD19F6">
        <w:rPr>
          <w:lang w:eastAsia="en-US"/>
        </w:rPr>
        <w:t xml:space="preserve"> PFS</w:t>
      </w:r>
      <w:r w:rsidRPr="00DD19F6">
        <w:rPr>
          <w:lang w:eastAsia="en-US"/>
        </w:rPr>
        <w:t xml:space="preserve"> as a biosimilar to Enbrel.</w:t>
      </w:r>
    </w:p>
    <w:p w14:paraId="2CDF3682" w14:textId="77777777" w:rsidR="00C27C1C" w:rsidRPr="008306F3" w:rsidRDefault="00C27C1C" w:rsidP="00C27C1C">
      <w:pPr>
        <w:pStyle w:val="4-SubsectionHeading"/>
        <w:rPr>
          <w:lang w:eastAsia="en-US"/>
        </w:rPr>
      </w:pPr>
      <w:r w:rsidRPr="003C2FB5">
        <w:rPr>
          <w:lang w:eastAsia="en-US"/>
        </w:rPr>
        <w:t>Clinical claim</w:t>
      </w:r>
    </w:p>
    <w:p w14:paraId="4E8E4E20" w14:textId="22F79F83" w:rsidR="004B3415" w:rsidRPr="00527EC3" w:rsidRDefault="004B3415" w:rsidP="00C27C1C">
      <w:pPr>
        <w:pStyle w:val="3Bodytext"/>
      </w:pPr>
      <w:r w:rsidRPr="004B3415">
        <w:t xml:space="preserve">The submission claimed that </w:t>
      </w:r>
      <w:bookmarkStart w:id="18" w:name="_Hlk86752539"/>
      <w:r w:rsidRPr="004B3415">
        <w:rPr>
          <w:iCs/>
        </w:rPr>
        <w:t>Rymti</w:t>
      </w:r>
      <w:r w:rsidRPr="00497846">
        <w:rPr>
          <w:iCs/>
        </w:rPr>
        <w:t xml:space="preserve"> </w:t>
      </w:r>
      <w:r w:rsidR="0094393F">
        <w:rPr>
          <w:iCs/>
        </w:rPr>
        <w:t xml:space="preserve">PFS </w:t>
      </w:r>
      <w:bookmarkEnd w:id="18"/>
      <w:r w:rsidRPr="004B3415">
        <w:t xml:space="preserve">was </w:t>
      </w:r>
      <w:bookmarkStart w:id="19" w:name="_Hlk86752557"/>
      <w:r w:rsidRPr="004B3415">
        <w:t xml:space="preserve">biosimilar to </w:t>
      </w:r>
      <w:r w:rsidRPr="005E2526">
        <w:t>Enbrel</w:t>
      </w:r>
      <w:bookmarkEnd w:id="19"/>
      <w:r>
        <w:rPr>
          <w:i/>
        </w:rPr>
        <w:t>.</w:t>
      </w:r>
      <w:r w:rsidR="0094393F">
        <w:rPr>
          <w:i/>
        </w:rPr>
        <w:t xml:space="preserve"> </w:t>
      </w:r>
    </w:p>
    <w:p w14:paraId="489D65DB" w14:textId="16D245BE" w:rsidR="000564CF" w:rsidRPr="00A033A3" w:rsidRDefault="000564CF" w:rsidP="000564CF">
      <w:pPr>
        <w:pStyle w:val="3Bodytext"/>
        <w:rPr>
          <w:color w:val="000000" w:themeColor="text1"/>
        </w:rPr>
      </w:pPr>
      <w:bookmarkStart w:id="20" w:name="_Hlk86823448"/>
      <w:r w:rsidRPr="00A033A3">
        <w:t xml:space="preserve">The PBAC considered that </w:t>
      </w:r>
      <w:r w:rsidRPr="000564CF">
        <w:rPr>
          <w:iCs/>
        </w:rPr>
        <w:t xml:space="preserve">Rymti PFS </w:t>
      </w:r>
      <w:r w:rsidRPr="00A033A3">
        <w:t xml:space="preserve">was </w:t>
      </w:r>
      <w:r w:rsidRPr="000564CF">
        <w:t xml:space="preserve">biosimilar to Enbrel </w:t>
      </w:r>
      <w:r w:rsidRPr="00A033A3">
        <w:t>based on the TGA approval.</w:t>
      </w:r>
    </w:p>
    <w:bookmarkEnd w:id="20"/>
    <w:p w14:paraId="6BD0CB44" w14:textId="0BB8CB89" w:rsidR="00074320" w:rsidRPr="00D70349" w:rsidRDefault="0094393F" w:rsidP="00FA0B04">
      <w:pPr>
        <w:pStyle w:val="4-SubsectionHeading"/>
        <w:rPr>
          <w:lang w:eastAsia="en-US"/>
        </w:rPr>
      </w:pPr>
      <w:r>
        <w:rPr>
          <w:lang w:eastAsia="en-US"/>
        </w:rPr>
        <w:t>Economic analysis</w:t>
      </w:r>
    </w:p>
    <w:p w14:paraId="12C744C3" w14:textId="47076C71" w:rsidR="00497846" w:rsidRPr="00C968C4" w:rsidRDefault="0094393F" w:rsidP="007F5559">
      <w:pPr>
        <w:pStyle w:val="3Bodytext"/>
        <w:jc w:val="both"/>
        <w:rPr>
          <w:rFonts w:cstheme="minorHAnsi"/>
          <w:iCs/>
          <w:szCs w:val="24"/>
        </w:rPr>
      </w:pPr>
      <w:r w:rsidRPr="00A373CD">
        <w:rPr>
          <w:iCs/>
        </w:rPr>
        <w:t xml:space="preserve">The submission did not present an economic analysis as it was a </w:t>
      </w:r>
      <w:r w:rsidR="00CC43C0" w:rsidRPr="00A373CD">
        <w:rPr>
          <w:iCs/>
        </w:rPr>
        <w:t>C</w:t>
      </w:r>
      <w:r w:rsidRPr="00A373CD">
        <w:rPr>
          <w:iCs/>
        </w:rPr>
        <w:t xml:space="preserve">ategory 3 submission. The submission proposed </w:t>
      </w:r>
      <w:r w:rsidRPr="00C968C4">
        <w:rPr>
          <w:iCs/>
        </w:rPr>
        <w:t xml:space="preserve">Rymti PFS to have </w:t>
      </w:r>
      <w:r w:rsidR="00497846" w:rsidRPr="00C968C4">
        <w:rPr>
          <w:iCs/>
        </w:rPr>
        <w:t xml:space="preserve">the </w:t>
      </w:r>
      <w:r w:rsidRPr="00C968C4">
        <w:rPr>
          <w:iCs/>
        </w:rPr>
        <w:t xml:space="preserve">same </w:t>
      </w:r>
      <w:r w:rsidR="00497846" w:rsidRPr="00C968C4">
        <w:rPr>
          <w:iCs/>
        </w:rPr>
        <w:t xml:space="preserve">AEMP </w:t>
      </w:r>
      <w:r w:rsidRPr="00C968C4">
        <w:rPr>
          <w:iCs/>
        </w:rPr>
        <w:t xml:space="preserve">as </w:t>
      </w:r>
      <w:r w:rsidR="00497846" w:rsidRPr="00C968C4">
        <w:rPr>
          <w:iCs/>
        </w:rPr>
        <w:t>Enbrel.</w:t>
      </w:r>
    </w:p>
    <w:p w14:paraId="40A0A956" w14:textId="77777777" w:rsidR="00922200" w:rsidRPr="00922200" w:rsidRDefault="00496164" w:rsidP="00054060">
      <w:pPr>
        <w:pStyle w:val="3Bodytext"/>
        <w:jc w:val="both"/>
        <w:rPr>
          <w:lang w:eastAsia="en-US"/>
        </w:rPr>
      </w:pPr>
      <w:r w:rsidRPr="00054060">
        <w:rPr>
          <w:iCs/>
        </w:rPr>
        <w:t>Equi-effective doses were not</w:t>
      </w:r>
      <w:r w:rsidR="0094393F" w:rsidRPr="00054060">
        <w:rPr>
          <w:iCs/>
        </w:rPr>
        <w:t xml:space="preserve"> presented in the submission. </w:t>
      </w:r>
    </w:p>
    <w:p w14:paraId="17F32E30" w14:textId="6F198217" w:rsidR="00F26691" w:rsidRPr="00CB2C83" w:rsidRDefault="00F26691" w:rsidP="00922200">
      <w:pPr>
        <w:pStyle w:val="4-SubsectionHeading"/>
        <w:rPr>
          <w:lang w:eastAsia="en-US"/>
        </w:rPr>
      </w:pPr>
      <w:r w:rsidRPr="005E2526">
        <w:rPr>
          <w:lang w:eastAsia="en-US"/>
        </w:rPr>
        <w:t>Estimated PBS utilisation and financial implications</w:t>
      </w:r>
    </w:p>
    <w:p w14:paraId="62AA8C87" w14:textId="60AE787C" w:rsidR="00074320" w:rsidRDefault="00074320" w:rsidP="007F5559">
      <w:pPr>
        <w:pStyle w:val="3-BodyText"/>
        <w:numPr>
          <w:ilvl w:val="1"/>
          <w:numId w:val="2"/>
        </w:numPr>
        <w:rPr>
          <w:iCs/>
        </w:rPr>
      </w:pPr>
      <w:r w:rsidRPr="007875FF">
        <w:rPr>
          <w:iCs/>
        </w:rPr>
        <w:t xml:space="preserve">The submission </w:t>
      </w:r>
      <w:r w:rsidR="00F26691" w:rsidRPr="007875FF">
        <w:rPr>
          <w:iCs/>
        </w:rPr>
        <w:t xml:space="preserve">noted it is </w:t>
      </w:r>
      <w:r w:rsidRPr="007875FF">
        <w:rPr>
          <w:iCs/>
        </w:rPr>
        <w:t>expected that the listing of</w:t>
      </w:r>
      <w:r w:rsidR="00497846" w:rsidRPr="007875FF">
        <w:rPr>
          <w:iCs/>
        </w:rPr>
        <w:t xml:space="preserve"> </w:t>
      </w:r>
      <w:r w:rsidR="004B3415" w:rsidRPr="007875FF">
        <w:rPr>
          <w:iCs/>
        </w:rPr>
        <w:t>Rymti</w:t>
      </w:r>
      <w:r w:rsidRPr="004840B9">
        <w:rPr>
          <w:iCs/>
        </w:rPr>
        <w:t xml:space="preserve"> </w:t>
      </w:r>
      <w:r w:rsidR="0094393F" w:rsidRPr="004840B9">
        <w:rPr>
          <w:iCs/>
        </w:rPr>
        <w:t xml:space="preserve">PFS </w:t>
      </w:r>
      <w:r w:rsidRPr="004840B9">
        <w:rPr>
          <w:iCs/>
        </w:rPr>
        <w:t xml:space="preserve">will not </w:t>
      </w:r>
      <w:r w:rsidR="00F26691" w:rsidRPr="004840B9">
        <w:rPr>
          <w:iCs/>
        </w:rPr>
        <w:t xml:space="preserve">increase the overall market utilisation. </w:t>
      </w:r>
      <w:r w:rsidR="00F26691" w:rsidRPr="007875FF">
        <w:rPr>
          <w:iCs/>
        </w:rPr>
        <w:t>This</w:t>
      </w:r>
      <w:r w:rsidR="005D4D7C" w:rsidRPr="007875FF">
        <w:rPr>
          <w:iCs/>
        </w:rPr>
        <w:t xml:space="preserve"> wa</w:t>
      </w:r>
      <w:r w:rsidR="00F26691" w:rsidRPr="007875FF">
        <w:rPr>
          <w:iCs/>
        </w:rPr>
        <w:t>s appropriate as i</w:t>
      </w:r>
      <w:r w:rsidR="005D4D7C" w:rsidRPr="007875FF">
        <w:rPr>
          <w:iCs/>
        </w:rPr>
        <w:t>t is expected that Rym</w:t>
      </w:r>
      <w:r w:rsidR="00F26691" w:rsidRPr="007875FF">
        <w:rPr>
          <w:iCs/>
        </w:rPr>
        <w:t>ti PFS would substitute for Brenzys PFS and Enbrel PFS.</w:t>
      </w:r>
    </w:p>
    <w:p w14:paraId="6A11FF36" w14:textId="77777777" w:rsidR="005C47E0" w:rsidRPr="00DD19F6" w:rsidRDefault="005C47E0" w:rsidP="005C47E0">
      <w:pPr>
        <w:pStyle w:val="3Bodytext"/>
        <w:numPr>
          <w:ilvl w:val="0"/>
          <w:numId w:val="0"/>
        </w:numPr>
        <w:ind w:left="720"/>
        <w:rPr>
          <w:rFonts w:eastAsia="Times New Roman" w:cstheme="minorHAnsi"/>
          <w:i/>
          <w:szCs w:val="24"/>
        </w:rPr>
      </w:pPr>
      <w:r w:rsidRPr="00DD19F6">
        <w:rPr>
          <w:rFonts w:eastAsia="Times New Roman" w:cstheme="minorHAnsi"/>
          <w:i/>
          <w:szCs w:val="24"/>
        </w:rPr>
        <w:t xml:space="preserve">For more detail on PBAC’s view, see section 6 PBAC outcome. </w:t>
      </w:r>
    </w:p>
    <w:p w14:paraId="68F0DCC8" w14:textId="77777777" w:rsidR="009D45BE" w:rsidRPr="00A033A3" w:rsidRDefault="009D45BE" w:rsidP="009D45BE">
      <w:pPr>
        <w:pStyle w:val="2-SectionHeading"/>
      </w:pPr>
      <w:bookmarkStart w:id="21" w:name="_Hlk86823611"/>
      <w:r w:rsidRPr="00A033A3">
        <w:rPr>
          <w:rStyle w:val="1MainTitleChar"/>
          <w:rFonts w:cs="Arial"/>
          <w:b/>
          <w:spacing w:val="0"/>
          <w:kern w:val="0"/>
          <w:sz w:val="32"/>
          <w:szCs w:val="32"/>
        </w:rPr>
        <w:t>PBAC Outc</w:t>
      </w:r>
      <w:r w:rsidRPr="00A033A3">
        <w:t>ome</w:t>
      </w:r>
    </w:p>
    <w:p w14:paraId="382476AF" w14:textId="2AA8AB93" w:rsidR="00320657" w:rsidRPr="00320657" w:rsidRDefault="00320657" w:rsidP="00CF50C8">
      <w:pPr>
        <w:pStyle w:val="3-BodyText"/>
        <w:numPr>
          <w:ilvl w:val="1"/>
          <w:numId w:val="2"/>
        </w:numPr>
        <w:rPr>
          <w:rFonts w:eastAsia="Calibri"/>
          <w:lang w:eastAsia="en-US"/>
        </w:rPr>
      </w:pPr>
      <w:bookmarkStart w:id="22" w:name="_Hlk77145337"/>
      <w:bookmarkStart w:id="23" w:name="_Hlk86756600"/>
      <w:r w:rsidRPr="009639EE">
        <w:t xml:space="preserve">The PBAC recommended the Authority Required listing of </w:t>
      </w:r>
      <w:r>
        <w:t xml:space="preserve">etanercept </w:t>
      </w:r>
      <w:r w:rsidRPr="009639EE">
        <w:t>(</w:t>
      </w:r>
      <w:r>
        <w:t xml:space="preserve">Rymti PFS) </w:t>
      </w:r>
      <w:r w:rsidRPr="009639EE">
        <w:t xml:space="preserve">in the form of </w:t>
      </w:r>
      <w:r w:rsidRPr="00320657">
        <w:t xml:space="preserve">50 mg in 1 mL </w:t>
      </w:r>
      <w:r>
        <w:t>PFS</w:t>
      </w:r>
      <w:r w:rsidRPr="00320657">
        <w:t xml:space="preserve"> </w:t>
      </w:r>
      <w:r w:rsidRPr="009639EE">
        <w:t xml:space="preserve">as a biosimilar brand of </w:t>
      </w:r>
      <w:r w:rsidRPr="009A29BB">
        <w:rPr>
          <w:rFonts w:cstheme="minorHAnsi"/>
          <w:iCs/>
        </w:rPr>
        <w:t>Enbre</w:t>
      </w:r>
      <w:r>
        <w:rPr>
          <w:rFonts w:cstheme="minorHAnsi"/>
          <w:iCs/>
        </w:rPr>
        <w:t>l</w:t>
      </w:r>
      <w:r w:rsidRPr="009639EE">
        <w:t xml:space="preserve"> on the General Schedule (Section 85) and S100 </w:t>
      </w:r>
      <w:r>
        <w:t>HSD</w:t>
      </w:r>
      <w:r w:rsidRPr="009639EE">
        <w:t>.</w:t>
      </w:r>
      <w:r>
        <w:t xml:space="preserve"> </w:t>
      </w:r>
      <w:bookmarkEnd w:id="22"/>
      <w:r w:rsidR="00A970D9" w:rsidRPr="00377DDC">
        <w:t xml:space="preserve">The PBAC’s recommendation for listing was based on, among other matters, its assessment that the cost-effectiveness of Rymti </w:t>
      </w:r>
      <w:r w:rsidR="00DD19F6" w:rsidRPr="00377DDC">
        <w:t xml:space="preserve">PFS </w:t>
      </w:r>
      <w:r w:rsidR="00A970D9" w:rsidRPr="00377DDC">
        <w:t xml:space="preserve">would be acceptable if it were cost-minimised to </w:t>
      </w:r>
      <w:bookmarkStart w:id="24" w:name="_Hlk88040084"/>
      <w:r w:rsidR="004840B9" w:rsidRPr="00377DDC">
        <w:rPr>
          <w:rFonts w:eastAsia="Calibri"/>
          <w:bCs/>
          <w:lang w:eastAsia="en-US"/>
        </w:rPr>
        <w:t>Enbrel</w:t>
      </w:r>
      <w:bookmarkEnd w:id="24"/>
      <w:r>
        <w:rPr>
          <w:rFonts w:eastAsia="Calibri"/>
          <w:bCs/>
          <w:lang w:eastAsia="en-US"/>
        </w:rPr>
        <w:t xml:space="preserve"> for the following indications:</w:t>
      </w:r>
    </w:p>
    <w:p w14:paraId="5618BF1F" w14:textId="5775C93D" w:rsidR="00320657" w:rsidRPr="00DD4656" w:rsidRDefault="00320657" w:rsidP="00320657">
      <w:pPr>
        <w:numPr>
          <w:ilvl w:val="0"/>
          <w:numId w:val="21"/>
        </w:numPr>
        <w:spacing w:after="120"/>
        <w:ind w:hanging="447"/>
        <w:jc w:val="left"/>
        <w:rPr>
          <w:rFonts w:asciiTheme="minorHAnsi" w:hAnsiTheme="minorHAnsi" w:cstheme="minorHAnsi"/>
          <w:snapToGrid w:val="0"/>
        </w:rPr>
      </w:pPr>
      <w:r w:rsidRPr="00DD4656">
        <w:rPr>
          <w:rFonts w:asciiTheme="minorHAnsi" w:hAnsiTheme="minorHAnsi" w:cstheme="minorHAnsi"/>
          <w:snapToGrid w:val="0"/>
        </w:rPr>
        <w:t>Severe active rheumatoid arthritis</w:t>
      </w:r>
    </w:p>
    <w:p w14:paraId="0E68FCA1" w14:textId="77777777" w:rsidR="00320657" w:rsidRPr="006B5FDE" w:rsidRDefault="00320657" w:rsidP="00320657">
      <w:pPr>
        <w:numPr>
          <w:ilvl w:val="0"/>
          <w:numId w:val="21"/>
        </w:numPr>
        <w:spacing w:after="120"/>
        <w:ind w:hanging="447"/>
        <w:jc w:val="left"/>
        <w:rPr>
          <w:rFonts w:asciiTheme="minorHAnsi" w:hAnsiTheme="minorHAnsi" w:cstheme="minorHAnsi"/>
          <w:snapToGrid w:val="0"/>
        </w:rPr>
      </w:pPr>
      <w:r w:rsidRPr="00DD4656">
        <w:rPr>
          <w:rFonts w:asciiTheme="minorHAnsi" w:hAnsiTheme="minorHAnsi" w:cstheme="minorHAnsi"/>
          <w:snapToGrid w:val="0"/>
        </w:rPr>
        <w:t>Severe psoriatic arthritis</w:t>
      </w:r>
    </w:p>
    <w:p w14:paraId="6CB06355" w14:textId="77777777" w:rsidR="00320657" w:rsidRDefault="00320657" w:rsidP="00320657">
      <w:pPr>
        <w:numPr>
          <w:ilvl w:val="0"/>
          <w:numId w:val="21"/>
        </w:numPr>
        <w:spacing w:after="120"/>
        <w:ind w:hanging="447"/>
        <w:jc w:val="left"/>
        <w:rPr>
          <w:rFonts w:asciiTheme="minorHAnsi" w:hAnsiTheme="minorHAnsi" w:cstheme="minorHAnsi"/>
          <w:snapToGrid w:val="0"/>
        </w:rPr>
      </w:pPr>
      <w:r w:rsidRPr="006B5FDE">
        <w:rPr>
          <w:rFonts w:asciiTheme="minorHAnsi" w:hAnsiTheme="minorHAnsi" w:cstheme="minorHAnsi"/>
          <w:snapToGrid w:val="0"/>
        </w:rPr>
        <w:t xml:space="preserve">Ankylosing </w:t>
      </w:r>
      <w:r>
        <w:rPr>
          <w:rFonts w:asciiTheme="minorHAnsi" w:hAnsiTheme="minorHAnsi" w:cstheme="minorHAnsi"/>
          <w:snapToGrid w:val="0"/>
        </w:rPr>
        <w:t>s</w:t>
      </w:r>
      <w:r w:rsidRPr="006B5FDE">
        <w:rPr>
          <w:rFonts w:asciiTheme="minorHAnsi" w:hAnsiTheme="minorHAnsi" w:cstheme="minorHAnsi"/>
          <w:snapToGrid w:val="0"/>
        </w:rPr>
        <w:t>pondylitis</w:t>
      </w:r>
    </w:p>
    <w:p w14:paraId="45DFB295" w14:textId="77777777" w:rsidR="00320657" w:rsidRPr="006B5FDE" w:rsidRDefault="00320657" w:rsidP="00320657">
      <w:pPr>
        <w:numPr>
          <w:ilvl w:val="0"/>
          <w:numId w:val="21"/>
        </w:numPr>
        <w:spacing w:after="120"/>
        <w:ind w:hanging="447"/>
        <w:jc w:val="left"/>
        <w:rPr>
          <w:rFonts w:asciiTheme="minorHAnsi" w:hAnsiTheme="minorHAnsi" w:cstheme="minorHAnsi"/>
          <w:snapToGrid w:val="0"/>
        </w:rPr>
      </w:pPr>
      <w:r w:rsidRPr="00DD4656">
        <w:rPr>
          <w:rFonts w:asciiTheme="minorHAnsi" w:hAnsiTheme="minorHAnsi" w:cstheme="minorHAnsi"/>
          <w:snapToGrid w:val="0"/>
        </w:rPr>
        <w:t>Severe chronic plaque psoriasis</w:t>
      </w:r>
    </w:p>
    <w:p w14:paraId="31D2DDF7" w14:textId="4456D102" w:rsidR="00320657" w:rsidRDefault="00320657" w:rsidP="00320657">
      <w:pPr>
        <w:numPr>
          <w:ilvl w:val="0"/>
          <w:numId w:val="21"/>
        </w:numPr>
        <w:spacing w:after="120"/>
        <w:ind w:hanging="447"/>
        <w:jc w:val="left"/>
        <w:rPr>
          <w:rFonts w:asciiTheme="minorHAnsi" w:hAnsiTheme="minorHAnsi" w:cstheme="minorHAnsi"/>
          <w:snapToGrid w:val="0"/>
        </w:rPr>
      </w:pPr>
      <w:r w:rsidRPr="00DD4656">
        <w:rPr>
          <w:rFonts w:asciiTheme="minorHAnsi" w:hAnsiTheme="minorHAnsi" w:cstheme="minorHAnsi"/>
          <w:snapToGrid w:val="0"/>
        </w:rPr>
        <w:t xml:space="preserve">Juvenile </w:t>
      </w:r>
      <w:r>
        <w:rPr>
          <w:rFonts w:asciiTheme="minorHAnsi" w:hAnsiTheme="minorHAnsi" w:cstheme="minorHAnsi"/>
          <w:snapToGrid w:val="0"/>
        </w:rPr>
        <w:t>i</w:t>
      </w:r>
      <w:r w:rsidRPr="00DD4656">
        <w:rPr>
          <w:rFonts w:asciiTheme="minorHAnsi" w:hAnsiTheme="minorHAnsi" w:cstheme="minorHAnsi"/>
          <w:snapToGrid w:val="0"/>
        </w:rPr>
        <w:t xml:space="preserve">diopathic </w:t>
      </w:r>
      <w:r>
        <w:rPr>
          <w:rFonts w:asciiTheme="minorHAnsi" w:hAnsiTheme="minorHAnsi" w:cstheme="minorHAnsi"/>
          <w:snapToGrid w:val="0"/>
        </w:rPr>
        <w:t>a</w:t>
      </w:r>
      <w:r w:rsidRPr="00DD4656">
        <w:rPr>
          <w:rFonts w:asciiTheme="minorHAnsi" w:hAnsiTheme="minorHAnsi" w:cstheme="minorHAnsi"/>
          <w:snapToGrid w:val="0"/>
        </w:rPr>
        <w:t>rthritis</w:t>
      </w:r>
      <w:r w:rsidR="00386A8C">
        <w:rPr>
          <w:rFonts w:asciiTheme="minorHAnsi" w:hAnsiTheme="minorHAnsi" w:cstheme="minorHAnsi"/>
          <w:snapToGrid w:val="0"/>
        </w:rPr>
        <w:t xml:space="preserve">. </w:t>
      </w:r>
    </w:p>
    <w:p w14:paraId="41AB93C6" w14:textId="02533B2A" w:rsidR="00A373CD" w:rsidRPr="00377DDC" w:rsidRDefault="00A373CD" w:rsidP="00A373CD">
      <w:pPr>
        <w:widowControl w:val="0"/>
        <w:numPr>
          <w:ilvl w:val="1"/>
          <w:numId w:val="2"/>
        </w:numPr>
        <w:spacing w:after="120"/>
        <w:rPr>
          <w:rFonts w:asciiTheme="minorHAnsi" w:hAnsiTheme="minorHAnsi" w:cs="Arial"/>
          <w:bCs/>
          <w:snapToGrid w:val="0"/>
        </w:rPr>
      </w:pPr>
      <w:bookmarkStart w:id="25" w:name="_Hlk86824174"/>
      <w:bookmarkEnd w:id="21"/>
      <w:bookmarkEnd w:id="23"/>
      <w:r w:rsidRPr="00377DDC">
        <w:rPr>
          <w:rFonts w:cs="Arial"/>
          <w:bCs/>
          <w:snapToGrid w:val="0"/>
        </w:rPr>
        <w:t>The PBAC advised the equi-effective doses are Rymti</w:t>
      </w:r>
      <w:r w:rsidR="00DD19F6" w:rsidRPr="00377DDC">
        <w:rPr>
          <w:rFonts w:cs="Arial"/>
          <w:bCs/>
          <w:snapToGrid w:val="0"/>
        </w:rPr>
        <w:t xml:space="preserve"> PFS</w:t>
      </w:r>
      <w:r w:rsidRPr="00377DDC">
        <w:rPr>
          <w:rFonts w:cs="Arial"/>
          <w:bCs/>
          <w:snapToGrid w:val="0"/>
        </w:rPr>
        <w:t xml:space="preserve"> 50 mg = </w:t>
      </w:r>
      <w:bookmarkStart w:id="26" w:name="_Hlk86754359"/>
      <w:r w:rsidRPr="00377DDC">
        <w:rPr>
          <w:rFonts w:cs="Arial"/>
          <w:bCs/>
          <w:snapToGrid w:val="0"/>
        </w:rPr>
        <w:t>Enbrel</w:t>
      </w:r>
      <w:bookmarkEnd w:id="26"/>
      <w:r w:rsidRPr="00377DDC">
        <w:rPr>
          <w:rFonts w:cs="Arial"/>
          <w:bCs/>
          <w:snapToGrid w:val="0"/>
        </w:rPr>
        <w:t xml:space="preserve"> 50 mg = Brenzys 50 mg.</w:t>
      </w:r>
    </w:p>
    <w:p w14:paraId="1D05048C" w14:textId="3F6653C6" w:rsidR="000441E8" w:rsidRPr="00EE29B4" w:rsidRDefault="000441E8" w:rsidP="000441E8">
      <w:pPr>
        <w:widowControl w:val="0"/>
        <w:numPr>
          <w:ilvl w:val="1"/>
          <w:numId w:val="2"/>
        </w:numPr>
        <w:spacing w:after="120" w:line="259" w:lineRule="auto"/>
        <w:jc w:val="left"/>
        <w:rPr>
          <w:rFonts w:asciiTheme="minorHAnsi" w:eastAsia="Calibri" w:hAnsiTheme="minorHAnsi" w:cstheme="minorHAnsi"/>
          <w:b/>
          <w:bCs/>
          <w:i/>
          <w:snapToGrid w:val="0"/>
          <w:lang w:eastAsia="en-US"/>
        </w:rPr>
      </w:pPr>
      <w:bookmarkStart w:id="27" w:name="_Hlk86824696"/>
      <w:bookmarkEnd w:id="25"/>
      <w:r w:rsidRPr="000441E8">
        <w:rPr>
          <w:rFonts w:eastAsia="Calibri" w:cs="Arial"/>
          <w:bCs/>
          <w:snapToGrid w:val="0"/>
          <w:lang w:eastAsia="en-US"/>
        </w:rPr>
        <w:t xml:space="preserve">The PBAC considered that the biosimilar uptake drivers should be applied to </w:t>
      </w:r>
      <w:r>
        <w:rPr>
          <w:rFonts w:eastAsia="Calibri" w:cs="Arial"/>
          <w:bCs/>
          <w:snapToGrid w:val="0"/>
          <w:lang w:eastAsia="en-US"/>
        </w:rPr>
        <w:t xml:space="preserve">Rymti </w:t>
      </w:r>
      <w:r w:rsidRPr="00EE29B4">
        <w:rPr>
          <w:rFonts w:asciiTheme="minorHAnsi" w:eastAsia="Calibri" w:hAnsiTheme="minorHAnsi" w:cstheme="minorHAnsi"/>
          <w:bCs/>
          <w:snapToGrid w:val="0"/>
          <w:lang w:eastAsia="en-US"/>
        </w:rPr>
        <w:t>PFS consistent with the current PBS listings for etanercept biosimilar brands, including:</w:t>
      </w:r>
    </w:p>
    <w:p w14:paraId="648C1D8A" w14:textId="095FD972" w:rsidR="000441E8" w:rsidRPr="00EE29B4" w:rsidRDefault="000441E8" w:rsidP="000441E8">
      <w:pPr>
        <w:widowControl w:val="0"/>
        <w:numPr>
          <w:ilvl w:val="1"/>
          <w:numId w:val="35"/>
        </w:numPr>
        <w:snapToGrid w:val="0"/>
        <w:spacing w:after="120"/>
        <w:ind w:left="1077" w:hanging="357"/>
        <w:rPr>
          <w:rFonts w:asciiTheme="minorHAnsi" w:hAnsiTheme="minorHAnsi" w:cstheme="minorHAnsi"/>
          <w:snapToGrid w:val="0"/>
          <w:lang w:eastAsia="en-US"/>
        </w:rPr>
      </w:pPr>
      <w:r w:rsidRPr="00EE29B4">
        <w:rPr>
          <w:rFonts w:asciiTheme="minorHAnsi" w:hAnsiTheme="minorHAnsi" w:cstheme="minorHAnsi"/>
          <w:snapToGrid w:val="0"/>
          <w:lang w:eastAsia="en-US"/>
        </w:rPr>
        <w:t xml:space="preserve">Authority Required (Written/digital submission) listing of Rymti PFS for initial treatment restrictions, first and subsequent continuing treatment restrictions. </w:t>
      </w:r>
    </w:p>
    <w:p w14:paraId="6E561730" w14:textId="37A5BF5A" w:rsidR="000441E8" w:rsidRPr="00EE29B4" w:rsidRDefault="000441E8" w:rsidP="000441E8">
      <w:pPr>
        <w:widowControl w:val="0"/>
        <w:numPr>
          <w:ilvl w:val="1"/>
          <w:numId w:val="35"/>
        </w:numPr>
        <w:snapToGrid w:val="0"/>
        <w:spacing w:after="120"/>
        <w:ind w:left="1077" w:hanging="357"/>
        <w:rPr>
          <w:rFonts w:asciiTheme="minorHAnsi" w:hAnsiTheme="minorHAnsi" w:cstheme="minorHAnsi"/>
          <w:snapToGrid w:val="0"/>
          <w:lang w:eastAsia="en-US"/>
        </w:rPr>
      </w:pPr>
      <w:r w:rsidRPr="00EE29B4">
        <w:rPr>
          <w:rFonts w:asciiTheme="minorHAnsi" w:hAnsiTheme="minorHAnsi" w:cstheme="minorHAnsi"/>
          <w:snapToGrid w:val="0"/>
          <w:lang w:eastAsia="en-US"/>
        </w:rPr>
        <w:t>A separate Authority Required (Streamlined) listing of Rymti for subsequent continuing treatment restriction.</w:t>
      </w:r>
    </w:p>
    <w:p w14:paraId="77C48764" w14:textId="3A04C900" w:rsidR="000441E8" w:rsidRPr="00EE29B4" w:rsidRDefault="000441E8" w:rsidP="000441E8">
      <w:pPr>
        <w:widowControl w:val="0"/>
        <w:numPr>
          <w:ilvl w:val="1"/>
          <w:numId w:val="35"/>
        </w:numPr>
        <w:snapToGrid w:val="0"/>
        <w:spacing w:after="120"/>
        <w:ind w:left="1077" w:hanging="357"/>
        <w:rPr>
          <w:rFonts w:asciiTheme="minorHAnsi" w:eastAsia="Calibri" w:hAnsiTheme="minorHAnsi" w:cstheme="minorHAnsi"/>
          <w:b/>
          <w:bCs/>
          <w:i/>
          <w:snapToGrid w:val="0"/>
          <w:lang w:eastAsia="en-US"/>
        </w:rPr>
      </w:pPr>
      <w:r w:rsidRPr="00EE29B4">
        <w:rPr>
          <w:rFonts w:asciiTheme="minorHAnsi" w:hAnsiTheme="minorHAnsi" w:cstheme="minorHAnsi"/>
          <w:snapToGrid w:val="0"/>
        </w:rPr>
        <w:t>The application of the ‘Biosimilar prescribing policy’ administrative note encouraging the use of biosimilar brands for treatment naïve patients (this note will need to be updated for the other biosimilar brands of Etanercept to include Rymti PFS in the list):</w:t>
      </w:r>
    </w:p>
    <w:p w14:paraId="498B0A61" w14:textId="27A09E01" w:rsidR="000441E8" w:rsidRPr="000441E8" w:rsidRDefault="000441E8" w:rsidP="000441E8">
      <w:pPr>
        <w:widowControl w:val="0"/>
        <w:spacing w:after="120" w:line="259" w:lineRule="auto"/>
        <w:ind w:left="720"/>
        <w:jc w:val="left"/>
        <w:rPr>
          <w:rFonts w:eastAsia="Calibri" w:cs="Arial"/>
          <w:bCs/>
          <w:i/>
          <w:snapToGrid w:val="0"/>
          <w:lang w:eastAsia="en-US"/>
        </w:rPr>
      </w:pPr>
      <w:r w:rsidRPr="000441E8">
        <w:rPr>
          <w:rFonts w:eastAsia="Calibri" w:cs="Arial"/>
          <w:bCs/>
          <w:i/>
          <w:snapToGrid w:val="0"/>
          <w:lang w:eastAsia="en-US"/>
        </w:rPr>
        <w:t xml:space="preserve">Prescribing of the biosimilar brand, </w:t>
      </w:r>
      <w:r>
        <w:rPr>
          <w:rFonts w:eastAsia="Calibri" w:cs="Arial"/>
          <w:bCs/>
          <w:i/>
          <w:snapToGrid w:val="0"/>
          <w:lang w:eastAsia="en-US"/>
        </w:rPr>
        <w:t>Rymti PFS</w:t>
      </w:r>
      <w:r w:rsidRPr="000441E8">
        <w:rPr>
          <w:rFonts w:eastAsia="Calibri" w:cs="Arial"/>
          <w:bCs/>
          <w:i/>
          <w:snapToGrid w:val="0"/>
          <w:lang w:eastAsia="en-US"/>
        </w:rPr>
        <w:t xml:space="preserve">, is encouraged for treatment naïve patients. </w:t>
      </w:r>
    </w:p>
    <w:p w14:paraId="7619F93C" w14:textId="77777777" w:rsidR="000441E8" w:rsidRPr="000441E8" w:rsidRDefault="000441E8" w:rsidP="000441E8">
      <w:pPr>
        <w:widowControl w:val="0"/>
        <w:spacing w:after="120" w:line="259" w:lineRule="auto"/>
        <w:ind w:left="720"/>
        <w:jc w:val="left"/>
        <w:rPr>
          <w:rFonts w:eastAsia="Calibri" w:cs="Arial"/>
          <w:bCs/>
          <w:snapToGrid w:val="0"/>
          <w:lang w:eastAsia="en-US"/>
        </w:rPr>
      </w:pPr>
      <w:r w:rsidRPr="000441E8">
        <w:rPr>
          <w:rFonts w:eastAsia="Calibri" w:cs="Arial"/>
          <w:bCs/>
          <w:i/>
          <w:snapToGrid w:val="0"/>
          <w:lang w:eastAsia="en-US"/>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hyperlink r:id="rId8" w:history="1">
        <w:r w:rsidRPr="000441E8">
          <w:rPr>
            <w:rFonts w:eastAsia="Calibri" w:cs="Arial"/>
            <w:bCs/>
            <w:i/>
            <w:snapToGrid w:val="0"/>
            <w:color w:val="0000FF"/>
            <w:u w:val="single"/>
            <w:lang w:eastAsia="en-US"/>
          </w:rPr>
          <w:t>www.health.gov.au/biosimilars</w:t>
        </w:r>
      </w:hyperlink>
      <w:r w:rsidRPr="00CE4E2D">
        <w:rPr>
          <w:rFonts w:eastAsia="Calibri" w:cs="Arial"/>
          <w:bCs/>
          <w:i/>
          <w:snapToGrid w:val="0"/>
          <w:lang w:eastAsia="en-US"/>
        </w:rPr>
        <w:t>)</w:t>
      </w:r>
    </w:p>
    <w:p w14:paraId="7497DBE6" w14:textId="49B58547" w:rsidR="00C66706" w:rsidRPr="00C42074" w:rsidRDefault="00C57131" w:rsidP="00943C1B">
      <w:pPr>
        <w:pStyle w:val="3Bodytext"/>
        <w:rPr>
          <w:rFonts w:eastAsia="Calibri"/>
          <w:lang w:eastAsia="en-US"/>
        </w:rPr>
      </w:pPr>
      <w:bookmarkStart w:id="28" w:name="_Hlk86756653"/>
      <w:r w:rsidRPr="00C42074">
        <w:rPr>
          <w:rFonts w:eastAsia="Calibri"/>
          <w:lang w:eastAsia="en-US"/>
        </w:rPr>
        <w:t xml:space="preserve">The PBAC noted that the Product Information of Rymti indicates that children and adolescents weighing less than 62.5 kg should not receive Rymti and that these </w:t>
      </w:r>
      <w:r w:rsidR="00C66706" w:rsidRPr="00C42074">
        <w:rPr>
          <w:rFonts w:eastAsia="Calibri"/>
          <w:lang w:eastAsia="en-US"/>
        </w:rPr>
        <w:t>patients</w:t>
      </w:r>
      <w:r w:rsidRPr="00C42074">
        <w:rPr>
          <w:rFonts w:eastAsia="Calibri"/>
          <w:lang w:eastAsia="en-US"/>
        </w:rPr>
        <w:t xml:space="preserve"> should be accurately dosed on a mg/kg basis with other etanercept products. The PBAC advised that it is appropriate to include</w:t>
      </w:r>
      <w:r w:rsidR="00196DB4" w:rsidRPr="00C42074">
        <w:rPr>
          <w:rFonts w:eastAsia="Calibri"/>
          <w:lang w:eastAsia="en-US"/>
        </w:rPr>
        <w:t xml:space="preserve"> </w:t>
      </w:r>
      <w:r w:rsidR="006B40D9" w:rsidRPr="00C42074">
        <w:rPr>
          <w:rFonts w:eastAsia="Calibri"/>
          <w:lang w:eastAsia="en-US"/>
        </w:rPr>
        <w:t xml:space="preserve">a caution </w:t>
      </w:r>
      <w:bookmarkStart w:id="29" w:name="_Hlk88811000"/>
      <w:r w:rsidR="00196DB4" w:rsidRPr="00C42074">
        <w:rPr>
          <w:rFonts w:eastAsia="Calibri"/>
          <w:lang w:eastAsia="en-US"/>
        </w:rPr>
        <w:t>‘</w:t>
      </w:r>
      <w:r w:rsidR="006B40D9" w:rsidRPr="00C42074">
        <w:rPr>
          <w:rFonts w:eastAsia="Calibri"/>
          <w:lang w:eastAsia="en-US"/>
        </w:rPr>
        <w:t>This formulation of etanercept is intended for use in children and adolescents weighting 62.5kg or more</w:t>
      </w:r>
      <w:bookmarkEnd w:id="29"/>
      <w:r w:rsidR="00196DB4" w:rsidRPr="00C42074">
        <w:rPr>
          <w:rFonts w:eastAsia="Calibri"/>
          <w:lang w:eastAsia="en-US"/>
        </w:rPr>
        <w:t>’</w:t>
      </w:r>
      <w:r w:rsidR="006B40D9" w:rsidRPr="00C42074">
        <w:rPr>
          <w:rFonts w:eastAsia="Calibri"/>
          <w:lang w:eastAsia="en-US"/>
        </w:rPr>
        <w:t>.</w:t>
      </w:r>
      <w:r w:rsidRPr="00C42074">
        <w:rPr>
          <w:rFonts w:eastAsia="Calibri"/>
          <w:lang w:eastAsia="en-US"/>
        </w:rPr>
        <w:t xml:space="preserve"> </w:t>
      </w:r>
      <w:r w:rsidR="00C42074" w:rsidRPr="00C42074">
        <w:rPr>
          <w:rFonts w:eastAsia="Calibri"/>
          <w:lang w:eastAsia="en-US"/>
        </w:rPr>
        <w:t xml:space="preserve">The PBAC also advised the caution </w:t>
      </w:r>
      <w:bookmarkStart w:id="30" w:name="_Hlk88816323"/>
      <w:r w:rsidR="00C42074" w:rsidRPr="00C42074">
        <w:rPr>
          <w:rFonts w:eastAsia="Calibri"/>
          <w:lang w:eastAsia="en-US"/>
        </w:rPr>
        <w:t>flowed onto relevant indications/products for Enbrel</w:t>
      </w:r>
      <w:r w:rsidR="00C42074">
        <w:rPr>
          <w:rFonts w:eastAsia="Calibri"/>
          <w:lang w:eastAsia="en-US"/>
        </w:rPr>
        <w:t>.</w:t>
      </w:r>
    </w:p>
    <w:bookmarkEnd w:id="30"/>
    <w:p w14:paraId="2651009F" w14:textId="532604ED" w:rsidR="00A373CD" w:rsidRPr="00377DDC" w:rsidRDefault="00A373CD" w:rsidP="00F2691F">
      <w:pPr>
        <w:pStyle w:val="3Bodytext"/>
        <w:rPr>
          <w:rFonts w:eastAsia="Calibri"/>
          <w:lang w:eastAsia="en-US"/>
        </w:rPr>
      </w:pPr>
      <w:r w:rsidRPr="00377DDC">
        <w:rPr>
          <w:rFonts w:eastAsia="Calibri"/>
          <w:lang w:eastAsia="en-US"/>
        </w:rPr>
        <w:t>The PBAC advise</w:t>
      </w:r>
      <w:r w:rsidR="007875FF" w:rsidRPr="00377DDC">
        <w:rPr>
          <w:rFonts w:eastAsia="Calibri"/>
          <w:lang w:eastAsia="en-US"/>
        </w:rPr>
        <w:t>d</w:t>
      </w:r>
      <w:r w:rsidR="003768EC">
        <w:rPr>
          <w:rFonts w:eastAsia="Calibri"/>
          <w:lang w:eastAsia="en-US"/>
        </w:rPr>
        <w:t xml:space="preserve"> that</w:t>
      </w:r>
      <w:r w:rsidRPr="00377DDC">
        <w:rPr>
          <w:rFonts w:eastAsia="Calibri"/>
          <w:lang w:eastAsia="en-US"/>
        </w:rPr>
        <w:t xml:space="preserve">, under Section 101(4AACD) of the </w:t>
      </w:r>
      <w:r w:rsidR="003768EC">
        <w:rPr>
          <w:rFonts w:eastAsia="Calibri"/>
          <w:lang w:eastAsia="en-US"/>
        </w:rPr>
        <w:t>Act</w:t>
      </w:r>
      <w:r w:rsidRPr="00377DDC">
        <w:rPr>
          <w:rFonts w:eastAsia="Calibri"/>
          <w:lang w:eastAsia="en-US"/>
        </w:rPr>
        <w:t>, in the Schedule of Pharmaceutical Benefits</w:t>
      </w:r>
      <w:r w:rsidR="003768EC">
        <w:rPr>
          <w:rFonts w:eastAsia="Calibri"/>
          <w:lang w:eastAsia="en-US"/>
        </w:rPr>
        <w:t>,</w:t>
      </w:r>
      <w:r w:rsidRPr="00377DDC">
        <w:rPr>
          <w:rFonts w:eastAsia="Calibri"/>
          <w:lang w:eastAsia="en-US"/>
        </w:rPr>
        <w:t xml:space="preserve"> the same form and strength of Brenzys®, Enbrel® and </w:t>
      </w:r>
      <w:bookmarkStart w:id="31" w:name="_Hlk87945330"/>
      <w:r w:rsidRPr="00377DDC">
        <w:rPr>
          <w:rFonts w:eastAsia="Calibri"/>
          <w:lang w:eastAsia="en-US"/>
        </w:rPr>
        <w:t>Rymti®</w:t>
      </w:r>
      <w:bookmarkEnd w:id="31"/>
      <w:r w:rsidRPr="00377DDC">
        <w:rPr>
          <w:rFonts w:eastAsia="Calibri"/>
          <w:lang w:eastAsia="en-US"/>
        </w:rPr>
        <w:t xml:space="preserve"> should be treated as equivalent</w:t>
      </w:r>
      <w:r w:rsidR="007875FF" w:rsidRPr="00377DDC">
        <w:rPr>
          <w:rFonts w:eastAsia="Calibri"/>
          <w:lang w:eastAsia="en-US"/>
        </w:rPr>
        <w:t xml:space="preserve"> </w:t>
      </w:r>
      <w:r w:rsidRPr="00377DDC">
        <w:rPr>
          <w:rFonts w:eastAsia="Calibri"/>
          <w:lang w:eastAsia="en-US"/>
        </w:rPr>
        <w:t>(‘a’-flagged) to each other for the purpose of substitution.</w:t>
      </w:r>
    </w:p>
    <w:bookmarkEnd w:id="28"/>
    <w:p w14:paraId="68712CFA" w14:textId="759CAAC9" w:rsidR="007875FF" w:rsidRPr="00377DDC" w:rsidRDefault="007875FF" w:rsidP="007875FF">
      <w:pPr>
        <w:pStyle w:val="3Bodytext"/>
        <w:jc w:val="both"/>
        <w:rPr>
          <w:rFonts w:cs="Arial"/>
          <w:bCs/>
          <w:snapToGrid w:val="0"/>
        </w:rPr>
      </w:pPr>
      <w:r w:rsidRPr="00377DDC">
        <w:rPr>
          <w:rFonts w:cs="Arial"/>
          <w:bCs/>
          <w:snapToGrid w:val="0"/>
        </w:rPr>
        <w:t>The PBAC noted that the listing of Rymti</w:t>
      </w:r>
      <w:r w:rsidR="00DD19F6" w:rsidRPr="00377DDC">
        <w:rPr>
          <w:rFonts w:cs="Arial"/>
          <w:bCs/>
          <w:snapToGrid w:val="0"/>
        </w:rPr>
        <w:t xml:space="preserve"> PFS</w:t>
      </w:r>
      <w:r w:rsidRPr="00377DDC">
        <w:rPr>
          <w:rFonts w:cs="Arial"/>
          <w:bCs/>
          <w:snapToGrid w:val="0"/>
        </w:rPr>
        <w:t xml:space="preserve"> is expected to have no change in the overall net cost to the government.</w:t>
      </w:r>
    </w:p>
    <w:p w14:paraId="6771EE74" w14:textId="050735DD" w:rsidR="004840B9" w:rsidRPr="004C6340" w:rsidRDefault="004840B9" w:rsidP="004840B9">
      <w:pPr>
        <w:pStyle w:val="3Bodytext"/>
        <w:jc w:val="both"/>
        <w:rPr>
          <w:rFonts w:cs="Arial"/>
          <w:bCs/>
          <w:snapToGrid w:val="0"/>
        </w:rPr>
      </w:pPr>
      <w:r w:rsidRPr="00377DDC">
        <w:t xml:space="preserve">The PBAC noted that its recommendation was on a cost-minimisation basis and advised that, because </w:t>
      </w:r>
      <w:r w:rsidRPr="00377DDC">
        <w:rPr>
          <w:rFonts w:eastAsia="Calibri"/>
          <w:lang w:eastAsia="en-US"/>
        </w:rPr>
        <w:t>Rymti</w:t>
      </w:r>
      <w:r w:rsidRPr="00377DDC">
        <w:t xml:space="preserve"> </w:t>
      </w:r>
      <w:r w:rsidR="00DD19F6" w:rsidRPr="00377DDC">
        <w:t xml:space="preserve">PFS </w:t>
      </w:r>
      <w:r w:rsidRPr="00377DDC">
        <w:t xml:space="preserve">is not expected to provide a substantial and clinically relevant improvement in efficacy, or reduction of toxicity over </w:t>
      </w:r>
      <w:r w:rsidRPr="00377DDC">
        <w:rPr>
          <w:lang w:eastAsia="en-US"/>
        </w:rPr>
        <w:t>Enbrel</w:t>
      </w:r>
      <w:r w:rsidRPr="00377DDC">
        <w:t xml:space="preserve">, or not expected to address a high and urgent unmet clinical need given the presence of an alternative therapy, the criteria prescribed by the </w:t>
      </w:r>
      <w:r w:rsidRPr="004D448D">
        <w:rPr>
          <w:i/>
          <w:iCs/>
        </w:rPr>
        <w:t>National Health (Pharmaceuticals and Vaccines – Cost Recovery) Regulations 2009</w:t>
      </w:r>
      <w:r w:rsidRPr="00377DDC">
        <w:t xml:space="preserve"> for Pricing </w:t>
      </w:r>
      <w:r w:rsidRPr="00377DDC">
        <w:rPr>
          <w:rFonts w:cs="Arial"/>
          <w:bCs/>
          <w:snapToGrid w:val="0"/>
        </w:rPr>
        <w:t>Pathway A were not met</w:t>
      </w:r>
      <w:r w:rsidRPr="004C6340">
        <w:rPr>
          <w:rFonts w:cs="Arial"/>
          <w:bCs/>
          <w:snapToGrid w:val="0"/>
        </w:rPr>
        <w:t>.</w:t>
      </w:r>
    </w:p>
    <w:p w14:paraId="18D5D2E0" w14:textId="77777777" w:rsidR="004840B9" w:rsidRPr="00A033A3" w:rsidRDefault="004840B9" w:rsidP="004840B9">
      <w:pPr>
        <w:pStyle w:val="3Bodytext"/>
        <w:jc w:val="both"/>
        <w:rPr>
          <w:rFonts w:cstheme="minorHAnsi"/>
        </w:rPr>
      </w:pPr>
      <w:r w:rsidRPr="004C6340">
        <w:rPr>
          <w:rFonts w:cs="Arial"/>
          <w:bCs/>
          <w:snapToGrid w:val="0"/>
        </w:rPr>
        <w:t>The PBAC noted</w:t>
      </w:r>
      <w:r w:rsidRPr="00A033A3">
        <w:rPr>
          <w:rFonts w:cs="Arial"/>
          <w:bCs/>
          <w:snapToGrid w:val="0"/>
        </w:rPr>
        <w:t xml:space="preserve"> that this submission is not eligible for an Independent Review as it received a positive recommendation.</w:t>
      </w:r>
    </w:p>
    <w:p w14:paraId="0031C62A" w14:textId="77777777" w:rsidR="00A970D9" w:rsidRPr="004C6340" w:rsidRDefault="00A970D9" w:rsidP="00A970D9">
      <w:pPr>
        <w:spacing w:after="120"/>
        <w:rPr>
          <w:rFonts w:asciiTheme="minorHAnsi" w:hAnsiTheme="minorHAnsi" w:cs="Arial"/>
          <w:b/>
          <w:bCs/>
          <w:snapToGrid w:val="0"/>
        </w:rPr>
      </w:pPr>
      <w:bookmarkStart w:id="32" w:name="_Hlk86825348"/>
      <w:bookmarkEnd w:id="27"/>
      <w:r w:rsidRPr="004C6340">
        <w:rPr>
          <w:rFonts w:asciiTheme="minorHAnsi" w:hAnsiTheme="minorHAnsi" w:cs="Arial"/>
          <w:b/>
          <w:bCs/>
          <w:snapToGrid w:val="0"/>
        </w:rPr>
        <w:t>Outcome:</w:t>
      </w:r>
    </w:p>
    <w:p w14:paraId="108BF5BA" w14:textId="77777777" w:rsidR="00A970D9" w:rsidRPr="004C6340" w:rsidRDefault="00A970D9" w:rsidP="00A970D9">
      <w:pPr>
        <w:spacing w:after="120"/>
        <w:rPr>
          <w:rFonts w:asciiTheme="minorHAnsi" w:hAnsiTheme="minorHAnsi" w:cs="Arial"/>
          <w:bCs/>
          <w:snapToGrid w:val="0"/>
        </w:rPr>
      </w:pPr>
      <w:r w:rsidRPr="004C6340">
        <w:rPr>
          <w:rFonts w:asciiTheme="minorHAnsi" w:hAnsiTheme="minorHAnsi" w:cs="Arial"/>
          <w:bCs/>
          <w:snapToGrid w:val="0"/>
        </w:rPr>
        <w:t>Recommended</w:t>
      </w:r>
    </w:p>
    <w:p w14:paraId="645EAA73" w14:textId="77777777" w:rsidR="00A970D9" w:rsidRPr="00A033A3" w:rsidRDefault="00A970D9" w:rsidP="00A970D9">
      <w:pPr>
        <w:pStyle w:val="2-SectionHeading"/>
      </w:pPr>
      <w:r w:rsidRPr="00A033A3">
        <w:t>Recommended listing</w:t>
      </w:r>
    </w:p>
    <w:p w14:paraId="0EF44EF6" w14:textId="4FA77F4C" w:rsidR="00922200" w:rsidRPr="006B40D9" w:rsidRDefault="00922200" w:rsidP="00C42074">
      <w:pPr>
        <w:widowControl w:val="0"/>
        <w:numPr>
          <w:ilvl w:val="1"/>
          <w:numId w:val="2"/>
        </w:numPr>
        <w:spacing w:after="120"/>
        <w:rPr>
          <w:rFonts w:asciiTheme="minorHAnsi" w:eastAsia="Calibri" w:hAnsiTheme="minorHAnsi" w:cstheme="minorHAnsi"/>
          <w:szCs w:val="22"/>
          <w:lang w:eastAsia="en-US"/>
        </w:rPr>
      </w:pPr>
      <w:r w:rsidRPr="00624403">
        <w:rPr>
          <w:rFonts w:asciiTheme="minorHAnsi" w:eastAsia="Calibri" w:hAnsiTheme="minorHAnsi" w:cstheme="minorHAnsi"/>
          <w:bCs/>
          <w:snapToGrid w:val="0"/>
          <w:lang w:eastAsia="en-US"/>
        </w:rPr>
        <w:t>Add new etanercept brand (Rymti) with schedule equivalence (‘a’ flag) for the same indications as Enbrel as noted in Section 3.</w:t>
      </w:r>
    </w:p>
    <w:p w14:paraId="41E1DD3A" w14:textId="77777777" w:rsidR="00C42074" w:rsidRPr="00C42074" w:rsidRDefault="006B40D9" w:rsidP="00C42074">
      <w:pPr>
        <w:pStyle w:val="3Bodytext"/>
        <w:widowControl w:val="0"/>
        <w:jc w:val="both"/>
        <w:rPr>
          <w:rFonts w:eastAsia="Calibri" w:cstheme="minorHAnsi"/>
          <w:bCs/>
          <w:snapToGrid w:val="0"/>
          <w:szCs w:val="24"/>
          <w:lang w:eastAsia="en-US"/>
        </w:rPr>
      </w:pPr>
      <w:r w:rsidRPr="00C42074">
        <w:rPr>
          <w:rFonts w:eastAsia="Calibri" w:cstheme="minorHAnsi"/>
          <w:bCs/>
          <w:snapToGrid w:val="0"/>
          <w:szCs w:val="24"/>
          <w:lang w:eastAsia="en-US"/>
        </w:rPr>
        <w:t xml:space="preserve">Add Caution: </w:t>
      </w:r>
      <w:r w:rsidR="00C42074" w:rsidRPr="00C42074">
        <w:rPr>
          <w:rFonts w:eastAsia="Calibri" w:cstheme="minorHAnsi"/>
          <w:bCs/>
          <w:snapToGrid w:val="0"/>
          <w:szCs w:val="24"/>
          <w:lang w:eastAsia="en-US"/>
        </w:rPr>
        <w:t>‘</w:t>
      </w:r>
      <w:r w:rsidRPr="00C42074">
        <w:rPr>
          <w:rFonts w:eastAsia="Calibri" w:cstheme="minorHAnsi"/>
          <w:bCs/>
          <w:snapToGrid w:val="0"/>
          <w:szCs w:val="24"/>
          <w:lang w:eastAsia="en-US"/>
        </w:rPr>
        <w:t>This formulation of etanercept is intended for use in children and adolescents weighting 62.5kg or more</w:t>
      </w:r>
      <w:r w:rsidR="00C42074" w:rsidRPr="00C42074">
        <w:rPr>
          <w:rFonts w:eastAsia="Calibri" w:cstheme="minorHAnsi"/>
          <w:bCs/>
          <w:snapToGrid w:val="0"/>
          <w:szCs w:val="24"/>
          <w:lang w:eastAsia="en-US"/>
        </w:rPr>
        <w:t>’ and flowed onto relevant indications/products for Enbrel.</w:t>
      </w:r>
    </w:p>
    <w:p w14:paraId="4D85ECD6" w14:textId="49BF1051" w:rsidR="00922200" w:rsidRPr="00C42074" w:rsidRDefault="00922200" w:rsidP="00C42074">
      <w:pPr>
        <w:pStyle w:val="3Bodytext"/>
        <w:widowControl w:val="0"/>
        <w:jc w:val="both"/>
        <w:rPr>
          <w:rFonts w:eastAsia="Calibri" w:cstheme="minorHAnsi"/>
          <w:bCs/>
          <w:snapToGrid w:val="0"/>
          <w:szCs w:val="24"/>
          <w:lang w:eastAsia="en-US"/>
        </w:rPr>
      </w:pPr>
      <w:r w:rsidRPr="00C42074">
        <w:rPr>
          <w:rFonts w:eastAsia="Calibri" w:cstheme="minorHAnsi"/>
          <w:bCs/>
          <w:snapToGrid w:val="0"/>
          <w:szCs w:val="24"/>
          <w:lang w:eastAsia="en-US"/>
        </w:rPr>
        <w:t>Amend existing/recommended listing as follows:</w:t>
      </w:r>
    </w:p>
    <w:p w14:paraId="25DBB3CC" w14:textId="64AAA051" w:rsidR="00922200" w:rsidRPr="00624403" w:rsidRDefault="00922200" w:rsidP="00922200">
      <w:pPr>
        <w:widowControl w:val="0"/>
        <w:numPr>
          <w:ilvl w:val="1"/>
          <w:numId w:val="35"/>
        </w:numPr>
        <w:snapToGrid w:val="0"/>
        <w:spacing w:after="120"/>
        <w:ind w:left="1077" w:hanging="357"/>
        <w:rPr>
          <w:rFonts w:asciiTheme="minorHAnsi" w:hAnsiTheme="minorHAnsi" w:cstheme="minorHAnsi"/>
          <w:snapToGrid w:val="0"/>
          <w:lang w:eastAsia="en-US"/>
        </w:rPr>
      </w:pPr>
      <w:r w:rsidRPr="00624403">
        <w:rPr>
          <w:rFonts w:asciiTheme="minorHAnsi" w:hAnsiTheme="minorHAnsi" w:cstheme="minorHAnsi"/>
          <w:snapToGrid w:val="0"/>
          <w:lang w:eastAsia="en-US"/>
        </w:rPr>
        <w:t xml:space="preserve">Authority Required (Written/digital submission) listing of Rymti for initial treatment restrictions, first and subsequent continuing treatment restrictions. </w:t>
      </w:r>
    </w:p>
    <w:p w14:paraId="788D5BB8" w14:textId="671E3211" w:rsidR="00922200" w:rsidRPr="00624403" w:rsidRDefault="00922200" w:rsidP="00922200">
      <w:pPr>
        <w:widowControl w:val="0"/>
        <w:numPr>
          <w:ilvl w:val="1"/>
          <w:numId w:val="35"/>
        </w:numPr>
        <w:snapToGrid w:val="0"/>
        <w:spacing w:after="120"/>
        <w:ind w:left="1077" w:hanging="357"/>
        <w:rPr>
          <w:rFonts w:asciiTheme="minorHAnsi" w:hAnsiTheme="minorHAnsi" w:cstheme="minorHAnsi"/>
          <w:snapToGrid w:val="0"/>
          <w:lang w:eastAsia="en-US"/>
        </w:rPr>
      </w:pPr>
      <w:r w:rsidRPr="00624403">
        <w:rPr>
          <w:rFonts w:asciiTheme="minorHAnsi" w:hAnsiTheme="minorHAnsi" w:cstheme="minorHAnsi"/>
          <w:snapToGrid w:val="0"/>
          <w:lang w:eastAsia="en-US"/>
        </w:rPr>
        <w:t>A separate Authority Required (Streamlined) listing of Rymti for subsequent continuing treatment restriction.</w:t>
      </w:r>
    </w:p>
    <w:p w14:paraId="62048E0A" w14:textId="6490ADC2" w:rsidR="00922200" w:rsidRPr="00624403" w:rsidRDefault="00922200" w:rsidP="00922200">
      <w:pPr>
        <w:widowControl w:val="0"/>
        <w:numPr>
          <w:ilvl w:val="1"/>
          <w:numId w:val="35"/>
        </w:numPr>
        <w:snapToGrid w:val="0"/>
        <w:spacing w:after="120"/>
        <w:ind w:left="1077" w:hanging="357"/>
        <w:rPr>
          <w:rFonts w:asciiTheme="minorHAnsi" w:eastAsia="Calibri" w:hAnsiTheme="minorHAnsi" w:cstheme="minorHAnsi"/>
          <w:b/>
          <w:bCs/>
          <w:i/>
          <w:snapToGrid w:val="0"/>
          <w:lang w:eastAsia="en-US"/>
        </w:rPr>
      </w:pPr>
      <w:r w:rsidRPr="00624403">
        <w:rPr>
          <w:rFonts w:asciiTheme="minorHAnsi" w:hAnsiTheme="minorHAnsi" w:cstheme="minorHAnsi"/>
          <w:snapToGrid w:val="0"/>
        </w:rPr>
        <w:t>The application of the ‘Biosimilar prescribing policy’ administrative note encouraging the use of biosimilar brands for treatment naïve patients (this note will need to be updated for the other biosimilar brands of etanercept to include Rymti in the list):</w:t>
      </w:r>
    </w:p>
    <w:p w14:paraId="63C9FA8F" w14:textId="1C54D68B" w:rsidR="00922200" w:rsidRPr="00922200" w:rsidRDefault="00922200" w:rsidP="00922200">
      <w:pPr>
        <w:widowControl w:val="0"/>
        <w:spacing w:after="120" w:line="259" w:lineRule="auto"/>
        <w:ind w:left="720"/>
        <w:jc w:val="left"/>
        <w:rPr>
          <w:rFonts w:eastAsia="Calibri" w:cs="Arial"/>
          <w:bCs/>
          <w:i/>
          <w:snapToGrid w:val="0"/>
          <w:lang w:eastAsia="en-US"/>
        </w:rPr>
      </w:pPr>
      <w:r w:rsidRPr="00922200">
        <w:rPr>
          <w:rFonts w:eastAsia="Calibri" w:cs="Arial"/>
          <w:bCs/>
          <w:i/>
          <w:snapToGrid w:val="0"/>
          <w:lang w:eastAsia="en-US"/>
        </w:rPr>
        <w:t xml:space="preserve">Prescribing of the biosimilar brand, </w:t>
      </w:r>
      <w:r>
        <w:rPr>
          <w:rFonts w:eastAsia="Calibri" w:cs="Arial"/>
          <w:bCs/>
          <w:i/>
          <w:snapToGrid w:val="0"/>
          <w:lang w:eastAsia="en-US"/>
        </w:rPr>
        <w:t>Rymti</w:t>
      </w:r>
      <w:r w:rsidRPr="00922200">
        <w:rPr>
          <w:rFonts w:eastAsia="Calibri" w:cs="Arial"/>
          <w:bCs/>
          <w:i/>
          <w:snapToGrid w:val="0"/>
          <w:lang w:eastAsia="en-US"/>
        </w:rPr>
        <w:t xml:space="preserve">, is encouraged for treatment naïve patients. </w:t>
      </w:r>
    </w:p>
    <w:p w14:paraId="569E337D" w14:textId="4E8BFE1E" w:rsidR="00922200" w:rsidRPr="00922200" w:rsidRDefault="00922200" w:rsidP="00922200">
      <w:pPr>
        <w:widowControl w:val="0"/>
        <w:spacing w:after="120"/>
        <w:ind w:left="720"/>
        <w:rPr>
          <w:rFonts w:eastAsia="Calibri" w:cs="Arial"/>
          <w:b/>
          <w:bCs/>
          <w:snapToGrid w:val="0"/>
          <w:lang w:eastAsia="en-US"/>
        </w:rPr>
      </w:pPr>
      <w:r w:rsidRPr="00922200">
        <w:rPr>
          <w:rFonts w:eastAsia="Calibri" w:cs="Arial"/>
          <w:bCs/>
          <w:i/>
          <w:snapToGrid w:val="0"/>
          <w:lang w:eastAsia="en-US"/>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hyperlink r:id="rId9" w:history="1">
        <w:r w:rsidRPr="00922200">
          <w:rPr>
            <w:rFonts w:eastAsia="Calibri" w:cs="Arial"/>
            <w:bCs/>
            <w:i/>
            <w:snapToGrid w:val="0"/>
            <w:color w:val="0000FF"/>
            <w:u w:val="single"/>
            <w:lang w:eastAsia="en-US"/>
          </w:rPr>
          <w:t>www.health.gov.au/biosimilars</w:t>
        </w:r>
      </w:hyperlink>
      <w:r w:rsidR="00CE4E2D" w:rsidRPr="00CE4E2D">
        <w:rPr>
          <w:rFonts w:eastAsia="Calibri" w:cs="Arial"/>
          <w:bCs/>
          <w:i/>
          <w:snapToGrid w:val="0"/>
          <w:lang w:eastAsia="en-US"/>
        </w:rPr>
        <w:t>)</w:t>
      </w:r>
    </w:p>
    <w:p w14:paraId="1EBDE9BC" w14:textId="13CDA9C0" w:rsidR="00A970D9" w:rsidRPr="00A033A3" w:rsidRDefault="00A970D9" w:rsidP="003C192D">
      <w:pPr>
        <w:pStyle w:val="3Bodytext"/>
        <w:numPr>
          <w:ilvl w:val="0"/>
          <w:numId w:val="0"/>
        </w:numPr>
        <w:ind w:left="720"/>
      </w:pPr>
    </w:p>
    <w:tbl>
      <w:tblPr>
        <w:tblStyle w:val="TableGrid"/>
        <w:tblW w:w="5000" w:type="pct"/>
        <w:tblLook w:val="04A0" w:firstRow="1" w:lastRow="0" w:firstColumn="1" w:lastColumn="0" w:noHBand="0" w:noVBand="1"/>
      </w:tblPr>
      <w:tblGrid>
        <w:gridCol w:w="4508"/>
        <w:gridCol w:w="4508"/>
      </w:tblGrid>
      <w:tr w:rsidR="00A970D9" w:rsidRPr="00A033A3" w14:paraId="51085E32" w14:textId="77777777" w:rsidTr="00B467EF">
        <w:trPr>
          <w:trHeight w:val="459"/>
          <w:tblHeader/>
        </w:trPr>
        <w:tc>
          <w:tcPr>
            <w:tcW w:w="2500" w:type="pct"/>
          </w:tcPr>
          <w:p w14:paraId="76BC82D2" w14:textId="77777777" w:rsidR="00A970D9" w:rsidRPr="004C6340" w:rsidRDefault="00A970D9" w:rsidP="00F2691F">
            <w:pPr>
              <w:pStyle w:val="TableText0"/>
              <w:rPr>
                <w:rStyle w:val="SmallBold"/>
                <w:szCs w:val="20"/>
              </w:rPr>
            </w:pPr>
            <w:bookmarkStart w:id="33" w:name="_GoBack" w:colFirst="0" w:colLast="2"/>
            <w:r w:rsidRPr="00A033A3">
              <w:rPr>
                <w:rStyle w:val="SmallBold"/>
                <w:szCs w:val="20"/>
              </w:rPr>
              <w:t>MEDICINAL PRODUCT</w:t>
            </w:r>
          </w:p>
          <w:p w14:paraId="38F3B4F7" w14:textId="77777777" w:rsidR="00A970D9" w:rsidRPr="00A033A3" w:rsidRDefault="00A970D9" w:rsidP="00F2691F">
            <w:pPr>
              <w:pStyle w:val="TableText0"/>
              <w:rPr>
                <w:rStyle w:val="SmallBold"/>
                <w:szCs w:val="20"/>
              </w:rPr>
            </w:pPr>
            <w:r w:rsidRPr="00A033A3">
              <w:rPr>
                <w:rStyle w:val="SmallBold"/>
                <w:szCs w:val="20"/>
              </w:rPr>
              <w:t>medicinal product pack</w:t>
            </w:r>
          </w:p>
        </w:tc>
        <w:tc>
          <w:tcPr>
            <w:tcW w:w="2500" w:type="pct"/>
          </w:tcPr>
          <w:p w14:paraId="7872392D" w14:textId="77777777" w:rsidR="00A970D9" w:rsidRPr="00A033A3" w:rsidRDefault="00A970D9" w:rsidP="00F2691F">
            <w:pPr>
              <w:pStyle w:val="TableText0"/>
              <w:rPr>
                <w:rStyle w:val="SmallBold"/>
                <w:szCs w:val="20"/>
              </w:rPr>
            </w:pPr>
            <w:r w:rsidRPr="00A033A3">
              <w:rPr>
                <w:rStyle w:val="SmallBold"/>
                <w:szCs w:val="20"/>
              </w:rPr>
              <w:t>Proprietary Name, Manufacturer</w:t>
            </w:r>
          </w:p>
        </w:tc>
      </w:tr>
      <w:bookmarkEnd w:id="33"/>
      <w:tr w:rsidR="00A970D9" w:rsidRPr="00A033A3" w14:paraId="44613C0E" w14:textId="77777777" w:rsidTr="00F2691F">
        <w:trPr>
          <w:trHeight w:val="689"/>
        </w:trPr>
        <w:tc>
          <w:tcPr>
            <w:tcW w:w="2500" w:type="pct"/>
          </w:tcPr>
          <w:p w14:paraId="49127EE7" w14:textId="77777777" w:rsidR="00A970D9" w:rsidRPr="00A033A3" w:rsidRDefault="00A970D9" w:rsidP="00F2691F">
            <w:pPr>
              <w:pStyle w:val="TableText0"/>
              <w:rPr>
                <w:szCs w:val="20"/>
              </w:rPr>
            </w:pPr>
            <w:r w:rsidRPr="00A033A3">
              <w:rPr>
                <w:szCs w:val="20"/>
              </w:rPr>
              <w:t>ETANERCEPT</w:t>
            </w:r>
          </w:p>
          <w:p w14:paraId="659B3C7B" w14:textId="5CB15C2C" w:rsidR="00A970D9" w:rsidRPr="00A033A3" w:rsidRDefault="00A970D9" w:rsidP="00F2691F">
            <w:pPr>
              <w:pStyle w:val="TableText0"/>
              <w:rPr>
                <w:rStyle w:val="SmallBold"/>
                <w:szCs w:val="20"/>
              </w:rPr>
            </w:pPr>
            <w:r w:rsidRPr="004C6340">
              <w:rPr>
                <w:szCs w:val="20"/>
              </w:rPr>
              <w:t xml:space="preserve">etanercept </w:t>
            </w:r>
            <w:r w:rsidR="003C192D" w:rsidRPr="003C192D">
              <w:rPr>
                <w:szCs w:val="20"/>
              </w:rPr>
              <w:t>50 mg in 1 mL pre-filled syringe</w:t>
            </w:r>
          </w:p>
        </w:tc>
        <w:tc>
          <w:tcPr>
            <w:tcW w:w="2500" w:type="pct"/>
          </w:tcPr>
          <w:p w14:paraId="0F6C2F5A" w14:textId="568F7B0F" w:rsidR="00A970D9" w:rsidRPr="00A033A3" w:rsidRDefault="003C192D" w:rsidP="00F2691F">
            <w:pPr>
              <w:pStyle w:val="TableText0"/>
              <w:rPr>
                <w:rStyle w:val="SmallBold"/>
                <w:b w:val="0"/>
                <w:szCs w:val="20"/>
              </w:rPr>
            </w:pPr>
            <w:r w:rsidRPr="007875FF">
              <w:rPr>
                <w:rFonts w:eastAsia="Calibri"/>
                <w:lang w:eastAsia="en-US"/>
              </w:rPr>
              <w:t>Rymti</w:t>
            </w:r>
            <w:r w:rsidR="00A970D9" w:rsidRPr="004C6340">
              <w:rPr>
                <w:szCs w:val="20"/>
              </w:rPr>
              <w:t xml:space="preserve">, </w:t>
            </w:r>
            <w:r w:rsidRPr="003C192D">
              <w:rPr>
                <w:szCs w:val="20"/>
              </w:rPr>
              <w:t>Alphapharm Pty Ltd</w:t>
            </w:r>
          </w:p>
        </w:tc>
      </w:tr>
      <w:bookmarkEnd w:id="32"/>
    </w:tbl>
    <w:p w14:paraId="6149ACF1" w14:textId="77777777" w:rsidR="00A970D9" w:rsidRPr="00A033A3" w:rsidRDefault="00A970D9" w:rsidP="00A970D9">
      <w:pPr>
        <w:rPr>
          <w:rFonts w:asciiTheme="minorHAnsi" w:hAnsiTheme="minorHAnsi"/>
          <w:sz w:val="22"/>
          <w:szCs w:val="22"/>
        </w:rPr>
      </w:pPr>
    </w:p>
    <w:p w14:paraId="627C7ACE" w14:textId="7BD2EECE" w:rsidR="00A970D9" w:rsidRDefault="00A970D9" w:rsidP="00C42AFA">
      <w:pPr>
        <w:ind w:left="720"/>
        <w:rPr>
          <w:rFonts w:asciiTheme="minorHAnsi" w:hAnsiTheme="minorHAnsi" w:cstheme="minorHAnsi"/>
          <w:b/>
          <w:i/>
        </w:rPr>
      </w:pPr>
      <w:bookmarkStart w:id="34" w:name="_Hlk86825607"/>
      <w:r w:rsidRPr="00A033A3">
        <w:rPr>
          <w:rFonts w:asciiTheme="minorHAnsi" w:hAnsiTheme="minorHAnsi" w:cstheme="minorHAnsi"/>
          <w:b/>
          <w:i/>
        </w:rPr>
        <w:t>This restriction may be subject to further review. Should there be any changes made to the restriction the Sponsor will be informed.</w:t>
      </w:r>
    </w:p>
    <w:p w14:paraId="66205230" w14:textId="3D15FE00" w:rsidR="00902DC8" w:rsidRDefault="00902DC8" w:rsidP="00A970D9">
      <w:pPr>
        <w:rPr>
          <w:rFonts w:asciiTheme="minorHAnsi" w:hAnsiTheme="minorHAnsi" w:cstheme="minorHAnsi"/>
          <w:snapToGrid w:val="0"/>
          <w:color w:val="365F91" w:themeColor="accent1" w:themeShade="BF"/>
          <w:lang w:eastAsia="en-US"/>
        </w:rPr>
      </w:pPr>
    </w:p>
    <w:p w14:paraId="2C7A38BF" w14:textId="5EC66A19" w:rsidR="00885D60" w:rsidRPr="00982959" w:rsidRDefault="00885D60" w:rsidP="00982959">
      <w:pPr>
        <w:pStyle w:val="2-SectionHeading"/>
      </w:pPr>
      <w:r w:rsidRPr="00C07617">
        <w:t>Context for Decision</w:t>
      </w:r>
    </w:p>
    <w:p w14:paraId="67DFCD54" w14:textId="77777777" w:rsidR="00885D60" w:rsidRPr="007129F2" w:rsidRDefault="00885D60" w:rsidP="00982959">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FD4F678" w14:textId="26957679" w:rsidR="00885D60" w:rsidRPr="00982959" w:rsidRDefault="00885D60" w:rsidP="00982959">
      <w:pPr>
        <w:pStyle w:val="2-SectionHeading"/>
        <w:rPr>
          <w:b w:val="0"/>
        </w:rPr>
      </w:pPr>
      <w:r>
        <w:t>Sponsor’s Comment</w:t>
      </w:r>
    </w:p>
    <w:p w14:paraId="6EEA68A6" w14:textId="6FF79E5F" w:rsidR="00F40DE2" w:rsidRPr="00982959" w:rsidRDefault="00885D60" w:rsidP="00982959">
      <w:pPr>
        <w:spacing w:after="120"/>
        <w:ind w:left="426" w:firstLine="294"/>
        <w:rPr>
          <w:rFonts w:cs="Arial"/>
          <w:bCs/>
        </w:rPr>
      </w:pPr>
      <w:r w:rsidRPr="00C07617">
        <w:rPr>
          <w:rFonts w:cs="Arial"/>
          <w:bCs/>
        </w:rPr>
        <w:t>The sponsor had no comment.</w:t>
      </w:r>
      <w:bookmarkEnd w:id="34"/>
    </w:p>
    <w:sectPr w:rsidR="00F40DE2" w:rsidRPr="00982959" w:rsidSect="00C27B58">
      <w:headerReference w:type="even" r:id="rId10"/>
      <w:headerReference w:type="default" r:id="rId11"/>
      <w:footerReference w:type="even" r:id="rId12"/>
      <w:footerReference w:type="defaul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403A" w14:textId="77777777" w:rsidR="00F2691F" w:rsidRDefault="00F2691F">
      <w:r>
        <w:separator/>
      </w:r>
    </w:p>
    <w:p w14:paraId="027AC18C" w14:textId="77777777" w:rsidR="00F2691F" w:rsidRDefault="00F2691F"/>
  </w:endnote>
  <w:endnote w:type="continuationSeparator" w:id="0">
    <w:p w14:paraId="08812E7D" w14:textId="77777777" w:rsidR="00F2691F" w:rsidRDefault="00F2691F">
      <w:r>
        <w:continuationSeparator/>
      </w:r>
    </w:p>
    <w:p w14:paraId="5EE127CE" w14:textId="77777777" w:rsidR="00F2691F" w:rsidRDefault="00F2691F"/>
  </w:endnote>
  <w:endnote w:type="continuationNotice" w:id="1">
    <w:p w14:paraId="4DED3BD7" w14:textId="77777777" w:rsidR="00F2691F" w:rsidRDefault="00F26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B81FBD" w14:paraId="4075D3FE" w14:textId="77777777" w:rsidTr="005A3173">
      <w:trPr>
        <w:trHeight w:val="151"/>
      </w:trPr>
      <w:tc>
        <w:tcPr>
          <w:tcW w:w="2250" w:type="pct"/>
          <w:tcBorders>
            <w:top w:val="nil"/>
            <w:left w:val="nil"/>
            <w:bottom w:val="single" w:sz="4" w:space="0" w:color="4F81BD"/>
            <w:right w:val="nil"/>
          </w:tcBorders>
        </w:tcPr>
        <w:p w14:paraId="096D0DDE" w14:textId="77777777" w:rsidR="00B81FBD" w:rsidRPr="005A3173" w:rsidRDefault="00B81FBD"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B81FBD" w:rsidRPr="005A3173" w:rsidRDefault="00B81F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B81FBD" w:rsidRPr="005A3173" w:rsidRDefault="00B81FBD" w:rsidP="005A3173">
          <w:pPr>
            <w:pStyle w:val="Header"/>
            <w:spacing w:line="276" w:lineRule="auto"/>
            <w:rPr>
              <w:rFonts w:eastAsia="MS Gothic"/>
              <w:b/>
              <w:bCs/>
              <w:color w:val="4F81BD"/>
            </w:rPr>
          </w:pPr>
        </w:p>
      </w:tc>
    </w:tr>
    <w:tr w:rsidR="00B81FBD" w14:paraId="32EF4DB8" w14:textId="77777777" w:rsidTr="005A3173">
      <w:trPr>
        <w:trHeight w:val="150"/>
      </w:trPr>
      <w:tc>
        <w:tcPr>
          <w:tcW w:w="2250" w:type="pct"/>
          <w:tcBorders>
            <w:top w:val="single" w:sz="4" w:space="0" w:color="4F81BD"/>
            <w:left w:val="nil"/>
            <w:bottom w:val="nil"/>
            <w:right w:val="nil"/>
          </w:tcBorders>
        </w:tcPr>
        <w:p w14:paraId="03528A4C" w14:textId="77777777" w:rsidR="00B81FBD" w:rsidRPr="005A3173" w:rsidRDefault="00B81FBD" w:rsidP="005A3173">
          <w:pPr>
            <w:pStyle w:val="Header"/>
            <w:spacing w:line="276" w:lineRule="auto"/>
            <w:rPr>
              <w:rFonts w:eastAsia="MS Gothic"/>
              <w:b/>
              <w:bCs/>
              <w:color w:val="4F81BD"/>
            </w:rPr>
          </w:pPr>
        </w:p>
      </w:tc>
      <w:tc>
        <w:tcPr>
          <w:tcW w:w="0" w:type="auto"/>
          <w:vMerge/>
          <w:vAlign w:val="center"/>
          <w:hideMark/>
        </w:tcPr>
        <w:p w14:paraId="109042FB" w14:textId="77777777" w:rsidR="00B81FBD" w:rsidRPr="005A3173" w:rsidRDefault="00B81FBD" w:rsidP="005A3173">
          <w:pPr>
            <w:rPr>
              <w:color w:val="365F91"/>
              <w:sz w:val="22"/>
              <w:szCs w:val="22"/>
            </w:rPr>
          </w:pPr>
        </w:p>
      </w:tc>
      <w:tc>
        <w:tcPr>
          <w:tcW w:w="2250" w:type="pct"/>
          <w:tcBorders>
            <w:top w:val="single" w:sz="4" w:space="0" w:color="4F81BD"/>
            <w:left w:val="nil"/>
            <w:bottom w:val="nil"/>
            <w:right w:val="nil"/>
          </w:tcBorders>
        </w:tcPr>
        <w:p w14:paraId="09664199" w14:textId="77777777" w:rsidR="00B81FBD" w:rsidRPr="005A3173" w:rsidRDefault="00B81FBD" w:rsidP="005A3173">
          <w:pPr>
            <w:pStyle w:val="Header"/>
            <w:spacing w:line="276" w:lineRule="auto"/>
            <w:rPr>
              <w:rFonts w:eastAsia="MS Gothic"/>
              <w:b/>
              <w:bCs/>
              <w:color w:val="4F81BD"/>
            </w:rPr>
          </w:pPr>
        </w:p>
      </w:tc>
    </w:tr>
  </w:tbl>
  <w:p w14:paraId="21855C18" w14:textId="77777777" w:rsidR="00B81FBD" w:rsidRDefault="00B81FB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B81FBD" w:rsidRDefault="00B81FBD">
    <w:pPr>
      <w:pStyle w:val="Footer"/>
    </w:pPr>
  </w:p>
  <w:p w14:paraId="48FFA445" w14:textId="77777777" w:rsidR="00B81FBD" w:rsidRDefault="00B81F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0C56" w14:textId="77777777" w:rsidR="00B81FBD" w:rsidRPr="00D429EC" w:rsidRDefault="00B81FBD" w:rsidP="00E27234">
    <w:pPr>
      <w:pStyle w:val="PBACFooter"/>
      <w:rPr>
        <w:rFonts w:asciiTheme="minorHAnsi" w:hAnsiTheme="minorHAnsi" w:cstheme="minorHAnsi"/>
        <w:sz w:val="24"/>
      </w:rPr>
    </w:pPr>
  </w:p>
  <w:p w14:paraId="761B7624" w14:textId="54E41929" w:rsidR="00602321" w:rsidRPr="0037015C" w:rsidRDefault="00602321" w:rsidP="00602321">
    <w:pPr>
      <w:pStyle w:val="Footer"/>
      <w:jc w:val="center"/>
      <w:rPr>
        <w:b/>
        <w:caps/>
        <w:noProof/>
      </w:rPr>
    </w:pPr>
    <w:r w:rsidRPr="0037015C">
      <w:rPr>
        <w:b/>
        <w:caps/>
      </w:rPr>
      <w:fldChar w:fldCharType="begin"/>
    </w:r>
    <w:r w:rsidRPr="0037015C">
      <w:rPr>
        <w:b/>
        <w:caps/>
      </w:rPr>
      <w:instrText xml:space="preserve"> PAGE   \* MERGEFORMAT </w:instrText>
    </w:r>
    <w:r w:rsidRPr="0037015C">
      <w:rPr>
        <w:b/>
        <w:caps/>
      </w:rPr>
      <w:fldChar w:fldCharType="separate"/>
    </w:r>
    <w:r w:rsidR="00B467EF">
      <w:rPr>
        <w:b/>
        <w:caps/>
        <w:noProof/>
      </w:rPr>
      <w:t>6</w:t>
    </w:r>
    <w:r w:rsidRPr="0037015C">
      <w:rPr>
        <w:b/>
        <w:caps/>
        <w:noProof/>
      </w:rPr>
      <w:fldChar w:fldCharType="end"/>
    </w:r>
  </w:p>
  <w:p w14:paraId="355827FE" w14:textId="6B354816" w:rsidR="00B81FBD" w:rsidRPr="00D429EC" w:rsidRDefault="00B81FBD" w:rsidP="00602321">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B81FBD" w14:paraId="1B1A9BFB" w14:textId="77777777" w:rsidTr="005A3173">
      <w:trPr>
        <w:trHeight w:val="151"/>
      </w:trPr>
      <w:tc>
        <w:tcPr>
          <w:tcW w:w="2250" w:type="pct"/>
          <w:tcBorders>
            <w:top w:val="nil"/>
            <w:left w:val="nil"/>
            <w:bottom w:val="single" w:sz="4" w:space="0" w:color="4F81BD"/>
            <w:right w:val="nil"/>
          </w:tcBorders>
        </w:tcPr>
        <w:p w14:paraId="1AEC0F9B" w14:textId="77777777" w:rsidR="00B81FBD" w:rsidRPr="005A3173" w:rsidRDefault="00B81FBD"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B81FBD" w:rsidRPr="005A3173" w:rsidRDefault="00B81F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B81FBD" w:rsidRPr="005A3173" w:rsidRDefault="00B81FBD" w:rsidP="005A3173">
          <w:pPr>
            <w:pStyle w:val="Header"/>
            <w:spacing w:line="276" w:lineRule="auto"/>
            <w:rPr>
              <w:rFonts w:eastAsia="MS Gothic"/>
              <w:b/>
              <w:bCs/>
              <w:color w:val="4F81BD"/>
            </w:rPr>
          </w:pPr>
        </w:p>
      </w:tc>
    </w:tr>
    <w:tr w:rsidR="00B81FBD" w14:paraId="0A17FD7B" w14:textId="77777777" w:rsidTr="005A3173">
      <w:trPr>
        <w:trHeight w:val="150"/>
      </w:trPr>
      <w:tc>
        <w:tcPr>
          <w:tcW w:w="2250" w:type="pct"/>
          <w:tcBorders>
            <w:top w:val="single" w:sz="4" w:space="0" w:color="4F81BD"/>
            <w:left w:val="nil"/>
            <w:bottom w:val="nil"/>
            <w:right w:val="nil"/>
          </w:tcBorders>
        </w:tcPr>
        <w:p w14:paraId="66DEA9D9" w14:textId="77777777" w:rsidR="00B81FBD" w:rsidRPr="005A3173" w:rsidRDefault="00B81FBD" w:rsidP="005A3173">
          <w:pPr>
            <w:pStyle w:val="Header"/>
            <w:spacing w:line="276" w:lineRule="auto"/>
            <w:rPr>
              <w:rFonts w:eastAsia="MS Gothic"/>
              <w:b/>
              <w:bCs/>
              <w:color w:val="4F81BD"/>
            </w:rPr>
          </w:pPr>
        </w:p>
      </w:tc>
      <w:tc>
        <w:tcPr>
          <w:tcW w:w="0" w:type="auto"/>
          <w:vMerge/>
          <w:vAlign w:val="center"/>
          <w:hideMark/>
        </w:tcPr>
        <w:p w14:paraId="0726D67B" w14:textId="77777777" w:rsidR="00B81FBD" w:rsidRPr="005A3173" w:rsidRDefault="00B81FBD" w:rsidP="005A3173">
          <w:pPr>
            <w:rPr>
              <w:color w:val="365F91"/>
              <w:sz w:val="22"/>
              <w:szCs w:val="22"/>
            </w:rPr>
          </w:pPr>
        </w:p>
      </w:tc>
      <w:tc>
        <w:tcPr>
          <w:tcW w:w="2250" w:type="pct"/>
          <w:tcBorders>
            <w:top w:val="single" w:sz="4" w:space="0" w:color="4F81BD"/>
            <w:left w:val="nil"/>
            <w:bottom w:val="nil"/>
            <w:right w:val="nil"/>
          </w:tcBorders>
        </w:tcPr>
        <w:p w14:paraId="77FEEEB1" w14:textId="77777777" w:rsidR="00B81FBD" w:rsidRPr="005A3173" w:rsidRDefault="00B81FBD"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B81FBD" w14:paraId="434C4AE3" w14:textId="77777777" w:rsidTr="005A3173">
      <w:trPr>
        <w:trHeight w:val="151"/>
      </w:trPr>
      <w:tc>
        <w:tcPr>
          <w:tcW w:w="2250" w:type="pct"/>
          <w:tcBorders>
            <w:top w:val="nil"/>
            <w:left w:val="nil"/>
            <w:bottom w:val="single" w:sz="4" w:space="0" w:color="4F81BD"/>
            <w:right w:val="nil"/>
          </w:tcBorders>
        </w:tcPr>
        <w:p w14:paraId="556410DA" w14:textId="77777777" w:rsidR="00B81FBD" w:rsidRPr="005A3173" w:rsidRDefault="00B81FBD"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B81FBD" w:rsidRPr="005A3173" w:rsidRDefault="00B81F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B81FBD" w:rsidRPr="005A3173" w:rsidRDefault="00B81FBD" w:rsidP="005A3173">
          <w:pPr>
            <w:pStyle w:val="Header"/>
            <w:spacing w:line="276" w:lineRule="auto"/>
            <w:rPr>
              <w:rFonts w:eastAsia="MS Gothic"/>
              <w:b/>
              <w:bCs/>
              <w:color w:val="4F81BD"/>
            </w:rPr>
          </w:pPr>
        </w:p>
      </w:tc>
    </w:tr>
    <w:tr w:rsidR="00B81FBD" w14:paraId="2F5EEC4C" w14:textId="77777777" w:rsidTr="005A3173">
      <w:trPr>
        <w:trHeight w:val="150"/>
      </w:trPr>
      <w:tc>
        <w:tcPr>
          <w:tcW w:w="2250" w:type="pct"/>
          <w:tcBorders>
            <w:top w:val="single" w:sz="4" w:space="0" w:color="4F81BD"/>
            <w:left w:val="nil"/>
            <w:bottom w:val="nil"/>
            <w:right w:val="nil"/>
          </w:tcBorders>
        </w:tcPr>
        <w:p w14:paraId="60E1BA15" w14:textId="77777777" w:rsidR="00B81FBD" w:rsidRPr="005A3173" w:rsidRDefault="00B81FBD" w:rsidP="005A3173">
          <w:pPr>
            <w:pStyle w:val="Header"/>
            <w:spacing w:line="276" w:lineRule="auto"/>
            <w:rPr>
              <w:rFonts w:eastAsia="MS Gothic"/>
              <w:b/>
              <w:bCs/>
              <w:color w:val="4F81BD"/>
            </w:rPr>
          </w:pPr>
        </w:p>
      </w:tc>
      <w:tc>
        <w:tcPr>
          <w:tcW w:w="0" w:type="auto"/>
          <w:vMerge/>
          <w:vAlign w:val="center"/>
          <w:hideMark/>
        </w:tcPr>
        <w:p w14:paraId="4EACACBE" w14:textId="77777777" w:rsidR="00B81FBD" w:rsidRPr="005A3173" w:rsidRDefault="00B81FBD" w:rsidP="005A3173">
          <w:pPr>
            <w:rPr>
              <w:color w:val="365F91"/>
              <w:sz w:val="22"/>
              <w:szCs w:val="22"/>
            </w:rPr>
          </w:pPr>
        </w:p>
      </w:tc>
      <w:tc>
        <w:tcPr>
          <w:tcW w:w="2250" w:type="pct"/>
          <w:tcBorders>
            <w:top w:val="single" w:sz="4" w:space="0" w:color="4F81BD"/>
            <w:left w:val="nil"/>
            <w:bottom w:val="nil"/>
            <w:right w:val="nil"/>
          </w:tcBorders>
        </w:tcPr>
        <w:p w14:paraId="516BCB31" w14:textId="77777777" w:rsidR="00B81FBD" w:rsidRPr="005A3173" w:rsidRDefault="00B81FBD" w:rsidP="005A3173">
          <w:pPr>
            <w:pStyle w:val="Header"/>
            <w:spacing w:line="276" w:lineRule="auto"/>
            <w:rPr>
              <w:rFonts w:eastAsia="MS Gothic"/>
              <w:b/>
              <w:bCs/>
              <w:color w:val="4F81BD"/>
            </w:rPr>
          </w:pPr>
        </w:p>
      </w:tc>
    </w:tr>
  </w:tbl>
  <w:p w14:paraId="679BDCC0" w14:textId="0714DEE2" w:rsidR="00B81FBD" w:rsidRPr="007C0F57" w:rsidRDefault="00B81FB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CB2C83">
      <w:rPr>
        <w:rStyle w:val="PageNumber"/>
        <w:noProof/>
      </w:rPr>
      <w:t>1</w:t>
    </w:r>
    <w:r>
      <w:rPr>
        <w:rStyle w:val="PageNumber"/>
      </w:rPr>
      <w:fldChar w:fldCharType="end"/>
    </w:r>
    <w:r w:rsidRPr="007C0F57">
      <w:rPr>
        <w:b/>
        <w:i/>
        <w:sz w:val="20"/>
        <w:szCs w:val="20"/>
      </w:rPr>
      <w:t>BAC Meeting</w:t>
    </w:r>
  </w:p>
  <w:p w14:paraId="617093FB" w14:textId="77777777" w:rsidR="00B81FBD" w:rsidRPr="007C0F57" w:rsidRDefault="00B81FBD" w:rsidP="007C0F57">
    <w:pPr>
      <w:pStyle w:val="Footer"/>
      <w:jc w:val="center"/>
      <w:rPr>
        <w:b/>
        <w:i/>
        <w:sz w:val="20"/>
        <w:szCs w:val="20"/>
      </w:rPr>
    </w:pPr>
    <w:r w:rsidRPr="007C0F57">
      <w:rPr>
        <w:b/>
        <w:i/>
        <w:sz w:val="20"/>
        <w:szCs w:val="20"/>
      </w:rPr>
      <w:t>Commercial-in-Confidence</w:t>
    </w:r>
  </w:p>
  <w:p w14:paraId="36E9E30B" w14:textId="77777777" w:rsidR="00B81FBD" w:rsidRDefault="00B81F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90B77" w14:textId="77777777" w:rsidR="00F2691F" w:rsidRDefault="00F2691F">
      <w:r>
        <w:separator/>
      </w:r>
    </w:p>
    <w:p w14:paraId="06E98D68" w14:textId="77777777" w:rsidR="00F2691F" w:rsidRDefault="00F2691F"/>
  </w:footnote>
  <w:footnote w:type="continuationSeparator" w:id="0">
    <w:p w14:paraId="32532AAE" w14:textId="77777777" w:rsidR="00F2691F" w:rsidRDefault="00F2691F">
      <w:r>
        <w:continuationSeparator/>
      </w:r>
    </w:p>
    <w:p w14:paraId="3B99198C" w14:textId="77777777" w:rsidR="00F2691F" w:rsidRDefault="00F2691F"/>
  </w:footnote>
  <w:footnote w:type="continuationNotice" w:id="1">
    <w:p w14:paraId="73996075" w14:textId="77777777" w:rsidR="00F2691F" w:rsidRDefault="00F269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B81FBD"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B81FBD" w:rsidRPr="00A06225" w:rsidRDefault="00B81FBD">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B81FBD" w:rsidRPr="00A06225" w:rsidRDefault="00B81FB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B81FBD" w:rsidRPr="00A06225" w:rsidRDefault="00B81FBD">
          <w:pPr>
            <w:pStyle w:val="Header"/>
            <w:spacing w:line="276" w:lineRule="auto"/>
            <w:rPr>
              <w:rFonts w:ascii="Cambria" w:eastAsia="MS Gothic" w:hAnsi="Cambria"/>
              <w:b/>
              <w:bCs/>
              <w:color w:val="4F81BD"/>
            </w:rPr>
          </w:pPr>
        </w:p>
      </w:tc>
    </w:tr>
    <w:tr w:rsidR="00B81FBD"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B81FBD" w:rsidRPr="00A06225" w:rsidRDefault="00B81FBD">
          <w:pPr>
            <w:pStyle w:val="Header"/>
            <w:spacing w:line="276" w:lineRule="auto"/>
            <w:rPr>
              <w:rFonts w:ascii="Cambria" w:eastAsia="MS Gothic" w:hAnsi="Cambria"/>
              <w:b/>
              <w:bCs/>
              <w:color w:val="4F81BD"/>
            </w:rPr>
          </w:pPr>
        </w:p>
      </w:tc>
      <w:tc>
        <w:tcPr>
          <w:tcW w:w="0" w:type="auto"/>
          <w:vMerge/>
          <w:vAlign w:val="center"/>
          <w:hideMark/>
        </w:tcPr>
        <w:p w14:paraId="00B70FF1" w14:textId="77777777" w:rsidR="00B81FBD" w:rsidRPr="00A06225" w:rsidRDefault="00B81FBD">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B81FBD" w:rsidRPr="00A06225" w:rsidRDefault="00B81FBD">
          <w:pPr>
            <w:pStyle w:val="Header"/>
            <w:spacing w:line="276" w:lineRule="auto"/>
            <w:rPr>
              <w:rFonts w:ascii="Cambria" w:eastAsia="MS Gothic" w:hAnsi="Cambria"/>
              <w:b/>
              <w:bCs/>
              <w:color w:val="4F81BD"/>
            </w:rPr>
          </w:pPr>
        </w:p>
      </w:tc>
    </w:tr>
  </w:tbl>
  <w:p w14:paraId="7DCC695F" w14:textId="77777777" w:rsidR="00B81FBD" w:rsidRDefault="00B81FBD">
    <w:pPr>
      <w:pStyle w:val="Header"/>
    </w:pPr>
  </w:p>
  <w:p w14:paraId="25F34A60" w14:textId="77777777" w:rsidR="00B81FBD" w:rsidRDefault="00B81FB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9A36" w14:textId="32043B10" w:rsidR="00602321" w:rsidRPr="00143C6B" w:rsidRDefault="00885D60" w:rsidP="00602321">
    <w:pPr>
      <w:pStyle w:val="MinorOVRHeader"/>
      <w:jc w:val="center"/>
      <w:rPr>
        <w:rFonts w:cstheme="minorHAnsi"/>
        <w:i/>
        <w:noProof/>
      </w:rPr>
    </w:pPr>
    <w:r w:rsidRPr="00F73A0B">
      <w:rPr>
        <w:i/>
      </w:rPr>
      <w:t xml:space="preserve">Public Summary Document </w:t>
    </w:r>
    <w:r w:rsidR="00602321" w:rsidRPr="00143C6B">
      <w:rPr>
        <w:rFonts w:cstheme="minorHAnsi"/>
        <w:i/>
      </w:rPr>
      <w:t xml:space="preserve">– </w:t>
    </w:r>
    <w:r w:rsidR="00602321">
      <w:rPr>
        <w:rFonts w:cstheme="minorHAnsi"/>
        <w:i/>
      </w:rPr>
      <w:t>November</w:t>
    </w:r>
    <w:r w:rsidR="00602321" w:rsidRPr="00143C6B">
      <w:rPr>
        <w:rFonts w:cstheme="minorHAnsi"/>
        <w:i/>
      </w:rPr>
      <w:t xml:space="preserve"> 2021 PBAC Meeting</w:t>
    </w:r>
    <w:r w:rsidR="00602321" w:rsidRPr="00143C6B">
      <w:rPr>
        <w:rFonts w:cstheme="minorHAnsi"/>
        <w:i/>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CE720D0"/>
    <w:multiLevelType w:val="multilevel"/>
    <w:tmpl w:val="AC721568"/>
    <w:lvl w:ilvl="0">
      <w:start w:val="1"/>
      <w:numFmt w:val="bullet"/>
      <w:lvlText w:val=""/>
      <w:lvlJc w:val="left"/>
      <w:pPr>
        <w:ind w:left="1440" w:hanging="720"/>
      </w:pPr>
      <w:rPr>
        <w:rFonts w:ascii="Symbol" w:hAnsi="Symbol" w:hint="default"/>
        <w:b/>
      </w:rPr>
    </w:lvl>
    <w:lvl w:ilvl="1">
      <w:start w:val="1"/>
      <w:numFmt w:val="bullet"/>
      <w:lvlText w:val=""/>
      <w:lvlJc w:val="left"/>
      <w:pPr>
        <w:ind w:left="7382" w:hanging="720"/>
      </w:pPr>
      <w:rPr>
        <w:rFonts w:ascii="Symbol" w:hAnsi="Symbol" w:hint="default"/>
        <w:i w:val="0"/>
      </w:rPr>
    </w:lvl>
    <w:lvl w:ilvl="2">
      <w:start w:val="1"/>
      <w:numFmt w:val="bullet"/>
      <w:lvlText w:val="o"/>
      <w:lvlJc w:val="left"/>
      <w:pPr>
        <w:ind w:left="1440" w:hanging="720"/>
      </w:pPr>
      <w:rPr>
        <w:rFonts w:ascii="Courier New" w:hAnsi="Courier New" w:cs="Times New Roman" w:hint="default"/>
      </w:r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4"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B16EB3"/>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7"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6244933"/>
    <w:multiLevelType w:val="hybridMultilevel"/>
    <w:tmpl w:val="76E82890"/>
    <w:lvl w:ilvl="0" w:tplc="951600EC">
      <w:start w:val="1"/>
      <w:numFmt w:val="upperLetter"/>
      <w:lvlText w:val="%1."/>
      <w:lvlJc w:val="left"/>
      <w:pPr>
        <w:ind w:left="360" w:hanging="360"/>
      </w:pPr>
      <w:rPr>
        <w:i w:val="0"/>
        <w:iCs w:val="0"/>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0" w15:restartNumberingAfterBreak="0">
    <w:nsid w:val="4B8C7BA7"/>
    <w:multiLevelType w:val="hybridMultilevel"/>
    <w:tmpl w:val="D5F0DC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761F0A"/>
    <w:multiLevelType w:val="multilevel"/>
    <w:tmpl w:val="E59C4B9A"/>
    <w:lvl w:ilvl="0">
      <w:start w:val="1"/>
      <w:numFmt w:val="bullet"/>
      <w:lvlText w:val=""/>
      <w:lvlJc w:val="left"/>
      <w:pPr>
        <w:ind w:left="1167" w:hanging="720"/>
      </w:pPr>
      <w:rPr>
        <w:rFonts w:ascii="Symbol" w:hAnsi="Symbol" w:hint="default"/>
        <w:b/>
        <w:color w:val="auto"/>
      </w:rPr>
    </w:lvl>
    <w:lvl w:ilvl="1">
      <w:start w:val="1"/>
      <w:numFmt w:val="bullet"/>
      <w:lvlText w:val=""/>
      <w:lvlJc w:val="left"/>
      <w:pPr>
        <w:ind w:left="5846" w:hanging="720"/>
      </w:pPr>
      <w:rPr>
        <w:rFonts w:ascii="Symbol" w:hAnsi="Symbol" w:hint="default"/>
        <w:b w:val="0"/>
        <w:i w:val="0"/>
        <w:color w:val="auto"/>
        <w:sz w:val="24"/>
        <w:szCs w:val="24"/>
      </w:rPr>
    </w:lvl>
    <w:lvl w:ilvl="2">
      <w:start w:val="1"/>
      <w:numFmt w:val="decimal"/>
      <w:lvlText w:val="%1.%2.%3"/>
      <w:lvlJc w:val="left"/>
      <w:pPr>
        <w:ind w:left="1167" w:hanging="720"/>
      </w:pPr>
    </w:lvl>
    <w:lvl w:ilvl="3">
      <w:start w:val="1"/>
      <w:numFmt w:val="decimal"/>
      <w:lvlText w:val="%1.%2.%3.%4"/>
      <w:lvlJc w:val="left"/>
      <w:pPr>
        <w:ind w:left="1527" w:hanging="1080"/>
      </w:pPr>
    </w:lvl>
    <w:lvl w:ilvl="4">
      <w:start w:val="1"/>
      <w:numFmt w:val="decimal"/>
      <w:lvlText w:val="%1.%2.%3.%4.%5"/>
      <w:lvlJc w:val="left"/>
      <w:pPr>
        <w:ind w:left="1527" w:hanging="1080"/>
      </w:pPr>
    </w:lvl>
    <w:lvl w:ilvl="5">
      <w:start w:val="1"/>
      <w:numFmt w:val="decimal"/>
      <w:lvlText w:val="%1.%2.%3.%4.%5.%6"/>
      <w:lvlJc w:val="left"/>
      <w:pPr>
        <w:ind w:left="1887" w:hanging="1440"/>
      </w:pPr>
    </w:lvl>
    <w:lvl w:ilvl="6">
      <w:start w:val="1"/>
      <w:numFmt w:val="decimal"/>
      <w:lvlText w:val="%1.%2.%3.%4.%5.%6.%7"/>
      <w:lvlJc w:val="left"/>
      <w:pPr>
        <w:ind w:left="1887" w:hanging="1440"/>
      </w:pPr>
    </w:lvl>
    <w:lvl w:ilvl="7">
      <w:start w:val="1"/>
      <w:numFmt w:val="decimal"/>
      <w:lvlText w:val="%1.%2.%3.%4.%5.%6.%7.%8"/>
      <w:lvlJc w:val="left"/>
      <w:pPr>
        <w:ind w:left="2247" w:hanging="1800"/>
      </w:pPr>
    </w:lvl>
    <w:lvl w:ilvl="8">
      <w:start w:val="1"/>
      <w:numFmt w:val="decimal"/>
      <w:lvlText w:val="%1.%2.%3.%4.%5.%6.%7.%8.%9"/>
      <w:lvlJc w:val="left"/>
      <w:pPr>
        <w:ind w:left="2247" w:hanging="1800"/>
      </w:pPr>
    </w:lvl>
  </w:abstractNum>
  <w:abstractNum w:abstractNumId="13" w15:restartNumberingAfterBreak="0">
    <w:nsid w:val="52E90805"/>
    <w:multiLevelType w:val="hybridMultilevel"/>
    <w:tmpl w:val="6ED422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0821356"/>
    <w:multiLevelType w:val="multilevel"/>
    <w:tmpl w:val="F68AA7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B37CEB"/>
    <w:multiLevelType w:val="hybridMultilevel"/>
    <w:tmpl w:val="2D267038"/>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680C09"/>
    <w:multiLevelType w:val="hybridMultilevel"/>
    <w:tmpl w:val="B5145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C96177"/>
    <w:multiLevelType w:val="hybridMultilevel"/>
    <w:tmpl w:val="A61863CA"/>
    <w:lvl w:ilvl="0" w:tplc="0C090019">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24"/>
  </w:num>
  <w:num w:numId="3">
    <w:abstractNumId w:val="0"/>
  </w:num>
  <w:num w:numId="4">
    <w:abstractNumId w:val="15"/>
  </w:num>
  <w:num w:numId="5">
    <w:abstractNumId w:val="26"/>
  </w:num>
  <w:num w:numId="6">
    <w:abstractNumId w:val="23"/>
  </w:num>
  <w:num w:numId="7">
    <w:abstractNumId w:val="11"/>
  </w:num>
  <w:num w:numId="8">
    <w:abstractNumId w:val="9"/>
  </w:num>
  <w:num w:numId="9">
    <w:abstractNumId w:val="1"/>
  </w:num>
  <w:num w:numId="10">
    <w:abstractNumId w:val="24"/>
  </w:num>
  <w:num w:numId="11">
    <w:abstractNumId w:val="22"/>
  </w:num>
  <w:num w:numId="12">
    <w:abstractNumId w:val="7"/>
  </w:num>
  <w:num w:numId="13">
    <w:abstractNumId w:val="17"/>
  </w:num>
  <w:num w:numId="14">
    <w:abstractNumId w:val="6"/>
  </w:num>
  <w:num w:numId="15">
    <w:abstractNumId w:val="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4"/>
  </w:num>
  <w:num w:numId="19">
    <w:abstractNumId w:val="5"/>
  </w:num>
  <w:num w:numId="20">
    <w:abstractNumId w:val="4"/>
  </w:num>
  <w:num w:numId="21">
    <w:abstractNumId w:val="1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19"/>
  </w:num>
  <w:num w:numId="30">
    <w:abstractNumId w:val="18"/>
  </w:num>
  <w:num w:numId="31">
    <w:abstractNumId w:val="20"/>
  </w:num>
  <w:num w:numId="32">
    <w:abstractNumId w:val="24"/>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0FC1"/>
    <w:rsid w:val="00001663"/>
    <w:rsid w:val="000025AD"/>
    <w:rsid w:val="0000335D"/>
    <w:rsid w:val="00006782"/>
    <w:rsid w:val="00011A59"/>
    <w:rsid w:val="00014D69"/>
    <w:rsid w:val="00016A41"/>
    <w:rsid w:val="00017BD5"/>
    <w:rsid w:val="000214D1"/>
    <w:rsid w:val="000240EB"/>
    <w:rsid w:val="0002464A"/>
    <w:rsid w:val="00025A04"/>
    <w:rsid w:val="0002693D"/>
    <w:rsid w:val="0003050E"/>
    <w:rsid w:val="0003106B"/>
    <w:rsid w:val="00034905"/>
    <w:rsid w:val="000421A1"/>
    <w:rsid w:val="0004240E"/>
    <w:rsid w:val="000441E8"/>
    <w:rsid w:val="00044EC4"/>
    <w:rsid w:val="00045E26"/>
    <w:rsid w:val="000514B5"/>
    <w:rsid w:val="000521B1"/>
    <w:rsid w:val="0005322E"/>
    <w:rsid w:val="00054060"/>
    <w:rsid w:val="00054E2B"/>
    <w:rsid w:val="00055676"/>
    <w:rsid w:val="000564CF"/>
    <w:rsid w:val="00060E64"/>
    <w:rsid w:val="00061868"/>
    <w:rsid w:val="00062E88"/>
    <w:rsid w:val="00066193"/>
    <w:rsid w:val="00066755"/>
    <w:rsid w:val="00071A5B"/>
    <w:rsid w:val="00072730"/>
    <w:rsid w:val="0007337F"/>
    <w:rsid w:val="00073FC9"/>
    <w:rsid w:val="00074320"/>
    <w:rsid w:val="000763D5"/>
    <w:rsid w:val="00076C38"/>
    <w:rsid w:val="00077143"/>
    <w:rsid w:val="00077DF7"/>
    <w:rsid w:val="0008050C"/>
    <w:rsid w:val="00082169"/>
    <w:rsid w:val="000834BE"/>
    <w:rsid w:val="00083F01"/>
    <w:rsid w:val="00087C4C"/>
    <w:rsid w:val="000918CB"/>
    <w:rsid w:val="00091B06"/>
    <w:rsid w:val="00091F17"/>
    <w:rsid w:val="000951C4"/>
    <w:rsid w:val="00095ADA"/>
    <w:rsid w:val="000969AD"/>
    <w:rsid w:val="0009750B"/>
    <w:rsid w:val="000975FB"/>
    <w:rsid w:val="000A02F8"/>
    <w:rsid w:val="000A0E05"/>
    <w:rsid w:val="000A3AA2"/>
    <w:rsid w:val="000A44B2"/>
    <w:rsid w:val="000A52F6"/>
    <w:rsid w:val="000B44C3"/>
    <w:rsid w:val="000B558D"/>
    <w:rsid w:val="000B5A89"/>
    <w:rsid w:val="000B65F6"/>
    <w:rsid w:val="000B7767"/>
    <w:rsid w:val="000C5F95"/>
    <w:rsid w:val="000C6996"/>
    <w:rsid w:val="000C7C46"/>
    <w:rsid w:val="000D09E9"/>
    <w:rsid w:val="000D113F"/>
    <w:rsid w:val="000D23BA"/>
    <w:rsid w:val="000E19B7"/>
    <w:rsid w:val="000E20FC"/>
    <w:rsid w:val="000E3DFB"/>
    <w:rsid w:val="000E5EA1"/>
    <w:rsid w:val="000E681E"/>
    <w:rsid w:val="000E7E52"/>
    <w:rsid w:val="000F0003"/>
    <w:rsid w:val="000F3384"/>
    <w:rsid w:val="000F4E6A"/>
    <w:rsid w:val="000F6D1C"/>
    <w:rsid w:val="000F7354"/>
    <w:rsid w:val="00101ABE"/>
    <w:rsid w:val="00102202"/>
    <w:rsid w:val="00102700"/>
    <w:rsid w:val="00102A78"/>
    <w:rsid w:val="00103118"/>
    <w:rsid w:val="00104227"/>
    <w:rsid w:val="001107BF"/>
    <w:rsid w:val="00113649"/>
    <w:rsid w:val="00113D5C"/>
    <w:rsid w:val="00121B66"/>
    <w:rsid w:val="00122369"/>
    <w:rsid w:val="0012417C"/>
    <w:rsid w:val="00124BF2"/>
    <w:rsid w:val="0012597F"/>
    <w:rsid w:val="0012749D"/>
    <w:rsid w:val="001306A5"/>
    <w:rsid w:val="00130918"/>
    <w:rsid w:val="001311AE"/>
    <w:rsid w:val="00140B74"/>
    <w:rsid w:val="00140D94"/>
    <w:rsid w:val="00142395"/>
    <w:rsid w:val="00142714"/>
    <w:rsid w:val="00144D09"/>
    <w:rsid w:val="001452ED"/>
    <w:rsid w:val="00146B11"/>
    <w:rsid w:val="00147D84"/>
    <w:rsid w:val="001549C1"/>
    <w:rsid w:val="00156C8D"/>
    <w:rsid w:val="00160F4D"/>
    <w:rsid w:val="00162BDD"/>
    <w:rsid w:val="00162D4E"/>
    <w:rsid w:val="00163329"/>
    <w:rsid w:val="00164623"/>
    <w:rsid w:val="001652DE"/>
    <w:rsid w:val="00165B64"/>
    <w:rsid w:val="00165CD7"/>
    <w:rsid w:val="001671ED"/>
    <w:rsid w:val="00167C39"/>
    <w:rsid w:val="00176B9D"/>
    <w:rsid w:val="00180713"/>
    <w:rsid w:val="00180720"/>
    <w:rsid w:val="00181619"/>
    <w:rsid w:val="00181CCB"/>
    <w:rsid w:val="001830CE"/>
    <w:rsid w:val="001836E3"/>
    <w:rsid w:val="0018643B"/>
    <w:rsid w:val="00190D6B"/>
    <w:rsid w:val="00196307"/>
    <w:rsid w:val="00196DB4"/>
    <w:rsid w:val="00197F03"/>
    <w:rsid w:val="001A0D10"/>
    <w:rsid w:val="001A2EC1"/>
    <w:rsid w:val="001A33EA"/>
    <w:rsid w:val="001A4413"/>
    <w:rsid w:val="001A4C4F"/>
    <w:rsid w:val="001A5A2B"/>
    <w:rsid w:val="001A76FB"/>
    <w:rsid w:val="001B017F"/>
    <w:rsid w:val="001B0B79"/>
    <w:rsid w:val="001B2BBC"/>
    <w:rsid w:val="001B2BCD"/>
    <w:rsid w:val="001B3A40"/>
    <w:rsid w:val="001B3FFE"/>
    <w:rsid w:val="001B5129"/>
    <w:rsid w:val="001B5191"/>
    <w:rsid w:val="001C0B4C"/>
    <w:rsid w:val="001C0EC4"/>
    <w:rsid w:val="001C1195"/>
    <w:rsid w:val="001C12AE"/>
    <w:rsid w:val="001C1E84"/>
    <w:rsid w:val="001C2E42"/>
    <w:rsid w:val="001D1F5F"/>
    <w:rsid w:val="001E06D2"/>
    <w:rsid w:val="001E17C4"/>
    <w:rsid w:val="001F005B"/>
    <w:rsid w:val="001F1850"/>
    <w:rsid w:val="001F1FBF"/>
    <w:rsid w:val="001F2B80"/>
    <w:rsid w:val="001F2F1C"/>
    <w:rsid w:val="001F3189"/>
    <w:rsid w:val="00201FB8"/>
    <w:rsid w:val="00203FAC"/>
    <w:rsid w:val="00213CFB"/>
    <w:rsid w:val="0021553C"/>
    <w:rsid w:val="0021557B"/>
    <w:rsid w:val="00215731"/>
    <w:rsid w:val="00216B87"/>
    <w:rsid w:val="002174FD"/>
    <w:rsid w:val="00217BE1"/>
    <w:rsid w:val="002214B9"/>
    <w:rsid w:val="00223370"/>
    <w:rsid w:val="00230F63"/>
    <w:rsid w:val="00234252"/>
    <w:rsid w:val="0023466E"/>
    <w:rsid w:val="00237AC6"/>
    <w:rsid w:val="00244139"/>
    <w:rsid w:val="00244490"/>
    <w:rsid w:val="00245B9C"/>
    <w:rsid w:val="00253499"/>
    <w:rsid w:val="002551A4"/>
    <w:rsid w:val="00257079"/>
    <w:rsid w:val="00257664"/>
    <w:rsid w:val="00260165"/>
    <w:rsid w:val="00261810"/>
    <w:rsid w:val="00264843"/>
    <w:rsid w:val="00265151"/>
    <w:rsid w:val="00265C2C"/>
    <w:rsid w:val="00266509"/>
    <w:rsid w:val="00271BA1"/>
    <w:rsid w:val="00273AC5"/>
    <w:rsid w:val="002762FA"/>
    <w:rsid w:val="00277505"/>
    <w:rsid w:val="0028158C"/>
    <w:rsid w:val="002823B6"/>
    <w:rsid w:val="00284801"/>
    <w:rsid w:val="00290C03"/>
    <w:rsid w:val="00294274"/>
    <w:rsid w:val="0029458F"/>
    <w:rsid w:val="002A018F"/>
    <w:rsid w:val="002A0E04"/>
    <w:rsid w:val="002A104C"/>
    <w:rsid w:val="002A1EF7"/>
    <w:rsid w:val="002A494D"/>
    <w:rsid w:val="002A4960"/>
    <w:rsid w:val="002A636A"/>
    <w:rsid w:val="002A6648"/>
    <w:rsid w:val="002B0AE0"/>
    <w:rsid w:val="002B1AE6"/>
    <w:rsid w:val="002B1D51"/>
    <w:rsid w:val="002B2DE8"/>
    <w:rsid w:val="002B30F8"/>
    <w:rsid w:val="002B388A"/>
    <w:rsid w:val="002B3C1A"/>
    <w:rsid w:val="002B5596"/>
    <w:rsid w:val="002B77D7"/>
    <w:rsid w:val="002C212F"/>
    <w:rsid w:val="002C2F35"/>
    <w:rsid w:val="002C6AA9"/>
    <w:rsid w:val="002C7485"/>
    <w:rsid w:val="002D2641"/>
    <w:rsid w:val="002D283A"/>
    <w:rsid w:val="002D4543"/>
    <w:rsid w:val="002E3153"/>
    <w:rsid w:val="002E4A02"/>
    <w:rsid w:val="002E5292"/>
    <w:rsid w:val="002E72CA"/>
    <w:rsid w:val="002F1D07"/>
    <w:rsid w:val="002F600D"/>
    <w:rsid w:val="002F6F0F"/>
    <w:rsid w:val="002F74DA"/>
    <w:rsid w:val="002F7E47"/>
    <w:rsid w:val="00300AD6"/>
    <w:rsid w:val="00300B1B"/>
    <w:rsid w:val="003019D0"/>
    <w:rsid w:val="003064AF"/>
    <w:rsid w:val="00307DC6"/>
    <w:rsid w:val="00310A8B"/>
    <w:rsid w:val="00310B68"/>
    <w:rsid w:val="003160D2"/>
    <w:rsid w:val="003173FC"/>
    <w:rsid w:val="00317C6C"/>
    <w:rsid w:val="00320657"/>
    <w:rsid w:val="00320B80"/>
    <w:rsid w:val="00320CD3"/>
    <w:rsid w:val="00326E79"/>
    <w:rsid w:val="0032748A"/>
    <w:rsid w:val="003301B1"/>
    <w:rsid w:val="00331189"/>
    <w:rsid w:val="0033263D"/>
    <w:rsid w:val="00334E69"/>
    <w:rsid w:val="0033518A"/>
    <w:rsid w:val="00335535"/>
    <w:rsid w:val="003367EF"/>
    <w:rsid w:val="00341AE4"/>
    <w:rsid w:val="003476EE"/>
    <w:rsid w:val="003541DD"/>
    <w:rsid w:val="00356E5B"/>
    <w:rsid w:val="003736C9"/>
    <w:rsid w:val="003768EC"/>
    <w:rsid w:val="00377DDC"/>
    <w:rsid w:val="00383B77"/>
    <w:rsid w:val="00384988"/>
    <w:rsid w:val="00386A8C"/>
    <w:rsid w:val="003872CF"/>
    <w:rsid w:val="0039782C"/>
    <w:rsid w:val="003A13A6"/>
    <w:rsid w:val="003A2165"/>
    <w:rsid w:val="003A3AF3"/>
    <w:rsid w:val="003A5B4A"/>
    <w:rsid w:val="003A5D95"/>
    <w:rsid w:val="003B0D3A"/>
    <w:rsid w:val="003B2302"/>
    <w:rsid w:val="003B23C5"/>
    <w:rsid w:val="003B2A75"/>
    <w:rsid w:val="003B49B2"/>
    <w:rsid w:val="003B6124"/>
    <w:rsid w:val="003B7960"/>
    <w:rsid w:val="003C0908"/>
    <w:rsid w:val="003C093A"/>
    <w:rsid w:val="003C192D"/>
    <w:rsid w:val="003C1ECF"/>
    <w:rsid w:val="003C2FB5"/>
    <w:rsid w:val="003D24C5"/>
    <w:rsid w:val="003D34B6"/>
    <w:rsid w:val="003D4594"/>
    <w:rsid w:val="003D4AC4"/>
    <w:rsid w:val="003D63B7"/>
    <w:rsid w:val="003D74C5"/>
    <w:rsid w:val="003E4374"/>
    <w:rsid w:val="003E468B"/>
    <w:rsid w:val="003E62BD"/>
    <w:rsid w:val="003F044F"/>
    <w:rsid w:val="003F0C3A"/>
    <w:rsid w:val="003F15F0"/>
    <w:rsid w:val="003F3228"/>
    <w:rsid w:val="003F5C8C"/>
    <w:rsid w:val="003F63CE"/>
    <w:rsid w:val="003F775A"/>
    <w:rsid w:val="00400E55"/>
    <w:rsid w:val="0040128E"/>
    <w:rsid w:val="0040216B"/>
    <w:rsid w:val="0040590E"/>
    <w:rsid w:val="00414F0C"/>
    <w:rsid w:val="00420400"/>
    <w:rsid w:val="004252EC"/>
    <w:rsid w:val="00430D39"/>
    <w:rsid w:val="00431C26"/>
    <w:rsid w:val="0043349A"/>
    <w:rsid w:val="00442C91"/>
    <w:rsid w:val="004465BD"/>
    <w:rsid w:val="00446938"/>
    <w:rsid w:val="004528FA"/>
    <w:rsid w:val="00460E27"/>
    <w:rsid w:val="00461A44"/>
    <w:rsid w:val="00462D26"/>
    <w:rsid w:val="0046385A"/>
    <w:rsid w:val="00464039"/>
    <w:rsid w:val="00466ADA"/>
    <w:rsid w:val="004702BB"/>
    <w:rsid w:val="0047494B"/>
    <w:rsid w:val="00476245"/>
    <w:rsid w:val="00477A9B"/>
    <w:rsid w:val="00483035"/>
    <w:rsid w:val="004840B9"/>
    <w:rsid w:val="00485940"/>
    <w:rsid w:val="0048687A"/>
    <w:rsid w:val="00486C95"/>
    <w:rsid w:val="004877C2"/>
    <w:rsid w:val="004904B9"/>
    <w:rsid w:val="00496164"/>
    <w:rsid w:val="00496662"/>
    <w:rsid w:val="00497846"/>
    <w:rsid w:val="004A1431"/>
    <w:rsid w:val="004A2484"/>
    <w:rsid w:val="004A3F3F"/>
    <w:rsid w:val="004A5A85"/>
    <w:rsid w:val="004A71D1"/>
    <w:rsid w:val="004A7C5B"/>
    <w:rsid w:val="004B0E6B"/>
    <w:rsid w:val="004B1845"/>
    <w:rsid w:val="004B2348"/>
    <w:rsid w:val="004B2AF3"/>
    <w:rsid w:val="004B2E01"/>
    <w:rsid w:val="004B2E98"/>
    <w:rsid w:val="004B3415"/>
    <w:rsid w:val="004B5640"/>
    <w:rsid w:val="004B6084"/>
    <w:rsid w:val="004BCF29"/>
    <w:rsid w:val="004C0206"/>
    <w:rsid w:val="004C03D0"/>
    <w:rsid w:val="004C1BD7"/>
    <w:rsid w:val="004C239C"/>
    <w:rsid w:val="004C31FE"/>
    <w:rsid w:val="004C524C"/>
    <w:rsid w:val="004C5FFA"/>
    <w:rsid w:val="004C691D"/>
    <w:rsid w:val="004C6C07"/>
    <w:rsid w:val="004C7E15"/>
    <w:rsid w:val="004D10DB"/>
    <w:rsid w:val="004D2CD1"/>
    <w:rsid w:val="004D448D"/>
    <w:rsid w:val="004D4FF6"/>
    <w:rsid w:val="004D55D1"/>
    <w:rsid w:val="004D5ADD"/>
    <w:rsid w:val="004E692D"/>
    <w:rsid w:val="004E7230"/>
    <w:rsid w:val="004E7D87"/>
    <w:rsid w:val="004F10B5"/>
    <w:rsid w:val="004F2553"/>
    <w:rsid w:val="004F306A"/>
    <w:rsid w:val="00501554"/>
    <w:rsid w:val="00502AFE"/>
    <w:rsid w:val="00502E64"/>
    <w:rsid w:val="00503AD7"/>
    <w:rsid w:val="00503E89"/>
    <w:rsid w:val="00504E0C"/>
    <w:rsid w:val="00504E13"/>
    <w:rsid w:val="0050763E"/>
    <w:rsid w:val="005109D4"/>
    <w:rsid w:val="00510B66"/>
    <w:rsid w:val="00514CD7"/>
    <w:rsid w:val="005167EC"/>
    <w:rsid w:val="005170DA"/>
    <w:rsid w:val="0052095F"/>
    <w:rsid w:val="00520D6A"/>
    <w:rsid w:val="00522DB6"/>
    <w:rsid w:val="00523488"/>
    <w:rsid w:val="005264A7"/>
    <w:rsid w:val="0052792D"/>
    <w:rsid w:val="00527EC3"/>
    <w:rsid w:val="005319B2"/>
    <w:rsid w:val="00532402"/>
    <w:rsid w:val="00532C74"/>
    <w:rsid w:val="00534E2E"/>
    <w:rsid w:val="00535133"/>
    <w:rsid w:val="0054064C"/>
    <w:rsid w:val="00544552"/>
    <w:rsid w:val="00545130"/>
    <w:rsid w:val="0055286A"/>
    <w:rsid w:val="00555745"/>
    <w:rsid w:val="00557D4F"/>
    <w:rsid w:val="0056122E"/>
    <w:rsid w:val="0056484E"/>
    <w:rsid w:val="00565C0F"/>
    <w:rsid w:val="00567D8A"/>
    <w:rsid w:val="005764CD"/>
    <w:rsid w:val="00577C4D"/>
    <w:rsid w:val="00580532"/>
    <w:rsid w:val="00581932"/>
    <w:rsid w:val="00582039"/>
    <w:rsid w:val="00595063"/>
    <w:rsid w:val="005963BB"/>
    <w:rsid w:val="005A15D2"/>
    <w:rsid w:val="005A3173"/>
    <w:rsid w:val="005A3223"/>
    <w:rsid w:val="005A3DA3"/>
    <w:rsid w:val="005A52C4"/>
    <w:rsid w:val="005A63A1"/>
    <w:rsid w:val="005B1473"/>
    <w:rsid w:val="005B5642"/>
    <w:rsid w:val="005C47E0"/>
    <w:rsid w:val="005C4DC5"/>
    <w:rsid w:val="005C4F73"/>
    <w:rsid w:val="005D03AB"/>
    <w:rsid w:val="005D401D"/>
    <w:rsid w:val="005D4D7C"/>
    <w:rsid w:val="005D5017"/>
    <w:rsid w:val="005D63FA"/>
    <w:rsid w:val="005D73C7"/>
    <w:rsid w:val="005E0C2D"/>
    <w:rsid w:val="005E0D82"/>
    <w:rsid w:val="005E0F59"/>
    <w:rsid w:val="005E1333"/>
    <w:rsid w:val="005E19BC"/>
    <w:rsid w:val="005E2526"/>
    <w:rsid w:val="005E3136"/>
    <w:rsid w:val="005E507D"/>
    <w:rsid w:val="005F0AD0"/>
    <w:rsid w:val="00601A91"/>
    <w:rsid w:val="00602321"/>
    <w:rsid w:val="00602BA3"/>
    <w:rsid w:val="00605B63"/>
    <w:rsid w:val="00605F9A"/>
    <w:rsid w:val="00606442"/>
    <w:rsid w:val="00606EED"/>
    <w:rsid w:val="00612A95"/>
    <w:rsid w:val="00612E34"/>
    <w:rsid w:val="00614159"/>
    <w:rsid w:val="00615494"/>
    <w:rsid w:val="006158A3"/>
    <w:rsid w:val="00616C24"/>
    <w:rsid w:val="00616C5F"/>
    <w:rsid w:val="00616DAC"/>
    <w:rsid w:val="00617725"/>
    <w:rsid w:val="00617C00"/>
    <w:rsid w:val="00624403"/>
    <w:rsid w:val="006263BF"/>
    <w:rsid w:val="0062748A"/>
    <w:rsid w:val="00630546"/>
    <w:rsid w:val="00630A2C"/>
    <w:rsid w:val="006341E4"/>
    <w:rsid w:val="0063682E"/>
    <w:rsid w:val="00640088"/>
    <w:rsid w:val="00641A43"/>
    <w:rsid w:val="00642672"/>
    <w:rsid w:val="00642DA8"/>
    <w:rsid w:val="006436CD"/>
    <w:rsid w:val="00651169"/>
    <w:rsid w:val="00653D69"/>
    <w:rsid w:val="006552E6"/>
    <w:rsid w:val="00655794"/>
    <w:rsid w:val="00656F2F"/>
    <w:rsid w:val="00657C63"/>
    <w:rsid w:val="00661CBC"/>
    <w:rsid w:val="00662B85"/>
    <w:rsid w:val="006670BE"/>
    <w:rsid w:val="00670A76"/>
    <w:rsid w:val="006711AA"/>
    <w:rsid w:val="006725B6"/>
    <w:rsid w:val="00672B57"/>
    <w:rsid w:val="00673F1F"/>
    <w:rsid w:val="00675622"/>
    <w:rsid w:val="0067747D"/>
    <w:rsid w:val="006818D5"/>
    <w:rsid w:val="00681CA4"/>
    <w:rsid w:val="0069039D"/>
    <w:rsid w:val="006906DB"/>
    <w:rsid w:val="00691900"/>
    <w:rsid w:val="00691E6C"/>
    <w:rsid w:val="0069342D"/>
    <w:rsid w:val="00693DFB"/>
    <w:rsid w:val="00694FD5"/>
    <w:rsid w:val="0069501D"/>
    <w:rsid w:val="00696129"/>
    <w:rsid w:val="00697CF2"/>
    <w:rsid w:val="006A12A5"/>
    <w:rsid w:val="006A2515"/>
    <w:rsid w:val="006A5E20"/>
    <w:rsid w:val="006B0D94"/>
    <w:rsid w:val="006B1135"/>
    <w:rsid w:val="006B40D9"/>
    <w:rsid w:val="006B485D"/>
    <w:rsid w:val="006B513A"/>
    <w:rsid w:val="006B5FDE"/>
    <w:rsid w:val="006C0C45"/>
    <w:rsid w:val="006C334C"/>
    <w:rsid w:val="006C4799"/>
    <w:rsid w:val="006C66C4"/>
    <w:rsid w:val="006C6C10"/>
    <w:rsid w:val="006C708E"/>
    <w:rsid w:val="006D010F"/>
    <w:rsid w:val="006D14E7"/>
    <w:rsid w:val="006D4444"/>
    <w:rsid w:val="006D6493"/>
    <w:rsid w:val="006D6EC7"/>
    <w:rsid w:val="006E021C"/>
    <w:rsid w:val="006E1BCD"/>
    <w:rsid w:val="006E2732"/>
    <w:rsid w:val="006E59CD"/>
    <w:rsid w:val="006F0A71"/>
    <w:rsid w:val="006F18B7"/>
    <w:rsid w:val="006F1C6B"/>
    <w:rsid w:val="006F30ED"/>
    <w:rsid w:val="006F40C2"/>
    <w:rsid w:val="006F5125"/>
    <w:rsid w:val="006F733D"/>
    <w:rsid w:val="00700765"/>
    <w:rsid w:val="00702959"/>
    <w:rsid w:val="00702B6F"/>
    <w:rsid w:val="00704069"/>
    <w:rsid w:val="00706A2F"/>
    <w:rsid w:val="0070718E"/>
    <w:rsid w:val="00707E52"/>
    <w:rsid w:val="00710259"/>
    <w:rsid w:val="0071031F"/>
    <w:rsid w:val="007125AD"/>
    <w:rsid w:val="0071340B"/>
    <w:rsid w:val="0071436D"/>
    <w:rsid w:val="00715BBB"/>
    <w:rsid w:val="007174BB"/>
    <w:rsid w:val="0072025D"/>
    <w:rsid w:val="00723328"/>
    <w:rsid w:val="00725628"/>
    <w:rsid w:val="0073137C"/>
    <w:rsid w:val="007340B9"/>
    <w:rsid w:val="007353D3"/>
    <w:rsid w:val="00737B5E"/>
    <w:rsid w:val="0074156B"/>
    <w:rsid w:val="00741619"/>
    <w:rsid w:val="00747092"/>
    <w:rsid w:val="007521F4"/>
    <w:rsid w:val="007526E6"/>
    <w:rsid w:val="00754DF9"/>
    <w:rsid w:val="007555E8"/>
    <w:rsid w:val="00755CC5"/>
    <w:rsid w:val="00763F56"/>
    <w:rsid w:val="0076420C"/>
    <w:rsid w:val="00771D07"/>
    <w:rsid w:val="00773BE3"/>
    <w:rsid w:val="007743DD"/>
    <w:rsid w:val="0077497E"/>
    <w:rsid w:val="00774E2C"/>
    <w:rsid w:val="0077518D"/>
    <w:rsid w:val="007753C2"/>
    <w:rsid w:val="007838B8"/>
    <w:rsid w:val="007875FF"/>
    <w:rsid w:val="00787CB9"/>
    <w:rsid w:val="00787FD8"/>
    <w:rsid w:val="007915BA"/>
    <w:rsid w:val="00791844"/>
    <w:rsid w:val="007979BD"/>
    <w:rsid w:val="007A6A2F"/>
    <w:rsid w:val="007A6BB0"/>
    <w:rsid w:val="007B024E"/>
    <w:rsid w:val="007B3DDC"/>
    <w:rsid w:val="007B72A6"/>
    <w:rsid w:val="007C06D2"/>
    <w:rsid w:val="007C08E0"/>
    <w:rsid w:val="007C0F57"/>
    <w:rsid w:val="007C40B6"/>
    <w:rsid w:val="007C729F"/>
    <w:rsid w:val="007D503D"/>
    <w:rsid w:val="007D59E7"/>
    <w:rsid w:val="007D5C6B"/>
    <w:rsid w:val="007D5F2A"/>
    <w:rsid w:val="007E18FE"/>
    <w:rsid w:val="007E1D28"/>
    <w:rsid w:val="007E47B4"/>
    <w:rsid w:val="007E490F"/>
    <w:rsid w:val="007F0021"/>
    <w:rsid w:val="007F2641"/>
    <w:rsid w:val="007F39BF"/>
    <w:rsid w:val="007F5559"/>
    <w:rsid w:val="007F7C36"/>
    <w:rsid w:val="008055AF"/>
    <w:rsid w:val="008057CD"/>
    <w:rsid w:val="00806796"/>
    <w:rsid w:val="00810167"/>
    <w:rsid w:val="00811CC0"/>
    <w:rsid w:val="008151D6"/>
    <w:rsid w:val="00820206"/>
    <w:rsid w:val="00821527"/>
    <w:rsid w:val="00822696"/>
    <w:rsid w:val="00825A6C"/>
    <w:rsid w:val="0082617E"/>
    <w:rsid w:val="008268BB"/>
    <w:rsid w:val="00826F6D"/>
    <w:rsid w:val="008306F3"/>
    <w:rsid w:val="00830E40"/>
    <w:rsid w:val="00832D9A"/>
    <w:rsid w:val="00835C62"/>
    <w:rsid w:val="008368A1"/>
    <w:rsid w:val="00840EF7"/>
    <w:rsid w:val="0084294E"/>
    <w:rsid w:val="00844C0A"/>
    <w:rsid w:val="00846056"/>
    <w:rsid w:val="0084681F"/>
    <w:rsid w:val="00847EC0"/>
    <w:rsid w:val="0085302D"/>
    <w:rsid w:val="00855FD6"/>
    <w:rsid w:val="00856DDD"/>
    <w:rsid w:val="00863E68"/>
    <w:rsid w:val="008647B5"/>
    <w:rsid w:val="00867D64"/>
    <w:rsid w:val="00871544"/>
    <w:rsid w:val="00875DCB"/>
    <w:rsid w:val="0087755A"/>
    <w:rsid w:val="00882085"/>
    <w:rsid w:val="00883188"/>
    <w:rsid w:val="00884A0C"/>
    <w:rsid w:val="00885D60"/>
    <w:rsid w:val="00886ACA"/>
    <w:rsid w:val="0089031E"/>
    <w:rsid w:val="0089460B"/>
    <w:rsid w:val="00897D58"/>
    <w:rsid w:val="00897F22"/>
    <w:rsid w:val="008A0B39"/>
    <w:rsid w:val="008A17A3"/>
    <w:rsid w:val="008A1956"/>
    <w:rsid w:val="008A1E85"/>
    <w:rsid w:val="008A2419"/>
    <w:rsid w:val="008A4937"/>
    <w:rsid w:val="008A50F1"/>
    <w:rsid w:val="008A59D9"/>
    <w:rsid w:val="008A643E"/>
    <w:rsid w:val="008A6819"/>
    <w:rsid w:val="008B2EC0"/>
    <w:rsid w:val="008B6DCF"/>
    <w:rsid w:val="008C7825"/>
    <w:rsid w:val="008C7A6C"/>
    <w:rsid w:val="008D0945"/>
    <w:rsid w:val="008D1409"/>
    <w:rsid w:val="008D15CC"/>
    <w:rsid w:val="008D1729"/>
    <w:rsid w:val="008D1B5C"/>
    <w:rsid w:val="008D3C82"/>
    <w:rsid w:val="008D447E"/>
    <w:rsid w:val="008D6ACF"/>
    <w:rsid w:val="008D7A41"/>
    <w:rsid w:val="008D7AA4"/>
    <w:rsid w:val="008E2C72"/>
    <w:rsid w:val="008E3680"/>
    <w:rsid w:val="008E5870"/>
    <w:rsid w:val="008E6EC1"/>
    <w:rsid w:val="008E77E4"/>
    <w:rsid w:val="008F0213"/>
    <w:rsid w:val="008F07ED"/>
    <w:rsid w:val="008F11F8"/>
    <w:rsid w:val="008F1434"/>
    <w:rsid w:val="008F2BB9"/>
    <w:rsid w:val="008F3D6A"/>
    <w:rsid w:val="008F5128"/>
    <w:rsid w:val="008F54C3"/>
    <w:rsid w:val="008F7355"/>
    <w:rsid w:val="00901250"/>
    <w:rsid w:val="009023DC"/>
    <w:rsid w:val="009027C5"/>
    <w:rsid w:val="00902DC8"/>
    <w:rsid w:val="00904413"/>
    <w:rsid w:val="009067B7"/>
    <w:rsid w:val="0090775A"/>
    <w:rsid w:val="00907DFD"/>
    <w:rsid w:val="009121B9"/>
    <w:rsid w:val="00913C99"/>
    <w:rsid w:val="00917D69"/>
    <w:rsid w:val="00920B6D"/>
    <w:rsid w:val="00922200"/>
    <w:rsid w:val="00926560"/>
    <w:rsid w:val="00926B15"/>
    <w:rsid w:val="00927F27"/>
    <w:rsid w:val="00930291"/>
    <w:rsid w:val="00930937"/>
    <w:rsid w:val="009324A6"/>
    <w:rsid w:val="00933E6C"/>
    <w:rsid w:val="00935A6E"/>
    <w:rsid w:val="00937958"/>
    <w:rsid w:val="009406E5"/>
    <w:rsid w:val="00941602"/>
    <w:rsid w:val="00942160"/>
    <w:rsid w:val="0094393F"/>
    <w:rsid w:val="00946921"/>
    <w:rsid w:val="00947343"/>
    <w:rsid w:val="009500B9"/>
    <w:rsid w:val="0095146F"/>
    <w:rsid w:val="009534C7"/>
    <w:rsid w:val="00957944"/>
    <w:rsid w:val="009602C5"/>
    <w:rsid w:val="00962223"/>
    <w:rsid w:val="0096252B"/>
    <w:rsid w:val="00964A9F"/>
    <w:rsid w:val="00966D0D"/>
    <w:rsid w:val="00967732"/>
    <w:rsid w:val="0096783C"/>
    <w:rsid w:val="009722B3"/>
    <w:rsid w:val="00973E24"/>
    <w:rsid w:val="009748BF"/>
    <w:rsid w:val="00974C21"/>
    <w:rsid w:val="00975948"/>
    <w:rsid w:val="00977BF3"/>
    <w:rsid w:val="009803E4"/>
    <w:rsid w:val="00980B0E"/>
    <w:rsid w:val="00982959"/>
    <w:rsid w:val="00982B39"/>
    <w:rsid w:val="009836A3"/>
    <w:rsid w:val="00984C58"/>
    <w:rsid w:val="009855A8"/>
    <w:rsid w:val="00985D1A"/>
    <w:rsid w:val="009913F4"/>
    <w:rsid w:val="00991782"/>
    <w:rsid w:val="009937F7"/>
    <w:rsid w:val="0099465B"/>
    <w:rsid w:val="009951A1"/>
    <w:rsid w:val="00997A44"/>
    <w:rsid w:val="009A0CDD"/>
    <w:rsid w:val="009A29BB"/>
    <w:rsid w:val="009A3168"/>
    <w:rsid w:val="009A4BDF"/>
    <w:rsid w:val="009A5D04"/>
    <w:rsid w:val="009A61CA"/>
    <w:rsid w:val="009B0C64"/>
    <w:rsid w:val="009B0F67"/>
    <w:rsid w:val="009B2756"/>
    <w:rsid w:val="009B3D56"/>
    <w:rsid w:val="009B3F8C"/>
    <w:rsid w:val="009B533B"/>
    <w:rsid w:val="009B6EC8"/>
    <w:rsid w:val="009C249A"/>
    <w:rsid w:val="009C703C"/>
    <w:rsid w:val="009D0758"/>
    <w:rsid w:val="009D0C29"/>
    <w:rsid w:val="009D206E"/>
    <w:rsid w:val="009D3CAA"/>
    <w:rsid w:val="009D45BE"/>
    <w:rsid w:val="009D507A"/>
    <w:rsid w:val="009D6532"/>
    <w:rsid w:val="009D71FD"/>
    <w:rsid w:val="009E10AD"/>
    <w:rsid w:val="009E2588"/>
    <w:rsid w:val="009E2E8E"/>
    <w:rsid w:val="009E40E1"/>
    <w:rsid w:val="009F0EFA"/>
    <w:rsid w:val="009F2AFA"/>
    <w:rsid w:val="009F4E46"/>
    <w:rsid w:val="009F5B65"/>
    <w:rsid w:val="009F5EC4"/>
    <w:rsid w:val="009F5F2E"/>
    <w:rsid w:val="00A01432"/>
    <w:rsid w:val="00A06225"/>
    <w:rsid w:val="00A110D1"/>
    <w:rsid w:val="00A12587"/>
    <w:rsid w:val="00A128E6"/>
    <w:rsid w:val="00A144D3"/>
    <w:rsid w:val="00A22AC3"/>
    <w:rsid w:val="00A23F3F"/>
    <w:rsid w:val="00A24067"/>
    <w:rsid w:val="00A24A4B"/>
    <w:rsid w:val="00A26AB8"/>
    <w:rsid w:val="00A2744D"/>
    <w:rsid w:val="00A27A18"/>
    <w:rsid w:val="00A30D16"/>
    <w:rsid w:val="00A34E6C"/>
    <w:rsid w:val="00A34FD0"/>
    <w:rsid w:val="00A36398"/>
    <w:rsid w:val="00A373CD"/>
    <w:rsid w:val="00A37C8D"/>
    <w:rsid w:val="00A4020E"/>
    <w:rsid w:val="00A408E8"/>
    <w:rsid w:val="00A40FB5"/>
    <w:rsid w:val="00A42826"/>
    <w:rsid w:val="00A429B3"/>
    <w:rsid w:val="00A44EC1"/>
    <w:rsid w:val="00A46B89"/>
    <w:rsid w:val="00A510E4"/>
    <w:rsid w:val="00A5273B"/>
    <w:rsid w:val="00A53A9D"/>
    <w:rsid w:val="00A5465F"/>
    <w:rsid w:val="00A55FEE"/>
    <w:rsid w:val="00A57422"/>
    <w:rsid w:val="00A605DB"/>
    <w:rsid w:val="00A60844"/>
    <w:rsid w:val="00A62C1A"/>
    <w:rsid w:val="00A64125"/>
    <w:rsid w:val="00A6426D"/>
    <w:rsid w:val="00A665C1"/>
    <w:rsid w:val="00A66B34"/>
    <w:rsid w:val="00A673A4"/>
    <w:rsid w:val="00A7001A"/>
    <w:rsid w:val="00A70622"/>
    <w:rsid w:val="00A70977"/>
    <w:rsid w:val="00A70D58"/>
    <w:rsid w:val="00A744F9"/>
    <w:rsid w:val="00A74707"/>
    <w:rsid w:val="00A77613"/>
    <w:rsid w:val="00A77B87"/>
    <w:rsid w:val="00A81851"/>
    <w:rsid w:val="00A8390C"/>
    <w:rsid w:val="00A86AE0"/>
    <w:rsid w:val="00A91362"/>
    <w:rsid w:val="00A9151C"/>
    <w:rsid w:val="00A919C6"/>
    <w:rsid w:val="00A928BD"/>
    <w:rsid w:val="00A94F7E"/>
    <w:rsid w:val="00A970D9"/>
    <w:rsid w:val="00A97DE9"/>
    <w:rsid w:val="00AA12CD"/>
    <w:rsid w:val="00AA4D1C"/>
    <w:rsid w:val="00AA52FD"/>
    <w:rsid w:val="00AA639E"/>
    <w:rsid w:val="00AA7006"/>
    <w:rsid w:val="00AB0E8E"/>
    <w:rsid w:val="00AB4684"/>
    <w:rsid w:val="00AB5856"/>
    <w:rsid w:val="00AC081D"/>
    <w:rsid w:val="00AC193C"/>
    <w:rsid w:val="00AC1E89"/>
    <w:rsid w:val="00AC30C1"/>
    <w:rsid w:val="00AC4DE5"/>
    <w:rsid w:val="00AC5206"/>
    <w:rsid w:val="00AD3106"/>
    <w:rsid w:val="00AD4322"/>
    <w:rsid w:val="00AE11A5"/>
    <w:rsid w:val="00AE13E2"/>
    <w:rsid w:val="00AE218B"/>
    <w:rsid w:val="00AE22D3"/>
    <w:rsid w:val="00AE2785"/>
    <w:rsid w:val="00AE5A49"/>
    <w:rsid w:val="00AF11D8"/>
    <w:rsid w:val="00AF40C1"/>
    <w:rsid w:val="00AF5867"/>
    <w:rsid w:val="00AF62DF"/>
    <w:rsid w:val="00AF68CC"/>
    <w:rsid w:val="00AF70D7"/>
    <w:rsid w:val="00B00CD0"/>
    <w:rsid w:val="00B00E7F"/>
    <w:rsid w:val="00B01FF4"/>
    <w:rsid w:val="00B0326D"/>
    <w:rsid w:val="00B06478"/>
    <w:rsid w:val="00B07533"/>
    <w:rsid w:val="00B07CFB"/>
    <w:rsid w:val="00B1059E"/>
    <w:rsid w:val="00B14A36"/>
    <w:rsid w:val="00B16273"/>
    <w:rsid w:val="00B170A5"/>
    <w:rsid w:val="00B1725F"/>
    <w:rsid w:val="00B176C8"/>
    <w:rsid w:val="00B17EE5"/>
    <w:rsid w:val="00B205AA"/>
    <w:rsid w:val="00B22E84"/>
    <w:rsid w:val="00B233AD"/>
    <w:rsid w:val="00B23E25"/>
    <w:rsid w:val="00B25158"/>
    <w:rsid w:val="00B25F75"/>
    <w:rsid w:val="00B26B3F"/>
    <w:rsid w:val="00B2778F"/>
    <w:rsid w:val="00B327E2"/>
    <w:rsid w:val="00B33635"/>
    <w:rsid w:val="00B42AF4"/>
    <w:rsid w:val="00B43E90"/>
    <w:rsid w:val="00B44308"/>
    <w:rsid w:val="00B45722"/>
    <w:rsid w:val="00B467DC"/>
    <w:rsid w:val="00B467EF"/>
    <w:rsid w:val="00B477D1"/>
    <w:rsid w:val="00B5392A"/>
    <w:rsid w:val="00B56118"/>
    <w:rsid w:val="00B566E1"/>
    <w:rsid w:val="00B602F6"/>
    <w:rsid w:val="00B63693"/>
    <w:rsid w:val="00B6773F"/>
    <w:rsid w:val="00B70427"/>
    <w:rsid w:val="00B70EB3"/>
    <w:rsid w:val="00B72906"/>
    <w:rsid w:val="00B74F48"/>
    <w:rsid w:val="00B7525E"/>
    <w:rsid w:val="00B760FB"/>
    <w:rsid w:val="00B76765"/>
    <w:rsid w:val="00B767AB"/>
    <w:rsid w:val="00B801BA"/>
    <w:rsid w:val="00B812D6"/>
    <w:rsid w:val="00B81FBD"/>
    <w:rsid w:val="00B84D5C"/>
    <w:rsid w:val="00B850D6"/>
    <w:rsid w:val="00B85AF6"/>
    <w:rsid w:val="00B956ED"/>
    <w:rsid w:val="00B96C49"/>
    <w:rsid w:val="00BA10FC"/>
    <w:rsid w:val="00BA2DA8"/>
    <w:rsid w:val="00BA347C"/>
    <w:rsid w:val="00BB298A"/>
    <w:rsid w:val="00BB3469"/>
    <w:rsid w:val="00BB5C49"/>
    <w:rsid w:val="00BB6240"/>
    <w:rsid w:val="00BB6285"/>
    <w:rsid w:val="00BB69F5"/>
    <w:rsid w:val="00BB7EC3"/>
    <w:rsid w:val="00BC04B1"/>
    <w:rsid w:val="00BC470E"/>
    <w:rsid w:val="00BC4B9A"/>
    <w:rsid w:val="00BD02C3"/>
    <w:rsid w:val="00BD7483"/>
    <w:rsid w:val="00BD784C"/>
    <w:rsid w:val="00BE020A"/>
    <w:rsid w:val="00BE13DF"/>
    <w:rsid w:val="00BE25D7"/>
    <w:rsid w:val="00BF092C"/>
    <w:rsid w:val="00BF27A0"/>
    <w:rsid w:val="00BF4CB6"/>
    <w:rsid w:val="00BF6CBD"/>
    <w:rsid w:val="00C00DA7"/>
    <w:rsid w:val="00C04CDE"/>
    <w:rsid w:val="00C068A6"/>
    <w:rsid w:val="00C123B9"/>
    <w:rsid w:val="00C12768"/>
    <w:rsid w:val="00C12D70"/>
    <w:rsid w:val="00C16724"/>
    <w:rsid w:val="00C16E7F"/>
    <w:rsid w:val="00C205E3"/>
    <w:rsid w:val="00C21B09"/>
    <w:rsid w:val="00C2248C"/>
    <w:rsid w:val="00C2673A"/>
    <w:rsid w:val="00C27B58"/>
    <w:rsid w:val="00C27C1C"/>
    <w:rsid w:val="00C30C0E"/>
    <w:rsid w:val="00C31175"/>
    <w:rsid w:val="00C33186"/>
    <w:rsid w:val="00C3458E"/>
    <w:rsid w:val="00C35996"/>
    <w:rsid w:val="00C42074"/>
    <w:rsid w:val="00C42AFA"/>
    <w:rsid w:val="00C43464"/>
    <w:rsid w:val="00C4747E"/>
    <w:rsid w:val="00C50A4D"/>
    <w:rsid w:val="00C5151E"/>
    <w:rsid w:val="00C53290"/>
    <w:rsid w:val="00C5342C"/>
    <w:rsid w:val="00C53B2B"/>
    <w:rsid w:val="00C5483E"/>
    <w:rsid w:val="00C57131"/>
    <w:rsid w:val="00C57465"/>
    <w:rsid w:val="00C60272"/>
    <w:rsid w:val="00C603D4"/>
    <w:rsid w:val="00C6256A"/>
    <w:rsid w:val="00C64EBC"/>
    <w:rsid w:val="00C664D2"/>
    <w:rsid w:val="00C66706"/>
    <w:rsid w:val="00C70A7F"/>
    <w:rsid w:val="00C710E2"/>
    <w:rsid w:val="00C71C3F"/>
    <w:rsid w:val="00C7409E"/>
    <w:rsid w:val="00C748FE"/>
    <w:rsid w:val="00C74D6D"/>
    <w:rsid w:val="00C76E76"/>
    <w:rsid w:val="00C77891"/>
    <w:rsid w:val="00C77AD6"/>
    <w:rsid w:val="00C829A9"/>
    <w:rsid w:val="00C87B80"/>
    <w:rsid w:val="00C90330"/>
    <w:rsid w:val="00C91449"/>
    <w:rsid w:val="00C92D10"/>
    <w:rsid w:val="00C9340A"/>
    <w:rsid w:val="00C968C4"/>
    <w:rsid w:val="00C96EC0"/>
    <w:rsid w:val="00CA0036"/>
    <w:rsid w:val="00CA48D9"/>
    <w:rsid w:val="00CB1193"/>
    <w:rsid w:val="00CB2C83"/>
    <w:rsid w:val="00CB2F79"/>
    <w:rsid w:val="00CB4767"/>
    <w:rsid w:val="00CB493D"/>
    <w:rsid w:val="00CC3B97"/>
    <w:rsid w:val="00CC43C0"/>
    <w:rsid w:val="00CC656C"/>
    <w:rsid w:val="00CD6257"/>
    <w:rsid w:val="00CD7C0B"/>
    <w:rsid w:val="00CE10C4"/>
    <w:rsid w:val="00CE2343"/>
    <w:rsid w:val="00CE27B5"/>
    <w:rsid w:val="00CE4E2D"/>
    <w:rsid w:val="00CE6DAF"/>
    <w:rsid w:val="00CF410A"/>
    <w:rsid w:val="00CF50C8"/>
    <w:rsid w:val="00CF7528"/>
    <w:rsid w:val="00CF7FDE"/>
    <w:rsid w:val="00D01B13"/>
    <w:rsid w:val="00D0321E"/>
    <w:rsid w:val="00D069EB"/>
    <w:rsid w:val="00D07A8A"/>
    <w:rsid w:val="00D11199"/>
    <w:rsid w:val="00D1455A"/>
    <w:rsid w:val="00D14A70"/>
    <w:rsid w:val="00D207EA"/>
    <w:rsid w:val="00D208AD"/>
    <w:rsid w:val="00D22093"/>
    <w:rsid w:val="00D31150"/>
    <w:rsid w:val="00D3138B"/>
    <w:rsid w:val="00D31FCE"/>
    <w:rsid w:val="00D3280C"/>
    <w:rsid w:val="00D3406A"/>
    <w:rsid w:val="00D3532F"/>
    <w:rsid w:val="00D40B11"/>
    <w:rsid w:val="00D429EC"/>
    <w:rsid w:val="00D441F1"/>
    <w:rsid w:val="00D4572C"/>
    <w:rsid w:val="00D469B2"/>
    <w:rsid w:val="00D50EC3"/>
    <w:rsid w:val="00D52B24"/>
    <w:rsid w:val="00D54B09"/>
    <w:rsid w:val="00D6243E"/>
    <w:rsid w:val="00D646C6"/>
    <w:rsid w:val="00D65658"/>
    <w:rsid w:val="00D67EB2"/>
    <w:rsid w:val="00D70349"/>
    <w:rsid w:val="00D7134A"/>
    <w:rsid w:val="00D72B6F"/>
    <w:rsid w:val="00D741EB"/>
    <w:rsid w:val="00D7679C"/>
    <w:rsid w:val="00D820F3"/>
    <w:rsid w:val="00D83605"/>
    <w:rsid w:val="00D84934"/>
    <w:rsid w:val="00D864FF"/>
    <w:rsid w:val="00D866EB"/>
    <w:rsid w:val="00D87D1A"/>
    <w:rsid w:val="00D91271"/>
    <w:rsid w:val="00D919F5"/>
    <w:rsid w:val="00D945F6"/>
    <w:rsid w:val="00D94F03"/>
    <w:rsid w:val="00D95161"/>
    <w:rsid w:val="00D96482"/>
    <w:rsid w:val="00DA0A82"/>
    <w:rsid w:val="00DA0D14"/>
    <w:rsid w:val="00DA1FC9"/>
    <w:rsid w:val="00DA2CB5"/>
    <w:rsid w:val="00DA4BAC"/>
    <w:rsid w:val="00DB0151"/>
    <w:rsid w:val="00DB04D7"/>
    <w:rsid w:val="00DB50E1"/>
    <w:rsid w:val="00DC0566"/>
    <w:rsid w:val="00DC05E1"/>
    <w:rsid w:val="00DC1499"/>
    <w:rsid w:val="00DC2C3E"/>
    <w:rsid w:val="00DC3137"/>
    <w:rsid w:val="00DC4880"/>
    <w:rsid w:val="00DD19F6"/>
    <w:rsid w:val="00DD26F9"/>
    <w:rsid w:val="00DD42AB"/>
    <w:rsid w:val="00DD4656"/>
    <w:rsid w:val="00DE06AF"/>
    <w:rsid w:val="00DE33ED"/>
    <w:rsid w:val="00DE6D27"/>
    <w:rsid w:val="00DF01F8"/>
    <w:rsid w:val="00DF021D"/>
    <w:rsid w:val="00DF14EE"/>
    <w:rsid w:val="00DF16DC"/>
    <w:rsid w:val="00DF217D"/>
    <w:rsid w:val="00DF26A7"/>
    <w:rsid w:val="00DF3277"/>
    <w:rsid w:val="00DF6A31"/>
    <w:rsid w:val="00DF77A1"/>
    <w:rsid w:val="00DF7919"/>
    <w:rsid w:val="00E0027B"/>
    <w:rsid w:val="00E0207E"/>
    <w:rsid w:val="00E02AE6"/>
    <w:rsid w:val="00E03912"/>
    <w:rsid w:val="00E04748"/>
    <w:rsid w:val="00E078D9"/>
    <w:rsid w:val="00E10293"/>
    <w:rsid w:val="00E103A0"/>
    <w:rsid w:val="00E1043F"/>
    <w:rsid w:val="00E1050A"/>
    <w:rsid w:val="00E11E01"/>
    <w:rsid w:val="00E11F44"/>
    <w:rsid w:val="00E13E60"/>
    <w:rsid w:val="00E15627"/>
    <w:rsid w:val="00E164B3"/>
    <w:rsid w:val="00E164D7"/>
    <w:rsid w:val="00E16910"/>
    <w:rsid w:val="00E2267A"/>
    <w:rsid w:val="00E239E2"/>
    <w:rsid w:val="00E24E09"/>
    <w:rsid w:val="00E27234"/>
    <w:rsid w:val="00E3049E"/>
    <w:rsid w:val="00E3495C"/>
    <w:rsid w:val="00E42BDB"/>
    <w:rsid w:val="00E52A71"/>
    <w:rsid w:val="00E5726D"/>
    <w:rsid w:val="00E57EEB"/>
    <w:rsid w:val="00E62D94"/>
    <w:rsid w:val="00E62ECC"/>
    <w:rsid w:val="00E64F37"/>
    <w:rsid w:val="00E65091"/>
    <w:rsid w:val="00E65E54"/>
    <w:rsid w:val="00E661C7"/>
    <w:rsid w:val="00E732C4"/>
    <w:rsid w:val="00E74E41"/>
    <w:rsid w:val="00E769A7"/>
    <w:rsid w:val="00E80155"/>
    <w:rsid w:val="00E8134B"/>
    <w:rsid w:val="00E81E0D"/>
    <w:rsid w:val="00E81F28"/>
    <w:rsid w:val="00E848C0"/>
    <w:rsid w:val="00E84BB8"/>
    <w:rsid w:val="00E86F92"/>
    <w:rsid w:val="00E91B96"/>
    <w:rsid w:val="00E935DA"/>
    <w:rsid w:val="00E93D1E"/>
    <w:rsid w:val="00E941A1"/>
    <w:rsid w:val="00E95CE3"/>
    <w:rsid w:val="00E95F9A"/>
    <w:rsid w:val="00EA0856"/>
    <w:rsid w:val="00EA252F"/>
    <w:rsid w:val="00EA2825"/>
    <w:rsid w:val="00EA5E27"/>
    <w:rsid w:val="00EA6518"/>
    <w:rsid w:val="00EA71A2"/>
    <w:rsid w:val="00EA7466"/>
    <w:rsid w:val="00EA7530"/>
    <w:rsid w:val="00EA7EDE"/>
    <w:rsid w:val="00EB0B63"/>
    <w:rsid w:val="00EB12AA"/>
    <w:rsid w:val="00EB1936"/>
    <w:rsid w:val="00EB3545"/>
    <w:rsid w:val="00EB37BE"/>
    <w:rsid w:val="00EB4BAE"/>
    <w:rsid w:val="00EB5088"/>
    <w:rsid w:val="00EB591A"/>
    <w:rsid w:val="00EB7210"/>
    <w:rsid w:val="00EC1EF8"/>
    <w:rsid w:val="00EC2726"/>
    <w:rsid w:val="00EC681C"/>
    <w:rsid w:val="00ED1644"/>
    <w:rsid w:val="00ED2593"/>
    <w:rsid w:val="00ED3709"/>
    <w:rsid w:val="00ED4D7A"/>
    <w:rsid w:val="00ED7D55"/>
    <w:rsid w:val="00ED7D9C"/>
    <w:rsid w:val="00EE29B4"/>
    <w:rsid w:val="00EE31A2"/>
    <w:rsid w:val="00EF0069"/>
    <w:rsid w:val="00EF2A88"/>
    <w:rsid w:val="00EF44A0"/>
    <w:rsid w:val="00EF4580"/>
    <w:rsid w:val="00EF4FED"/>
    <w:rsid w:val="00EF5F45"/>
    <w:rsid w:val="00EF6843"/>
    <w:rsid w:val="00EF6FB3"/>
    <w:rsid w:val="00F0068B"/>
    <w:rsid w:val="00F007C6"/>
    <w:rsid w:val="00F0172E"/>
    <w:rsid w:val="00F050BD"/>
    <w:rsid w:val="00F05657"/>
    <w:rsid w:val="00F05AB0"/>
    <w:rsid w:val="00F12C74"/>
    <w:rsid w:val="00F1559A"/>
    <w:rsid w:val="00F17ED6"/>
    <w:rsid w:val="00F201C2"/>
    <w:rsid w:val="00F20676"/>
    <w:rsid w:val="00F209E2"/>
    <w:rsid w:val="00F25578"/>
    <w:rsid w:val="00F258E5"/>
    <w:rsid w:val="00F25B9C"/>
    <w:rsid w:val="00F26691"/>
    <w:rsid w:val="00F2675A"/>
    <w:rsid w:val="00F2691F"/>
    <w:rsid w:val="00F26CC6"/>
    <w:rsid w:val="00F300BC"/>
    <w:rsid w:val="00F3263C"/>
    <w:rsid w:val="00F3334E"/>
    <w:rsid w:val="00F36CCB"/>
    <w:rsid w:val="00F374E5"/>
    <w:rsid w:val="00F37B93"/>
    <w:rsid w:val="00F37BAD"/>
    <w:rsid w:val="00F37ECA"/>
    <w:rsid w:val="00F40A1C"/>
    <w:rsid w:val="00F40DE2"/>
    <w:rsid w:val="00F43AF2"/>
    <w:rsid w:val="00F45216"/>
    <w:rsid w:val="00F5007E"/>
    <w:rsid w:val="00F50EC4"/>
    <w:rsid w:val="00F52232"/>
    <w:rsid w:val="00F52DC2"/>
    <w:rsid w:val="00F550CF"/>
    <w:rsid w:val="00F553D2"/>
    <w:rsid w:val="00F55E78"/>
    <w:rsid w:val="00F56938"/>
    <w:rsid w:val="00F57A6D"/>
    <w:rsid w:val="00F6044B"/>
    <w:rsid w:val="00F62F19"/>
    <w:rsid w:val="00F638CC"/>
    <w:rsid w:val="00F64C9E"/>
    <w:rsid w:val="00F64CC1"/>
    <w:rsid w:val="00F65D4B"/>
    <w:rsid w:val="00F72317"/>
    <w:rsid w:val="00F7344C"/>
    <w:rsid w:val="00F73DC1"/>
    <w:rsid w:val="00F75BB8"/>
    <w:rsid w:val="00F77714"/>
    <w:rsid w:val="00F80475"/>
    <w:rsid w:val="00F80E6E"/>
    <w:rsid w:val="00F81390"/>
    <w:rsid w:val="00F81F7A"/>
    <w:rsid w:val="00F8247A"/>
    <w:rsid w:val="00F82E5C"/>
    <w:rsid w:val="00F83F58"/>
    <w:rsid w:val="00F85206"/>
    <w:rsid w:val="00F86E04"/>
    <w:rsid w:val="00F87CEA"/>
    <w:rsid w:val="00F9629A"/>
    <w:rsid w:val="00F97EFC"/>
    <w:rsid w:val="00FA046B"/>
    <w:rsid w:val="00FA0B04"/>
    <w:rsid w:val="00FA0C7C"/>
    <w:rsid w:val="00FA1BDD"/>
    <w:rsid w:val="00FA305C"/>
    <w:rsid w:val="00FA4083"/>
    <w:rsid w:val="00FA462E"/>
    <w:rsid w:val="00FA4DD5"/>
    <w:rsid w:val="00FA5883"/>
    <w:rsid w:val="00FA6055"/>
    <w:rsid w:val="00FB0B39"/>
    <w:rsid w:val="00FB322F"/>
    <w:rsid w:val="00FB442F"/>
    <w:rsid w:val="00FC118C"/>
    <w:rsid w:val="00FC1929"/>
    <w:rsid w:val="00FC5B46"/>
    <w:rsid w:val="00FD1D4F"/>
    <w:rsid w:val="00FD24BF"/>
    <w:rsid w:val="00FD3B6E"/>
    <w:rsid w:val="00FD4C11"/>
    <w:rsid w:val="00FD57EB"/>
    <w:rsid w:val="00FD6D8E"/>
    <w:rsid w:val="00FE0663"/>
    <w:rsid w:val="00FE0E94"/>
    <w:rsid w:val="00FE369C"/>
    <w:rsid w:val="00FE3CD9"/>
    <w:rsid w:val="00FF00BD"/>
    <w:rsid w:val="00FF0B13"/>
    <w:rsid w:val="00FF12B9"/>
    <w:rsid w:val="00FF1ED4"/>
    <w:rsid w:val="00FF2801"/>
    <w:rsid w:val="00FF3A7F"/>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Summary box,Table Gridbeth,CMA Table Template,ASD Table,new style,PBAC table,Header Table,NICE instructions,Source table_,HTAtableplain"/>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Styl moj,Akapit z listą11,Bullets,列出段落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列出段落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A5465F"/>
    <w:rPr>
      <w:color w:val="605E5C"/>
      <w:shd w:val="clear" w:color="auto" w:fill="E1DFDD"/>
    </w:rPr>
  </w:style>
  <w:style w:type="character" w:customStyle="1" w:styleId="SmallBold">
    <w:name w:val="Small Bold"/>
    <w:basedOn w:val="DefaultParagraphFont"/>
    <w:uiPriority w:val="4"/>
    <w:qFormat/>
    <w:rsid w:val="00A970D9"/>
    <w:rPr>
      <w:rFonts w:ascii="Candara" w:hAnsi="Candara"/>
      <w:b/>
      <w:sz w:val="20"/>
      <w:lang w:val="en-AU"/>
    </w:rPr>
  </w:style>
  <w:style w:type="character" w:customStyle="1" w:styleId="UnresolvedMention2">
    <w:name w:val="Unresolved Mention2"/>
    <w:basedOn w:val="DefaultParagraphFont"/>
    <w:uiPriority w:val="99"/>
    <w:semiHidden/>
    <w:unhideWhenUsed/>
    <w:rsid w:val="00922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24560216">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11963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biosimila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gov.au/biosimila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63838-FF45-407C-B339-B9132F46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2022-02-22T05:50:00Z</dcterms:created>
  <dcterms:modified xsi:type="dcterms:W3CDTF">2022-03-02T03:08:00Z</dcterms:modified>
</cp:coreProperties>
</file>