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2232D" w14:textId="77777777" w:rsidR="00B60939" w:rsidRDefault="00AB5047" w:rsidP="00854B7E">
      <w:pPr>
        <w:pStyle w:val="1-MainHeading"/>
        <w:ind w:left="1134" w:hanging="1134"/>
      </w:pPr>
      <w:r>
        <w:t>6</w:t>
      </w:r>
      <w:r w:rsidR="00433044" w:rsidRPr="00C12C14">
        <w:t>.</w:t>
      </w:r>
      <w:r>
        <w:t>06</w:t>
      </w:r>
      <w:r w:rsidR="00163F66">
        <w:tab/>
      </w:r>
      <w:r w:rsidR="00670B38">
        <w:t>EMPAGLIFLOZIN</w:t>
      </w:r>
      <w:r w:rsidR="00163F66">
        <w:t>,</w:t>
      </w:r>
      <w:r w:rsidR="00163F66">
        <w:br/>
      </w:r>
      <w:r w:rsidR="00670B38">
        <w:t>Tablet 10 mg,</w:t>
      </w:r>
      <w:r w:rsidR="00163F66">
        <w:br/>
      </w:r>
      <w:r w:rsidR="00670B38">
        <w:t>Jardiance</w:t>
      </w:r>
      <w:r w:rsidR="00B60939" w:rsidRPr="004A6040">
        <w:rPr>
          <w:vertAlign w:val="superscript"/>
        </w:rPr>
        <w:t>®</w:t>
      </w:r>
      <w:r w:rsidR="004A6040" w:rsidRPr="004A6040">
        <w:t>,</w:t>
      </w:r>
      <w:r w:rsidR="004A6040" w:rsidRPr="004A6040">
        <w:br/>
      </w:r>
      <w:r w:rsidR="00670B38">
        <w:t>Boehringer Ingelheim Pty Lt</w:t>
      </w:r>
      <w:r w:rsidR="00670B38" w:rsidRPr="00670B38">
        <w:t>d</w:t>
      </w:r>
      <w:r w:rsidR="00B60939" w:rsidRPr="004A6040">
        <w:t>.</w:t>
      </w:r>
    </w:p>
    <w:p w14:paraId="590C582D" w14:textId="77777777" w:rsidR="00B50DB8" w:rsidRPr="00407F2D" w:rsidRDefault="00B50DB8" w:rsidP="004A6040">
      <w:pPr>
        <w:pStyle w:val="2-SectionHeading"/>
      </w:pPr>
      <w:bookmarkStart w:id="0" w:name="_Toc82553829"/>
      <w:r w:rsidRPr="00407F2D">
        <w:t xml:space="preserve">Purpose of </w:t>
      </w:r>
      <w:r w:rsidR="00CD7193">
        <w:t>s</w:t>
      </w:r>
      <w:r w:rsidR="00BB3A45">
        <w:t>ubmission</w:t>
      </w:r>
      <w:bookmarkEnd w:id="0"/>
    </w:p>
    <w:p w14:paraId="499FA697" w14:textId="77777777" w:rsidR="002C2775" w:rsidRPr="008B1757" w:rsidRDefault="008E3CA7" w:rsidP="0012228C">
      <w:pPr>
        <w:pStyle w:val="ExecSumBodyText"/>
      </w:pPr>
      <w:r>
        <w:t xml:space="preserve">The </w:t>
      </w:r>
      <w:r w:rsidR="003347AF">
        <w:t xml:space="preserve">Category 2 </w:t>
      </w:r>
      <w:r>
        <w:t xml:space="preserve">submission requested </w:t>
      </w:r>
      <w:r w:rsidRPr="00A444FC">
        <w:t>an Authority Required (Streamlined) list</w:t>
      </w:r>
      <w:r>
        <w:t>ing of em</w:t>
      </w:r>
      <w:r w:rsidRPr="00A444FC">
        <w:t>pagliflozin for the treatment of patients with chronic heart failure</w:t>
      </w:r>
      <w:r>
        <w:t xml:space="preserve"> with reduced ejection fraction (HFrEF), </w:t>
      </w:r>
      <w:r w:rsidRPr="00ED344E">
        <w:t>New York Heart Association</w:t>
      </w:r>
      <w:r>
        <w:t xml:space="preserve"> classification II-IV, left ventricular ejection fraction </w:t>
      </w:r>
      <w:r w:rsidR="0056080A">
        <w:t xml:space="preserve">(LVEF) </w:t>
      </w:r>
      <w:r>
        <w:rPr>
          <w:rFonts w:cstheme="minorHAnsi"/>
        </w:rPr>
        <w:t>≤</w:t>
      </w:r>
      <w:r>
        <w:t xml:space="preserve">40%, </w:t>
      </w:r>
      <w:bookmarkStart w:id="1" w:name="_Hlk87286443"/>
      <w:r>
        <w:t xml:space="preserve">receiving standard care </w:t>
      </w:r>
      <w:r w:rsidR="0056080A">
        <w:t>including</w:t>
      </w:r>
      <w:r>
        <w:t xml:space="preserve"> </w:t>
      </w:r>
      <w:r w:rsidR="0056080A">
        <w:t xml:space="preserve">a beta blocker, and an </w:t>
      </w:r>
      <w:r w:rsidR="0056080A" w:rsidRPr="0056080A">
        <w:t>angiotensin-converting enzyme inhibitor</w:t>
      </w:r>
      <w:r w:rsidR="0056080A">
        <w:t xml:space="preserve"> (ACEi), or</w:t>
      </w:r>
      <w:r w:rsidR="00B04881">
        <w:t xml:space="preserve"> </w:t>
      </w:r>
      <w:r w:rsidR="0056080A">
        <w:t xml:space="preserve">an </w:t>
      </w:r>
      <w:r w:rsidR="0056080A" w:rsidRPr="0056080A">
        <w:t xml:space="preserve">angiotensin II receptor blocker </w:t>
      </w:r>
      <w:r w:rsidR="0056080A">
        <w:t>(</w:t>
      </w:r>
      <w:r w:rsidR="0056080A" w:rsidRPr="0056080A">
        <w:t>ARB</w:t>
      </w:r>
      <w:r w:rsidR="0056080A">
        <w:t xml:space="preserve">), or </w:t>
      </w:r>
      <w:r w:rsidR="0056080A" w:rsidRPr="0056080A">
        <w:t>an angiotensin receptor with neprilysin inhibitor</w:t>
      </w:r>
      <w:r w:rsidR="0056080A">
        <w:t xml:space="preserve"> (ARNi)</w:t>
      </w:r>
      <w:r w:rsidR="008B1757" w:rsidRPr="004E18E9">
        <w:t xml:space="preserve">. </w:t>
      </w:r>
      <w:bookmarkEnd w:id="1"/>
    </w:p>
    <w:p w14:paraId="0CC6CC72" w14:textId="77777777" w:rsidR="004A5C9A" w:rsidRDefault="004A5C9A" w:rsidP="0012228C">
      <w:pPr>
        <w:pStyle w:val="ExecSumBodyText"/>
      </w:pPr>
      <w:r w:rsidRPr="005750C5">
        <w:t xml:space="preserve">Listing was requested on the basis of a </w:t>
      </w:r>
      <w:bookmarkStart w:id="2" w:name="_Hlk83368128"/>
      <w:r>
        <w:t xml:space="preserve">cost-utility </w:t>
      </w:r>
      <w:bookmarkEnd w:id="2"/>
      <w:r>
        <w:t>a</w:t>
      </w:r>
      <w:r w:rsidRPr="005750C5">
        <w:t xml:space="preserve">nalysis </w:t>
      </w:r>
      <w:r>
        <w:t>for empagliflozin plus standard care</w:t>
      </w:r>
      <w:r w:rsidR="00047622">
        <w:t xml:space="preserve"> (SC)</w:t>
      </w:r>
      <w:r>
        <w:t xml:space="preserve"> versus </w:t>
      </w:r>
      <w:r w:rsidR="00047622">
        <w:t>SC</w:t>
      </w:r>
      <w:r>
        <w:t xml:space="preserve"> alone.</w:t>
      </w:r>
      <w:r w:rsidR="00D56573">
        <w:t xml:space="preserve"> </w:t>
      </w:r>
      <w:r w:rsidR="00635C36">
        <w:t xml:space="preserve">The submission also included a clinical claim of noninferiority to dapagliflozin plus SC, which </w:t>
      </w:r>
      <w:r w:rsidR="0040620B">
        <w:t>had been</w:t>
      </w:r>
      <w:r w:rsidR="00635C36">
        <w:t xml:space="preserve"> recommended for listing by PBAC at its September Intracycle meeting. Therefore, the PBAC considered it appropriate for the listing to be considered on a cost-minimisation basis with dapagliflozin plus SC (see also ‘Comparator’ section).</w:t>
      </w:r>
    </w:p>
    <w:p w14:paraId="419DDFDF" w14:textId="77777777" w:rsidR="008B1757" w:rsidRPr="004A6040" w:rsidRDefault="00B974B3" w:rsidP="003B10F4">
      <w:pPr>
        <w:pStyle w:val="TableFigureCaption"/>
      </w:pPr>
      <w:r>
        <w:t xml:space="preserve">Table </w:t>
      </w:r>
      <w:r w:rsidR="00915190">
        <w:rPr>
          <w:noProof/>
        </w:rPr>
        <w:t>1</w:t>
      </w:r>
      <w:r>
        <w:t>:</w:t>
      </w:r>
      <w:r w:rsidR="00BC591F" w:rsidRPr="004A6040">
        <w:t xml:space="preserve"> </w:t>
      </w:r>
      <w:r w:rsidR="008B1757" w:rsidRPr="004A6040">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414"/>
        <w:gridCol w:w="7603"/>
      </w:tblGrid>
      <w:tr w:rsidR="008B1757" w:rsidRPr="00691913" w14:paraId="7407D677" w14:textId="77777777" w:rsidTr="000C1383">
        <w:trPr>
          <w:cantSplit/>
          <w:tblHeader/>
        </w:trPr>
        <w:tc>
          <w:tcPr>
            <w:tcW w:w="784" w:type="pct"/>
            <w:shd w:val="clear" w:color="auto" w:fill="auto"/>
          </w:tcPr>
          <w:p w14:paraId="60A2392A" w14:textId="77777777" w:rsidR="008B1757" w:rsidRPr="008B1757" w:rsidRDefault="008B1757" w:rsidP="004A6040">
            <w:pPr>
              <w:pStyle w:val="Tableheadingrow"/>
              <w:rPr>
                <w:szCs w:val="20"/>
              </w:rPr>
            </w:pPr>
            <w:r w:rsidRPr="008B1757">
              <w:t>Component</w:t>
            </w:r>
          </w:p>
        </w:tc>
        <w:tc>
          <w:tcPr>
            <w:tcW w:w="4216" w:type="pct"/>
            <w:shd w:val="clear" w:color="auto" w:fill="auto"/>
          </w:tcPr>
          <w:p w14:paraId="4A77E137" w14:textId="77777777" w:rsidR="008B1757" w:rsidRPr="008B1757" w:rsidRDefault="008B1757" w:rsidP="004A6040">
            <w:pPr>
              <w:pStyle w:val="Tableheadingrow"/>
            </w:pPr>
            <w:r w:rsidRPr="008B1757">
              <w:t>Description</w:t>
            </w:r>
          </w:p>
        </w:tc>
      </w:tr>
      <w:tr w:rsidR="008E3CA7" w:rsidRPr="00691913" w14:paraId="423D583D" w14:textId="77777777" w:rsidTr="000C1383">
        <w:trPr>
          <w:cantSplit/>
        </w:trPr>
        <w:tc>
          <w:tcPr>
            <w:tcW w:w="784" w:type="pct"/>
            <w:shd w:val="clear" w:color="auto" w:fill="auto"/>
            <w:vAlign w:val="center"/>
          </w:tcPr>
          <w:p w14:paraId="6BBB8B1D" w14:textId="77777777" w:rsidR="008E3CA7" w:rsidRPr="00691913" w:rsidRDefault="008E3CA7" w:rsidP="008E3CA7">
            <w:pPr>
              <w:pStyle w:val="TableText"/>
            </w:pPr>
            <w:r>
              <w:t>Population</w:t>
            </w:r>
          </w:p>
        </w:tc>
        <w:tc>
          <w:tcPr>
            <w:tcW w:w="4216" w:type="pct"/>
            <w:shd w:val="clear" w:color="auto" w:fill="auto"/>
            <w:vAlign w:val="center"/>
          </w:tcPr>
          <w:p w14:paraId="14D4C95B" w14:textId="77777777" w:rsidR="008E3CA7" w:rsidRPr="00691913" w:rsidRDefault="008E3CA7" w:rsidP="008E3CA7">
            <w:pPr>
              <w:pStyle w:val="TableText"/>
            </w:pPr>
            <w:r w:rsidRPr="00D1609D">
              <w:rPr>
                <w:szCs w:val="20"/>
              </w:rPr>
              <w:t>Adult patients (NYHA Class II-IV) with HFrEF defined as LVEF ≤40%.</w:t>
            </w:r>
          </w:p>
        </w:tc>
      </w:tr>
      <w:tr w:rsidR="008E3CA7" w:rsidRPr="00691913" w14:paraId="5DB0445A" w14:textId="77777777" w:rsidTr="000C1383">
        <w:trPr>
          <w:cantSplit/>
        </w:trPr>
        <w:tc>
          <w:tcPr>
            <w:tcW w:w="784" w:type="pct"/>
            <w:shd w:val="clear" w:color="auto" w:fill="auto"/>
            <w:vAlign w:val="center"/>
          </w:tcPr>
          <w:p w14:paraId="466EEE22" w14:textId="77777777" w:rsidR="008E3CA7" w:rsidRPr="00691913" w:rsidRDefault="008E3CA7" w:rsidP="008E3CA7">
            <w:pPr>
              <w:pStyle w:val="TableText"/>
            </w:pPr>
            <w:r>
              <w:t>Intervention</w:t>
            </w:r>
          </w:p>
        </w:tc>
        <w:tc>
          <w:tcPr>
            <w:tcW w:w="4216" w:type="pct"/>
            <w:shd w:val="clear" w:color="auto" w:fill="auto"/>
            <w:vAlign w:val="center"/>
          </w:tcPr>
          <w:p w14:paraId="28B25D41" w14:textId="77777777" w:rsidR="008E3CA7" w:rsidRPr="00691913" w:rsidRDefault="008E3CA7" w:rsidP="008E3CA7">
            <w:pPr>
              <w:pStyle w:val="TableText"/>
            </w:pPr>
            <w:r w:rsidRPr="00D1609D">
              <w:rPr>
                <w:szCs w:val="20"/>
              </w:rPr>
              <w:t>Empagliflozin 10</w:t>
            </w:r>
            <w:r>
              <w:rPr>
                <w:szCs w:val="20"/>
              </w:rPr>
              <w:t xml:space="preserve"> </w:t>
            </w:r>
            <w:r w:rsidRPr="00D1609D">
              <w:rPr>
                <w:szCs w:val="20"/>
              </w:rPr>
              <w:t>mg once daily in addition to standard care (SC).</w:t>
            </w:r>
          </w:p>
        </w:tc>
      </w:tr>
      <w:tr w:rsidR="008E3CA7" w:rsidRPr="00691913" w14:paraId="614939A7" w14:textId="77777777" w:rsidTr="000C1383">
        <w:trPr>
          <w:cantSplit/>
        </w:trPr>
        <w:tc>
          <w:tcPr>
            <w:tcW w:w="784" w:type="pct"/>
            <w:shd w:val="clear" w:color="auto" w:fill="auto"/>
            <w:vAlign w:val="center"/>
          </w:tcPr>
          <w:p w14:paraId="4E3B244F" w14:textId="77777777" w:rsidR="008E3CA7" w:rsidRPr="00691913" w:rsidRDefault="008E3CA7" w:rsidP="008E3CA7">
            <w:pPr>
              <w:pStyle w:val="TableText"/>
            </w:pPr>
            <w:r>
              <w:t>Comparator</w:t>
            </w:r>
          </w:p>
        </w:tc>
        <w:tc>
          <w:tcPr>
            <w:tcW w:w="4216" w:type="pct"/>
            <w:shd w:val="clear" w:color="auto" w:fill="auto"/>
            <w:vAlign w:val="center"/>
          </w:tcPr>
          <w:p w14:paraId="4DECCEF4" w14:textId="77777777" w:rsidR="008E3CA7" w:rsidRPr="00D1609D" w:rsidRDefault="008E3CA7" w:rsidP="008E3CA7">
            <w:pPr>
              <w:pStyle w:val="TableText"/>
              <w:rPr>
                <w:szCs w:val="20"/>
              </w:rPr>
            </w:pPr>
            <w:r w:rsidRPr="00D1609D">
              <w:rPr>
                <w:szCs w:val="20"/>
              </w:rPr>
              <w:t>Placebo in addition to SC, defined as:</w:t>
            </w:r>
          </w:p>
          <w:p w14:paraId="10CC41D5" w14:textId="77777777" w:rsidR="008E3CA7" w:rsidRPr="00D1609D" w:rsidRDefault="008E3CA7" w:rsidP="002E0394">
            <w:pPr>
              <w:pStyle w:val="TableText"/>
              <w:numPr>
                <w:ilvl w:val="0"/>
                <w:numId w:val="5"/>
              </w:numPr>
              <w:ind w:left="201" w:hanging="142"/>
              <w:rPr>
                <w:szCs w:val="20"/>
              </w:rPr>
            </w:pPr>
            <w:r w:rsidRPr="00D1609D">
              <w:rPr>
                <w:szCs w:val="20"/>
              </w:rPr>
              <w:t>an angiotensin-converting enzyme inhibitor</w:t>
            </w:r>
            <w:r w:rsidR="008A5F67">
              <w:rPr>
                <w:szCs w:val="20"/>
              </w:rPr>
              <w:t xml:space="preserve"> </w:t>
            </w:r>
            <w:r w:rsidRPr="00D1609D">
              <w:rPr>
                <w:szCs w:val="20"/>
              </w:rPr>
              <w:t xml:space="preserve">or angiotensin II receptor blocker, in combination with a beta-blocker, ± a mineralocorticoid receptor antagonist; or </w:t>
            </w:r>
          </w:p>
          <w:p w14:paraId="07063E08" w14:textId="77777777" w:rsidR="008E3CA7" w:rsidRPr="00D1609D" w:rsidRDefault="008E3CA7" w:rsidP="002E0394">
            <w:pPr>
              <w:pStyle w:val="TableText"/>
              <w:numPr>
                <w:ilvl w:val="0"/>
                <w:numId w:val="5"/>
              </w:numPr>
              <w:ind w:left="201" w:hanging="142"/>
              <w:rPr>
                <w:szCs w:val="20"/>
              </w:rPr>
            </w:pPr>
            <w:r w:rsidRPr="00D1609D">
              <w:rPr>
                <w:szCs w:val="20"/>
              </w:rPr>
              <w:t xml:space="preserve">sacubitril/valsartan, in combination with a beta-blocker, ± a mineralocorticoid receptor </w:t>
            </w:r>
            <w:r w:rsidR="00355FCF" w:rsidRPr="00D1609D">
              <w:rPr>
                <w:szCs w:val="20"/>
              </w:rPr>
              <w:t>antagonist.</w:t>
            </w:r>
          </w:p>
          <w:p w14:paraId="15866E7C" w14:textId="77777777" w:rsidR="008E3CA7" w:rsidRPr="001E1E86" w:rsidRDefault="008E3CA7" w:rsidP="008E3CA7">
            <w:pPr>
              <w:pStyle w:val="TableText"/>
              <w:rPr>
                <w:rFonts w:eastAsia="Times New Roman" w:cs="Arial"/>
                <w:bCs w:val="0"/>
                <w:snapToGrid w:val="0"/>
                <w:color w:val="0066FF"/>
                <w:szCs w:val="20"/>
              </w:rPr>
            </w:pPr>
            <w:r w:rsidRPr="00D1609D">
              <w:rPr>
                <w:szCs w:val="20"/>
              </w:rPr>
              <w:t>Dapagliflozin in addition to SC (potential near market comparator).</w:t>
            </w:r>
          </w:p>
        </w:tc>
      </w:tr>
      <w:tr w:rsidR="008E3CA7" w:rsidRPr="00691913" w14:paraId="6F85C709" w14:textId="77777777" w:rsidTr="000C1383">
        <w:trPr>
          <w:cantSplit/>
        </w:trPr>
        <w:tc>
          <w:tcPr>
            <w:tcW w:w="784" w:type="pct"/>
            <w:shd w:val="clear" w:color="auto" w:fill="auto"/>
            <w:vAlign w:val="center"/>
          </w:tcPr>
          <w:p w14:paraId="513594C2" w14:textId="77777777" w:rsidR="008E3CA7" w:rsidRPr="00691913" w:rsidRDefault="008E3CA7" w:rsidP="008E3CA7">
            <w:pPr>
              <w:pStyle w:val="TableText"/>
            </w:pPr>
            <w:r>
              <w:t>Outcomes</w:t>
            </w:r>
          </w:p>
        </w:tc>
        <w:tc>
          <w:tcPr>
            <w:tcW w:w="4216" w:type="pct"/>
            <w:shd w:val="clear" w:color="auto" w:fill="auto"/>
            <w:vAlign w:val="center"/>
          </w:tcPr>
          <w:p w14:paraId="0F98AF32" w14:textId="77777777" w:rsidR="008E3CA7" w:rsidRPr="001E1E86" w:rsidRDefault="008E3CA7" w:rsidP="008E3CA7">
            <w:pPr>
              <w:pStyle w:val="TableText"/>
              <w:rPr>
                <w:rFonts w:eastAsia="Times New Roman" w:cs="Arial"/>
                <w:bCs w:val="0"/>
                <w:snapToGrid w:val="0"/>
                <w:color w:val="0066FF"/>
                <w:szCs w:val="20"/>
              </w:rPr>
            </w:pPr>
            <w:r w:rsidRPr="00D1609D">
              <w:rPr>
                <w:rFonts w:cstheme="minorHAnsi"/>
                <w:szCs w:val="20"/>
              </w:rPr>
              <w:t>Composite of cardiovascular death and hospitalisation for heart failure, all-cause mortality, renal function decline, heart failure related quality of life, adverse events.</w:t>
            </w:r>
          </w:p>
        </w:tc>
      </w:tr>
      <w:tr w:rsidR="00262343" w:rsidRPr="00565789" w14:paraId="75D2740C" w14:textId="77777777" w:rsidTr="000C1383">
        <w:trPr>
          <w:cantSplit/>
        </w:trPr>
        <w:tc>
          <w:tcPr>
            <w:tcW w:w="784" w:type="pct"/>
            <w:shd w:val="clear" w:color="auto" w:fill="auto"/>
            <w:vAlign w:val="center"/>
          </w:tcPr>
          <w:p w14:paraId="7A31951C" w14:textId="77777777" w:rsidR="00262343" w:rsidRPr="00565789" w:rsidRDefault="00262343" w:rsidP="008E3CA7">
            <w:pPr>
              <w:pStyle w:val="TableText"/>
              <w:rPr>
                <w:iCs/>
              </w:rPr>
            </w:pPr>
            <w:r w:rsidRPr="00565789">
              <w:rPr>
                <w:iCs/>
              </w:rPr>
              <w:t>Clinical claim</w:t>
            </w:r>
          </w:p>
        </w:tc>
        <w:tc>
          <w:tcPr>
            <w:tcW w:w="4216" w:type="pct"/>
            <w:shd w:val="clear" w:color="auto" w:fill="auto"/>
            <w:vAlign w:val="center"/>
          </w:tcPr>
          <w:p w14:paraId="5B32424A" w14:textId="77777777" w:rsidR="00262343" w:rsidRPr="00565789" w:rsidRDefault="00262343" w:rsidP="008E3CA7">
            <w:pPr>
              <w:pStyle w:val="TableText"/>
              <w:rPr>
                <w:rFonts w:cstheme="minorHAnsi"/>
                <w:iCs/>
                <w:szCs w:val="20"/>
              </w:rPr>
            </w:pPr>
            <w:r w:rsidRPr="00565789">
              <w:rPr>
                <w:rFonts w:cstheme="minorHAnsi"/>
                <w:iCs/>
                <w:szCs w:val="20"/>
              </w:rPr>
              <w:t>Empagliflozin plus SC is superior in terms of effectiveness</w:t>
            </w:r>
            <w:r w:rsidR="001A0800" w:rsidRPr="00565789">
              <w:rPr>
                <w:rFonts w:cstheme="minorHAnsi"/>
                <w:iCs/>
                <w:szCs w:val="20"/>
              </w:rPr>
              <w:t>, and noninferior in terms of safety,</w:t>
            </w:r>
            <w:r w:rsidRPr="00565789">
              <w:rPr>
                <w:rFonts w:cstheme="minorHAnsi"/>
                <w:iCs/>
                <w:szCs w:val="20"/>
              </w:rPr>
              <w:t xml:space="preserve"> compared with placebo plus SC.</w:t>
            </w:r>
          </w:p>
          <w:p w14:paraId="3225F91C" w14:textId="77777777" w:rsidR="001A0800" w:rsidRPr="00565789" w:rsidRDefault="001A0800" w:rsidP="008E3CA7">
            <w:pPr>
              <w:pStyle w:val="TableText"/>
              <w:rPr>
                <w:rFonts w:cstheme="minorHAnsi"/>
                <w:iCs/>
                <w:szCs w:val="20"/>
              </w:rPr>
            </w:pPr>
            <w:r w:rsidRPr="00565789">
              <w:rPr>
                <w:rFonts w:cstheme="minorHAnsi"/>
                <w:iCs/>
                <w:szCs w:val="20"/>
              </w:rPr>
              <w:t>Empagliflozin plus SC is noninferior in terms of effectiveness and safety compared with dapagliflozin plus SC.</w:t>
            </w:r>
          </w:p>
        </w:tc>
      </w:tr>
    </w:tbl>
    <w:p w14:paraId="25BAD823" w14:textId="77777777" w:rsidR="008E3CA7" w:rsidRDefault="008E3CA7" w:rsidP="008E3CA7">
      <w:pPr>
        <w:pStyle w:val="TableFigureFooter"/>
      </w:pPr>
      <w:r>
        <w:t>Source: Table 1.1, p2 of the submission.</w:t>
      </w:r>
    </w:p>
    <w:p w14:paraId="0C028039" w14:textId="77777777" w:rsidR="004E43B2" w:rsidRDefault="008E3CA7" w:rsidP="008E3CA7">
      <w:pPr>
        <w:pStyle w:val="TableFigureFooter"/>
      </w:pPr>
      <w:r>
        <w:t xml:space="preserve">HFrEF, heart failure with reduced ejection fraction; LVEF, left ventricular ejection fraction; </w:t>
      </w:r>
      <w:r w:rsidRPr="00336347">
        <w:t>MRA, mineralocorticoid receptor antagonist; NYHA, New York Heart Association</w:t>
      </w:r>
      <w:r>
        <w:t>; SC, standard care</w:t>
      </w:r>
      <w:r w:rsidRPr="00336347">
        <w:t>.</w:t>
      </w:r>
    </w:p>
    <w:p w14:paraId="56FDC573" w14:textId="77777777" w:rsidR="00565789" w:rsidRPr="00C33D30" w:rsidRDefault="00565789" w:rsidP="00565789">
      <w:pPr>
        <w:ind w:firstLine="709"/>
        <w:rPr>
          <w:rFonts w:asciiTheme="minorHAnsi" w:hAnsiTheme="minorHAnsi"/>
          <w:i/>
        </w:rPr>
      </w:pPr>
      <w:bookmarkStart w:id="3" w:name="_Hlk76375324"/>
      <w:r w:rsidRPr="00C33D30">
        <w:rPr>
          <w:rFonts w:asciiTheme="minorHAnsi" w:hAnsiTheme="minorHAnsi"/>
          <w:i/>
        </w:rPr>
        <w:t>For more detail on PBAC’s view, see section 7 PBAC outcome.</w:t>
      </w:r>
    </w:p>
    <w:p w14:paraId="608CB633" w14:textId="77777777" w:rsidR="005C25FF" w:rsidRPr="00407F2D" w:rsidRDefault="005C25FF" w:rsidP="004A6040">
      <w:pPr>
        <w:pStyle w:val="2-SectionHeading"/>
      </w:pPr>
      <w:bookmarkStart w:id="4" w:name="_Toc82553830"/>
      <w:bookmarkEnd w:id="3"/>
      <w:r w:rsidRPr="00407F2D">
        <w:t>Background</w:t>
      </w:r>
      <w:bookmarkEnd w:id="4"/>
    </w:p>
    <w:p w14:paraId="1136B22C" w14:textId="77777777" w:rsidR="005C25FF" w:rsidRPr="00565789" w:rsidRDefault="005C25FF" w:rsidP="004A6040">
      <w:pPr>
        <w:pStyle w:val="3-SubsectionHeading"/>
        <w:rPr>
          <w:i w:val="0"/>
        </w:rPr>
      </w:pPr>
      <w:bookmarkStart w:id="5" w:name="_Toc22897638"/>
      <w:bookmarkStart w:id="6" w:name="_Toc82553831"/>
      <w:r w:rsidRPr="00565789">
        <w:rPr>
          <w:i w:val="0"/>
        </w:rPr>
        <w:t>Registration status</w:t>
      </w:r>
      <w:bookmarkEnd w:id="5"/>
      <w:bookmarkEnd w:id="6"/>
    </w:p>
    <w:p w14:paraId="7A5E0E2F" w14:textId="77777777" w:rsidR="004A5C9A" w:rsidRDefault="004F1B4D" w:rsidP="0012228C">
      <w:pPr>
        <w:pStyle w:val="ExecSumBodyText"/>
      </w:pPr>
      <w:r w:rsidRPr="00040BAC">
        <w:rPr>
          <w:rFonts w:ascii="Calibri" w:eastAsia="Calibri" w:hAnsi="Calibri"/>
          <w:b/>
          <w:szCs w:val="22"/>
        </w:rPr>
        <w:t xml:space="preserve">TGA status at time of </w:t>
      </w:r>
      <w:r w:rsidR="00635C36" w:rsidRPr="00040BAC">
        <w:rPr>
          <w:rFonts w:ascii="Calibri" w:eastAsia="Calibri" w:hAnsi="Calibri"/>
          <w:b/>
          <w:szCs w:val="22"/>
        </w:rPr>
        <w:t>PBAC consideration</w:t>
      </w:r>
      <w:r w:rsidRPr="00040BAC">
        <w:rPr>
          <w:rFonts w:ascii="Calibri" w:eastAsia="Calibri" w:hAnsi="Calibri"/>
          <w:szCs w:val="22"/>
        </w:rPr>
        <w:t xml:space="preserve">: </w:t>
      </w:r>
      <w:r w:rsidR="004A5C9A" w:rsidRPr="00040BAC">
        <w:t xml:space="preserve">The submission was </w:t>
      </w:r>
      <w:r w:rsidR="0040620B">
        <w:t xml:space="preserve">made </w:t>
      </w:r>
      <w:r w:rsidR="004A5C9A" w:rsidRPr="00040BAC">
        <w:t xml:space="preserve">under the TGA/PBAC parallel process. At the time of </w:t>
      </w:r>
      <w:r w:rsidR="00355FCF" w:rsidRPr="00040BAC">
        <w:t>evaluation,</w:t>
      </w:r>
      <w:r w:rsidR="004A5C9A" w:rsidRPr="00040BAC">
        <w:t xml:space="preserve"> the </w:t>
      </w:r>
      <w:r w:rsidR="002E0394" w:rsidRPr="00040BAC">
        <w:t xml:space="preserve">Round 1 </w:t>
      </w:r>
      <w:r w:rsidR="004A5C9A" w:rsidRPr="00040BAC">
        <w:t xml:space="preserve">TGA Clinical </w:t>
      </w:r>
      <w:r w:rsidR="004A5C9A" w:rsidRPr="00040BAC">
        <w:lastRenderedPageBreak/>
        <w:t>Evaluat</w:t>
      </w:r>
      <w:r w:rsidR="002E0394" w:rsidRPr="00040BAC">
        <w:t>ion</w:t>
      </w:r>
      <w:r w:rsidR="004A5C9A" w:rsidRPr="00040BAC">
        <w:t xml:space="preserve"> </w:t>
      </w:r>
      <w:r w:rsidR="002E0394" w:rsidRPr="00040BAC">
        <w:t xml:space="preserve">Report </w:t>
      </w:r>
      <w:r w:rsidR="004A5C9A" w:rsidRPr="00040BAC">
        <w:t xml:space="preserve">was available. </w:t>
      </w:r>
      <w:r w:rsidR="0040620B">
        <w:t>A positive</w:t>
      </w:r>
      <w:r w:rsidR="0040620B" w:rsidRPr="00040BAC">
        <w:t xml:space="preserve"> </w:t>
      </w:r>
      <w:r w:rsidR="00B96D54" w:rsidRPr="00040BAC">
        <w:t xml:space="preserve">TGA delegate’s overview </w:t>
      </w:r>
      <w:r w:rsidR="00635C36" w:rsidRPr="00040BAC">
        <w:t xml:space="preserve">was available prior to the </w:t>
      </w:r>
      <w:r w:rsidR="00040BAC" w:rsidRPr="00040BAC">
        <w:t>PBAC meeting</w:t>
      </w:r>
      <w:r w:rsidR="004A5C9A" w:rsidRPr="00040BAC">
        <w:t>.</w:t>
      </w:r>
    </w:p>
    <w:p w14:paraId="055316DE" w14:textId="77777777" w:rsidR="00040BAC" w:rsidRPr="00040BAC" w:rsidRDefault="00040BAC" w:rsidP="0012228C">
      <w:pPr>
        <w:pStyle w:val="ExecSumBodyText"/>
      </w:pPr>
      <w:r>
        <w:rPr>
          <w:rFonts w:eastAsia="Calibri"/>
        </w:rPr>
        <w:t>The indication in the TGA delegate’s overview was:</w:t>
      </w:r>
    </w:p>
    <w:p w14:paraId="5FA0E471" w14:textId="77777777" w:rsidR="00040BAC" w:rsidRPr="00040BAC" w:rsidRDefault="00040BAC" w:rsidP="0012228C">
      <w:pPr>
        <w:pStyle w:val="ExecSumBodyText"/>
        <w:numPr>
          <w:ilvl w:val="1"/>
          <w:numId w:val="8"/>
        </w:numPr>
      </w:pPr>
      <w:r>
        <w:t>“</w:t>
      </w:r>
      <w:r w:rsidRPr="00040BAC">
        <w:t>JARDIANCE is indicated in adults for the treatment of symptomatic heart failure with reduced ejection fraction, as an adjunct to standard of care therapy.</w:t>
      </w:r>
      <w:r>
        <w:t>”</w:t>
      </w:r>
    </w:p>
    <w:p w14:paraId="3A6899D2" w14:textId="77777777" w:rsidR="004A5C9A" w:rsidRPr="00040BAC" w:rsidRDefault="004A5C9A" w:rsidP="0012228C">
      <w:pPr>
        <w:pStyle w:val="ExecSumBodyText"/>
      </w:pPr>
      <w:r>
        <w:t xml:space="preserve">Empagliflozin 25 mg and 10 mg tablets are listed on the Australian Register of Therapeutic Goods (ARTG) for </w:t>
      </w:r>
      <w:r w:rsidR="00BB7BDA">
        <w:t>t</w:t>
      </w:r>
      <w:r>
        <w:t xml:space="preserve">ype 2 diabetes as monotherapy, add-on combination therapies with other diabetes medicines including insulin, when diet and exercise alone do not provide adequate glycaemic control, and to reduce the risk of cardiovascular death in patients with </w:t>
      </w:r>
      <w:r w:rsidR="00BB7BDA">
        <w:t>type 2 diabetes</w:t>
      </w:r>
      <w:r>
        <w:t xml:space="preserve"> and established cardiovascular disease in conjunction with other measures to reduce cardiovascular risk in line with </w:t>
      </w:r>
      <w:r w:rsidRPr="00040BAC">
        <w:t>the current standard of care.</w:t>
      </w:r>
    </w:p>
    <w:p w14:paraId="59E1CDCD" w14:textId="77777777" w:rsidR="00565789" w:rsidRPr="00040BAC" w:rsidRDefault="00565789" w:rsidP="00565789">
      <w:pPr>
        <w:ind w:firstLine="709"/>
        <w:rPr>
          <w:rFonts w:asciiTheme="minorHAnsi" w:hAnsiTheme="minorHAnsi"/>
          <w:i/>
        </w:rPr>
      </w:pPr>
      <w:r w:rsidRPr="00040BAC">
        <w:rPr>
          <w:rFonts w:asciiTheme="minorHAnsi" w:hAnsiTheme="minorHAnsi"/>
          <w:i/>
        </w:rPr>
        <w:t>For more detail on PBAC’s view, see section 7 PBAC outcome.</w:t>
      </w:r>
    </w:p>
    <w:p w14:paraId="46A11A5F" w14:textId="77777777" w:rsidR="004F1B4D" w:rsidRPr="00894532" w:rsidRDefault="00B50DB8" w:rsidP="00894532">
      <w:pPr>
        <w:pStyle w:val="2-SectionHeading"/>
      </w:pPr>
      <w:bookmarkStart w:id="7" w:name="_Toc82553832"/>
      <w:r w:rsidRPr="00894532">
        <w:lastRenderedPageBreak/>
        <w:t>Requested listing</w:t>
      </w:r>
      <w:bookmarkEnd w:id="7"/>
    </w:p>
    <w:tbl>
      <w:tblPr>
        <w:tblW w:w="9015" w:type="dxa"/>
        <w:tblBorders>
          <w:top w:val="single" w:sz="4" w:space="0" w:color="auto"/>
          <w:bottom w:val="single" w:sz="4" w:space="0" w:color="auto"/>
          <w:insideH w:val="single" w:sz="4" w:space="0" w:color="auto"/>
        </w:tblBorders>
        <w:tblLook w:val="04A0" w:firstRow="1" w:lastRow="0" w:firstColumn="1" w:lastColumn="0" w:noHBand="0" w:noVBand="1"/>
      </w:tblPr>
      <w:tblGrid>
        <w:gridCol w:w="28"/>
        <w:gridCol w:w="1815"/>
        <w:gridCol w:w="1730"/>
        <w:gridCol w:w="1316"/>
        <w:gridCol w:w="942"/>
        <w:gridCol w:w="1658"/>
        <w:gridCol w:w="1526"/>
      </w:tblGrid>
      <w:tr w:rsidR="004F0CBF" w:rsidRPr="007D2D5F" w14:paraId="3EF29083" w14:textId="77777777" w:rsidTr="00B974B3">
        <w:tc>
          <w:tcPr>
            <w:tcW w:w="1843" w:type="dxa"/>
            <w:gridSpan w:val="2"/>
            <w:tcBorders>
              <w:bottom w:val="single" w:sz="4" w:space="0" w:color="auto"/>
            </w:tcBorders>
          </w:tcPr>
          <w:p w14:paraId="2D7D93BE" w14:textId="77777777" w:rsidR="004F0CBF" w:rsidRPr="00040BAC" w:rsidRDefault="004F0CBF" w:rsidP="00897712">
            <w:pPr>
              <w:pStyle w:val="TableFigureCaption"/>
            </w:pPr>
            <w:r w:rsidRPr="00040BAC">
              <w:t>Name, restriction, manner of administration, form</w:t>
            </w:r>
          </w:p>
        </w:tc>
        <w:tc>
          <w:tcPr>
            <w:tcW w:w="1730" w:type="dxa"/>
            <w:tcBorders>
              <w:bottom w:val="single" w:sz="4" w:space="0" w:color="auto"/>
            </w:tcBorders>
          </w:tcPr>
          <w:p w14:paraId="4599A2B6" w14:textId="77777777" w:rsidR="004F0CBF" w:rsidRPr="00040BAC" w:rsidRDefault="004F0CBF" w:rsidP="00897712">
            <w:pPr>
              <w:pStyle w:val="TableFigureCaption"/>
              <w:jc w:val="center"/>
            </w:pPr>
            <w:r w:rsidRPr="00040BAC">
              <w:t>Maximum quantity (packs)</w:t>
            </w:r>
          </w:p>
        </w:tc>
        <w:tc>
          <w:tcPr>
            <w:tcW w:w="1316" w:type="dxa"/>
            <w:tcBorders>
              <w:bottom w:val="single" w:sz="4" w:space="0" w:color="auto"/>
            </w:tcBorders>
          </w:tcPr>
          <w:p w14:paraId="3203ECEB" w14:textId="77777777" w:rsidR="004F0CBF" w:rsidRPr="00040BAC" w:rsidRDefault="004F0CBF" w:rsidP="00897712">
            <w:pPr>
              <w:pStyle w:val="TableFigureCaption"/>
              <w:jc w:val="center"/>
            </w:pPr>
            <w:r w:rsidRPr="00040BAC">
              <w:t>Maximum quantity (units)</w:t>
            </w:r>
          </w:p>
        </w:tc>
        <w:tc>
          <w:tcPr>
            <w:tcW w:w="942" w:type="dxa"/>
            <w:tcBorders>
              <w:bottom w:val="single" w:sz="4" w:space="0" w:color="auto"/>
            </w:tcBorders>
          </w:tcPr>
          <w:p w14:paraId="5BA4D42D" w14:textId="77777777" w:rsidR="004F0CBF" w:rsidRPr="00040BAC" w:rsidRDefault="004F0CBF" w:rsidP="00897712">
            <w:pPr>
              <w:pStyle w:val="TableFigureCaption"/>
              <w:jc w:val="center"/>
            </w:pPr>
            <w:r w:rsidRPr="00040BAC">
              <w:t>No. of repeats</w:t>
            </w:r>
          </w:p>
        </w:tc>
        <w:tc>
          <w:tcPr>
            <w:tcW w:w="1658" w:type="dxa"/>
            <w:tcBorders>
              <w:bottom w:val="single" w:sz="4" w:space="0" w:color="auto"/>
            </w:tcBorders>
          </w:tcPr>
          <w:p w14:paraId="5D6CB643" w14:textId="77777777" w:rsidR="004F0CBF" w:rsidRPr="00040BAC" w:rsidRDefault="004F0CBF" w:rsidP="00897712">
            <w:pPr>
              <w:pStyle w:val="TableFigureCaption"/>
              <w:jc w:val="center"/>
            </w:pPr>
            <w:r w:rsidRPr="00040BAC">
              <w:t>Dispensed price for maximum quantity</w:t>
            </w:r>
          </w:p>
        </w:tc>
        <w:tc>
          <w:tcPr>
            <w:tcW w:w="1526" w:type="dxa"/>
            <w:tcBorders>
              <w:bottom w:val="single" w:sz="4" w:space="0" w:color="auto"/>
            </w:tcBorders>
          </w:tcPr>
          <w:p w14:paraId="2E99021B" w14:textId="77777777" w:rsidR="004F0CBF" w:rsidRPr="002C71CE" w:rsidRDefault="004F0CBF" w:rsidP="00897712">
            <w:pPr>
              <w:pStyle w:val="TableFigureCaption"/>
              <w:jc w:val="center"/>
            </w:pPr>
            <w:r w:rsidRPr="00040BAC">
              <w:t>Proprietary name and manufacturer</w:t>
            </w:r>
          </w:p>
        </w:tc>
      </w:tr>
      <w:tr w:rsidR="004F0CBF" w:rsidRPr="007D2D5F" w14:paraId="37A840DA" w14:textId="77777777" w:rsidTr="00B974B3">
        <w:tc>
          <w:tcPr>
            <w:tcW w:w="1843" w:type="dxa"/>
            <w:gridSpan w:val="2"/>
            <w:tcBorders>
              <w:bottom w:val="nil"/>
            </w:tcBorders>
            <w:vAlign w:val="center"/>
          </w:tcPr>
          <w:p w14:paraId="7A9ECF19" w14:textId="77777777" w:rsidR="004F0CBF" w:rsidRPr="0050174E" w:rsidRDefault="004F0CBF" w:rsidP="00897712">
            <w:pPr>
              <w:pStyle w:val="TableText"/>
            </w:pPr>
            <w:r>
              <w:t>EMPAGLIFLOZIN</w:t>
            </w:r>
          </w:p>
          <w:p w14:paraId="397BE64C" w14:textId="77777777" w:rsidR="004F0CBF" w:rsidRPr="00B41B57" w:rsidRDefault="004F0CBF" w:rsidP="00897712">
            <w:pPr>
              <w:pStyle w:val="TableText"/>
            </w:pPr>
            <w:r>
              <w:t>Tablets 10 mg</w:t>
            </w:r>
            <w:r w:rsidRPr="0050174E">
              <w:t xml:space="preserve">, </w:t>
            </w:r>
            <w:r>
              <w:t>(30)</w:t>
            </w:r>
          </w:p>
        </w:tc>
        <w:tc>
          <w:tcPr>
            <w:tcW w:w="1730" w:type="dxa"/>
            <w:tcBorders>
              <w:bottom w:val="nil"/>
            </w:tcBorders>
            <w:vAlign w:val="center"/>
          </w:tcPr>
          <w:p w14:paraId="613EC0F5" w14:textId="77777777" w:rsidR="004F0CBF" w:rsidRPr="0050174E" w:rsidRDefault="004F0CBF" w:rsidP="00897712">
            <w:pPr>
              <w:pStyle w:val="TableText"/>
              <w:jc w:val="center"/>
              <w:rPr>
                <w:rFonts w:ascii="Times" w:hAnsi="Times"/>
              </w:rPr>
            </w:pPr>
            <w:r>
              <w:t>1</w:t>
            </w:r>
          </w:p>
        </w:tc>
        <w:tc>
          <w:tcPr>
            <w:tcW w:w="1316" w:type="dxa"/>
            <w:tcBorders>
              <w:bottom w:val="nil"/>
            </w:tcBorders>
            <w:vAlign w:val="center"/>
          </w:tcPr>
          <w:p w14:paraId="3F7D5E8E" w14:textId="77777777" w:rsidR="004F0CBF" w:rsidRPr="0050174E" w:rsidRDefault="004F0CBF" w:rsidP="00897712">
            <w:pPr>
              <w:pStyle w:val="TableText"/>
              <w:jc w:val="center"/>
              <w:rPr>
                <w:rFonts w:ascii="Times" w:hAnsi="Times"/>
              </w:rPr>
            </w:pPr>
            <w:r>
              <w:t>30</w:t>
            </w:r>
          </w:p>
        </w:tc>
        <w:tc>
          <w:tcPr>
            <w:tcW w:w="942" w:type="dxa"/>
            <w:tcBorders>
              <w:bottom w:val="nil"/>
            </w:tcBorders>
            <w:vAlign w:val="center"/>
          </w:tcPr>
          <w:p w14:paraId="47A14879" w14:textId="77777777" w:rsidR="004F0CBF" w:rsidRPr="0050174E" w:rsidRDefault="004F0CBF" w:rsidP="00897712">
            <w:pPr>
              <w:pStyle w:val="TableText"/>
              <w:jc w:val="center"/>
              <w:rPr>
                <w:rFonts w:ascii="Times" w:hAnsi="Times"/>
              </w:rPr>
            </w:pPr>
            <w:r>
              <w:t>5</w:t>
            </w:r>
          </w:p>
        </w:tc>
        <w:tc>
          <w:tcPr>
            <w:tcW w:w="1658" w:type="dxa"/>
            <w:tcBorders>
              <w:bottom w:val="nil"/>
            </w:tcBorders>
            <w:vAlign w:val="center"/>
          </w:tcPr>
          <w:p w14:paraId="11663076" w14:textId="77777777" w:rsidR="004F0CBF" w:rsidRPr="0050174E" w:rsidRDefault="004F0CBF" w:rsidP="00897712">
            <w:pPr>
              <w:pStyle w:val="TableText"/>
              <w:jc w:val="center"/>
              <w:rPr>
                <w:rFonts w:ascii="Times" w:hAnsi="Times"/>
              </w:rPr>
            </w:pPr>
            <w:r>
              <w:t>$60.04</w:t>
            </w:r>
          </w:p>
        </w:tc>
        <w:tc>
          <w:tcPr>
            <w:tcW w:w="1526" w:type="dxa"/>
            <w:tcBorders>
              <w:bottom w:val="nil"/>
            </w:tcBorders>
            <w:vAlign w:val="center"/>
          </w:tcPr>
          <w:p w14:paraId="185DE4EE" w14:textId="77777777" w:rsidR="004F0CBF" w:rsidRPr="00B41B57" w:rsidRDefault="004F0CBF" w:rsidP="00897712">
            <w:pPr>
              <w:pStyle w:val="TableText"/>
              <w:jc w:val="center"/>
            </w:pPr>
            <w:r>
              <w:t>Jardiance</w:t>
            </w:r>
            <w:r w:rsidRPr="00B41B57">
              <w:rPr>
                <w:vertAlign w:val="superscript"/>
              </w:rPr>
              <w:t>®</w:t>
            </w:r>
            <w:r>
              <w:t>,</w:t>
            </w:r>
          </w:p>
          <w:p w14:paraId="65242B91" w14:textId="77777777" w:rsidR="004F0CBF" w:rsidRPr="0050174E" w:rsidRDefault="004F0CBF" w:rsidP="00897712">
            <w:pPr>
              <w:pStyle w:val="TableText"/>
              <w:jc w:val="center"/>
              <w:rPr>
                <w:rFonts w:ascii="Times" w:hAnsi="Times"/>
              </w:rPr>
            </w:pPr>
            <w:r>
              <w:t>Boehringer Ingelheim Pty Ltd</w:t>
            </w:r>
          </w:p>
        </w:tc>
      </w:tr>
      <w:tr w:rsidR="00C0795A" w:rsidRPr="00A30A33" w14:paraId="45912145" w14:textId="77777777" w:rsidTr="00B974B3">
        <w:tblPrEx>
          <w:tblBorders>
            <w:left w:val="single" w:sz="4" w:space="0" w:color="auto"/>
            <w:right w:val="single" w:sz="4" w:space="0" w:color="auto"/>
            <w:insideV w:val="single" w:sz="4" w:space="0" w:color="auto"/>
          </w:tblBorders>
          <w:tblCellMar>
            <w:left w:w="28" w:type="dxa"/>
            <w:right w:w="28" w:type="dxa"/>
          </w:tblCellMar>
        </w:tblPrEx>
        <w:trPr>
          <w:gridBefore w:val="1"/>
          <w:wBefore w:w="28" w:type="dxa"/>
          <w:trHeight w:val="20"/>
        </w:trPr>
        <w:tc>
          <w:tcPr>
            <w:tcW w:w="1815" w:type="dxa"/>
            <w:tcBorders>
              <w:top w:val="single" w:sz="4" w:space="0" w:color="auto"/>
              <w:left w:val="single" w:sz="4" w:space="0" w:color="auto"/>
              <w:bottom w:val="single" w:sz="4" w:space="0" w:color="auto"/>
              <w:right w:val="single" w:sz="4" w:space="0" w:color="auto"/>
            </w:tcBorders>
            <w:hideMark/>
          </w:tcPr>
          <w:p w14:paraId="4CCCC99B" w14:textId="77777777" w:rsidR="00C0795A" w:rsidRPr="00A30A33" w:rsidRDefault="00C0795A" w:rsidP="00C0795A">
            <w:pPr>
              <w:pStyle w:val="TableText"/>
            </w:pPr>
            <w:r>
              <w:t>Category/Program:</w:t>
            </w:r>
          </w:p>
        </w:tc>
        <w:tc>
          <w:tcPr>
            <w:tcW w:w="7172" w:type="dxa"/>
            <w:gridSpan w:val="5"/>
            <w:tcBorders>
              <w:top w:val="single" w:sz="4" w:space="0" w:color="auto"/>
              <w:left w:val="single" w:sz="4" w:space="0" w:color="auto"/>
              <w:bottom w:val="single" w:sz="4" w:space="0" w:color="auto"/>
              <w:right w:val="single" w:sz="4" w:space="0" w:color="auto"/>
            </w:tcBorders>
          </w:tcPr>
          <w:p w14:paraId="675F140D" w14:textId="77777777" w:rsidR="00C0795A" w:rsidRPr="00A30A33" w:rsidRDefault="00C0795A" w:rsidP="00C0795A">
            <w:pPr>
              <w:pStyle w:val="TableText"/>
            </w:pPr>
            <w:r>
              <w:t>GENERAL – General Schedule (Code GE)</w:t>
            </w:r>
          </w:p>
        </w:tc>
      </w:tr>
      <w:tr w:rsidR="00C0795A" w:rsidRPr="00A30A33" w14:paraId="4D1CEBA1" w14:textId="77777777" w:rsidTr="00B974B3">
        <w:tblPrEx>
          <w:tblBorders>
            <w:left w:val="single" w:sz="4" w:space="0" w:color="auto"/>
            <w:right w:val="single" w:sz="4" w:space="0" w:color="auto"/>
            <w:insideV w:val="single" w:sz="4" w:space="0" w:color="auto"/>
          </w:tblBorders>
          <w:tblCellMar>
            <w:left w:w="28" w:type="dxa"/>
            <w:right w:w="28" w:type="dxa"/>
          </w:tblCellMar>
        </w:tblPrEx>
        <w:trPr>
          <w:gridBefore w:val="1"/>
          <w:wBefore w:w="28" w:type="dxa"/>
          <w:trHeight w:val="20"/>
        </w:trPr>
        <w:tc>
          <w:tcPr>
            <w:tcW w:w="1815" w:type="dxa"/>
            <w:tcBorders>
              <w:top w:val="single" w:sz="4" w:space="0" w:color="auto"/>
              <w:left w:val="single" w:sz="4" w:space="0" w:color="auto"/>
              <w:bottom w:val="single" w:sz="4" w:space="0" w:color="auto"/>
              <w:right w:val="single" w:sz="4" w:space="0" w:color="auto"/>
            </w:tcBorders>
          </w:tcPr>
          <w:p w14:paraId="6BB63924" w14:textId="77777777" w:rsidR="00C0795A" w:rsidRDefault="00C0795A" w:rsidP="00C0795A">
            <w:pPr>
              <w:pStyle w:val="TableText"/>
            </w:pPr>
            <w:r>
              <w:t>Prescriber type:</w:t>
            </w:r>
          </w:p>
        </w:tc>
        <w:tc>
          <w:tcPr>
            <w:tcW w:w="7172" w:type="dxa"/>
            <w:gridSpan w:val="5"/>
            <w:tcBorders>
              <w:top w:val="single" w:sz="4" w:space="0" w:color="auto"/>
              <w:left w:val="single" w:sz="4" w:space="0" w:color="auto"/>
              <w:bottom w:val="single" w:sz="4" w:space="0" w:color="auto"/>
              <w:right w:val="single" w:sz="4" w:space="0" w:color="auto"/>
            </w:tcBorders>
          </w:tcPr>
          <w:p w14:paraId="48BB1B8E" w14:textId="77777777" w:rsidR="00C0795A" w:rsidRDefault="00C0795A" w:rsidP="00CA117B">
            <w:pPr>
              <w:pStyle w:val="TableText"/>
              <w:keepNext w:val="0"/>
            </w:pPr>
            <w:r w:rsidRPr="00B43577">
              <w:rPr>
                <w:bCs w:val="0"/>
              </w:rPr>
              <w:fldChar w:fldCharType="begin">
                <w:ffData>
                  <w:name w:val="Check1"/>
                  <w:enabled/>
                  <w:calcOnExit w:val="0"/>
                  <w:checkBox>
                    <w:sizeAuto/>
                    <w:default w:val="0"/>
                  </w:checkBox>
                </w:ffData>
              </w:fldChar>
            </w:r>
            <w:r w:rsidRPr="00B43577">
              <w:instrText xml:space="preserve"> FORMCHECKBOX </w:instrText>
            </w:r>
            <w:r w:rsidR="0046126B">
              <w:rPr>
                <w:bCs w:val="0"/>
              </w:rPr>
            </w:r>
            <w:r w:rsidR="0046126B">
              <w:rPr>
                <w:bCs w:val="0"/>
              </w:rPr>
              <w:fldChar w:fldCharType="separate"/>
            </w:r>
            <w:r w:rsidRPr="00B43577">
              <w:rPr>
                <w:bCs w:val="0"/>
              </w:rPr>
              <w:fldChar w:fldCharType="end"/>
            </w:r>
            <w:r>
              <w:t>Dental</w:t>
            </w:r>
            <w:r w:rsidR="00B04881">
              <w:t xml:space="preserve"> </w:t>
            </w:r>
            <w:r>
              <w:rPr>
                <w:bCs w:val="0"/>
              </w:rPr>
              <w:fldChar w:fldCharType="begin">
                <w:ffData>
                  <w:name w:val="Check1"/>
                  <w:enabled/>
                  <w:calcOnExit w:val="0"/>
                  <w:checkBox>
                    <w:sizeAuto/>
                    <w:default w:val="1"/>
                  </w:checkBox>
                </w:ffData>
              </w:fldChar>
            </w:r>
            <w:r>
              <w:instrText xml:space="preserve"> FORMCHECKBOX </w:instrText>
            </w:r>
            <w:r w:rsidR="0046126B">
              <w:rPr>
                <w:bCs w:val="0"/>
              </w:rPr>
            </w:r>
            <w:r w:rsidR="0046126B">
              <w:rPr>
                <w:bCs w:val="0"/>
              </w:rPr>
              <w:fldChar w:fldCharType="separate"/>
            </w:r>
            <w:r>
              <w:rPr>
                <w:bCs w:val="0"/>
              </w:rPr>
              <w:fldChar w:fldCharType="end"/>
            </w:r>
            <w:r>
              <w:t>Medical Practitioners</w:t>
            </w:r>
            <w:r w:rsidR="00B04881">
              <w:t xml:space="preserve"> </w:t>
            </w:r>
            <w:r>
              <w:rPr>
                <w:bCs w:val="0"/>
              </w:rPr>
              <w:fldChar w:fldCharType="begin">
                <w:ffData>
                  <w:name w:val=""/>
                  <w:enabled/>
                  <w:calcOnExit w:val="0"/>
                  <w:checkBox>
                    <w:sizeAuto/>
                    <w:default w:val="1"/>
                  </w:checkBox>
                </w:ffData>
              </w:fldChar>
            </w:r>
            <w:r>
              <w:instrText xml:space="preserve"> FORMCHECKBOX </w:instrText>
            </w:r>
            <w:r w:rsidR="0046126B">
              <w:rPr>
                <w:bCs w:val="0"/>
              </w:rPr>
            </w:r>
            <w:r w:rsidR="0046126B">
              <w:rPr>
                <w:bCs w:val="0"/>
              </w:rPr>
              <w:fldChar w:fldCharType="separate"/>
            </w:r>
            <w:r>
              <w:rPr>
                <w:bCs w:val="0"/>
              </w:rPr>
              <w:fldChar w:fldCharType="end"/>
            </w:r>
            <w:r>
              <w:t>Nurse practitioners</w:t>
            </w:r>
            <w:r w:rsidR="00CA117B">
              <w:t xml:space="preserve"> </w:t>
            </w:r>
            <w:r w:rsidRPr="00B43577">
              <w:fldChar w:fldCharType="begin">
                <w:ffData>
                  <w:name w:val="Check1"/>
                  <w:enabled/>
                  <w:calcOnExit w:val="0"/>
                  <w:checkBox>
                    <w:sizeAuto/>
                    <w:default w:val="0"/>
                  </w:checkBox>
                </w:ffData>
              </w:fldChar>
            </w:r>
            <w:r w:rsidRPr="00B43577">
              <w:instrText xml:space="preserve"> FORMCHECKBOX </w:instrText>
            </w:r>
            <w:r w:rsidR="0046126B">
              <w:fldChar w:fldCharType="separate"/>
            </w:r>
            <w:r w:rsidRPr="00B43577">
              <w:fldChar w:fldCharType="end"/>
            </w:r>
            <w:r>
              <w:t xml:space="preserve">Optometrists </w:t>
            </w:r>
            <w:r w:rsidRPr="00B43577">
              <w:fldChar w:fldCharType="begin">
                <w:ffData>
                  <w:name w:val="Check1"/>
                  <w:enabled/>
                  <w:calcOnExit w:val="0"/>
                  <w:checkBox>
                    <w:sizeAuto/>
                    <w:default w:val="0"/>
                  </w:checkBox>
                </w:ffData>
              </w:fldChar>
            </w:r>
            <w:r w:rsidRPr="00B43577">
              <w:instrText xml:space="preserve"> FORMCHECKBOX </w:instrText>
            </w:r>
            <w:r w:rsidR="0046126B">
              <w:fldChar w:fldCharType="separate"/>
            </w:r>
            <w:r w:rsidRPr="00B43577">
              <w:fldChar w:fldCharType="end"/>
            </w:r>
            <w:r>
              <w:t>Midwives</w:t>
            </w:r>
          </w:p>
        </w:tc>
      </w:tr>
      <w:tr w:rsidR="00C0795A" w:rsidRPr="00A30A33" w14:paraId="665608C0" w14:textId="77777777" w:rsidTr="00B974B3">
        <w:tblPrEx>
          <w:tblBorders>
            <w:left w:val="single" w:sz="4" w:space="0" w:color="auto"/>
            <w:right w:val="single" w:sz="4" w:space="0" w:color="auto"/>
            <w:insideV w:val="single" w:sz="4" w:space="0" w:color="auto"/>
          </w:tblBorders>
          <w:tblCellMar>
            <w:left w:w="28" w:type="dxa"/>
            <w:right w:w="28" w:type="dxa"/>
          </w:tblCellMar>
        </w:tblPrEx>
        <w:trPr>
          <w:gridBefore w:val="1"/>
          <w:wBefore w:w="28" w:type="dxa"/>
          <w:trHeight w:val="20"/>
        </w:trPr>
        <w:tc>
          <w:tcPr>
            <w:tcW w:w="1815" w:type="dxa"/>
            <w:tcBorders>
              <w:top w:val="single" w:sz="4" w:space="0" w:color="auto"/>
              <w:left w:val="single" w:sz="4" w:space="0" w:color="auto"/>
              <w:bottom w:val="single" w:sz="4" w:space="0" w:color="auto"/>
              <w:right w:val="single" w:sz="4" w:space="0" w:color="auto"/>
            </w:tcBorders>
            <w:hideMark/>
          </w:tcPr>
          <w:p w14:paraId="69885F8B" w14:textId="77777777" w:rsidR="00C0795A" w:rsidRPr="00A30A33" w:rsidRDefault="00C0795A" w:rsidP="00C0795A">
            <w:pPr>
              <w:pStyle w:val="TableText"/>
            </w:pPr>
            <w:r>
              <w:t>PBS indication:</w:t>
            </w:r>
          </w:p>
        </w:tc>
        <w:tc>
          <w:tcPr>
            <w:tcW w:w="7172" w:type="dxa"/>
            <w:gridSpan w:val="5"/>
            <w:tcBorders>
              <w:top w:val="single" w:sz="4" w:space="0" w:color="auto"/>
              <w:left w:val="single" w:sz="4" w:space="0" w:color="auto"/>
              <w:bottom w:val="single" w:sz="4" w:space="0" w:color="auto"/>
              <w:right w:val="single" w:sz="4" w:space="0" w:color="auto"/>
            </w:tcBorders>
          </w:tcPr>
          <w:p w14:paraId="2FC65274" w14:textId="77777777" w:rsidR="00C0795A" w:rsidRPr="00A30A33" w:rsidRDefault="00C0795A" w:rsidP="00C0795A">
            <w:pPr>
              <w:pStyle w:val="TableText"/>
            </w:pPr>
            <w:r>
              <w:t>Chronic heart failure</w:t>
            </w:r>
          </w:p>
        </w:tc>
      </w:tr>
      <w:tr w:rsidR="00C0795A" w:rsidRPr="00A30A33" w14:paraId="66C2BD5D" w14:textId="77777777" w:rsidTr="00B974B3">
        <w:tblPrEx>
          <w:tblBorders>
            <w:left w:val="single" w:sz="4" w:space="0" w:color="auto"/>
            <w:right w:val="single" w:sz="4" w:space="0" w:color="auto"/>
            <w:insideV w:val="single" w:sz="4" w:space="0" w:color="auto"/>
          </w:tblBorders>
          <w:tblCellMar>
            <w:left w:w="28" w:type="dxa"/>
            <w:right w:w="28" w:type="dxa"/>
          </w:tblCellMar>
        </w:tblPrEx>
        <w:trPr>
          <w:gridBefore w:val="1"/>
          <w:wBefore w:w="28" w:type="dxa"/>
          <w:trHeight w:val="20"/>
        </w:trPr>
        <w:tc>
          <w:tcPr>
            <w:tcW w:w="1815" w:type="dxa"/>
            <w:tcBorders>
              <w:top w:val="single" w:sz="4" w:space="0" w:color="auto"/>
              <w:left w:val="single" w:sz="4" w:space="0" w:color="auto"/>
              <w:bottom w:val="single" w:sz="4" w:space="0" w:color="auto"/>
              <w:right w:val="single" w:sz="4" w:space="0" w:color="auto"/>
            </w:tcBorders>
            <w:hideMark/>
          </w:tcPr>
          <w:p w14:paraId="0D9A9B13" w14:textId="77777777" w:rsidR="00C0795A" w:rsidRPr="00A30A33" w:rsidRDefault="00C0795A" w:rsidP="00C0795A">
            <w:pPr>
              <w:pStyle w:val="TableText"/>
            </w:pPr>
            <w:r w:rsidRPr="00A30A33">
              <w:t>Restriction</w:t>
            </w:r>
            <w:r>
              <w:t>:</w:t>
            </w:r>
          </w:p>
        </w:tc>
        <w:tc>
          <w:tcPr>
            <w:tcW w:w="7172" w:type="dxa"/>
            <w:gridSpan w:val="5"/>
            <w:tcBorders>
              <w:top w:val="single" w:sz="4" w:space="0" w:color="auto"/>
              <w:left w:val="single" w:sz="4" w:space="0" w:color="auto"/>
              <w:bottom w:val="single" w:sz="4" w:space="0" w:color="auto"/>
              <w:right w:val="single" w:sz="4" w:space="0" w:color="auto"/>
            </w:tcBorders>
          </w:tcPr>
          <w:p w14:paraId="7F3BDBE6" w14:textId="77777777" w:rsidR="00C0795A" w:rsidRDefault="00C0795A" w:rsidP="00C0795A">
            <w:pPr>
              <w:pStyle w:val="TableText"/>
            </w:pPr>
            <w:r w:rsidRPr="00B43577">
              <w:fldChar w:fldCharType="begin">
                <w:ffData>
                  <w:name w:val="Check1"/>
                  <w:enabled/>
                  <w:calcOnExit w:val="0"/>
                  <w:checkBox>
                    <w:sizeAuto/>
                    <w:default w:val="0"/>
                  </w:checkBox>
                </w:ffData>
              </w:fldChar>
            </w:r>
            <w:r w:rsidRPr="00B43577">
              <w:instrText xml:space="preserve"> FORMCHECKBOX </w:instrText>
            </w:r>
            <w:r w:rsidR="0046126B">
              <w:fldChar w:fldCharType="separate"/>
            </w:r>
            <w:r w:rsidRPr="00B43577">
              <w:fldChar w:fldCharType="end"/>
            </w:r>
            <w:r w:rsidRPr="00B43577">
              <w:t>Restricted ben</w:t>
            </w:r>
            <w:r>
              <w:t>efit</w:t>
            </w:r>
            <w:r w:rsidR="00B04881">
              <w:t xml:space="preserve"> </w:t>
            </w:r>
          </w:p>
          <w:p w14:paraId="36700901" w14:textId="77777777" w:rsidR="00C0795A" w:rsidRDefault="00C0795A" w:rsidP="00C0795A">
            <w:pPr>
              <w:pStyle w:val="TableText"/>
            </w:pPr>
            <w:r>
              <w:fldChar w:fldCharType="begin">
                <w:ffData>
                  <w:name w:val=""/>
                  <w:enabled/>
                  <w:calcOnExit w:val="0"/>
                  <w:checkBox>
                    <w:sizeAuto/>
                    <w:default w:val="0"/>
                  </w:checkBox>
                </w:ffData>
              </w:fldChar>
            </w:r>
            <w:r>
              <w:instrText xml:space="preserve"> FORMCHECKBOX </w:instrText>
            </w:r>
            <w:r w:rsidR="0046126B">
              <w:fldChar w:fldCharType="separate"/>
            </w:r>
            <w:r>
              <w:fldChar w:fldCharType="end"/>
            </w:r>
            <w:r>
              <w:t xml:space="preserve">Authority Required </w:t>
            </w:r>
            <w:r w:rsidR="00B00AB6">
              <w:t>–</w:t>
            </w:r>
            <w:r>
              <w:t xml:space="preserve"> In Writing</w:t>
            </w:r>
            <w:r w:rsidR="00B04881">
              <w:t xml:space="preserve"> </w:t>
            </w:r>
            <w:r>
              <w:t xml:space="preserve"> </w:t>
            </w:r>
          </w:p>
          <w:p w14:paraId="03164E59" w14:textId="77777777" w:rsidR="00C0795A" w:rsidRPr="00B43577" w:rsidRDefault="00C0795A" w:rsidP="00C0795A">
            <w:pPr>
              <w:pStyle w:val="TableText"/>
            </w:pPr>
            <w:r w:rsidRPr="00B43577">
              <w:fldChar w:fldCharType="begin">
                <w:ffData>
                  <w:name w:val="Check3"/>
                  <w:enabled/>
                  <w:calcOnExit w:val="0"/>
                  <w:checkBox>
                    <w:sizeAuto/>
                    <w:default w:val="0"/>
                  </w:checkBox>
                </w:ffData>
              </w:fldChar>
            </w:r>
            <w:r w:rsidRPr="00B43577">
              <w:instrText xml:space="preserve"> FORMCHECKBOX </w:instrText>
            </w:r>
            <w:r w:rsidR="0046126B">
              <w:fldChar w:fldCharType="separate"/>
            </w:r>
            <w:r w:rsidRPr="00B43577">
              <w:fldChar w:fldCharType="end"/>
            </w:r>
            <w:r w:rsidRPr="00B43577">
              <w:t xml:space="preserve">Authority Required </w:t>
            </w:r>
            <w:r>
              <w:t>–</w:t>
            </w:r>
            <w:r w:rsidRPr="00B43577">
              <w:t xml:space="preserve"> Telephone</w:t>
            </w:r>
            <w:r>
              <w:t>, Electronic</w:t>
            </w:r>
          </w:p>
          <w:p w14:paraId="09C85DCA" w14:textId="77777777" w:rsidR="00C0795A" w:rsidRPr="00A30A33" w:rsidRDefault="00C0795A" w:rsidP="00C0795A">
            <w:pPr>
              <w:pStyle w:val="TableText"/>
            </w:pPr>
            <w:r>
              <w:fldChar w:fldCharType="begin">
                <w:ffData>
                  <w:name w:val="Check5"/>
                  <w:enabled/>
                  <w:calcOnExit w:val="0"/>
                  <w:checkBox>
                    <w:sizeAuto/>
                    <w:default w:val="1"/>
                  </w:checkBox>
                </w:ffData>
              </w:fldChar>
            </w:r>
            <w:r>
              <w:instrText xml:space="preserve"> FORMCHECKBOX </w:instrText>
            </w:r>
            <w:r w:rsidR="0046126B">
              <w:fldChar w:fldCharType="separate"/>
            </w:r>
            <w:r>
              <w:fldChar w:fldCharType="end"/>
            </w:r>
            <w:r w:rsidRPr="00B43577">
              <w:t>Streamlined</w:t>
            </w:r>
          </w:p>
        </w:tc>
      </w:tr>
      <w:tr w:rsidR="00C0795A" w:rsidRPr="00A30A33" w14:paraId="056E06FE" w14:textId="77777777" w:rsidTr="00B974B3">
        <w:tblPrEx>
          <w:tblBorders>
            <w:left w:val="single" w:sz="4" w:space="0" w:color="auto"/>
            <w:right w:val="single" w:sz="4" w:space="0" w:color="auto"/>
            <w:insideV w:val="single" w:sz="4" w:space="0" w:color="auto"/>
          </w:tblBorders>
          <w:tblCellMar>
            <w:left w:w="28" w:type="dxa"/>
            <w:right w:w="28" w:type="dxa"/>
          </w:tblCellMar>
        </w:tblPrEx>
        <w:trPr>
          <w:gridBefore w:val="1"/>
          <w:wBefore w:w="28" w:type="dxa"/>
          <w:trHeight w:val="20"/>
        </w:trPr>
        <w:tc>
          <w:tcPr>
            <w:tcW w:w="1815" w:type="dxa"/>
            <w:tcBorders>
              <w:top w:val="single" w:sz="4" w:space="0" w:color="auto"/>
              <w:left w:val="single" w:sz="4" w:space="0" w:color="auto"/>
              <w:bottom w:val="single" w:sz="4" w:space="0" w:color="auto"/>
              <w:right w:val="single" w:sz="4" w:space="0" w:color="auto"/>
            </w:tcBorders>
            <w:hideMark/>
          </w:tcPr>
          <w:p w14:paraId="57E78559" w14:textId="77777777" w:rsidR="00C0795A" w:rsidRPr="00A30A33" w:rsidRDefault="00C0795A" w:rsidP="00C0795A">
            <w:pPr>
              <w:pStyle w:val="TableText"/>
            </w:pPr>
            <w:r w:rsidRPr="00A30A33">
              <w:t>Clinical criteria</w:t>
            </w:r>
            <w:r>
              <w:t>:</w:t>
            </w:r>
          </w:p>
        </w:tc>
        <w:tc>
          <w:tcPr>
            <w:tcW w:w="7172" w:type="dxa"/>
            <w:gridSpan w:val="5"/>
            <w:tcBorders>
              <w:top w:val="single" w:sz="4" w:space="0" w:color="auto"/>
              <w:left w:val="single" w:sz="4" w:space="0" w:color="auto"/>
              <w:bottom w:val="single" w:sz="4" w:space="0" w:color="auto"/>
              <w:right w:val="single" w:sz="4" w:space="0" w:color="auto"/>
            </w:tcBorders>
          </w:tcPr>
          <w:p w14:paraId="67F37974" w14:textId="77777777" w:rsidR="00C0795A" w:rsidRDefault="00C0795A" w:rsidP="00C0795A">
            <w:pPr>
              <w:kinsoku w:val="0"/>
              <w:overflowPunct w:val="0"/>
              <w:autoSpaceDE w:val="0"/>
              <w:autoSpaceDN w:val="0"/>
              <w:adjustRightInd w:val="0"/>
              <w:ind w:left="28" w:right="-20"/>
              <w:rPr>
                <w:rFonts w:ascii="Arial Narrow" w:eastAsiaTheme="majorEastAsia" w:hAnsi="Arial Narrow" w:cstheme="minorHAnsi"/>
                <w:sz w:val="20"/>
                <w:szCs w:val="20"/>
              </w:rPr>
            </w:pPr>
            <w:r w:rsidRPr="002E5A0C">
              <w:rPr>
                <w:rFonts w:ascii="Arial Narrow" w:eastAsiaTheme="majorEastAsia" w:hAnsi="Arial Narrow" w:cstheme="minorHAnsi"/>
                <w:sz w:val="20"/>
                <w:szCs w:val="20"/>
              </w:rPr>
              <w:t xml:space="preserve">Patient must be symptomatic with NYHA classes II, III or IV, </w:t>
            </w:r>
          </w:p>
          <w:p w14:paraId="028733FB" w14:textId="77777777" w:rsidR="00C0795A" w:rsidRDefault="00C0795A" w:rsidP="00C0795A">
            <w:pPr>
              <w:kinsoku w:val="0"/>
              <w:overflowPunct w:val="0"/>
              <w:autoSpaceDE w:val="0"/>
              <w:autoSpaceDN w:val="0"/>
              <w:adjustRightInd w:val="0"/>
              <w:ind w:left="28" w:right="-20"/>
              <w:rPr>
                <w:rFonts w:ascii="Arial Narrow" w:eastAsiaTheme="majorEastAsia" w:hAnsi="Arial Narrow" w:cstheme="minorHAnsi"/>
                <w:sz w:val="20"/>
                <w:szCs w:val="20"/>
              </w:rPr>
            </w:pPr>
            <w:r>
              <w:rPr>
                <w:rFonts w:ascii="Arial Narrow" w:eastAsiaTheme="majorEastAsia" w:hAnsi="Arial Narrow" w:cstheme="minorHAnsi"/>
                <w:sz w:val="20"/>
                <w:szCs w:val="20"/>
              </w:rPr>
              <w:t>AND</w:t>
            </w:r>
          </w:p>
          <w:p w14:paraId="17E1D9AF" w14:textId="77777777" w:rsidR="00C0795A" w:rsidRPr="002E5A0C" w:rsidRDefault="00C0795A" w:rsidP="00C0795A">
            <w:pPr>
              <w:kinsoku w:val="0"/>
              <w:overflowPunct w:val="0"/>
              <w:autoSpaceDE w:val="0"/>
              <w:autoSpaceDN w:val="0"/>
              <w:adjustRightInd w:val="0"/>
              <w:ind w:left="28" w:right="-20"/>
              <w:rPr>
                <w:rFonts w:ascii="Arial Narrow" w:eastAsiaTheme="majorEastAsia" w:hAnsi="Arial Narrow" w:cstheme="minorHAnsi"/>
                <w:sz w:val="20"/>
                <w:szCs w:val="20"/>
              </w:rPr>
            </w:pPr>
          </w:p>
          <w:p w14:paraId="4E68DC94" w14:textId="77777777" w:rsidR="00C0795A" w:rsidRDefault="00C0795A" w:rsidP="00C0795A">
            <w:pPr>
              <w:kinsoku w:val="0"/>
              <w:overflowPunct w:val="0"/>
              <w:autoSpaceDE w:val="0"/>
              <w:autoSpaceDN w:val="0"/>
              <w:adjustRightInd w:val="0"/>
              <w:ind w:left="28" w:right="-20"/>
              <w:rPr>
                <w:rFonts w:ascii="Arial Narrow" w:eastAsiaTheme="majorEastAsia" w:hAnsi="Arial Narrow" w:cstheme="minorHAnsi"/>
                <w:sz w:val="20"/>
                <w:szCs w:val="20"/>
              </w:rPr>
            </w:pPr>
            <w:r w:rsidRPr="002E5A0C">
              <w:rPr>
                <w:rFonts w:ascii="Arial Narrow" w:eastAsiaTheme="majorEastAsia" w:hAnsi="Arial Narrow" w:cstheme="minorHAnsi"/>
                <w:sz w:val="20"/>
                <w:szCs w:val="20"/>
              </w:rPr>
              <w:t>Patient must have a documented left ventricular ejection fraction (LVEF</w:t>
            </w:r>
            <w:r>
              <w:rPr>
                <w:rFonts w:ascii="Arial Narrow" w:eastAsiaTheme="majorEastAsia" w:hAnsi="Arial Narrow" w:cstheme="minorHAnsi"/>
                <w:sz w:val="20"/>
                <w:szCs w:val="20"/>
              </w:rPr>
              <w:t>) of less than or equal to 40%,</w:t>
            </w:r>
          </w:p>
          <w:p w14:paraId="27E2E79E" w14:textId="77777777" w:rsidR="00C0795A" w:rsidRDefault="00C0795A" w:rsidP="00C0795A">
            <w:pPr>
              <w:kinsoku w:val="0"/>
              <w:overflowPunct w:val="0"/>
              <w:autoSpaceDE w:val="0"/>
              <w:autoSpaceDN w:val="0"/>
              <w:adjustRightInd w:val="0"/>
              <w:ind w:left="28" w:right="-20"/>
              <w:rPr>
                <w:rFonts w:ascii="Arial Narrow" w:eastAsiaTheme="majorEastAsia" w:hAnsi="Arial Narrow" w:cstheme="minorHAnsi"/>
                <w:sz w:val="20"/>
                <w:szCs w:val="20"/>
              </w:rPr>
            </w:pPr>
            <w:r>
              <w:rPr>
                <w:rFonts w:ascii="Arial Narrow" w:eastAsiaTheme="majorEastAsia" w:hAnsi="Arial Narrow" w:cstheme="minorHAnsi"/>
                <w:sz w:val="20"/>
                <w:szCs w:val="20"/>
              </w:rPr>
              <w:t>AND</w:t>
            </w:r>
          </w:p>
          <w:p w14:paraId="46DC67AC" w14:textId="77777777" w:rsidR="00C0795A" w:rsidRPr="002E5A0C" w:rsidRDefault="00C0795A" w:rsidP="00C0795A">
            <w:pPr>
              <w:kinsoku w:val="0"/>
              <w:overflowPunct w:val="0"/>
              <w:autoSpaceDE w:val="0"/>
              <w:autoSpaceDN w:val="0"/>
              <w:adjustRightInd w:val="0"/>
              <w:ind w:left="28" w:right="-20"/>
              <w:rPr>
                <w:rFonts w:ascii="Arial Narrow" w:eastAsiaTheme="majorEastAsia" w:hAnsi="Arial Narrow" w:cstheme="minorHAnsi"/>
                <w:sz w:val="20"/>
                <w:szCs w:val="20"/>
              </w:rPr>
            </w:pPr>
          </w:p>
          <w:p w14:paraId="10821212" w14:textId="77777777" w:rsidR="00C0795A" w:rsidRDefault="00C0795A" w:rsidP="00C0795A">
            <w:pPr>
              <w:tabs>
                <w:tab w:val="left" w:pos="6255"/>
              </w:tabs>
              <w:kinsoku w:val="0"/>
              <w:overflowPunct w:val="0"/>
              <w:autoSpaceDE w:val="0"/>
              <w:autoSpaceDN w:val="0"/>
              <w:adjustRightInd w:val="0"/>
              <w:ind w:left="28" w:right="-20"/>
              <w:rPr>
                <w:rFonts w:ascii="Arial Narrow" w:eastAsiaTheme="majorEastAsia" w:hAnsi="Arial Narrow" w:cstheme="minorHAnsi"/>
                <w:sz w:val="20"/>
                <w:szCs w:val="20"/>
              </w:rPr>
            </w:pPr>
            <w:r w:rsidRPr="002E5A0C">
              <w:rPr>
                <w:rFonts w:ascii="Arial Narrow" w:eastAsiaTheme="majorEastAsia" w:hAnsi="Arial Narrow" w:cstheme="minorHAnsi"/>
                <w:sz w:val="20"/>
                <w:szCs w:val="20"/>
              </w:rPr>
              <w:t>Patient must receive concomitant optimal standard chronic heart failure treatment, which must include a beta-blocker, unless at least one of the following is present in relation to the beta-blocker (i) a contraindication listed in the Product Information, (ii) an existing/expected intolerance, (iii) local treatment guidelines recommend initiation of this drug p</w:t>
            </w:r>
            <w:r>
              <w:rPr>
                <w:rFonts w:ascii="Arial Narrow" w:eastAsiaTheme="majorEastAsia" w:hAnsi="Arial Narrow" w:cstheme="minorHAnsi"/>
                <w:sz w:val="20"/>
                <w:szCs w:val="20"/>
              </w:rPr>
              <w:t>roduct prior to a beta-blocker,</w:t>
            </w:r>
          </w:p>
          <w:p w14:paraId="68FBF52F" w14:textId="77777777" w:rsidR="00C0795A" w:rsidRDefault="00C0795A" w:rsidP="00C0795A">
            <w:pPr>
              <w:kinsoku w:val="0"/>
              <w:overflowPunct w:val="0"/>
              <w:autoSpaceDE w:val="0"/>
              <w:autoSpaceDN w:val="0"/>
              <w:adjustRightInd w:val="0"/>
              <w:ind w:left="28" w:right="-20"/>
              <w:rPr>
                <w:rFonts w:ascii="Arial Narrow" w:eastAsiaTheme="majorEastAsia" w:hAnsi="Arial Narrow" w:cstheme="minorHAnsi"/>
                <w:sz w:val="20"/>
                <w:szCs w:val="20"/>
              </w:rPr>
            </w:pPr>
            <w:r>
              <w:rPr>
                <w:rFonts w:ascii="Arial Narrow" w:eastAsiaTheme="majorEastAsia" w:hAnsi="Arial Narrow" w:cstheme="minorHAnsi"/>
                <w:sz w:val="20"/>
                <w:szCs w:val="20"/>
              </w:rPr>
              <w:t>AND</w:t>
            </w:r>
          </w:p>
          <w:p w14:paraId="24F9F234" w14:textId="77777777" w:rsidR="00C0795A" w:rsidRDefault="00C0795A" w:rsidP="00C0795A">
            <w:pPr>
              <w:kinsoku w:val="0"/>
              <w:overflowPunct w:val="0"/>
              <w:autoSpaceDE w:val="0"/>
              <w:autoSpaceDN w:val="0"/>
              <w:adjustRightInd w:val="0"/>
              <w:ind w:left="28" w:right="-20"/>
              <w:rPr>
                <w:rFonts w:ascii="Arial Narrow" w:eastAsiaTheme="majorEastAsia" w:hAnsi="Arial Narrow" w:cstheme="minorHAnsi"/>
                <w:sz w:val="20"/>
                <w:szCs w:val="20"/>
              </w:rPr>
            </w:pPr>
          </w:p>
          <w:p w14:paraId="23CD7E79" w14:textId="77777777" w:rsidR="00C0795A" w:rsidRPr="002E5A0C" w:rsidRDefault="00C0795A" w:rsidP="00C0795A">
            <w:pPr>
              <w:kinsoku w:val="0"/>
              <w:overflowPunct w:val="0"/>
              <w:autoSpaceDE w:val="0"/>
              <w:autoSpaceDN w:val="0"/>
              <w:adjustRightInd w:val="0"/>
              <w:ind w:left="28" w:right="-20"/>
              <w:rPr>
                <w:rFonts w:ascii="Arial Narrow" w:eastAsiaTheme="majorEastAsia" w:hAnsi="Arial Narrow" w:cstheme="minorHAnsi"/>
                <w:sz w:val="20"/>
                <w:szCs w:val="20"/>
              </w:rPr>
            </w:pPr>
            <w:r w:rsidRPr="002E5A0C">
              <w:rPr>
                <w:rFonts w:ascii="Arial Narrow" w:eastAsiaTheme="majorEastAsia" w:hAnsi="Arial Narrow" w:cstheme="minorHAnsi"/>
                <w:sz w:val="20"/>
                <w:szCs w:val="20"/>
              </w:rPr>
              <w:t>Patient must be receiving treatment with an ACE inhibitor, unless contraindicated according to the TGA-approved Product Information or cannot be tolerated; OR</w:t>
            </w:r>
          </w:p>
          <w:p w14:paraId="1D79A9AC" w14:textId="77777777" w:rsidR="00C0795A" w:rsidRPr="002E5A0C" w:rsidRDefault="00C0795A" w:rsidP="00C0795A">
            <w:pPr>
              <w:kinsoku w:val="0"/>
              <w:overflowPunct w:val="0"/>
              <w:autoSpaceDE w:val="0"/>
              <w:autoSpaceDN w:val="0"/>
              <w:adjustRightInd w:val="0"/>
              <w:ind w:left="28" w:right="-20"/>
              <w:rPr>
                <w:rFonts w:ascii="Arial Narrow" w:eastAsiaTheme="majorEastAsia" w:hAnsi="Arial Narrow" w:cstheme="minorHAnsi"/>
                <w:sz w:val="20"/>
                <w:szCs w:val="20"/>
              </w:rPr>
            </w:pPr>
            <w:r w:rsidRPr="002E5A0C">
              <w:rPr>
                <w:rFonts w:ascii="Arial Narrow" w:eastAsiaTheme="majorEastAsia" w:hAnsi="Arial Narrow" w:cstheme="minorHAnsi"/>
                <w:sz w:val="20"/>
                <w:szCs w:val="20"/>
              </w:rPr>
              <w:t>Patient must be receiving treatment with an angiotensin II antagonist, unless contraindicated according to the TGA-approved Product Information or cannot be tolerated; OR</w:t>
            </w:r>
          </w:p>
          <w:p w14:paraId="5F6EEA6C" w14:textId="77777777" w:rsidR="00C0795A" w:rsidRDefault="00C0795A" w:rsidP="00C0795A">
            <w:pPr>
              <w:kinsoku w:val="0"/>
              <w:overflowPunct w:val="0"/>
              <w:autoSpaceDE w:val="0"/>
              <w:autoSpaceDN w:val="0"/>
              <w:adjustRightInd w:val="0"/>
              <w:ind w:left="28" w:right="-20"/>
              <w:rPr>
                <w:rFonts w:ascii="Arial Narrow" w:eastAsiaTheme="majorEastAsia" w:hAnsi="Arial Narrow" w:cstheme="minorHAnsi"/>
                <w:sz w:val="20"/>
                <w:szCs w:val="20"/>
              </w:rPr>
            </w:pPr>
            <w:r w:rsidRPr="002E5A0C">
              <w:rPr>
                <w:rFonts w:ascii="Arial Narrow" w:eastAsiaTheme="majorEastAsia" w:hAnsi="Arial Narrow" w:cstheme="minorHAnsi"/>
                <w:sz w:val="20"/>
                <w:szCs w:val="20"/>
              </w:rPr>
              <w:t xml:space="preserve">Patient must be receiving treatment with an angiotensin receptor with neprilysin inhibitor combination therapy unless contraindicated according to the TGA-approved Product Information or cannot be tolerated. </w:t>
            </w:r>
          </w:p>
          <w:p w14:paraId="3D242141" w14:textId="77777777" w:rsidR="00C0795A" w:rsidRDefault="00C0795A" w:rsidP="00C0795A">
            <w:pPr>
              <w:kinsoku w:val="0"/>
              <w:overflowPunct w:val="0"/>
              <w:autoSpaceDE w:val="0"/>
              <w:autoSpaceDN w:val="0"/>
              <w:adjustRightInd w:val="0"/>
              <w:ind w:left="28" w:right="-20"/>
              <w:rPr>
                <w:rFonts w:ascii="Arial Narrow" w:eastAsiaTheme="majorEastAsia" w:hAnsi="Arial Narrow" w:cstheme="minorHAnsi"/>
                <w:sz w:val="20"/>
                <w:szCs w:val="20"/>
              </w:rPr>
            </w:pPr>
            <w:r w:rsidRPr="002E5A0C">
              <w:rPr>
                <w:rFonts w:ascii="Arial Narrow" w:eastAsiaTheme="majorEastAsia" w:hAnsi="Arial Narrow" w:cstheme="minorHAnsi"/>
                <w:sz w:val="20"/>
                <w:szCs w:val="20"/>
              </w:rPr>
              <w:t>AND</w:t>
            </w:r>
          </w:p>
          <w:p w14:paraId="2E1C834C" w14:textId="77777777" w:rsidR="00C0795A" w:rsidRPr="002E5A0C" w:rsidRDefault="00C0795A" w:rsidP="00CA117B">
            <w:pPr>
              <w:kinsoku w:val="0"/>
              <w:overflowPunct w:val="0"/>
              <w:autoSpaceDE w:val="0"/>
              <w:autoSpaceDN w:val="0"/>
              <w:adjustRightInd w:val="0"/>
              <w:ind w:right="-20"/>
              <w:rPr>
                <w:rFonts w:ascii="Arial Narrow" w:eastAsiaTheme="majorEastAsia" w:hAnsi="Arial Narrow" w:cstheme="minorHAnsi"/>
                <w:sz w:val="20"/>
                <w:szCs w:val="20"/>
              </w:rPr>
            </w:pPr>
          </w:p>
          <w:p w14:paraId="16E5B56E" w14:textId="77777777" w:rsidR="00C0795A" w:rsidRPr="00A30A33" w:rsidRDefault="00C0795A" w:rsidP="00C0795A">
            <w:pPr>
              <w:pStyle w:val="TableText"/>
            </w:pPr>
            <w:r w:rsidRPr="002E5A0C">
              <w:rPr>
                <w:rFonts w:cstheme="minorHAnsi"/>
                <w:szCs w:val="20"/>
              </w:rPr>
              <w:t>Patient must not be receiving treatment with another sodium-glucose co-transporter 2 (SGLT2) inhibitor.</w:t>
            </w:r>
          </w:p>
        </w:tc>
      </w:tr>
      <w:tr w:rsidR="00C0795A" w:rsidRPr="00A30A33" w14:paraId="1D12855C" w14:textId="77777777" w:rsidTr="00B974B3">
        <w:tblPrEx>
          <w:tblBorders>
            <w:left w:val="single" w:sz="4" w:space="0" w:color="auto"/>
            <w:right w:val="single" w:sz="4" w:space="0" w:color="auto"/>
            <w:insideV w:val="single" w:sz="4" w:space="0" w:color="auto"/>
          </w:tblBorders>
          <w:tblCellMar>
            <w:left w:w="28" w:type="dxa"/>
            <w:right w:w="28" w:type="dxa"/>
          </w:tblCellMar>
        </w:tblPrEx>
        <w:trPr>
          <w:gridBefore w:val="1"/>
          <w:wBefore w:w="28" w:type="dxa"/>
          <w:trHeight w:val="20"/>
        </w:trPr>
        <w:tc>
          <w:tcPr>
            <w:tcW w:w="1815" w:type="dxa"/>
            <w:tcBorders>
              <w:top w:val="single" w:sz="4" w:space="0" w:color="auto"/>
              <w:left w:val="single" w:sz="4" w:space="0" w:color="auto"/>
              <w:bottom w:val="single" w:sz="4" w:space="0" w:color="auto"/>
              <w:right w:val="single" w:sz="4" w:space="0" w:color="auto"/>
            </w:tcBorders>
          </w:tcPr>
          <w:p w14:paraId="690F036E" w14:textId="77777777" w:rsidR="00C0795A" w:rsidRPr="00A30A33" w:rsidRDefault="00C0795A" w:rsidP="00C0795A">
            <w:pPr>
              <w:pStyle w:val="TableText"/>
            </w:pPr>
            <w:r>
              <w:t>Administrative advice:</w:t>
            </w:r>
          </w:p>
        </w:tc>
        <w:tc>
          <w:tcPr>
            <w:tcW w:w="7172" w:type="dxa"/>
            <w:gridSpan w:val="5"/>
            <w:tcBorders>
              <w:top w:val="single" w:sz="4" w:space="0" w:color="auto"/>
              <w:left w:val="single" w:sz="4" w:space="0" w:color="auto"/>
              <w:bottom w:val="single" w:sz="4" w:space="0" w:color="auto"/>
              <w:right w:val="single" w:sz="4" w:space="0" w:color="auto"/>
            </w:tcBorders>
          </w:tcPr>
          <w:p w14:paraId="000385E8" w14:textId="77777777" w:rsidR="00C0795A" w:rsidRDefault="00C0795A" w:rsidP="00C0795A">
            <w:pPr>
              <w:pStyle w:val="TableText"/>
              <w:rPr>
                <w:szCs w:val="20"/>
              </w:rPr>
            </w:pPr>
            <w:r>
              <w:rPr>
                <w:szCs w:val="20"/>
              </w:rPr>
              <w:t>Continuing Therapy Only:</w:t>
            </w:r>
          </w:p>
          <w:p w14:paraId="2234BAD3" w14:textId="77777777" w:rsidR="00C0795A" w:rsidRPr="002E5A0C" w:rsidRDefault="00C0795A" w:rsidP="00C0795A">
            <w:pPr>
              <w:pStyle w:val="TableText"/>
              <w:rPr>
                <w:szCs w:val="20"/>
              </w:rPr>
            </w:pPr>
            <w:r w:rsidRPr="002E5A0C">
              <w:rPr>
                <w:szCs w:val="20"/>
              </w:rPr>
              <w:t xml:space="preserve">For prescribing by Nurse Practitioners as continuing therapy only, where the treatment of, and prescribing of medicine for, a patient has been initiated by a medical practitioner. </w:t>
            </w:r>
          </w:p>
          <w:p w14:paraId="5BEFE434" w14:textId="77777777" w:rsidR="00C0795A" w:rsidRPr="00A30A33" w:rsidRDefault="00C0795A" w:rsidP="00C0795A">
            <w:pPr>
              <w:pStyle w:val="TableText"/>
              <w:rPr>
                <w:color w:val="000000"/>
              </w:rPr>
            </w:pPr>
            <w:r w:rsidRPr="002E5A0C">
              <w:rPr>
                <w:szCs w:val="20"/>
              </w:rPr>
              <w:t>Further information can be found in the Explanatory Notes for Nurse Practitioners</w:t>
            </w:r>
          </w:p>
        </w:tc>
      </w:tr>
    </w:tbl>
    <w:p w14:paraId="6A92C9C6" w14:textId="77777777" w:rsidR="00B60939" w:rsidRPr="00882085" w:rsidRDefault="00B60939" w:rsidP="004B1CB4"/>
    <w:p w14:paraId="1C53A958" w14:textId="77777777" w:rsidR="00047099" w:rsidRPr="00CA117B" w:rsidRDefault="00BB31CB" w:rsidP="0012228C">
      <w:pPr>
        <w:pStyle w:val="ExecSumBodyText"/>
      </w:pPr>
      <w:r w:rsidRPr="005D671A">
        <w:t xml:space="preserve">The </w:t>
      </w:r>
      <w:r>
        <w:t>requested dispensed price for em</w:t>
      </w:r>
      <w:r w:rsidRPr="005D671A">
        <w:t>pagliflozin of $</w:t>
      </w:r>
      <w:r>
        <w:t>60.04</w:t>
      </w:r>
      <w:r w:rsidRPr="005D671A">
        <w:t xml:space="preserve"> (DPMQ per pack of </w:t>
      </w:r>
      <w:r>
        <w:t>30</w:t>
      </w:r>
      <w:r w:rsidR="00B974B3">
        <w:t> </w:t>
      </w:r>
      <w:r w:rsidRPr="005D671A">
        <w:t xml:space="preserve">tablets) </w:t>
      </w:r>
      <w:r w:rsidR="00AC0860">
        <w:t>wa</w:t>
      </w:r>
      <w:r>
        <w:t>s the same as the PBS listed price of empagliflozin 10 mg tablets for</w:t>
      </w:r>
      <w:r w:rsidRPr="005D671A">
        <w:t xml:space="preserve"> </w:t>
      </w:r>
      <w:r w:rsidR="00BB7BDA">
        <w:t>type</w:t>
      </w:r>
      <w:r w:rsidR="00040BAC">
        <w:t> </w:t>
      </w:r>
      <w:r w:rsidR="00BB7BDA">
        <w:t>2 diabetes</w:t>
      </w:r>
      <w:r w:rsidR="00AF4C1C">
        <w:t xml:space="preserve"> at the time of submission</w:t>
      </w:r>
      <w:r>
        <w:t xml:space="preserve">. </w:t>
      </w:r>
      <w:r w:rsidR="00047099" w:rsidRPr="00D14896">
        <w:t xml:space="preserve">Following July 2021 changes in fees and mark-ups, </w:t>
      </w:r>
      <w:r w:rsidR="0029526E" w:rsidRPr="00D14896">
        <w:t xml:space="preserve">the </w:t>
      </w:r>
      <w:r w:rsidR="00047099" w:rsidRPr="00D14896">
        <w:t xml:space="preserve">DPMQ for empagliflozin for the treatment of </w:t>
      </w:r>
      <w:r w:rsidR="00AC0860" w:rsidRPr="00D14896">
        <w:t xml:space="preserve">type 2 </w:t>
      </w:r>
      <w:r w:rsidR="00AC0860" w:rsidRPr="00CA117B">
        <w:t>diabetes</w:t>
      </w:r>
      <w:r w:rsidR="00047099" w:rsidRPr="00CA117B">
        <w:t xml:space="preserve"> </w:t>
      </w:r>
      <w:r w:rsidR="00040BAC">
        <w:t>wa</w:t>
      </w:r>
      <w:r w:rsidR="00047099" w:rsidRPr="00CA117B">
        <w:t xml:space="preserve">s $60.10. </w:t>
      </w:r>
    </w:p>
    <w:p w14:paraId="50944479" w14:textId="77777777" w:rsidR="00591957" w:rsidRPr="00CA117B" w:rsidRDefault="00047099" w:rsidP="0012228C">
      <w:pPr>
        <w:pStyle w:val="ExecSumBodyText"/>
      </w:pPr>
      <w:r w:rsidRPr="00CA117B">
        <w:t xml:space="preserve">The requested restriction </w:t>
      </w:r>
      <w:r w:rsidR="00B974B3" w:rsidRPr="00CA117B">
        <w:t xml:space="preserve">did </w:t>
      </w:r>
      <w:r w:rsidRPr="00CA117B">
        <w:t xml:space="preserve">not include the 25 mg empagliflozin dose strength as investigation of the cardiovascular safety of empagliflozin in </w:t>
      </w:r>
      <w:r w:rsidR="00AC0860" w:rsidRPr="00CA117B">
        <w:t>type 2 diabetes</w:t>
      </w:r>
      <w:r w:rsidRPr="00CA117B">
        <w:t xml:space="preserve"> found no addition</w:t>
      </w:r>
      <w:r w:rsidR="00426DFA">
        <w:t>al</w:t>
      </w:r>
      <w:r w:rsidRPr="00CA117B">
        <w:t xml:space="preserve"> cardiovascular benefits compared to the 10 mg dose (EMPA-REG OUTCOME</w:t>
      </w:r>
      <w:r w:rsidR="00B974B3" w:rsidRPr="00CA117B">
        <w:t xml:space="preserve"> trial</w:t>
      </w:r>
      <w:r w:rsidRPr="00CA117B">
        <w:t xml:space="preserve">). </w:t>
      </w:r>
    </w:p>
    <w:p w14:paraId="6313B5F0" w14:textId="77777777" w:rsidR="00F67A69" w:rsidRPr="00CA117B" w:rsidRDefault="00BB31CB" w:rsidP="0012228C">
      <w:pPr>
        <w:pStyle w:val="ExecSumBodyText"/>
      </w:pPr>
      <w:r w:rsidRPr="00CA117B">
        <w:t xml:space="preserve">The requested restriction </w:t>
      </w:r>
      <w:r w:rsidR="00B974B3" w:rsidRPr="00CA117B">
        <w:t>was</w:t>
      </w:r>
      <w:r w:rsidRPr="00CA117B">
        <w:t xml:space="preserve"> narrower than the indication</w:t>
      </w:r>
      <w:r w:rsidR="00A459CA">
        <w:rPr>
          <w:rFonts w:eastAsia="Calibri"/>
        </w:rPr>
        <w:t xml:space="preserve"> in the TGA delegate’s overview</w:t>
      </w:r>
      <w:r w:rsidRPr="00CA117B">
        <w:t xml:space="preserve">, restricting eligibility to patients with NYHA class II-IV heart failure with a </w:t>
      </w:r>
      <w:r w:rsidR="00E7621E" w:rsidRPr="00CA117B">
        <w:t>LVEF</w:t>
      </w:r>
      <w:r w:rsidRPr="00CA117B">
        <w:t xml:space="preserve"> of </w:t>
      </w:r>
      <w:r w:rsidRPr="00CA117B">
        <w:rPr>
          <w:rFonts w:cs="Calibri"/>
        </w:rPr>
        <w:t>≤</w:t>
      </w:r>
      <w:r w:rsidRPr="00CA117B">
        <w:t>40%, receiving concomitant standard chronic heart failure treatment</w:t>
      </w:r>
      <w:r w:rsidR="00040BAC">
        <w:t>,</w:t>
      </w:r>
      <w:r w:rsidRPr="00CA117B">
        <w:t xml:space="preserve"> unless contraindicated or not tolerated.</w:t>
      </w:r>
    </w:p>
    <w:p w14:paraId="0637AC2E" w14:textId="77777777" w:rsidR="00047099" w:rsidRPr="00CA117B" w:rsidRDefault="00047099" w:rsidP="0012228C">
      <w:pPr>
        <w:pStyle w:val="ExecSumBodyText"/>
      </w:pPr>
      <w:r w:rsidRPr="00CA117B">
        <w:t xml:space="preserve">The requested restriction </w:t>
      </w:r>
      <w:r w:rsidR="00B974B3" w:rsidRPr="00CA117B">
        <w:t>was</w:t>
      </w:r>
      <w:r w:rsidRPr="00CA117B">
        <w:t xml:space="preserve"> broadly consistent with the inclusion criteria of the key clinical trial (EMPEROR-Reduced)</w:t>
      </w:r>
      <w:r w:rsidRPr="00CA117B">
        <w:rPr>
          <w:szCs w:val="18"/>
        </w:rPr>
        <w:t>.</w:t>
      </w:r>
      <w:r w:rsidR="004B759E">
        <w:rPr>
          <w:szCs w:val="18"/>
        </w:rPr>
        <w:t xml:space="preserve"> </w:t>
      </w:r>
    </w:p>
    <w:p w14:paraId="20D51B15" w14:textId="77777777" w:rsidR="00DA7046" w:rsidRPr="0040620B" w:rsidRDefault="00BB31CB" w:rsidP="0012228C">
      <w:pPr>
        <w:pStyle w:val="ExecSumBodyText"/>
      </w:pPr>
      <w:r w:rsidRPr="0040620B">
        <w:t xml:space="preserve">The </w:t>
      </w:r>
      <w:r w:rsidR="0040620B">
        <w:t xml:space="preserve">submission stated that the </w:t>
      </w:r>
      <w:r w:rsidRPr="0040620B">
        <w:t xml:space="preserve">requested restriction was based on the restriction requested for dapagliflozin (HFrEF), considered by the PBAC at </w:t>
      </w:r>
      <w:r w:rsidR="00CA117B" w:rsidRPr="0040620B">
        <w:t xml:space="preserve">its </w:t>
      </w:r>
      <w:r w:rsidRPr="0040620B">
        <w:t xml:space="preserve">November 2020 meeting, including the Secretariat suggested wording (para 3.1, </w:t>
      </w:r>
      <w:r w:rsidR="00B974B3" w:rsidRPr="0040620B">
        <w:rPr>
          <w:rFonts w:cstheme="minorHAnsi"/>
        </w:rPr>
        <w:t>d</w:t>
      </w:r>
      <w:r w:rsidRPr="0040620B">
        <w:rPr>
          <w:rFonts w:cstheme="minorHAnsi"/>
        </w:rPr>
        <w:t xml:space="preserve">apagliflozin </w:t>
      </w:r>
      <w:r w:rsidR="00BA4263" w:rsidRPr="0040620B">
        <w:rPr>
          <w:rFonts w:cstheme="minorHAnsi"/>
        </w:rPr>
        <w:t>Public Summary Document (</w:t>
      </w:r>
      <w:r w:rsidRPr="0040620B">
        <w:rPr>
          <w:rFonts w:cstheme="minorHAnsi"/>
        </w:rPr>
        <w:t>PSD</w:t>
      </w:r>
      <w:r w:rsidR="00BA4263" w:rsidRPr="0040620B">
        <w:rPr>
          <w:rFonts w:cstheme="minorHAnsi"/>
        </w:rPr>
        <w:t>)</w:t>
      </w:r>
      <w:r w:rsidRPr="0040620B">
        <w:rPr>
          <w:rFonts w:cstheme="minorHAnsi"/>
        </w:rPr>
        <w:t>, November 2020 PBAC meeting).</w:t>
      </w:r>
      <w:r w:rsidR="00DA7046" w:rsidRPr="0040620B">
        <w:t xml:space="preserve"> </w:t>
      </w:r>
      <w:r w:rsidR="00DA7046" w:rsidRPr="0040620B">
        <w:rPr>
          <w:iCs/>
        </w:rPr>
        <w:t xml:space="preserve">The </w:t>
      </w:r>
      <w:r w:rsidR="00DA7046" w:rsidRPr="0040620B">
        <w:rPr>
          <w:lang w:eastAsia="en-US"/>
        </w:rPr>
        <w:t>only difference in the proposed restriction for empagliflozin was the requirement in relation to beta-blocker use. The submission stated that this was because, on 1 June 2021, the beta-blocker criterion on the sacubitril + valsartan listing was changed from:</w:t>
      </w:r>
    </w:p>
    <w:p w14:paraId="2A7CBB37" w14:textId="77777777" w:rsidR="00DA7046" w:rsidRPr="0040620B" w:rsidRDefault="00DA7046" w:rsidP="00DA7046">
      <w:pPr>
        <w:numPr>
          <w:ilvl w:val="1"/>
          <w:numId w:val="11"/>
        </w:numPr>
        <w:spacing w:after="120" w:line="259" w:lineRule="auto"/>
        <w:rPr>
          <w:snapToGrid w:val="0"/>
          <w:color w:val="FF0000"/>
          <w:lang w:eastAsia="en-US"/>
        </w:rPr>
      </w:pPr>
      <w:r w:rsidRPr="0040620B">
        <w:rPr>
          <w:snapToGrid w:val="0"/>
          <w:lang w:eastAsia="en-US"/>
        </w:rPr>
        <w:t>“Patient must receive concomitant optimal standard chronic heart failure treatment, which must include the maximum tolerated dose of a beta-blocker, unless contraindicated or not tolerated.”</w:t>
      </w:r>
    </w:p>
    <w:p w14:paraId="0E26E481" w14:textId="77777777" w:rsidR="00DA7046" w:rsidRPr="0040620B" w:rsidRDefault="00DA7046" w:rsidP="00DA7046">
      <w:pPr>
        <w:spacing w:after="120"/>
        <w:ind w:left="1440"/>
        <w:rPr>
          <w:snapToGrid w:val="0"/>
          <w:lang w:eastAsia="en-US"/>
        </w:rPr>
      </w:pPr>
      <w:r w:rsidRPr="0040620B">
        <w:rPr>
          <w:snapToGrid w:val="0"/>
          <w:lang w:eastAsia="en-US"/>
        </w:rPr>
        <w:t>to</w:t>
      </w:r>
    </w:p>
    <w:p w14:paraId="0518F332" w14:textId="77777777" w:rsidR="00DA7046" w:rsidRPr="0040620B" w:rsidRDefault="00DA7046" w:rsidP="00DA7046">
      <w:pPr>
        <w:numPr>
          <w:ilvl w:val="1"/>
          <w:numId w:val="11"/>
        </w:numPr>
        <w:spacing w:after="120" w:line="259" w:lineRule="auto"/>
        <w:rPr>
          <w:snapToGrid w:val="0"/>
          <w:lang w:eastAsia="en-US"/>
        </w:rPr>
      </w:pPr>
      <w:r w:rsidRPr="0040620B">
        <w:rPr>
          <w:snapToGrid w:val="0"/>
          <w:lang w:eastAsia="en-US"/>
        </w:rPr>
        <w:t>“Patient must receive concomitant optimal standard chronic heart failure treatment, which must include a beta-blocker, unless at least one of the following is present in relation to the beta-blocker: (i) a contraindication listed in the Product Information, (ii) an existing/expected intolerance, (iii) local treatment guidelines recommend initiation of this drug product prior to a beta-blocker.”</w:t>
      </w:r>
    </w:p>
    <w:p w14:paraId="29367FD6" w14:textId="77777777" w:rsidR="00DA7046" w:rsidRPr="0040620B" w:rsidRDefault="00DA7046" w:rsidP="0012228C">
      <w:pPr>
        <w:pStyle w:val="ExecSumBodyText"/>
        <w:rPr>
          <w:color w:val="FF0000"/>
          <w:lang w:eastAsia="en-US"/>
        </w:rPr>
      </w:pPr>
      <w:r w:rsidRPr="0040620B">
        <w:rPr>
          <w:lang w:eastAsia="en-US"/>
        </w:rPr>
        <w:t xml:space="preserve">This change to the sacubitril + valsartan listing was in response to a recommendation made in November 2020 when PBAC considered that the previous criterion was “inconsistent with clinical guidelines and may complicate management of patients” (para 7.6, sacubitril + valsartan, PSD, November 2020). </w:t>
      </w:r>
      <w:r w:rsidR="006D74CC">
        <w:rPr>
          <w:lang w:eastAsia="en-US"/>
        </w:rPr>
        <w:t xml:space="preserve">The </w:t>
      </w:r>
      <w:r w:rsidR="007B2986">
        <w:rPr>
          <w:lang w:eastAsia="en-US"/>
        </w:rPr>
        <w:t>empagliflozin</w:t>
      </w:r>
      <w:r w:rsidR="004B759E">
        <w:rPr>
          <w:lang w:eastAsia="en-US"/>
        </w:rPr>
        <w:t xml:space="preserve"> </w:t>
      </w:r>
      <w:r w:rsidR="006D74CC">
        <w:rPr>
          <w:lang w:eastAsia="en-US"/>
        </w:rPr>
        <w:t xml:space="preserve">pre-PBAC response considered that there is no consensus regarding a strict sequential approach </w:t>
      </w:r>
      <w:r w:rsidR="006D74CC" w:rsidRPr="006D74CC">
        <w:rPr>
          <w:lang w:eastAsia="en-US"/>
        </w:rPr>
        <w:t>(i.e. fully titrating one medication class before initiating an additional agent).</w:t>
      </w:r>
    </w:p>
    <w:p w14:paraId="2AD2F0D6" w14:textId="77777777" w:rsidR="00DA7046" w:rsidRPr="0040620B" w:rsidRDefault="00DA7046" w:rsidP="0012228C">
      <w:pPr>
        <w:pStyle w:val="ExecSumBodyText"/>
        <w:rPr>
          <w:color w:val="FF0000"/>
          <w:lang w:eastAsia="en-US"/>
        </w:rPr>
      </w:pPr>
      <w:r w:rsidRPr="0040620B">
        <w:rPr>
          <w:lang w:eastAsia="en-US"/>
        </w:rPr>
        <w:t>The ESC noted that the E</w:t>
      </w:r>
      <w:bookmarkStart w:id="8" w:name="_Hlk87279071"/>
      <w:r w:rsidRPr="0040620B">
        <w:rPr>
          <w:lang w:eastAsia="en-US"/>
        </w:rPr>
        <w:t xml:space="preserve">uropean Society of Cardiology released its updated </w:t>
      </w:r>
      <w:r w:rsidRPr="0040620B">
        <w:rPr>
          <w:i/>
          <w:lang w:eastAsia="en-US"/>
        </w:rPr>
        <w:t>Guidelines for the diagnosis and treatment of acute and chronic heart failure</w:t>
      </w:r>
      <w:r w:rsidRPr="0040620B">
        <w:rPr>
          <w:iCs/>
          <w:lang w:eastAsia="en-US"/>
        </w:rPr>
        <w:t xml:space="preserve"> </w:t>
      </w:r>
      <w:bookmarkEnd w:id="8"/>
      <w:r w:rsidRPr="0040620B">
        <w:rPr>
          <w:lang w:eastAsia="en-US"/>
        </w:rPr>
        <w:t>in August 2021.</w:t>
      </w:r>
      <w:r w:rsidR="00426DFA">
        <w:rPr>
          <w:lang w:eastAsia="en-US"/>
        </w:rPr>
        <w:t xml:space="preserve"> </w:t>
      </w:r>
      <w:r w:rsidRPr="0040620B">
        <w:rPr>
          <w:lang w:eastAsia="en-US"/>
        </w:rPr>
        <w:t>The revised guidelines note (pp21-22):</w:t>
      </w:r>
    </w:p>
    <w:p w14:paraId="796E0F24" w14:textId="77777777" w:rsidR="00DA7046" w:rsidRPr="0040620B" w:rsidRDefault="00DA7046" w:rsidP="00DA7046">
      <w:pPr>
        <w:numPr>
          <w:ilvl w:val="1"/>
          <w:numId w:val="11"/>
        </w:numPr>
        <w:spacing w:after="120" w:line="259" w:lineRule="auto"/>
        <w:rPr>
          <w:snapToGrid w:val="0"/>
          <w:lang w:eastAsia="en-US"/>
        </w:rPr>
      </w:pPr>
      <w:r w:rsidRPr="0040620B">
        <w:rPr>
          <w:snapToGrid w:val="0"/>
          <w:lang w:eastAsia="en-US"/>
        </w:rPr>
        <w:t>“The triad of an ACE-I/ARNI, a beta-blocker, and an MRA is recommended as cornerstone therapies for these patients, unless the drugs are contraindicated or not tolerated. They should be uptitrated to the doses used in the clinical trials (or to maximally tolerated doses if that is not possible).”</w:t>
      </w:r>
    </w:p>
    <w:p w14:paraId="0E47CA46" w14:textId="77777777" w:rsidR="00DA7046" w:rsidRPr="0040620B" w:rsidRDefault="00DA7046" w:rsidP="00DA7046">
      <w:pPr>
        <w:numPr>
          <w:ilvl w:val="1"/>
          <w:numId w:val="11"/>
        </w:numPr>
        <w:spacing w:after="120" w:line="259" w:lineRule="auto"/>
        <w:rPr>
          <w:snapToGrid w:val="0"/>
          <w:lang w:eastAsia="en-US"/>
        </w:rPr>
      </w:pPr>
      <w:r w:rsidRPr="0040620B">
        <w:rPr>
          <w:snapToGrid w:val="0"/>
          <w:lang w:eastAsia="en-US"/>
        </w:rPr>
        <w:t>“Unless contraindicated or not tolerated, dapagliflozin or empagliflozin are recommended for all patients with HFrEF already treated with an ACE-I/ARNI, a beta-blocker, and an MRA, regardless of whether they have diabetes or not.”</w:t>
      </w:r>
    </w:p>
    <w:p w14:paraId="73278C02" w14:textId="77777777" w:rsidR="00DA7046" w:rsidRPr="0040620B" w:rsidRDefault="00DA7046" w:rsidP="00DA7046">
      <w:pPr>
        <w:numPr>
          <w:ilvl w:val="1"/>
          <w:numId w:val="11"/>
        </w:numPr>
        <w:spacing w:after="120" w:line="259" w:lineRule="auto"/>
        <w:rPr>
          <w:snapToGrid w:val="0"/>
          <w:lang w:eastAsia="en-US"/>
        </w:rPr>
      </w:pPr>
      <w:r w:rsidRPr="0040620B">
        <w:rPr>
          <w:snapToGrid w:val="0"/>
          <w:lang w:eastAsia="en-US"/>
        </w:rPr>
        <w:t xml:space="preserve">That the recommendations for use of an ACE-I, beta-blocker, MRA, and SGLTi are all </w:t>
      </w:r>
      <w:bookmarkStart w:id="9" w:name="_Hlk87279035"/>
      <w:r w:rsidRPr="0040620B">
        <w:rPr>
          <w:snapToGrid w:val="0"/>
          <w:lang w:eastAsia="en-US"/>
        </w:rPr>
        <w:t>Class I recommendations, based on Level A evidence.</w:t>
      </w:r>
    </w:p>
    <w:p w14:paraId="4F332BDA" w14:textId="77777777" w:rsidR="004B759E" w:rsidRDefault="004B759E" w:rsidP="004B759E">
      <w:pPr>
        <w:pStyle w:val="ExecSumBodyText"/>
        <w:rPr>
          <w:iCs/>
        </w:rPr>
      </w:pPr>
      <w:bookmarkStart w:id="10" w:name="_Toc82553833"/>
      <w:bookmarkEnd w:id="9"/>
      <w:r w:rsidRPr="004B759E">
        <w:rPr>
          <w:snapToGrid/>
        </w:rPr>
        <w:t>The PBAC considered that the PBS listing should align with the recommended listing for dapagliflozin</w:t>
      </w:r>
      <w:r w:rsidRPr="004B759E">
        <w:rPr>
          <w:iCs/>
        </w:rPr>
        <w:t>.</w:t>
      </w:r>
    </w:p>
    <w:p w14:paraId="79261F3C" w14:textId="77777777" w:rsidR="00565789" w:rsidRPr="00C33D30" w:rsidRDefault="00565789" w:rsidP="00565789">
      <w:pPr>
        <w:ind w:firstLine="709"/>
        <w:rPr>
          <w:rFonts w:asciiTheme="minorHAnsi" w:hAnsiTheme="minorHAnsi"/>
          <w:i/>
        </w:rPr>
      </w:pPr>
      <w:r w:rsidRPr="00C33D30">
        <w:rPr>
          <w:rFonts w:asciiTheme="minorHAnsi" w:hAnsiTheme="minorHAnsi"/>
          <w:i/>
        </w:rPr>
        <w:t>For more detail on PBAC’s view, see section 7 PBAC outcome.</w:t>
      </w:r>
    </w:p>
    <w:p w14:paraId="46894738" w14:textId="77777777" w:rsidR="00B50DB8" w:rsidRPr="00B46EAA" w:rsidRDefault="00203181" w:rsidP="004E18E9">
      <w:pPr>
        <w:pStyle w:val="2-SectionHeading"/>
      </w:pPr>
      <w:r w:rsidRPr="00B46EAA">
        <w:t xml:space="preserve">Population and </w:t>
      </w:r>
      <w:r w:rsidR="008E0D3C" w:rsidRPr="00B46EAA">
        <w:t>d</w:t>
      </w:r>
      <w:r w:rsidRPr="00B46EAA">
        <w:t>isease</w:t>
      </w:r>
      <w:bookmarkEnd w:id="10"/>
    </w:p>
    <w:p w14:paraId="1B7E0417" w14:textId="77777777" w:rsidR="007B2B92" w:rsidRPr="007B2B92" w:rsidRDefault="007B2B92" w:rsidP="0012228C">
      <w:pPr>
        <w:pStyle w:val="ExecSumBodyText"/>
      </w:pPr>
      <w:r w:rsidRPr="007B2B92">
        <w:t>Heart failure is a complex clinical syndrome caused by underlying structural and/or functional impairment of cardiac ventricular filling and ejection, and is characterised by symptoms of dyspnoea, orthopnoea, paroxysmal nocturnal dyspnoea, reduced end-organ perfusion, venous congestion (elevated jugular venous pressure, hepatic enlargement, peripheral oedema, pulmonary oedema, pleural effusion, ascites), and fatigue. The symptoms of heart failure are most evident on exertion, but increasingly occur at rest with disease progression. Common causes of heart failure include ischaemic heart disease, valvular heart disease, cardiomyopathies, hypertension, arrhythmias, and diabetes. Chronic heart failure refers to patients with the clinical symptoms of heart failure for at least three months.</w:t>
      </w:r>
    </w:p>
    <w:p w14:paraId="4C6FAA8A" w14:textId="77777777" w:rsidR="007B2B92" w:rsidRPr="000F52C8" w:rsidRDefault="007B2B92" w:rsidP="0012228C">
      <w:pPr>
        <w:pStyle w:val="ExecSumBodyText"/>
      </w:pPr>
      <w:r w:rsidRPr="007B2B92">
        <w:t>Heart failure is classified by the severity of functional symptoms and impact on daily activity; i.e. New York Heart Association (NYHA) classification, as well as preserved left ventricular ejection fraction (National Heart Foundation of Australia</w:t>
      </w:r>
      <w:r w:rsidR="000F52C8">
        <w:t>); i.e. h</w:t>
      </w:r>
      <w:r w:rsidRPr="007B2B92">
        <w:t>eart failure with red</w:t>
      </w:r>
      <w:r w:rsidR="000F52C8">
        <w:t xml:space="preserve">uced ejection fraction (HFrEF: </w:t>
      </w:r>
      <w:r w:rsidRPr="007B2B92">
        <w:t>LVEF &lt;40% with clinical symptoms of heart failure and systolic dysfunction</w:t>
      </w:r>
      <w:r w:rsidR="007C35D6">
        <w:t>)</w:t>
      </w:r>
      <w:r w:rsidR="000F52C8">
        <w:t>; h</w:t>
      </w:r>
      <w:r w:rsidRPr="007B2B92">
        <w:t>eart failure with pres</w:t>
      </w:r>
      <w:r w:rsidR="000F52C8">
        <w:t xml:space="preserve">erved ejection fraction (HFpEF: </w:t>
      </w:r>
      <w:r w:rsidRPr="007B2B92">
        <w:t>LVEF ≥50% with clinical symptoms of heart failure and objective evidence of structural heart disease and/or diastolic dysfunction</w:t>
      </w:r>
      <w:r w:rsidR="000E0DBB">
        <w:t>;</w:t>
      </w:r>
      <w:r w:rsidRPr="007B2B92">
        <w:t xml:space="preserve"> previously</w:t>
      </w:r>
      <w:r w:rsidR="000F52C8">
        <w:t xml:space="preserve"> defined as diastolic failure); </w:t>
      </w:r>
      <w:r w:rsidR="000E0DBB">
        <w:t xml:space="preserve">and </w:t>
      </w:r>
      <w:r w:rsidR="000F52C8">
        <w:t>h</w:t>
      </w:r>
      <w:r w:rsidRPr="000F52C8">
        <w:t>eart failure with mildly r</w:t>
      </w:r>
      <w:r w:rsidR="000F52C8">
        <w:t>educed ejection fraction (HFm</w:t>
      </w:r>
      <w:r w:rsidR="00745FDB">
        <w:t>r</w:t>
      </w:r>
      <w:r w:rsidR="000F52C8">
        <w:t>EF</w:t>
      </w:r>
      <w:r w:rsidRPr="000F52C8">
        <w:t>: LVEF 40-49% with clinical symptoms of heart failure and evidence of diastolic dysfunction</w:t>
      </w:r>
      <w:r w:rsidR="000F52C8">
        <w:t>)</w:t>
      </w:r>
      <w:r w:rsidRPr="000F52C8">
        <w:t>.</w:t>
      </w:r>
    </w:p>
    <w:p w14:paraId="72EE5535" w14:textId="77777777" w:rsidR="00894489" w:rsidRPr="00FC1349" w:rsidRDefault="007B2B92" w:rsidP="0012228C">
      <w:pPr>
        <w:pStyle w:val="ExecSumBodyText"/>
      </w:pPr>
      <w:r w:rsidRPr="00FC1349">
        <w:t>Liew et al. (2020) estimated that in 2017 there were approximately 420,000 Australian adults with heart failure (2.20% age-standardised prevalence), and 66,418 new diagnoses (0.348</w:t>
      </w:r>
      <w:r w:rsidR="0056633E" w:rsidRPr="00FC1349">
        <w:t xml:space="preserve">% age-standardised incidence). </w:t>
      </w:r>
      <w:r w:rsidRPr="00FC1349">
        <w:t xml:space="preserve">The prevalence of heart failure in Indigenous Australians is estimated to be 1.7 times that of non-Indigenous Australians (Woods et al., 2012). Heart failure mortality studies estimate </w:t>
      </w:r>
      <w:r w:rsidR="00BA4263" w:rsidRPr="00FC1349">
        <w:t>3- and 4-year</w:t>
      </w:r>
      <w:r w:rsidRPr="00FC1349">
        <w:t xml:space="preserve"> survival rates for HFrEF of 32% and 41%, respectively </w:t>
      </w:r>
      <w:bookmarkStart w:id="11" w:name="_Hlk83370943"/>
      <w:r w:rsidRPr="00FC1349">
        <w:t>(Somaratne et al., 2009; Meta-analysis Global Group in Chronic Heart Failure, 2012)</w:t>
      </w:r>
      <w:r w:rsidR="000445F1">
        <w:t>.</w:t>
      </w:r>
      <w:bookmarkEnd w:id="11"/>
    </w:p>
    <w:p w14:paraId="3C47D3BB" w14:textId="77777777" w:rsidR="007B2B92" w:rsidRPr="00FC1349" w:rsidRDefault="007B2B92" w:rsidP="0012228C">
      <w:pPr>
        <w:pStyle w:val="ExecSumBodyText"/>
      </w:pPr>
      <w:r w:rsidRPr="00FC1349">
        <w:t xml:space="preserve">Empagliflozin is a selective sodium-glucose co-transporter-2 (SGLT2) inhibitor used for the treatment of adults with type 2 diabetes. </w:t>
      </w:r>
      <w:r w:rsidR="00FC1349" w:rsidRPr="00FC1349">
        <w:t>The submission acknowledged that the precise mechanism of action underlying the protective cardiovascular effects of empagliflozin in the treatment of HFrEF is not understood, but noted that SGLT2 inhibitors may have renal, vascular/haemodynamic, direct cardiac, and/or metabolic effects, and that these actions are independent of the glycaemic effects of SGLT2 inhibitors.</w:t>
      </w:r>
    </w:p>
    <w:p w14:paraId="2A9281FB" w14:textId="77777777" w:rsidR="009B3A4F" w:rsidRDefault="000445F1" w:rsidP="0012228C">
      <w:pPr>
        <w:pStyle w:val="ExecSumBodyText"/>
      </w:pPr>
      <w:r w:rsidRPr="000445F1">
        <w:t xml:space="preserve">The </w:t>
      </w:r>
      <w:r>
        <w:t>proposed clinical management algorithm</w:t>
      </w:r>
      <w:r w:rsidRPr="000445F1">
        <w:t xml:space="preserve"> </w:t>
      </w:r>
      <w:r>
        <w:t xml:space="preserve">positioned empagliflozin </w:t>
      </w:r>
      <w:r w:rsidR="001F7C69">
        <w:t xml:space="preserve">10 mg once daily </w:t>
      </w:r>
      <w:r>
        <w:t xml:space="preserve">as an add-on to </w:t>
      </w:r>
      <w:r w:rsidR="001F7C69">
        <w:t>SC</w:t>
      </w:r>
      <w:r>
        <w:t xml:space="preserve"> in the treatment of </w:t>
      </w:r>
      <w:r w:rsidRPr="000445F1">
        <w:t>chronic HFrEF</w:t>
      </w:r>
      <w:r>
        <w:t xml:space="preserve">. </w:t>
      </w:r>
      <w:r w:rsidR="00E7621E">
        <w:t xml:space="preserve">This </w:t>
      </w:r>
      <w:r w:rsidR="00BA4263">
        <w:t>was</w:t>
      </w:r>
      <w:r w:rsidR="00E7621E">
        <w:t xml:space="preserve"> broadly </w:t>
      </w:r>
      <w:r>
        <w:t xml:space="preserve">consistent with the </w:t>
      </w:r>
      <w:r w:rsidR="00AD5278">
        <w:t>expected</w:t>
      </w:r>
      <w:r w:rsidR="00AD5278" w:rsidRPr="000445F1">
        <w:t xml:space="preserve"> </w:t>
      </w:r>
      <w:r w:rsidRPr="000445F1">
        <w:t xml:space="preserve">TGA </w:t>
      </w:r>
      <w:r>
        <w:t>indication</w:t>
      </w:r>
      <w:r w:rsidR="00E7621E">
        <w:t xml:space="preserve"> and the inclusion criteria of the key clinical trial</w:t>
      </w:r>
      <w:r>
        <w:t>.</w:t>
      </w:r>
    </w:p>
    <w:p w14:paraId="519133E1" w14:textId="77777777" w:rsidR="00565789" w:rsidRPr="00C33D30" w:rsidRDefault="00565789" w:rsidP="00565789">
      <w:pPr>
        <w:ind w:firstLine="709"/>
        <w:rPr>
          <w:rFonts w:asciiTheme="minorHAnsi" w:hAnsiTheme="minorHAnsi"/>
          <w:i/>
        </w:rPr>
      </w:pPr>
      <w:r w:rsidRPr="00C33D30">
        <w:rPr>
          <w:rFonts w:asciiTheme="minorHAnsi" w:hAnsiTheme="minorHAnsi"/>
          <w:i/>
        </w:rPr>
        <w:t>For more detail on PBAC’s view, see section 7 PBAC outcome.</w:t>
      </w:r>
    </w:p>
    <w:p w14:paraId="4A801355" w14:textId="77777777" w:rsidR="00B50DB8" w:rsidRPr="00407F2D" w:rsidRDefault="00B50DB8" w:rsidP="004E18E9">
      <w:pPr>
        <w:pStyle w:val="2-SectionHeading"/>
      </w:pPr>
      <w:bookmarkStart w:id="12" w:name="_Toc82553834"/>
      <w:r w:rsidRPr="00407F2D">
        <w:t>Comparator</w:t>
      </w:r>
      <w:bookmarkEnd w:id="12"/>
    </w:p>
    <w:p w14:paraId="2E72807E" w14:textId="77777777" w:rsidR="00ED22A5" w:rsidRPr="00047099" w:rsidRDefault="00ED22A5" w:rsidP="0012228C">
      <w:pPr>
        <w:pStyle w:val="ExecSumBodyText"/>
      </w:pPr>
      <w:r w:rsidRPr="00ED22A5">
        <w:t xml:space="preserve">The submission nominated optimised </w:t>
      </w:r>
      <w:r w:rsidR="0063127A">
        <w:t>SC</w:t>
      </w:r>
      <w:r w:rsidRPr="00ED22A5">
        <w:t xml:space="preserve"> as the main comparator, com</w:t>
      </w:r>
      <w:r w:rsidR="00E7621E">
        <w:t>prised of either (i) an ACEi/</w:t>
      </w:r>
      <w:r w:rsidRPr="00ED22A5">
        <w:t xml:space="preserve">ARB, in combination with a beta-blocker, with or without an MRA; </w:t>
      </w:r>
      <w:bookmarkStart w:id="13" w:name="_Hlk87343752"/>
      <w:r w:rsidRPr="00ED22A5">
        <w:t xml:space="preserve">or (ii) </w:t>
      </w:r>
      <w:r w:rsidR="00E7621E">
        <w:t>an ARNi</w:t>
      </w:r>
      <w:r w:rsidRPr="00ED22A5">
        <w:t>, in combination with a beta-blocker, with or without an MRA.</w:t>
      </w:r>
      <w:bookmarkEnd w:id="13"/>
      <w:r w:rsidRPr="00ED22A5">
        <w:t xml:space="preserve"> </w:t>
      </w:r>
      <w:r w:rsidR="00E7621E" w:rsidRPr="00D14896">
        <w:t>T</w:t>
      </w:r>
      <w:r w:rsidRPr="00D14896">
        <w:t xml:space="preserve">his was the comparator used in the key clinical trial (EMPEROR-Reduced), and the appropriate main comparator identified in the November 2020 consideration of dapagliflozin for HFrEF (para 5.6, </w:t>
      </w:r>
      <w:r w:rsidR="00BA4263">
        <w:t>d</w:t>
      </w:r>
      <w:r w:rsidRPr="00D14896">
        <w:t>apagliflozin</w:t>
      </w:r>
      <w:r w:rsidR="00BA4263">
        <w:t>,</w:t>
      </w:r>
      <w:r w:rsidRPr="00D14896">
        <w:t xml:space="preserve"> PSD, November 2020 PBAC meeting). </w:t>
      </w:r>
    </w:p>
    <w:p w14:paraId="79B828BA" w14:textId="77777777" w:rsidR="00223D5A" w:rsidRPr="00565789" w:rsidRDefault="00ED22A5" w:rsidP="0012228C">
      <w:pPr>
        <w:pStyle w:val="ExecSumBodyText"/>
      </w:pPr>
      <w:r w:rsidRPr="00ED22A5">
        <w:t xml:space="preserve">The submission also identified dapagliflozin as a potential near market comparator and pharmacological analogue. The submission acknowledged that if dapagliflozin </w:t>
      </w:r>
      <w:r w:rsidR="00BA4263">
        <w:t>was</w:t>
      </w:r>
      <w:r w:rsidRPr="00ED22A5">
        <w:t xml:space="preserve"> listed on the PBS for the treatment of HFrEF, dapagliflozin may be the appropriate main comparator. </w:t>
      </w:r>
      <w:bookmarkStart w:id="14" w:name="_Toc22897640"/>
      <w:r w:rsidR="00F04DDC" w:rsidRPr="00565789">
        <w:rPr>
          <w:iCs/>
        </w:rPr>
        <w:t xml:space="preserve">The PBAC recommended the PBS listing of dapagliflozin for HFrEF </w:t>
      </w:r>
      <w:r w:rsidR="00AD5278">
        <w:rPr>
          <w:iCs/>
        </w:rPr>
        <w:t>at its September 2021</w:t>
      </w:r>
      <w:r w:rsidR="00F04DDC" w:rsidRPr="00565789">
        <w:rPr>
          <w:iCs/>
        </w:rPr>
        <w:t xml:space="preserve"> Intracycle meeting. Therefore, dapagliflozin was </w:t>
      </w:r>
      <w:r w:rsidR="001F7C69" w:rsidRPr="00565789">
        <w:rPr>
          <w:iCs/>
        </w:rPr>
        <w:t>the</w:t>
      </w:r>
      <w:r w:rsidR="00F04DDC" w:rsidRPr="00565789">
        <w:rPr>
          <w:iCs/>
        </w:rPr>
        <w:t xml:space="preserve"> appropriate main comparator</w:t>
      </w:r>
      <w:r w:rsidR="00AD5278">
        <w:rPr>
          <w:iCs/>
        </w:rPr>
        <w:t xml:space="preserve"> for this submission</w:t>
      </w:r>
      <w:r w:rsidR="00F04DDC" w:rsidRPr="00565789">
        <w:rPr>
          <w:iCs/>
        </w:rPr>
        <w:t>.</w:t>
      </w:r>
      <w:r w:rsidR="005D4F5E" w:rsidRPr="00565789">
        <w:rPr>
          <w:iCs/>
        </w:rPr>
        <w:t xml:space="preserve"> </w:t>
      </w:r>
    </w:p>
    <w:p w14:paraId="28FF684D" w14:textId="77777777" w:rsidR="00565789" w:rsidRPr="00C33D30" w:rsidRDefault="00565789" w:rsidP="00565789">
      <w:pPr>
        <w:ind w:firstLine="709"/>
        <w:rPr>
          <w:rFonts w:asciiTheme="minorHAnsi" w:hAnsiTheme="minorHAnsi"/>
          <w:i/>
        </w:rPr>
      </w:pPr>
      <w:r w:rsidRPr="00C33D30">
        <w:rPr>
          <w:rFonts w:asciiTheme="minorHAnsi" w:hAnsiTheme="minorHAnsi"/>
          <w:i/>
        </w:rPr>
        <w:t>For more detail on PBAC’s view, see section 7 PBAC outcome.</w:t>
      </w:r>
    </w:p>
    <w:p w14:paraId="695107D8" w14:textId="77777777" w:rsidR="00DE1597" w:rsidRPr="00407F2D" w:rsidRDefault="00DE1597" w:rsidP="00DE1597">
      <w:pPr>
        <w:pStyle w:val="2-SectionHeading"/>
      </w:pPr>
      <w:bookmarkStart w:id="15" w:name="_Toc82553835"/>
      <w:r w:rsidRPr="001426EB">
        <w:t>Consideration of the evidence</w:t>
      </w:r>
      <w:bookmarkEnd w:id="15"/>
    </w:p>
    <w:p w14:paraId="64A6DA4F" w14:textId="77777777" w:rsidR="00565789" w:rsidRPr="006E1229" w:rsidRDefault="00565789" w:rsidP="00565789">
      <w:pPr>
        <w:pStyle w:val="3-SubsectionHeading"/>
      </w:pPr>
      <w:bookmarkStart w:id="16" w:name="_Hlk76375935"/>
      <w:bookmarkStart w:id="17" w:name="_Toc82553836"/>
      <w:r w:rsidRPr="006E1229">
        <w:t>Sponsor hearing</w:t>
      </w:r>
    </w:p>
    <w:p w14:paraId="7011F7AA" w14:textId="77777777" w:rsidR="00D06B3E" w:rsidRPr="007101E3" w:rsidRDefault="00D06B3E" w:rsidP="0012228C">
      <w:pPr>
        <w:pStyle w:val="ExecSumBodyText"/>
        <w:rPr>
          <w:bCs/>
        </w:rPr>
      </w:pPr>
      <w:bookmarkStart w:id="18" w:name="_Hlk76382586"/>
      <w:bookmarkStart w:id="19" w:name="_Hlk76382618"/>
      <w:r w:rsidRPr="00047EAC">
        <w:t xml:space="preserve">The sponsor requested a hearing for this item. The clinician described how SGLT2 inhibitors offered a new mechanism of action </w:t>
      </w:r>
      <w:r>
        <w:t xml:space="preserve">and improved effectiveness </w:t>
      </w:r>
      <w:r w:rsidRPr="00047EAC">
        <w:t>compared with the existing neurohormonal inhibitor</w:t>
      </w:r>
      <w:r>
        <w:t>s and</w:t>
      </w:r>
      <w:r w:rsidRPr="00047EAC">
        <w:t xml:space="preserve"> modulator</w:t>
      </w:r>
      <w:r>
        <w:t xml:space="preserve">s for heart failure treatment. The clinician also noted recent positive outcomes reported for empagliflozin for the treatment of heart failure with preserved ejection fraction. The clinician highlighted that international consensus is that empagliflozin and dapagliflozin are highly similar drugs, both having </w:t>
      </w:r>
      <w:r w:rsidRPr="007101E3">
        <w:rPr>
          <w:bCs/>
        </w:rPr>
        <w:t>Class I recommendations, based on Level A evidence</w:t>
      </w:r>
      <w:r w:rsidR="00BF3E96">
        <w:rPr>
          <w:bCs/>
        </w:rPr>
        <w:t>,</w:t>
      </w:r>
      <w:r>
        <w:rPr>
          <w:bCs/>
        </w:rPr>
        <w:t xml:space="preserve"> in the E</w:t>
      </w:r>
      <w:r w:rsidRPr="007101E3">
        <w:rPr>
          <w:bCs/>
        </w:rPr>
        <w:t xml:space="preserve">uropean Society of Cardiology </w:t>
      </w:r>
      <w:r w:rsidRPr="007101E3">
        <w:rPr>
          <w:bCs/>
          <w:i/>
          <w:iCs/>
        </w:rPr>
        <w:t>Guidelines for the diagnosis and treatment of acute and chronic heart failure</w:t>
      </w:r>
      <w:r w:rsidRPr="007101E3">
        <w:rPr>
          <w:bCs/>
        </w:rPr>
        <w:t>.</w:t>
      </w:r>
      <w:r>
        <w:rPr>
          <w:bCs/>
        </w:rPr>
        <w:t xml:space="preserve"> </w:t>
      </w:r>
      <w:r w:rsidR="007B2986">
        <w:rPr>
          <w:bCs/>
        </w:rPr>
        <w:t>The clinician also</w:t>
      </w:r>
      <w:r>
        <w:rPr>
          <w:bCs/>
        </w:rPr>
        <w:t xml:space="preserve"> noted that the recommendation did not apply to other SGLT2 inhibitors. The clinician further commented on the appropriate noninferiority margin for an indirect treatment comparison </w:t>
      </w:r>
      <w:r w:rsidR="00BF3E96">
        <w:rPr>
          <w:bCs/>
        </w:rPr>
        <w:t xml:space="preserve">(ITC) </w:t>
      </w:r>
      <w:r>
        <w:rPr>
          <w:bCs/>
        </w:rPr>
        <w:t xml:space="preserve">between empagliflozin and dapagliflozin, supporting the submission’s nominated margin of 1.3 as being clinically and scientifically reasonable, </w:t>
      </w:r>
      <w:r w:rsidR="00BF3E96">
        <w:rPr>
          <w:bCs/>
        </w:rPr>
        <w:t xml:space="preserve">and </w:t>
      </w:r>
      <w:r>
        <w:rPr>
          <w:bCs/>
        </w:rPr>
        <w:t xml:space="preserve">noting that the 1.104 previously considered reasonable by ESC in the context of the dapagliflozin submission for HFrEF was derived from a head-to-head trial with applicability issues to current practice, and was likely overly stringent for the submission’s </w:t>
      </w:r>
      <w:r w:rsidR="00BF3E96">
        <w:rPr>
          <w:bCs/>
        </w:rPr>
        <w:t xml:space="preserve">ITC </w:t>
      </w:r>
      <w:r>
        <w:rPr>
          <w:bCs/>
        </w:rPr>
        <w:t xml:space="preserve">comparison. The PBAC noted that the hearing aligned with the ESC’s advice (see paragraph </w:t>
      </w:r>
      <w:r w:rsidR="00915190">
        <w:rPr>
          <w:bCs/>
        </w:rPr>
        <w:t>6.15</w:t>
      </w:r>
      <w:r>
        <w:rPr>
          <w:bCs/>
        </w:rPr>
        <w:t>).</w:t>
      </w:r>
    </w:p>
    <w:bookmarkEnd w:id="18"/>
    <w:p w14:paraId="7C573555" w14:textId="77777777" w:rsidR="00D06B3E" w:rsidRPr="00AF4CE5" w:rsidRDefault="00D06B3E" w:rsidP="00D06B3E">
      <w:pPr>
        <w:pStyle w:val="3-SubsectionHeading"/>
      </w:pPr>
      <w:r w:rsidRPr="00AF4CE5">
        <w:t>Consumer comments</w:t>
      </w:r>
    </w:p>
    <w:p w14:paraId="38A5F265" w14:textId="77777777" w:rsidR="00565789" w:rsidRPr="00AF4CE5" w:rsidRDefault="00D06B3E" w:rsidP="0012228C">
      <w:pPr>
        <w:pStyle w:val="ExecSumBodyText"/>
      </w:pPr>
      <w:r w:rsidRPr="00AF4CE5">
        <w:t>The PBAC noted and welcomed the input from health care professionals (</w:t>
      </w:r>
      <w:r>
        <w:t xml:space="preserve">HCP, </w:t>
      </w:r>
      <w:r w:rsidRPr="00AF4CE5">
        <w:t>2) and the Centre for Community-Driven Research</w:t>
      </w:r>
      <w:r>
        <w:t xml:space="preserve"> (CCDR)</w:t>
      </w:r>
      <w:r w:rsidRPr="00AF4CE5">
        <w:t xml:space="preserve"> via the Consumer Comments facility on the PBS website. The</w:t>
      </w:r>
      <w:r>
        <w:t xml:space="preserve"> </w:t>
      </w:r>
      <w:r w:rsidR="00BF3E96">
        <w:t xml:space="preserve">CCDR </w:t>
      </w:r>
      <w:r>
        <w:t>survey data (n=50) outlined the impact that having heart failure has on quality of life and relationships. It described patient expectations of future treatment (e.g. wanting less invasive treatments for heart failure, and hoping for treatments that will stabilise or slow disease progression). The</w:t>
      </w:r>
      <w:r w:rsidRPr="00AF4CE5">
        <w:t xml:space="preserve"> comments </w:t>
      </w:r>
      <w:r>
        <w:t xml:space="preserve">from HCPs </w:t>
      </w:r>
      <w:r w:rsidRPr="00AF4CE5">
        <w:t>described benefits of treatment with empagliflozin including avoidance of hospitalisation due to heart failure (and associated costs), and improved quality of life.  The comments</w:t>
      </w:r>
      <w:r>
        <w:t xml:space="preserve"> from HCPs</w:t>
      </w:r>
      <w:r w:rsidRPr="00AF4CE5">
        <w:t xml:space="preserve"> also described the challenges with currently available treatments in terms of dosing, adherence, and side effects, and stated that empagliflozin should be available for those patients with HFrEF who are unable to tolerate existing standard of care.</w:t>
      </w:r>
      <w:r w:rsidR="00C2772F" w:rsidRPr="00AF4CE5">
        <w:t xml:space="preserve"> </w:t>
      </w:r>
      <w:r w:rsidR="00565789" w:rsidRPr="00AF4CE5">
        <w:t xml:space="preserve">  </w:t>
      </w:r>
    </w:p>
    <w:bookmarkEnd w:id="16"/>
    <w:bookmarkEnd w:id="19"/>
    <w:p w14:paraId="5150D18D" w14:textId="77777777" w:rsidR="00B60939" w:rsidRPr="00AF4CE5" w:rsidRDefault="00B60939" w:rsidP="002E4F02">
      <w:pPr>
        <w:pStyle w:val="3-SubsectionHeading"/>
      </w:pPr>
      <w:r w:rsidRPr="00AF4CE5">
        <w:t>Clinical trials</w:t>
      </w:r>
      <w:bookmarkEnd w:id="14"/>
      <w:bookmarkEnd w:id="17"/>
    </w:p>
    <w:p w14:paraId="2483E54B" w14:textId="77777777" w:rsidR="007F1017" w:rsidRPr="00F04DDC" w:rsidRDefault="00682C3B" w:rsidP="0012228C">
      <w:pPr>
        <w:pStyle w:val="ExecSumBodyText"/>
      </w:pPr>
      <w:r w:rsidRPr="00AF4CE5">
        <w:t>The submission was based on one head-to-head</w:t>
      </w:r>
      <w:r>
        <w:t xml:space="preserve"> randomised trial comparing empagliflozin plus SC versus placebo plus SC (EMPEROR-</w:t>
      </w:r>
      <w:r w:rsidRPr="00F04DDC">
        <w:t xml:space="preserve">Reduced), and </w:t>
      </w:r>
      <w:r w:rsidR="008A0180">
        <w:t xml:space="preserve">an </w:t>
      </w:r>
      <w:r w:rsidR="00F07F04">
        <w:t>ITC</w:t>
      </w:r>
      <w:r w:rsidRPr="00F04DDC">
        <w:t xml:space="preserve"> of empagliflozin plus SC (EMPEROR-Reduced) versus dapagliflozin plus SC (DAPA-HF), using placebo plus SC as a common reference.</w:t>
      </w:r>
      <w:r w:rsidR="00BC591F" w:rsidRPr="00F04DDC">
        <w:t xml:space="preserve"> </w:t>
      </w:r>
    </w:p>
    <w:p w14:paraId="73002444" w14:textId="77777777" w:rsidR="00862502" w:rsidRPr="00B50DB8" w:rsidRDefault="00A73134" w:rsidP="0012228C">
      <w:pPr>
        <w:pStyle w:val="ExecSumBodyText"/>
      </w:pPr>
      <w:r>
        <w:rPr>
          <w:snapToGrid/>
          <w:lang w:val="en-US"/>
        </w:rPr>
        <w:t>Details of the trials presented in the submission are provided in the table below.</w:t>
      </w:r>
      <w:r w:rsidR="00BC591F">
        <w:rPr>
          <w:snapToGrid/>
          <w:lang w:val="en-US"/>
        </w:rPr>
        <w:t xml:space="preserve"> </w:t>
      </w:r>
    </w:p>
    <w:p w14:paraId="677C437B" w14:textId="77777777" w:rsidR="008E0D3C" w:rsidRDefault="00B974B3" w:rsidP="00613E49">
      <w:pPr>
        <w:pStyle w:val="TableFigureCaption"/>
      </w:pPr>
      <w:r>
        <w:t xml:space="preserve">Table </w:t>
      </w:r>
      <w:r w:rsidR="00915190">
        <w:rPr>
          <w:noProof/>
        </w:rPr>
        <w:t>2</w:t>
      </w:r>
      <w:r w:rsidR="008E0D3C" w:rsidRPr="002E4F02">
        <w:t>:</w:t>
      </w:r>
      <w:r w:rsidR="00BC591F" w:rsidRPr="002E4F02">
        <w:t xml:space="preserve"> </w:t>
      </w:r>
      <w:r w:rsidR="008E0D3C" w:rsidRPr="002E4F02">
        <w:t>Trials</w:t>
      </w:r>
      <w:r w:rsidR="00682C3B">
        <w:t xml:space="preserve"> </w:t>
      </w:r>
      <w:r w:rsidR="008E0D3C" w:rsidRPr="002E4F02">
        <w:t>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2: Trials presented in the submission"/>
      </w:tblPr>
      <w:tblGrid>
        <w:gridCol w:w="1281"/>
        <w:gridCol w:w="5235"/>
        <w:gridCol w:w="2501"/>
      </w:tblGrid>
      <w:tr w:rsidR="004F0CBF" w:rsidRPr="00B41614" w14:paraId="6F91EC17" w14:textId="77777777" w:rsidTr="00897712">
        <w:trPr>
          <w:tblHeader/>
        </w:trPr>
        <w:tc>
          <w:tcPr>
            <w:tcW w:w="710" w:type="pct"/>
            <w:vAlign w:val="center"/>
          </w:tcPr>
          <w:p w14:paraId="2535AC6A" w14:textId="77777777" w:rsidR="004F0CBF" w:rsidRPr="00B41614" w:rsidRDefault="004F0CBF" w:rsidP="00613E49">
            <w:pPr>
              <w:pStyle w:val="Tableheadingrow"/>
            </w:pPr>
            <w:r w:rsidRPr="00B41614">
              <w:t>Trial ID</w:t>
            </w:r>
          </w:p>
        </w:tc>
        <w:tc>
          <w:tcPr>
            <w:tcW w:w="2903" w:type="pct"/>
            <w:vAlign w:val="center"/>
          </w:tcPr>
          <w:p w14:paraId="1724131C" w14:textId="77777777" w:rsidR="004F0CBF" w:rsidRPr="00B41614" w:rsidRDefault="004F0CBF" w:rsidP="00613E49">
            <w:pPr>
              <w:pStyle w:val="Tableheadingrow"/>
            </w:pPr>
            <w:r w:rsidRPr="00B41614">
              <w:t>Protocol title/ Publication title</w:t>
            </w:r>
          </w:p>
        </w:tc>
        <w:tc>
          <w:tcPr>
            <w:tcW w:w="1387" w:type="pct"/>
            <w:vAlign w:val="center"/>
          </w:tcPr>
          <w:p w14:paraId="5DFDE047" w14:textId="77777777" w:rsidR="004F0CBF" w:rsidRPr="00B41614" w:rsidRDefault="004F0CBF" w:rsidP="00613E49">
            <w:pPr>
              <w:pStyle w:val="Tableheadingrow"/>
            </w:pPr>
            <w:r w:rsidRPr="00B41614">
              <w:t>Publication citation</w:t>
            </w:r>
          </w:p>
        </w:tc>
      </w:tr>
      <w:tr w:rsidR="004F0CBF" w:rsidRPr="000A08FE" w14:paraId="48F0000B" w14:textId="77777777" w:rsidTr="00897712">
        <w:tc>
          <w:tcPr>
            <w:tcW w:w="5000" w:type="pct"/>
            <w:gridSpan w:val="3"/>
            <w:tcBorders>
              <w:bottom w:val="nil"/>
            </w:tcBorders>
          </w:tcPr>
          <w:p w14:paraId="4C1B2890" w14:textId="77777777" w:rsidR="004F0CBF" w:rsidRPr="000A08FE" w:rsidRDefault="004F0CBF" w:rsidP="00613E49">
            <w:pPr>
              <w:pStyle w:val="Tableheadingrow"/>
            </w:pPr>
            <w:r w:rsidRPr="00613E49">
              <w:t>Empagliflozin</w:t>
            </w:r>
          </w:p>
        </w:tc>
      </w:tr>
      <w:tr w:rsidR="004F0CBF" w:rsidRPr="00CB38A8" w14:paraId="2683FAC3" w14:textId="77777777" w:rsidTr="00897712">
        <w:tc>
          <w:tcPr>
            <w:tcW w:w="710" w:type="pct"/>
            <w:tcBorders>
              <w:bottom w:val="nil"/>
            </w:tcBorders>
          </w:tcPr>
          <w:p w14:paraId="3A3E76C5" w14:textId="77777777" w:rsidR="004F0CBF" w:rsidRPr="00613E49" w:rsidRDefault="004F0CBF" w:rsidP="00613E49">
            <w:pPr>
              <w:pStyle w:val="TableText"/>
            </w:pPr>
            <w:r w:rsidRPr="00613E49">
              <w:t>EMPEROR-Reduced</w:t>
            </w:r>
          </w:p>
          <w:p w14:paraId="095F3611" w14:textId="77777777" w:rsidR="004F0CBF" w:rsidRPr="00613E49" w:rsidRDefault="004F0CBF" w:rsidP="00613E49">
            <w:pPr>
              <w:pStyle w:val="TableText"/>
            </w:pPr>
            <w:r w:rsidRPr="00613E49">
              <w:t>(Trial 1245-121)</w:t>
            </w:r>
          </w:p>
        </w:tc>
        <w:tc>
          <w:tcPr>
            <w:tcW w:w="2903" w:type="pct"/>
            <w:tcBorders>
              <w:bottom w:val="nil"/>
            </w:tcBorders>
          </w:tcPr>
          <w:p w14:paraId="24A9DD21" w14:textId="77777777" w:rsidR="004F0CBF" w:rsidRPr="00613E49" w:rsidRDefault="004F0CBF" w:rsidP="00613E49">
            <w:pPr>
              <w:pStyle w:val="TableText"/>
            </w:pPr>
            <w:r w:rsidRPr="00613E49">
              <w:t>A phase III randomised, double-blind trial to evaluate efficacy and safety of once daily empagliflozin 10 mg compared to placebo, in patients with chronic Heart Failure with reduced Ejection Fraction (HFrEF).</w:t>
            </w:r>
          </w:p>
        </w:tc>
        <w:tc>
          <w:tcPr>
            <w:tcW w:w="1387" w:type="pct"/>
            <w:tcBorders>
              <w:bottom w:val="nil"/>
            </w:tcBorders>
          </w:tcPr>
          <w:p w14:paraId="2395023F" w14:textId="77777777" w:rsidR="004F0CBF" w:rsidRPr="00D05485" w:rsidRDefault="004F0CBF" w:rsidP="00897712">
            <w:pPr>
              <w:pStyle w:val="TableText"/>
              <w:keepNext w:val="0"/>
            </w:pPr>
            <w:r>
              <w:rPr>
                <w:szCs w:val="18"/>
              </w:rPr>
              <w:t xml:space="preserve">Clinical Study Report, </w:t>
            </w:r>
            <w:r w:rsidRPr="00D05485">
              <w:t>15</w:t>
            </w:r>
            <w:r w:rsidR="00613E49">
              <w:t> </w:t>
            </w:r>
            <w:r w:rsidRPr="00D05485">
              <w:t>September 2020</w:t>
            </w:r>
            <w:r>
              <w:t>.</w:t>
            </w:r>
          </w:p>
        </w:tc>
      </w:tr>
      <w:tr w:rsidR="004F0CBF" w:rsidRPr="00CB38A8" w14:paraId="22B31C7A" w14:textId="77777777" w:rsidTr="00897712">
        <w:tc>
          <w:tcPr>
            <w:tcW w:w="710" w:type="pct"/>
            <w:tcBorders>
              <w:top w:val="nil"/>
              <w:bottom w:val="nil"/>
            </w:tcBorders>
          </w:tcPr>
          <w:p w14:paraId="3037D672" w14:textId="77777777" w:rsidR="004F0CBF" w:rsidRPr="00613E49" w:rsidRDefault="004F0CBF" w:rsidP="00613E49">
            <w:pPr>
              <w:pStyle w:val="TableText"/>
            </w:pPr>
          </w:p>
        </w:tc>
        <w:tc>
          <w:tcPr>
            <w:tcW w:w="2903" w:type="pct"/>
            <w:tcBorders>
              <w:top w:val="nil"/>
              <w:bottom w:val="nil"/>
            </w:tcBorders>
          </w:tcPr>
          <w:p w14:paraId="692A9174" w14:textId="77777777" w:rsidR="004F0CBF" w:rsidRPr="00613E49" w:rsidRDefault="004F0CBF" w:rsidP="00613E49">
            <w:pPr>
              <w:pStyle w:val="TableText"/>
            </w:pPr>
            <w:r w:rsidRPr="00613E49">
              <w:t xml:space="preserve">Packer M, Anker SD, Butler J et al. Effect of empagliflozin on the clinical stability of patients with heart failure and a reduced ejection fraction: The EMPEROR-Reduced trial. </w:t>
            </w:r>
          </w:p>
        </w:tc>
        <w:tc>
          <w:tcPr>
            <w:tcW w:w="1387" w:type="pct"/>
            <w:tcBorders>
              <w:top w:val="nil"/>
              <w:bottom w:val="nil"/>
            </w:tcBorders>
          </w:tcPr>
          <w:p w14:paraId="211AF844" w14:textId="77777777" w:rsidR="004F0CBF" w:rsidRPr="00D05485" w:rsidRDefault="004F0CBF" w:rsidP="00897712">
            <w:pPr>
              <w:pStyle w:val="TableText"/>
              <w:keepNext w:val="0"/>
              <w:rPr>
                <w:szCs w:val="18"/>
              </w:rPr>
            </w:pPr>
            <w:r w:rsidRPr="00D05485">
              <w:rPr>
                <w:i/>
                <w:szCs w:val="18"/>
              </w:rPr>
              <w:t>Circulation</w:t>
            </w:r>
            <w:r w:rsidRPr="00D05485">
              <w:rPr>
                <w:szCs w:val="18"/>
              </w:rPr>
              <w:t xml:space="preserve"> 2021, 143(4):326-336.</w:t>
            </w:r>
          </w:p>
        </w:tc>
      </w:tr>
      <w:tr w:rsidR="004F0CBF" w:rsidRPr="00CB38A8" w14:paraId="0D754A5E" w14:textId="77777777" w:rsidTr="00897712">
        <w:tc>
          <w:tcPr>
            <w:tcW w:w="710" w:type="pct"/>
            <w:tcBorders>
              <w:top w:val="nil"/>
              <w:bottom w:val="nil"/>
            </w:tcBorders>
          </w:tcPr>
          <w:p w14:paraId="4C582AA5" w14:textId="77777777" w:rsidR="004F0CBF" w:rsidRPr="00613E49" w:rsidRDefault="004F0CBF" w:rsidP="00613E49">
            <w:pPr>
              <w:pStyle w:val="TableText"/>
            </w:pPr>
          </w:p>
        </w:tc>
        <w:tc>
          <w:tcPr>
            <w:tcW w:w="2903" w:type="pct"/>
            <w:tcBorders>
              <w:top w:val="nil"/>
              <w:bottom w:val="nil"/>
            </w:tcBorders>
          </w:tcPr>
          <w:p w14:paraId="6D68C9DD" w14:textId="77777777" w:rsidR="004F0CBF" w:rsidRPr="00613E49" w:rsidRDefault="004F0CBF" w:rsidP="00613E49">
            <w:pPr>
              <w:pStyle w:val="TableText"/>
            </w:pPr>
            <w:r w:rsidRPr="00613E49">
              <w:t xml:space="preserve">Anker SD, Butler J, Filippatos G, et al. Effect of empagliflozin on cardiovascular and renal outcomes in patients with heart failure by baseline diabetes status - Results from the EMPEROR-Reduced trial. </w:t>
            </w:r>
          </w:p>
        </w:tc>
        <w:tc>
          <w:tcPr>
            <w:tcW w:w="1387" w:type="pct"/>
            <w:tcBorders>
              <w:top w:val="nil"/>
              <w:bottom w:val="nil"/>
            </w:tcBorders>
          </w:tcPr>
          <w:p w14:paraId="68151FE4" w14:textId="77777777" w:rsidR="004F0CBF" w:rsidRPr="00D05485" w:rsidRDefault="004F0CBF" w:rsidP="00897712">
            <w:pPr>
              <w:pStyle w:val="TableText"/>
              <w:keepNext w:val="0"/>
              <w:rPr>
                <w:i/>
                <w:szCs w:val="18"/>
              </w:rPr>
            </w:pPr>
            <w:r w:rsidRPr="00D05485">
              <w:rPr>
                <w:i/>
                <w:szCs w:val="18"/>
              </w:rPr>
              <w:t>Circulation</w:t>
            </w:r>
            <w:r>
              <w:rPr>
                <w:szCs w:val="18"/>
              </w:rPr>
              <w:t xml:space="preserve"> 2021, </w:t>
            </w:r>
            <w:r w:rsidRPr="00D05485">
              <w:rPr>
                <w:szCs w:val="18"/>
              </w:rPr>
              <w:t>143(4):337-349.</w:t>
            </w:r>
          </w:p>
        </w:tc>
      </w:tr>
      <w:tr w:rsidR="004F0CBF" w:rsidRPr="00CB38A8" w14:paraId="0E67E797" w14:textId="77777777" w:rsidTr="00897712">
        <w:tc>
          <w:tcPr>
            <w:tcW w:w="710" w:type="pct"/>
            <w:tcBorders>
              <w:top w:val="nil"/>
              <w:bottom w:val="nil"/>
            </w:tcBorders>
          </w:tcPr>
          <w:p w14:paraId="67B2B823" w14:textId="77777777" w:rsidR="004F0CBF" w:rsidRPr="00613E49" w:rsidRDefault="004F0CBF" w:rsidP="00613E49">
            <w:pPr>
              <w:pStyle w:val="TableText"/>
            </w:pPr>
          </w:p>
        </w:tc>
        <w:tc>
          <w:tcPr>
            <w:tcW w:w="2903" w:type="pct"/>
            <w:tcBorders>
              <w:top w:val="nil"/>
              <w:bottom w:val="nil"/>
            </w:tcBorders>
          </w:tcPr>
          <w:p w14:paraId="4E4EF533" w14:textId="77777777" w:rsidR="004F0CBF" w:rsidRPr="00613E49" w:rsidRDefault="004F0CBF" w:rsidP="00613E49">
            <w:pPr>
              <w:pStyle w:val="TableText"/>
            </w:pPr>
            <w:r w:rsidRPr="00613E49">
              <w:t xml:space="preserve">Butler J, Anker SD, Filippatos G, et al. Empagliflozin and health-related quality of life outcomes in patients with heart failure with reduced ejection fraction: the EMPEROR-Reduced trial. </w:t>
            </w:r>
          </w:p>
        </w:tc>
        <w:tc>
          <w:tcPr>
            <w:tcW w:w="1387" w:type="pct"/>
            <w:tcBorders>
              <w:top w:val="nil"/>
              <w:bottom w:val="nil"/>
            </w:tcBorders>
          </w:tcPr>
          <w:p w14:paraId="4621813D" w14:textId="77777777" w:rsidR="004F0CBF" w:rsidRPr="00D05485" w:rsidRDefault="004F0CBF" w:rsidP="00897712">
            <w:pPr>
              <w:pStyle w:val="TableText"/>
              <w:keepNext w:val="0"/>
              <w:rPr>
                <w:i/>
                <w:szCs w:val="18"/>
                <w:lang w:val="en-US"/>
              </w:rPr>
            </w:pPr>
            <w:r w:rsidRPr="00D05485">
              <w:rPr>
                <w:i/>
                <w:szCs w:val="18"/>
                <w:lang w:val="en-US"/>
              </w:rPr>
              <w:t>European Heart Journal</w:t>
            </w:r>
            <w:r w:rsidRPr="00D05485">
              <w:rPr>
                <w:szCs w:val="18"/>
                <w:lang w:val="en-US"/>
              </w:rPr>
              <w:t xml:space="preserve"> 2021, 42(13):1-10.</w:t>
            </w:r>
          </w:p>
        </w:tc>
      </w:tr>
      <w:tr w:rsidR="004F0CBF" w:rsidRPr="00CB38A8" w14:paraId="65C86FB0" w14:textId="77777777" w:rsidTr="00897712">
        <w:tc>
          <w:tcPr>
            <w:tcW w:w="710" w:type="pct"/>
            <w:tcBorders>
              <w:top w:val="nil"/>
              <w:bottom w:val="nil"/>
            </w:tcBorders>
          </w:tcPr>
          <w:p w14:paraId="432C4AF2" w14:textId="77777777" w:rsidR="004F0CBF" w:rsidRPr="00613E49" w:rsidRDefault="004F0CBF" w:rsidP="00613E49">
            <w:pPr>
              <w:pStyle w:val="TableText"/>
            </w:pPr>
          </w:p>
        </w:tc>
        <w:tc>
          <w:tcPr>
            <w:tcW w:w="2903" w:type="pct"/>
            <w:tcBorders>
              <w:top w:val="nil"/>
              <w:bottom w:val="nil"/>
            </w:tcBorders>
          </w:tcPr>
          <w:p w14:paraId="1543FD82" w14:textId="77777777" w:rsidR="004F0CBF" w:rsidRPr="00613E49" w:rsidRDefault="004F0CBF" w:rsidP="00613E49">
            <w:pPr>
              <w:pStyle w:val="TableText"/>
            </w:pPr>
            <w:r w:rsidRPr="00613E49">
              <w:t xml:space="preserve">Packer M, Anker SD, Butler J, et al. Cardiovascular and renal outcomes with empagliflozin in heart failure. </w:t>
            </w:r>
          </w:p>
        </w:tc>
        <w:tc>
          <w:tcPr>
            <w:tcW w:w="1387" w:type="pct"/>
            <w:tcBorders>
              <w:top w:val="nil"/>
              <w:bottom w:val="nil"/>
            </w:tcBorders>
          </w:tcPr>
          <w:p w14:paraId="6C6124AA" w14:textId="77777777" w:rsidR="004F0CBF" w:rsidRPr="00D05485" w:rsidRDefault="004F0CBF" w:rsidP="00897712">
            <w:pPr>
              <w:pStyle w:val="TableText"/>
              <w:keepNext w:val="0"/>
              <w:rPr>
                <w:i/>
                <w:szCs w:val="18"/>
                <w:lang w:val="en-US"/>
              </w:rPr>
            </w:pPr>
            <w:r w:rsidRPr="00D05485">
              <w:rPr>
                <w:i/>
                <w:iCs/>
                <w:szCs w:val="18"/>
              </w:rPr>
              <w:t xml:space="preserve">New England Journal of Medicine </w:t>
            </w:r>
            <w:r w:rsidRPr="00D05485">
              <w:rPr>
                <w:szCs w:val="18"/>
              </w:rPr>
              <w:t>2020</w:t>
            </w:r>
            <w:r>
              <w:rPr>
                <w:szCs w:val="18"/>
              </w:rPr>
              <w:t>,</w:t>
            </w:r>
            <w:r w:rsidRPr="00D05485">
              <w:rPr>
                <w:szCs w:val="18"/>
              </w:rPr>
              <w:t xml:space="preserve"> 383(15):1413-1424.</w:t>
            </w:r>
            <w:r w:rsidRPr="00D05485">
              <w:rPr>
                <w:szCs w:val="18"/>
              </w:rPr>
              <w:tab/>
            </w:r>
          </w:p>
        </w:tc>
      </w:tr>
      <w:tr w:rsidR="004F0CBF" w:rsidRPr="00CB38A8" w14:paraId="41669DAA" w14:textId="77777777" w:rsidTr="00897712">
        <w:tc>
          <w:tcPr>
            <w:tcW w:w="710" w:type="pct"/>
            <w:tcBorders>
              <w:top w:val="nil"/>
              <w:bottom w:val="nil"/>
            </w:tcBorders>
          </w:tcPr>
          <w:p w14:paraId="55719C5C" w14:textId="77777777" w:rsidR="004F0CBF" w:rsidRPr="00613E49" w:rsidRDefault="004F0CBF" w:rsidP="00613E49">
            <w:pPr>
              <w:pStyle w:val="TableText"/>
            </w:pPr>
          </w:p>
        </w:tc>
        <w:tc>
          <w:tcPr>
            <w:tcW w:w="2903" w:type="pct"/>
            <w:tcBorders>
              <w:top w:val="nil"/>
              <w:bottom w:val="nil"/>
            </w:tcBorders>
          </w:tcPr>
          <w:p w14:paraId="02886512" w14:textId="77777777" w:rsidR="004F0CBF" w:rsidRPr="00613E49" w:rsidRDefault="004F0CBF" w:rsidP="00613E49">
            <w:pPr>
              <w:pStyle w:val="TableText"/>
            </w:pPr>
            <w:r w:rsidRPr="00613E49">
              <w:t xml:space="preserve">Packer M. Effect of empagliflozin on major heart failure outcomes, renal function and quality of life in patients with heart failure with a reduced ejection fraction, with and without sacubitril/valsartan. </w:t>
            </w:r>
          </w:p>
        </w:tc>
        <w:tc>
          <w:tcPr>
            <w:tcW w:w="1387" w:type="pct"/>
            <w:tcBorders>
              <w:top w:val="nil"/>
              <w:bottom w:val="nil"/>
            </w:tcBorders>
          </w:tcPr>
          <w:p w14:paraId="459A0961" w14:textId="77777777" w:rsidR="004F0CBF" w:rsidRPr="00D05485" w:rsidRDefault="004F0CBF" w:rsidP="00897712">
            <w:pPr>
              <w:pStyle w:val="TableText"/>
              <w:keepNext w:val="0"/>
              <w:rPr>
                <w:i/>
                <w:szCs w:val="18"/>
                <w:lang w:val="en-US"/>
              </w:rPr>
            </w:pPr>
            <w:r>
              <w:rPr>
                <w:i/>
                <w:iCs/>
                <w:szCs w:val="18"/>
              </w:rPr>
              <w:t>Journal of Cardiac Failure</w:t>
            </w:r>
            <w:r w:rsidRPr="00D05485">
              <w:rPr>
                <w:i/>
                <w:iCs/>
                <w:szCs w:val="18"/>
              </w:rPr>
              <w:t xml:space="preserve"> </w:t>
            </w:r>
            <w:r w:rsidRPr="00D05485">
              <w:rPr>
                <w:szCs w:val="18"/>
              </w:rPr>
              <w:t>2020</w:t>
            </w:r>
            <w:r>
              <w:rPr>
                <w:szCs w:val="18"/>
              </w:rPr>
              <w:t>, 26(12):</w:t>
            </w:r>
            <w:r w:rsidRPr="00D05485">
              <w:rPr>
                <w:szCs w:val="18"/>
              </w:rPr>
              <w:t>1109.</w:t>
            </w:r>
          </w:p>
        </w:tc>
      </w:tr>
      <w:tr w:rsidR="004F0CBF" w:rsidRPr="00CB38A8" w14:paraId="1A72D0FD" w14:textId="77777777" w:rsidTr="00897712">
        <w:tc>
          <w:tcPr>
            <w:tcW w:w="710" w:type="pct"/>
            <w:tcBorders>
              <w:top w:val="nil"/>
              <w:bottom w:val="nil"/>
            </w:tcBorders>
          </w:tcPr>
          <w:p w14:paraId="18BB61EB" w14:textId="77777777" w:rsidR="004F0CBF" w:rsidRPr="00613E49" w:rsidRDefault="004F0CBF" w:rsidP="00613E49">
            <w:pPr>
              <w:pStyle w:val="TableText"/>
            </w:pPr>
          </w:p>
        </w:tc>
        <w:tc>
          <w:tcPr>
            <w:tcW w:w="2903" w:type="pct"/>
            <w:tcBorders>
              <w:top w:val="nil"/>
              <w:bottom w:val="nil"/>
            </w:tcBorders>
          </w:tcPr>
          <w:p w14:paraId="67A84212" w14:textId="77777777" w:rsidR="004F0CBF" w:rsidRPr="00613E49" w:rsidRDefault="004F0CBF" w:rsidP="00613E49">
            <w:pPr>
              <w:pStyle w:val="TableText"/>
            </w:pPr>
            <w:r w:rsidRPr="00613E49">
              <w:t xml:space="preserve">Packer M, Anker SD, Butler J, et al. Influence of neprilysin inhibition on the efficacy and safety of empagliflozin in patients with chronic heart failure and a reduced ejection fraction: the EMPEROR-Reduced trial. </w:t>
            </w:r>
          </w:p>
        </w:tc>
        <w:tc>
          <w:tcPr>
            <w:tcW w:w="1387" w:type="pct"/>
            <w:tcBorders>
              <w:top w:val="nil"/>
              <w:bottom w:val="nil"/>
            </w:tcBorders>
          </w:tcPr>
          <w:p w14:paraId="3CFB943E" w14:textId="77777777" w:rsidR="004F0CBF" w:rsidRPr="00D05485" w:rsidRDefault="004F0CBF" w:rsidP="00897712">
            <w:pPr>
              <w:pStyle w:val="TableText"/>
              <w:keepNext w:val="0"/>
              <w:rPr>
                <w:i/>
                <w:szCs w:val="18"/>
                <w:lang w:val="en-US"/>
              </w:rPr>
            </w:pPr>
            <w:r w:rsidRPr="00D05485">
              <w:rPr>
                <w:i/>
                <w:szCs w:val="18"/>
                <w:lang w:val="en-US"/>
              </w:rPr>
              <w:t>European Heart Journal</w:t>
            </w:r>
            <w:r w:rsidRPr="00D05485">
              <w:rPr>
                <w:szCs w:val="18"/>
                <w:lang w:val="en-US"/>
              </w:rPr>
              <w:t xml:space="preserve"> </w:t>
            </w:r>
            <w:r w:rsidRPr="00D05485">
              <w:rPr>
                <w:szCs w:val="18"/>
              </w:rPr>
              <w:t>2021</w:t>
            </w:r>
            <w:r>
              <w:rPr>
                <w:szCs w:val="18"/>
              </w:rPr>
              <w:t>, 42(6):</w:t>
            </w:r>
            <w:r w:rsidRPr="00D05485">
              <w:rPr>
                <w:szCs w:val="18"/>
              </w:rPr>
              <w:t>671-680.</w:t>
            </w:r>
          </w:p>
        </w:tc>
      </w:tr>
      <w:tr w:rsidR="004F0CBF" w:rsidRPr="00CB38A8" w14:paraId="51BAF27F" w14:textId="77777777" w:rsidTr="00897712">
        <w:tc>
          <w:tcPr>
            <w:tcW w:w="710" w:type="pct"/>
            <w:tcBorders>
              <w:top w:val="nil"/>
              <w:bottom w:val="single" w:sz="4" w:space="0" w:color="auto"/>
            </w:tcBorders>
          </w:tcPr>
          <w:p w14:paraId="41C831CF" w14:textId="77777777" w:rsidR="004F0CBF" w:rsidRPr="00613E49" w:rsidRDefault="004F0CBF" w:rsidP="00613E49">
            <w:pPr>
              <w:pStyle w:val="TableText"/>
            </w:pPr>
          </w:p>
        </w:tc>
        <w:tc>
          <w:tcPr>
            <w:tcW w:w="2903" w:type="pct"/>
            <w:tcBorders>
              <w:top w:val="nil"/>
              <w:bottom w:val="single" w:sz="4" w:space="0" w:color="auto"/>
            </w:tcBorders>
          </w:tcPr>
          <w:p w14:paraId="382B9902" w14:textId="77777777" w:rsidR="004F0CBF" w:rsidRPr="00613E49" w:rsidRDefault="004F0CBF" w:rsidP="00613E49">
            <w:pPr>
              <w:pStyle w:val="TableText"/>
            </w:pPr>
            <w:r w:rsidRPr="00613E49">
              <w:t xml:space="preserve">Zannad F, Ferreira JP, Pocock SJ, et al. Cardiac and kidney benefits of empagliflozin in heart failure across the spectrum of kidney function: insights from the EMPEROR-Reduced trial. </w:t>
            </w:r>
          </w:p>
        </w:tc>
        <w:tc>
          <w:tcPr>
            <w:tcW w:w="1387" w:type="pct"/>
            <w:tcBorders>
              <w:top w:val="nil"/>
              <w:bottom w:val="single" w:sz="4" w:space="0" w:color="auto"/>
            </w:tcBorders>
          </w:tcPr>
          <w:p w14:paraId="7B99AE26" w14:textId="77777777" w:rsidR="004F0CBF" w:rsidRPr="00D05485" w:rsidRDefault="004F0CBF" w:rsidP="00897712">
            <w:pPr>
              <w:pStyle w:val="TableText"/>
              <w:keepNext w:val="0"/>
              <w:rPr>
                <w:i/>
                <w:szCs w:val="18"/>
                <w:lang w:val="en-US"/>
              </w:rPr>
            </w:pPr>
            <w:r w:rsidRPr="00D05485">
              <w:rPr>
                <w:i/>
                <w:iCs/>
                <w:szCs w:val="18"/>
              </w:rPr>
              <w:t>Circulation</w:t>
            </w:r>
            <w:r w:rsidRPr="00D05485">
              <w:rPr>
                <w:szCs w:val="18"/>
              </w:rPr>
              <w:t xml:space="preserve"> 202</w:t>
            </w:r>
            <w:r>
              <w:rPr>
                <w:szCs w:val="18"/>
              </w:rPr>
              <w:t>1,</w:t>
            </w:r>
            <w:r w:rsidRPr="00D05485">
              <w:rPr>
                <w:szCs w:val="18"/>
              </w:rPr>
              <w:t xml:space="preserve"> 143(4):310-321.</w:t>
            </w:r>
          </w:p>
        </w:tc>
      </w:tr>
      <w:tr w:rsidR="004F0CBF" w:rsidRPr="000A08FE" w14:paraId="70E0F901" w14:textId="77777777" w:rsidTr="00897712">
        <w:tc>
          <w:tcPr>
            <w:tcW w:w="5000" w:type="pct"/>
            <w:gridSpan w:val="3"/>
            <w:tcBorders>
              <w:top w:val="single" w:sz="4" w:space="0" w:color="auto"/>
              <w:bottom w:val="nil"/>
            </w:tcBorders>
          </w:tcPr>
          <w:p w14:paraId="0BF5D45F" w14:textId="77777777" w:rsidR="004F0CBF" w:rsidRPr="00613E49" w:rsidRDefault="004F0CBF" w:rsidP="00613E49">
            <w:pPr>
              <w:pStyle w:val="Tableheadingrow"/>
            </w:pPr>
            <w:r w:rsidRPr="00613E49">
              <w:t>Dapagliflozin</w:t>
            </w:r>
          </w:p>
        </w:tc>
      </w:tr>
      <w:tr w:rsidR="004F0CBF" w:rsidRPr="00CB38A8" w14:paraId="1D43ED76" w14:textId="77777777" w:rsidTr="00897712">
        <w:tc>
          <w:tcPr>
            <w:tcW w:w="710" w:type="pct"/>
            <w:tcBorders>
              <w:bottom w:val="nil"/>
            </w:tcBorders>
          </w:tcPr>
          <w:p w14:paraId="01BD99EC" w14:textId="77777777" w:rsidR="004F0CBF" w:rsidRPr="00613E49" w:rsidRDefault="004F0CBF" w:rsidP="00613E49">
            <w:pPr>
              <w:pStyle w:val="TableText"/>
            </w:pPr>
            <w:r w:rsidRPr="00613E49">
              <w:t>DAPA-HF</w:t>
            </w:r>
          </w:p>
          <w:p w14:paraId="61C69E44" w14:textId="77777777" w:rsidR="004F0CBF" w:rsidRPr="00613E49" w:rsidRDefault="004F0CBF" w:rsidP="00613E49">
            <w:pPr>
              <w:pStyle w:val="TableText"/>
            </w:pPr>
            <w:r w:rsidRPr="00613E49">
              <w:t>(NCT03036124)</w:t>
            </w:r>
          </w:p>
        </w:tc>
        <w:tc>
          <w:tcPr>
            <w:tcW w:w="2903" w:type="pct"/>
            <w:tcBorders>
              <w:bottom w:val="nil"/>
            </w:tcBorders>
          </w:tcPr>
          <w:p w14:paraId="1BB28501" w14:textId="77777777" w:rsidR="004F0CBF" w:rsidRPr="00613E49" w:rsidRDefault="004F0CBF" w:rsidP="00613E49">
            <w:pPr>
              <w:pStyle w:val="TableText"/>
            </w:pPr>
            <w:r w:rsidRPr="00613E49">
              <w:t xml:space="preserve">Dapagliflozin And Prevention of Adverse-outcomes in Heart Failure (DAPA-HF). </w:t>
            </w:r>
          </w:p>
        </w:tc>
        <w:tc>
          <w:tcPr>
            <w:tcW w:w="1387" w:type="pct"/>
            <w:tcBorders>
              <w:bottom w:val="nil"/>
            </w:tcBorders>
          </w:tcPr>
          <w:p w14:paraId="2AA529DE" w14:textId="77777777" w:rsidR="004F0CBF" w:rsidRPr="004A2558" w:rsidRDefault="004F0CBF" w:rsidP="00897712">
            <w:pPr>
              <w:pStyle w:val="TableText"/>
              <w:keepLines/>
            </w:pPr>
            <w:r>
              <w:rPr>
                <w:szCs w:val="18"/>
              </w:rPr>
              <w:t>Clinical Study Report, October</w:t>
            </w:r>
            <w:r w:rsidR="00613E49">
              <w:rPr>
                <w:szCs w:val="18"/>
              </w:rPr>
              <w:t> </w:t>
            </w:r>
            <w:r>
              <w:rPr>
                <w:szCs w:val="18"/>
              </w:rPr>
              <w:t>2019.</w:t>
            </w:r>
          </w:p>
        </w:tc>
      </w:tr>
      <w:tr w:rsidR="004F0CBF" w:rsidRPr="00CB38A8" w14:paraId="2BAB1C6A" w14:textId="77777777" w:rsidTr="00897712">
        <w:tc>
          <w:tcPr>
            <w:tcW w:w="710" w:type="pct"/>
            <w:tcBorders>
              <w:top w:val="nil"/>
              <w:bottom w:val="nil"/>
            </w:tcBorders>
          </w:tcPr>
          <w:p w14:paraId="51F98A1A" w14:textId="77777777" w:rsidR="004F0CBF" w:rsidRPr="00613E49" w:rsidRDefault="004F0CBF" w:rsidP="00613E49">
            <w:pPr>
              <w:pStyle w:val="TableText"/>
            </w:pPr>
          </w:p>
        </w:tc>
        <w:tc>
          <w:tcPr>
            <w:tcW w:w="2903" w:type="pct"/>
            <w:tcBorders>
              <w:top w:val="nil"/>
              <w:bottom w:val="nil"/>
            </w:tcBorders>
            <w:vAlign w:val="center"/>
          </w:tcPr>
          <w:p w14:paraId="6D33F729" w14:textId="77777777" w:rsidR="004F0CBF" w:rsidRPr="00613E49" w:rsidRDefault="004F0CBF" w:rsidP="00613E49">
            <w:pPr>
              <w:pStyle w:val="TableText"/>
            </w:pPr>
            <w:r w:rsidRPr="00613E49">
              <w:t xml:space="preserve">McMurray JJV, DeMets DL, Inzucchi SE, et al. The Dapagliflozin And Prevention of Adverse-outcomes in Heart Failure (DAPA-HF) trial: baseline characteristics. </w:t>
            </w:r>
          </w:p>
        </w:tc>
        <w:tc>
          <w:tcPr>
            <w:tcW w:w="1387" w:type="pct"/>
            <w:tcBorders>
              <w:top w:val="nil"/>
              <w:bottom w:val="nil"/>
            </w:tcBorders>
          </w:tcPr>
          <w:p w14:paraId="7D9DD96D" w14:textId="77777777" w:rsidR="004F0CBF" w:rsidRPr="00CB38A8" w:rsidRDefault="004F0CBF" w:rsidP="00897712">
            <w:pPr>
              <w:pStyle w:val="TableText"/>
              <w:keepLines/>
              <w:rPr>
                <w:i/>
              </w:rPr>
            </w:pPr>
            <w:r w:rsidRPr="003B5786">
              <w:rPr>
                <w:i/>
                <w:szCs w:val="18"/>
              </w:rPr>
              <w:t>Eur</w:t>
            </w:r>
            <w:r>
              <w:rPr>
                <w:i/>
                <w:szCs w:val="18"/>
              </w:rPr>
              <w:t>opean</w:t>
            </w:r>
            <w:r w:rsidRPr="003B5786">
              <w:rPr>
                <w:i/>
                <w:szCs w:val="18"/>
              </w:rPr>
              <w:t xml:space="preserve"> J</w:t>
            </w:r>
            <w:r>
              <w:rPr>
                <w:i/>
                <w:szCs w:val="18"/>
              </w:rPr>
              <w:t xml:space="preserve">ournal of </w:t>
            </w:r>
            <w:r w:rsidRPr="003B5786">
              <w:rPr>
                <w:i/>
                <w:szCs w:val="18"/>
              </w:rPr>
              <w:t>Heart Fail</w:t>
            </w:r>
            <w:r>
              <w:rPr>
                <w:i/>
                <w:szCs w:val="18"/>
              </w:rPr>
              <w:t>ure</w:t>
            </w:r>
            <w:r>
              <w:rPr>
                <w:szCs w:val="18"/>
              </w:rPr>
              <w:t xml:space="preserve"> 2019</w:t>
            </w:r>
            <w:r w:rsidR="00613E49">
              <w:rPr>
                <w:szCs w:val="18"/>
              </w:rPr>
              <w:t>,</w:t>
            </w:r>
            <w:r>
              <w:rPr>
                <w:szCs w:val="18"/>
              </w:rPr>
              <w:t xml:space="preserve"> 21(11):1402-1411.</w:t>
            </w:r>
          </w:p>
        </w:tc>
      </w:tr>
      <w:tr w:rsidR="004F0CBF" w:rsidRPr="00CB38A8" w14:paraId="2815846B" w14:textId="77777777" w:rsidTr="00897712">
        <w:tc>
          <w:tcPr>
            <w:tcW w:w="710" w:type="pct"/>
            <w:tcBorders>
              <w:top w:val="nil"/>
              <w:bottom w:val="nil"/>
            </w:tcBorders>
          </w:tcPr>
          <w:p w14:paraId="5E6DE50C" w14:textId="77777777" w:rsidR="004F0CBF" w:rsidRPr="00613E49" w:rsidRDefault="004F0CBF" w:rsidP="00613E49">
            <w:pPr>
              <w:pStyle w:val="TableText"/>
            </w:pPr>
          </w:p>
        </w:tc>
        <w:tc>
          <w:tcPr>
            <w:tcW w:w="2903" w:type="pct"/>
            <w:tcBorders>
              <w:top w:val="nil"/>
              <w:bottom w:val="nil"/>
            </w:tcBorders>
            <w:vAlign w:val="center"/>
          </w:tcPr>
          <w:p w14:paraId="38F8F5B2" w14:textId="77777777" w:rsidR="004F0CBF" w:rsidRPr="00613E49" w:rsidRDefault="004F0CBF" w:rsidP="00613E49">
            <w:pPr>
              <w:pStyle w:val="TableText"/>
            </w:pPr>
            <w:r w:rsidRPr="00613E49">
              <w:t xml:space="preserve">McMurray JJV, Solomon SD, Inzucchi SE, et al. Dapagliflozin in patients with heart failure and reduced ejection fraction. </w:t>
            </w:r>
          </w:p>
        </w:tc>
        <w:tc>
          <w:tcPr>
            <w:tcW w:w="1387" w:type="pct"/>
            <w:tcBorders>
              <w:top w:val="nil"/>
              <w:bottom w:val="nil"/>
            </w:tcBorders>
          </w:tcPr>
          <w:p w14:paraId="41F67C90" w14:textId="77777777" w:rsidR="004F0CBF" w:rsidRPr="00CB38A8" w:rsidRDefault="004F0CBF" w:rsidP="00897712">
            <w:pPr>
              <w:pStyle w:val="TableText"/>
              <w:keepLines/>
              <w:rPr>
                <w:i/>
              </w:rPr>
            </w:pPr>
            <w:r w:rsidRPr="003B5786">
              <w:rPr>
                <w:i/>
                <w:szCs w:val="18"/>
              </w:rPr>
              <w:t>N</w:t>
            </w:r>
            <w:r>
              <w:rPr>
                <w:i/>
                <w:szCs w:val="18"/>
              </w:rPr>
              <w:t>ew</w:t>
            </w:r>
            <w:r w:rsidRPr="003B5786">
              <w:rPr>
                <w:i/>
                <w:szCs w:val="18"/>
              </w:rPr>
              <w:t xml:space="preserve"> Engl</w:t>
            </w:r>
            <w:r>
              <w:rPr>
                <w:i/>
                <w:szCs w:val="18"/>
              </w:rPr>
              <w:t>and</w:t>
            </w:r>
            <w:r w:rsidRPr="003B5786">
              <w:rPr>
                <w:i/>
                <w:szCs w:val="18"/>
              </w:rPr>
              <w:t xml:space="preserve"> J</w:t>
            </w:r>
            <w:r>
              <w:rPr>
                <w:i/>
                <w:szCs w:val="18"/>
              </w:rPr>
              <w:t>ournal of</w:t>
            </w:r>
            <w:r w:rsidRPr="003B5786">
              <w:rPr>
                <w:i/>
                <w:szCs w:val="18"/>
              </w:rPr>
              <w:t xml:space="preserve"> Med</w:t>
            </w:r>
            <w:r>
              <w:rPr>
                <w:i/>
                <w:szCs w:val="18"/>
              </w:rPr>
              <w:t>icine</w:t>
            </w:r>
            <w:r w:rsidRPr="004E1A05">
              <w:rPr>
                <w:szCs w:val="18"/>
              </w:rPr>
              <w:t xml:space="preserve"> 2019</w:t>
            </w:r>
            <w:r w:rsidR="00613E49">
              <w:rPr>
                <w:szCs w:val="18"/>
              </w:rPr>
              <w:t>,</w:t>
            </w:r>
            <w:r>
              <w:rPr>
                <w:szCs w:val="18"/>
              </w:rPr>
              <w:t xml:space="preserve"> </w:t>
            </w:r>
            <w:r w:rsidRPr="004E1A05">
              <w:rPr>
                <w:szCs w:val="18"/>
              </w:rPr>
              <w:t>381(21):</w:t>
            </w:r>
            <w:r>
              <w:rPr>
                <w:szCs w:val="18"/>
              </w:rPr>
              <w:t xml:space="preserve"> </w:t>
            </w:r>
            <w:r w:rsidRPr="004E1A05">
              <w:rPr>
                <w:szCs w:val="18"/>
              </w:rPr>
              <w:t>1995-2008</w:t>
            </w:r>
            <w:r>
              <w:rPr>
                <w:szCs w:val="18"/>
              </w:rPr>
              <w:t>.</w:t>
            </w:r>
          </w:p>
        </w:tc>
      </w:tr>
      <w:tr w:rsidR="004F0CBF" w:rsidRPr="00CB38A8" w14:paraId="0A75FB18" w14:textId="77777777" w:rsidTr="00897712">
        <w:tc>
          <w:tcPr>
            <w:tcW w:w="710" w:type="pct"/>
            <w:tcBorders>
              <w:top w:val="nil"/>
              <w:bottom w:val="single" w:sz="4" w:space="0" w:color="auto"/>
            </w:tcBorders>
          </w:tcPr>
          <w:p w14:paraId="5C85CA1F" w14:textId="77777777" w:rsidR="004F0CBF" w:rsidRPr="00613E49" w:rsidRDefault="004F0CBF" w:rsidP="00613E49">
            <w:pPr>
              <w:pStyle w:val="TableText"/>
            </w:pPr>
          </w:p>
        </w:tc>
        <w:tc>
          <w:tcPr>
            <w:tcW w:w="2903" w:type="pct"/>
            <w:tcBorders>
              <w:top w:val="nil"/>
              <w:bottom w:val="single" w:sz="4" w:space="0" w:color="auto"/>
            </w:tcBorders>
            <w:vAlign w:val="center"/>
          </w:tcPr>
          <w:p w14:paraId="13A7EB85" w14:textId="77777777" w:rsidR="004F0CBF" w:rsidRPr="00613E49" w:rsidRDefault="004F0CBF" w:rsidP="00613E49">
            <w:pPr>
              <w:pStyle w:val="TableText"/>
            </w:pPr>
            <w:r w:rsidRPr="00613E49">
              <w:t xml:space="preserve">McMurray JJV, DeMets DL, Inzucchi SE, et al. A trial to evaluate the effect of the sodium-glucose co-transporter 2 inhibitor dapagliflozin on morbidity and mortality in patients with heart failure and reduced left ventricular ejection fraction (DAPA-HF). </w:t>
            </w:r>
          </w:p>
        </w:tc>
        <w:tc>
          <w:tcPr>
            <w:tcW w:w="1387" w:type="pct"/>
            <w:tcBorders>
              <w:top w:val="nil"/>
              <w:bottom w:val="single" w:sz="4" w:space="0" w:color="auto"/>
            </w:tcBorders>
          </w:tcPr>
          <w:p w14:paraId="2C030224" w14:textId="77777777" w:rsidR="004F0CBF" w:rsidRPr="005C3BD2" w:rsidRDefault="004F0CBF" w:rsidP="00897712">
            <w:pPr>
              <w:pStyle w:val="TableText"/>
              <w:keepLines/>
            </w:pPr>
            <w:r w:rsidRPr="003B5786">
              <w:rPr>
                <w:i/>
                <w:szCs w:val="18"/>
              </w:rPr>
              <w:t>Eur</w:t>
            </w:r>
            <w:r>
              <w:rPr>
                <w:i/>
                <w:szCs w:val="18"/>
              </w:rPr>
              <w:t>opean</w:t>
            </w:r>
            <w:r w:rsidRPr="003B5786">
              <w:rPr>
                <w:i/>
                <w:szCs w:val="18"/>
              </w:rPr>
              <w:t xml:space="preserve"> J</w:t>
            </w:r>
            <w:r>
              <w:rPr>
                <w:i/>
                <w:szCs w:val="18"/>
              </w:rPr>
              <w:t xml:space="preserve">ournal of </w:t>
            </w:r>
            <w:r w:rsidRPr="003B5786">
              <w:rPr>
                <w:i/>
                <w:szCs w:val="18"/>
              </w:rPr>
              <w:t>Heart Fail</w:t>
            </w:r>
            <w:r>
              <w:rPr>
                <w:i/>
                <w:szCs w:val="18"/>
              </w:rPr>
              <w:t>ure</w:t>
            </w:r>
            <w:r>
              <w:rPr>
                <w:szCs w:val="18"/>
              </w:rPr>
              <w:t xml:space="preserve"> 2019</w:t>
            </w:r>
            <w:r w:rsidR="00613E49">
              <w:rPr>
                <w:szCs w:val="18"/>
              </w:rPr>
              <w:t>,</w:t>
            </w:r>
            <w:r>
              <w:rPr>
                <w:szCs w:val="18"/>
              </w:rPr>
              <w:t xml:space="preserve"> 21(5):665-675.</w:t>
            </w:r>
          </w:p>
        </w:tc>
      </w:tr>
    </w:tbl>
    <w:p w14:paraId="6B2E7D4A" w14:textId="77777777" w:rsidR="004F0CBF" w:rsidRPr="00B1011F" w:rsidRDefault="004F0CBF" w:rsidP="00613E49">
      <w:pPr>
        <w:pStyle w:val="TableFigureFooter"/>
        <w:rPr>
          <w:sz w:val="20"/>
        </w:rPr>
      </w:pPr>
      <w:r>
        <w:t>Source: Table 2.1, p</w:t>
      </w:r>
      <w:r w:rsidR="00EA6B38">
        <w:t>p</w:t>
      </w:r>
      <w:r>
        <w:t>45-46 of the submission; Section 2A.1, p</w:t>
      </w:r>
      <w:r w:rsidR="00EA6B38">
        <w:t>p</w:t>
      </w:r>
      <w:r>
        <w:t xml:space="preserve">1-9 of </w:t>
      </w:r>
      <w:r w:rsidRPr="00DD2E96">
        <w:t>Section 2A empagliflozin vs. dapagliflozin.docx</w:t>
      </w:r>
      <w:r>
        <w:t>,</w:t>
      </w:r>
      <w:r w:rsidRPr="00DD2E96">
        <w:t xml:space="preserve"> </w:t>
      </w:r>
      <w:r>
        <w:t>Attachment 4 of the submission; Attachment 14 of the submission.</w:t>
      </w:r>
    </w:p>
    <w:p w14:paraId="71897B36" w14:textId="77777777" w:rsidR="00DB092D" w:rsidRPr="00682C3B" w:rsidRDefault="008F120A" w:rsidP="0012228C">
      <w:pPr>
        <w:pStyle w:val="ExecSumBodyText"/>
      </w:pPr>
      <w:r w:rsidRPr="00B50DB8">
        <w:t xml:space="preserve">The key features of the </w:t>
      </w:r>
      <w:r w:rsidR="00682C3B">
        <w:t>direct randomised trial</w:t>
      </w:r>
      <w:r w:rsidRPr="00B50DB8">
        <w:t>s</w:t>
      </w:r>
      <w:r w:rsidR="00682C3B">
        <w:t xml:space="preserve"> </w:t>
      </w:r>
      <w:r w:rsidRPr="00B50DB8">
        <w:t>are summarised in the table below.</w:t>
      </w:r>
      <w:r w:rsidR="00BC591F">
        <w:t xml:space="preserve"> </w:t>
      </w:r>
    </w:p>
    <w:p w14:paraId="4248C638" w14:textId="77777777" w:rsidR="00DB092D" w:rsidRPr="00EC5836" w:rsidRDefault="00B974B3" w:rsidP="003B10F4">
      <w:pPr>
        <w:pStyle w:val="TableFigureCaption"/>
      </w:pPr>
      <w:r>
        <w:t xml:space="preserve">Table </w:t>
      </w:r>
      <w:r w:rsidR="00915190">
        <w:rPr>
          <w:noProof/>
        </w:rPr>
        <w:t>3</w:t>
      </w:r>
      <w:r w:rsidR="00DB092D" w:rsidRPr="00EC5836">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3: Key features of the included evidence"/>
      </w:tblPr>
      <w:tblGrid>
        <w:gridCol w:w="1013"/>
        <w:gridCol w:w="519"/>
        <w:gridCol w:w="873"/>
        <w:gridCol w:w="709"/>
        <w:gridCol w:w="2126"/>
        <w:gridCol w:w="2552"/>
        <w:gridCol w:w="1225"/>
      </w:tblGrid>
      <w:tr w:rsidR="005E2D65" w:rsidRPr="00B41614" w14:paraId="2B8802D9" w14:textId="77777777" w:rsidTr="005E2D65">
        <w:trPr>
          <w:cantSplit/>
          <w:tblHeader/>
        </w:trPr>
        <w:tc>
          <w:tcPr>
            <w:tcW w:w="562" w:type="pct"/>
            <w:shd w:val="clear" w:color="auto" w:fill="auto"/>
            <w:vAlign w:val="center"/>
          </w:tcPr>
          <w:p w14:paraId="7CE93911" w14:textId="77777777" w:rsidR="00DB092D" w:rsidRPr="00B41614" w:rsidRDefault="00DB092D" w:rsidP="00944E0F">
            <w:pPr>
              <w:pStyle w:val="Tableheadingrow"/>
            </w:pPr>
            <w:r w:rsidRPr="00B41614">
              <w:t>Trial</w:t>
            </w:r>
          </w:p>
        </w:tc>
        <w:tc>
          <w:tcPr>
            <w:tcW w:w="288" w:type="pct"/>
            <w:shd w:val="clear" w:color="auto" w:fill="auto"/>
            <w:vAlign w:val="center"/>
          </w:tcPr>
          <w:p w14:paraId="1A3F4281" w14:textId="77777777" w:rsidR="00DB092D" w:rsidRPr="00B41614" w:rsidRDefault="00DB092D" w:rsidP="00944E0F">
            <w:pPr>
              <w:pStyle w:val="Tableheadingrow"/>
              <w:jc w:val="center"/>
            </w:pPr>
            <w:r w:rsidRPr="00B41614">
              <w:t>N</w:t>
            </w:r>
          </w:p>
        </w:tc>
        <w:tc>
          <w:tcPr>
            <w:tcW w:w="484" w:type="pct"/>
            <w:shd w:val="clear" w:color="auto" w:fill="auto"/>
            <w:vAlign w:val="center"/>
          </w:tcPr>
          <w:p w14:paraId="07E71620" w14:textId="77777777" w:rsidR="00DB092D" w:rsidRPr="00B41614" w:rsidRDefault="00DB092D" w:rsidP="00944E0F">
            <w:pPr>
              <w:pStyle w:val="Tableheadingrow"/>
              <w:jc w:val="center"/>
            </w:pPr>
            <w:r w:rsidRPr="00B41614">
              <w:t>Design/ duration</w:t>
            </w:r>
          </w:p>
        </w:tc>
        <w:tc>
          <w:tcPr>
            <w:tcW w:w="393" w:type="pct"/>
            <w:shd w:val="clear" w:color="auto" w:fill="auto"/>
            <w:vAlign w:val="center"/>
          </w:tcPr>
          <w:p w14:paraId="47487323" w14:textId="77777777" w:rsidR="00DB092D" w:rsidRPr="00B41614" w:rsidRDefault="00DB092D" w:rsidP="00944E0F">
            <w:pPr>
              <w:pStyle w:val="Tableheadingrow"/>
              <w:jc w:val="center"/>
            </w:pPr>
            <w:r w:rsidRPr="00B41614">
              <w:t>Risk of bias</w:t>
            </w:r>
          </w:p>
        </w:tc>
        <w:tc>
          <w:tcPr>
            <w:tcW w:w="1179" w:type="pct"/>
            <w:shd w:val="clear" w:color="auto" w:fill="auto"/>
            <w:vAlign w:val="center"/>
          </w:tcPr>
          <w:p w14:paraId="4175D151" w14:textId="77777777" w:rsidR="00DB092D" w:rsidRPr="00B41614" w:rsidRDefault="00DB092D" w:rsidP="00944E0F">
            <w:pPr>
              <w:pStyle w:val="Tableheadingrow"/>
              <w:jc w:val="center"/>
            </w:pPr>
            <w:r w:rsidRPr="00B41614">
              <w:t>Patient population</w:t>
            </w:r>
          </w:p>
        </w:tc>
        <w:tc>
          <w:tcPr>
            <w:tcW w:w="1415" w:type="pct"/>
            <w:shd w:val="clear" w:color="auto" w:fill="auto"/>
            <w:vAlign w:val="center"/>
          </w:tcPr>
          <w:p w14:paraId="5FEBF4D4" w14:textId="77777777" w:rsidR="00DB092D" w:rsidRPr="00B41614" w:rsidRDefault="00DB092D" w:rsidP="00944E0F">
            <w:pPr>
              <w:pStyle w:val="Tableheadingrow"/>
              <w:jc w:val="center"/>
            </w:pPr>
            <w:r>
              <w:t>Outcomes</w:t>
            </w:r>
          </w:p>
        </w:tc>
        <w:tc>
          <w:tcPr>
            <w:tcW w:w="679" w:type="pct"/>
            <w:vAlign w:val="center"/>
          </w:tcPr>
          <w:p w14:paraId="7A1C5223" w14:textId="77777777" w:rsidR="00DB092D" w:rsidRDefault="00DB092D" w:rsidP="00944E0F">
            <w:pPr>
              <w:pStyle w:val="Tableheadingrow"/>
              <w:jc w:val="center"/>
            </w:pPr>
            <w:r w:rsidRPr="00971679">
              <w:t>Use in mod</w:t>
            </w:r>
            <w:r>
              <w:t>el</w:t>
            </w:r>
          </w:p>
        </w:tc>
      </w:tr>
      <w:tr w:rsidR="00DB092D" w:rsidRPr="00E2771E" w14:paraId="4C4C4AFC" w14:textId="77777777" w:rsidTr="005E2D65">
        <w:trPr>
          <w:cantSplit/>
        </w:trPr>
        <w:tc>
          <w:tcPr>
            <w:tcW w:w="5000" w:type="pct"/>
            <w:gridSpan w:val="7"/>
            <w:shd w:val="clear" w:color="auto" w:fill="auto"/>
          </w:tcPr>
          <w:p w14:paraId="1BE21BAC" w14:textId="77777777" w:rsidR="00DB092D" w:rsidRPr="000F123C" w:rsidRDefault="00DB092D" w:rsidP="00944E0F">
            <w:pPr>
              <w:pStyle w:val="TableText"/>
              <w:rPr>
                <w:b/>
                <w:bCs w:val="0"/>
                <w:lang w:val="en-US"/>
              </w:rPr>
            </w:pPr>
            <w:r w:rsidRPr="000F123C">
              <w:rPr>
                <w:b/>
                <w:bCs w:val="0"/>
                <w:lang w:val="en-US"/>
              </w:rPr>
              <w:t xml:space="preserve">Empagliflozin </w:t>
            </w:r>
            <w:r w:rsidR="004F0CBF">
              <w:rPr>
                <w:b/>
                <w:bCs w:val="0"/>
                <w:lang w:val="en-US"/>
              </w:rPr>
              <w:t>plus SC vs placebo plus SC</w:t>
            </w:r>
          </w:p>
        </w:tc>
      </w:tr>
      <w:tr w:rsidR="005E2D65" w:rsidRPr="00D14896" w14:paraId="6E524D58" w14:textId="77777777" w:rsidTr="005E2D65">
        <w:trPr>
          <w:cantSplit/>
        </w:trPr>
        <w:tc>
          <w:tcPr>
            <w:tcW w:w="562" w:type="pct"/>
            <w:shd w:val="clear" w:color="auto" w:fill="auto"/>
          </w:tcPr>
          <w:p w14:paraId="25E5738D" w14:textId="77777777" w:rsidR="00DB092D" w:rsidRPr="00D14896" w:rsidRDefault="00DB092D" w:rsidP="00944E0F">
            <w:pPr>
              <w:pStyle w:val="TableText"/>
              <w:rPr>
                <w:lang w:val="en-US"/>
              </w:rPr>
            </w:pPr>
            <w:r w:rsidRPr="00D14896">
              <w:rPr>
                <w:lang w:val="en-US"/>
              </w:rPr>
              <w:t>EMPEROR-Reduced</w:t>
            </w:r>
          </w:p>
        </w:tc>
        <w:tc>
          <w:tcPr>
            <w:tcW w:w="288" w:type="pct"/>
            <w:shd w:val="clear" w:color="auto" w:fill="auto"/>
          </w:tcPr>
          <w:p w14:paraId="6E8E9F11" w14:textId="77777777" w:rsidR="00DB092D" w:rsidRPr="00D14896" w:rsidRDefault="00DB092D" w:rsidP="00944E0F">
            <w:pPr>
              <w:pStyle w:val="TableText"/>
              <w:jc w:val="center"/>
              <w:rPr>
                <w:lang w:val="en-US"/>
              </w:rPr>
            </w:pPr>
            <w:r w:rsidRPr="00D14896">
              <w:rPr>
                <w:lang w:val="en-US"/>
              </w:rPr>
              <w:t>3</w:t>
            </w:r>
            <w:r w:rsidR="004F0CBF" w:rsidRPr="00D14896">
              <w:rPr>
                <w:lang w:val="en-US"/>
              </w:rPr>
              <w:t>,</w:t>
            </w:r>
            <w:r w:rsidRPr="00D14896">
              <w:rPr>
                <w:lang w:val="en-US"/>
              </w:rPr>
              <w:t>730</w:t>
            </w:r>
          </w:p>
        </w:tc>
        <w:tc>
          <w:tcPr>
            <w:tcW w:w="484" w:type="pct"/>
            <w:shd w:val="clear" w:color="auto" w:fill="auto"/>
          </w:tcPr>
          <w:p w14:paraId="70794DE0" w14:textId="77777777" w:rsidR="00DB092D" w:rsidRPr="00D14896" w:rsidRDefault="00DB092D" w:rsidP="00944E0F">
            <w:pPr>
              <w:pStyle w:val="TableText"/>
              <w:jc w:val="center"/>
              <w:rPr>
                <w:lang w:val="en-US"/>
              </w:rPr>
            </w:pPr>
            <w:r w:rsidRPr="00D14896">
              <w:rPr>
                <w:lang w:val="en-US"/>
              </w:rPr>
              <w:t>Phase III, MC, R, DB, PC</w:t>
            </w:r>
            <w:r w:rsidR="004F0CBF" w:rsidRPr="00D14896">
              <w:rPr>
                <w:lang w:val="en-US"/>
              </w:rPr>
              <w:t>;</w:t>
            </w:r>
          </w:p>
          <w:p w14:paraId="78AD9092" w14:textId="77777777" w:rsidR="004F6289" w:rsidRPr="00D14896" w:rsidRDefault="004F6289" w:rsidP="00944E0F">
            <w:pPr>
              <w:pStyle w:val="TableText"/>
              <w:jc w:val="center"/>
              <w:rPr>
                <w:lang w:val="en-US"/>
              </w:rPr>
            </w:pPr>
          </w:p>
          <w:p w14:paraId="3590172B" w14:textId="77777777" w:rsidR="004F0CBF" w:rsidRPr="00D14896" w:rsidRDefault="004F6289" w:rsidP="00944E0F">
            <w:pPr>
              <w:pStyle w:val="TableText"/>
              <w:jc w:val="center"/>
              <w:rPr>
                <w:lang w:val="en-US"/>
              </w:rPr>
            </w:pPr>
            <w:r w:rsidRPr="00D14896">
              <w:rPr>
                <w:lang w:val="en-US"/>
              </w:rPr>
              <w:t>M</w:t>
            </w:r>
            <w:r w:rsidR="004F0CBF" w:rsidRPr="00D14896">
              <w:rPr>
                <w:lang w:val="en-US"/>
              </w:rPr>
              <w:t xml:space="preserve">edian duration </w:t>
            </w:r>
            <w:r w:rsidRPr="00D14896">
              <w:rPr>
                <w:lang w:val="en-US"/>
              </w:rPr>
              <w:t xml:space="preserve">of follow-up </w:t>
            </w:r>
            <w:r w:rsidR="004F0CBF" w:rsidRPr="00D14896">
              <w:rPr>
                <w:lang w:val="en-US"/>
              </w:rPr>
              <w:t>16 months</w:t>
            </w:r>
          </w:p>
          <w:p w14:paraId="73D59646" w14:textId="77777777" w:rsidR="00DB092D" w:rsidRPr="00D14896" w:rsidRDefault="00DB092D" w:rsidP="00944E0F">
            <w:pPr>
              <w:pStyle w:val="TableText"/>
              <w:jc w:val="center"/>
              <w:rPr>
                <w:lang w:val="en-US"/>
              </w:rPr>
            </w:pPr>
            <w:r w:rsidRPr="00D14896">
              <w:rPr>
                <w:lang w:val="en-US"/>
              </w:rPr>
              <w:t xml:space="preserve"> </w:t>
            </w:r>
          </w:p>
        </w:tc>
        <w:tc>
          <w:tcPr>
            <w:tcW w:w="393" w:type="pct"/>
            <w:shd w:val="clear" w:color="auto" w:fill="auto"/>
          </w:tcPr>
          <w:p w14:paraId="63F2EA79" w14:textId="77777777" w:rsidR="00DB092D" w:rsidRPr="00D14896" w:rsidRDefault="00DB092D" w:rsidP="00944E0F">
            <w:pPr>
              <w:pStyle w:val="TableText"/>
              <w:jc w:val="center"/>
              <w:rPr>
                <w:lang w:val="en-US"/>
              </w:rPr>
            </w:pPr>
            <w:r w:rsidRPr="00D14896">
              <w:rPr>
                <w:lang w:val="en-US"/>
              </w:rPr>
              <w:t>Low</w:t>
            </w:r>
          </w:p>
        </w:tc>
        <w:tc>
          <w:tcPr>
            <w:tcW w:w="1179" w:type="pct"/>
            <w:shd w:val="clear" w:color="auto" w:fill="auto"/>
          </w:tcPr>
          <w:p w14:paraId="791A0549" w14:textId="77777777" w:rsidR="00C45A2B" w:rsidRPr="00D14896" w:rsidRDefault="00DB092D" w:rsidP="002E0394">
            <w:pPr>
              <w:pStyle w:val="TableText"/>
              <w:numPr>
                <w:ilvl w:val="0"/>
                <w:numId w:val="10"/>
              </w:numPr>
              <w:ind w:left="227" w:hanging="170"/>
              <w:rPr>
                <w:lang w:val="en-US"/>
              </w:rPr>
            </w:pPr>
            <w:r w:rsidRPr="00D14896">
              <w:rPr>
                <w:lang w:val="en-US"/>
              </w:rPr>
              <w:t>Age ≥18 years</w:t>
            </w:r>
          </w:p>
          <w:p w14:paraId="7649BFD8" w14:textId="77777777" w:rsidR="00DB092D" w:rsidRPr="00D14896" w:rsidRDefault="00DB092D" w:rsidP="002E0394">
            <w:pPr>
              <w:pStyle w:val="TableText"/>
              <w:numPr>
                <w:ilvl w:val="0"/>
                <w:numId w:val="10"/>
              </w:numPr>
              <w:ind w:left="227" w:hanging="170"/>
              <w:rPr>
                <w:lang w:val="en-US"/>
              </w:rPr>
            </w:pPr>
            <w:r w:rsidRPr="00D14896">
              <w:rPr>
                <w:lang w:val="en-US"/>
              </w:rPr>
              <w:t>Symptomatic HFrEF</w:t>
            </w:r>
            <w:r w:rsidR="00B1121A" w:rsidRPr="00D14896">
              <w:rPr>
                <w:lang w:val="en-US"/>
              </w:rPr>
              <w:t xml:space="preserve"> </w:t>
            </w:r>
            <w:r w:rsidRPr="00D14896">
              <w:rPr>
                <w:lang w:val="en-US"/>
              </w:rPr>
              <w:t>with LVEF ≤40%</w:t>
            </w:r>
          </w:p>
          <w:p w14:paraId="0651CB44" w14:textId="77777777" w:rsidR="00C45A2B" w:rsidRPr="00D14896" w:rsidRDefault="00DB092D" w:rsidP="002E0394">
            <w:pPr>
              <w:pStyle w:val="TableText"/>
              <w:numPr>
                <w:ilvl w:val="0"/>
                <w:numId w:val="10"/>
              </w:numPr>
              <w:ind w:left="227" w:hanging="170"/>
              <w:rPr>
                <w:lang w:val="en-US"/>
              </w:rPr>
            </w:pPr>
            <w:r w:rsidRPr="00D14896">
              <w:rPr>
                <w:lang w:val="en-US"/>
              </w:rPr>
              <w:t>NYHA Class II-IV</w:t>
            </w:r>
          </w:p>
          <w:p w14:paraId="0AEFA4AE" w14:textId="77777777" w:rsidR="00DB092D" w:rsidRPr="00D14896" w:rsidRDefault="00C45A2B" w:rsidP="002E0394">
            <w:pPr>
              <w:pStyle w:val="TableText"/>
              <w:numPr>
                <w:ilvl w:val="0"/>
                <w:numId w:val="10"/>
              </w:numPr>
              <w:ind w:left="227" w:hanging="170"/>
              <w:rPr>
                <w:lang w:val="en-US"/>
              </w:rPr>
            </w:pPr>
            <w:r w:rsidRPr="00D14896">
              <w:rPr>
                <w:lang w:val="en-US"/>
              </w:rPr>
              <w:t>E</w:t>
            </w:r>
            <w:r w:rsidR="00DB092D" w:rsidRPr="00D14896">
              <w:rPr>
                <w:lang w:val="en-US"/>
              </w:rPr>
              <w:t>levated NT-proBNP</w:t>
            </w:r>
            <w:r w:rsidR="00DB092D" w:rsidRPr="00D14896">
              <w:rPr>
                <w:vertAlign w:val="superscript"/>
                <w:lang w:val="en-US"/>
              </w:rPr>
              <w:t>a</w:t>
            </w:r>
          </w:p>
          <w:p w14:paraId="268D6ACC" w14:textId="77777777" w:rsidR="00DC1949" w:rsidRPr="00D14896" w:rsidRDefault="00DB092D" w:rsidP="002E0394">
            <w:pPr>
              <w:pStyle w:val="TableText"/>
              <w:numPr>
                <w:ilvl w:val="0"/>
                <w:numId w:val="10"/>
              </w:numPr>
              <w:ind w:left="227" w:hanging="170"/>
              <w:rPr>
                <w:lang w:val="en-US"/>
              </w:rPr>
            </w:pPr>
            <w:r w:rsidRPr="00D14896">
              <w:rPr>
                <w:lang w:val="en-US"/>
              </w:rPr>
              <w:t>eGFR ≥20</w:t>
            </w:r>
            <w:r w:rsidR="00613E49">
              <w:rPr>
                <w:lang w:val="en-US"/>
              </w:rPr>
              <w:t> </w:t>
            </w:r>
            <w:r w:rsidRPr="00D14896">
              <w:rPr>
                <w:lang w:val="en-US"/>
              </w:rPr>
              <w:t>mL/min/1.73</w:t>
            </w:r>
            <w:r w:rsidR="00613E49">
              <w:rPr>
                <w:lang w:val="en-US"/>
              </w:rPr>
              <w:t> </w:t>
            </w:r>
            <w:r w:rsidRPr="00D14896">
              <w:rPr>
                <w:lang w:val="en-US"/>
              </w:rPr>
              <w:t>m</w:t>
            </w:r>
            <w:r w:rsidRPr="00D14896">
              <w:rPr>
                <w:vertAlign w:val="superscript"/>
                <w:lang w:val="en-US"/>
              </w:rPr>
              <w:t>2</w:t>
            </w:r>
          </w:p>
          <w:p w14:paraId="1A46E7CF" w14:textId="77777777" w:rsidR="00DB092D" w:rsidRPr="00D14896" w:rsidRDefault="00C45A2B" w:rsidP="002E0394">
            <w:pPr>
              <w:pStyle w:val="TableText"/>
              <w:numPr>
                <w:ilvl w:val="0"/>
                <w:numId w:val="10"/>
              </w:numPr>
              <w:ind w:left="227" w:hanging="170"/>
              <w:rPr>
                <w:lang w:val="en-US"/>
              </w:rPr>
            </w:pPr>
            <w:r w:rsidRPr="00D14896">
              <w:rPr>
                <w:lang w:val="en-US"/>
              </w:rPr>
              <w:t>On s</w:t>
            </w:r>
            <w:r w:rsidR="00DB092D" w:rsidRPr="00D14896">
              <w:rPr>
                <w:lang w:val="en-US"/>
              </w:rPr>
              <w:t>tandard care consistent with local and international guidelines</w:t>
            </w:r>
          </w:p>
        </w:tc>
        <w:tc>
          <w:tcPr>
            <w:tcW w:w="1415" w:type="pct"/>
            <w:shd w:val="clear" w:color="auto" w:fill="auto"/>
          </w:tcPr>
          <w:p w14:paraId="2D379F8E" w14:textId="77777777" w:rsidR="00DB092D" w:rsidRPr="00D14896" w:rsidRDefault="00DB092D" w:rsidP="002E0394">
            <w:pPr>
              <w:pStyle w:val="TableText"/>
              <w:numPr>
                <w:ilvl w:val="0"/>
                <w:numId w:val="10"/>
              </w:numPr>
              <w:ind w:left="227" w:hanging="170"/>
              <w:rPr>
                <w:lang w:val="en-US"/>
              </w:rPr>
            </w:pPr>
            <w:r w:rsidRPr="00D14896">
              <w:rPr>
                <w:lang w:val="en-US"/>
              </w:rPr>
              <w:t>Composite of time to CV death or hospitalisation for HF</w:t>
            </w:r>
          </w:p>
          <w:p w14:paraId="49F0DCA2" w14:textId="77777777" w:rsidR="00DB092D" w:rsidRPr="00D14896" w:rsidRDefault="00DB092D" w:rsidP="002E0394">
            <w:pPr>
              <w:pStyle w:val="TableText"/>
              <w:numPr>
                <w:ilvl w:val="0"/>
                <w:numId w:val="10"/>
              </w:numPr>
              <w:ind w:left="227" w:hanging="170"/>
              <w:rPr>
                <w:lang w:val="en-US"/>
              </w:rPr>
            </w:pPr>
            <w:r w:rsidRPr="00D14896">
              <w:rPr>
                <w:lang w:val="en-US"/>
              </w:rPr>
              <w:t>Time to hospitalisation for HF</w:t>
            </w:r>
          </w:p>
          <w:p w14:paraId="384D08B8" w14:textId="77777777" w:rsidR="00DB092D" w:rsidRPr="00D14896" w:rsidRDefault="00DB092D" w:rsidP="002E0394">
            <w:pPr>
              <w:pStyle w:val="TableText"/>
              <w:numPr>
                <w:ilvl w:val="0"/>
                <w:numId w:val="10"/>
              </w:numPr>
              <w:ind w:left="227" w:hanging="170"/>
              <w:rPr>
                <w:lang w:val="en-US"/>
              </w:rPr>
            </w:pPr>
            <w:r w:rsidRPr="00D14896">
              <w:rPr>
                <w:lang w:val="en-US"/>
              </w:rPr>
              <w:t xml:space="preserve">Time to </w:t>
            </w:r>
            <w:r w:rsidR="0063127A">
              <w:rPr>
                <w:lang w:val="en-US"/>
              </w:rPr>
              <w:t xml:space="preserve">CV </w:t>
            </w:r>
            <w:r w:rsidRPr="00D14896">
              <w:rPr>
                <w:lang w:val="en-US"/>
              </w:rPr>
              <w:t>death</w:t>
            </w:r>
          </w:p>
          <w:p w14:paraId="7E545AD3" w14:textId="77777777" w:rsidR="00DB092D" w:rsidRPr="00D14896" w:rsidRDefault="00DB092D" w:rsidP="002E0394">
            <w:pPr>
              <w:pStyle w:val="TableText"/>
              <w:numPr>
                <w:ilvl w:val="0"/>
                <w:numId w:val="10"/>
              </w:numPr>
              <w:ind w:left="227" w:hanging="170"/>
              <w:rPr>
                <w:lang w:val="en-US"/>
              </w:rPr>
            </w:pPr>
            <w:r w:rsidRPr="00D14896">
              <w:rPr>
                <w:lang w:val="en-US"/>
              </w:rPr>
              <w:t>Total hospitalisations for HF</w:t>
            </w:r>
          </w:p>
          <w:p w14:paraId="052D44A5" w14:textId="77777777" w:rsidR="00DB092D" w:rsidRPr="00D14896" w:rsidRDefault="00DB092D" w:rsidP="002E0394">
            <w:pPr>
              <w:pStyle w:val="TableText"/>
              <w:numPr>
                <w:ilvl w:val="0"/>
                <w:numId w:val="10"/>
              </w:numPr>
              <w:ind w:left="227" w:hanging="170"/>
              <w:rPr>
                <w:lang w:val="en-US"/>
              </w:rPr>
            </w:pPr>
            <w:r w:rsidRPr="00D14896">
              <w:rPr>
                <w:lang w:val="en-US"/>
              </w:rPr>
              <w:t>Change in slope of eGFR</w:t>
            </w:r>
          </w:p>
          <w:p w14:paraId="34AF2850" w14:textId="77777777" w:rsidR="00DB092D" w:rsidRPr="00D14896" w:rsidRDefault="00DB092D" w:rsidP="002E0394">
            <w:pPr>
              <w:pStyle w:val="TableText"/>
              <w:numPr>
                <w:ilvl w:val="0"/>
                <w:numId w:val="10"/>
              </w:numPr>
              <w:ind w:left="227" w:hanging="170"/>
              <w:rPr>
                <w:lang w:val="en-US"/>
              </w:rPr>
            </w:pPr>
            <w:r w:rsidRPr="00D14896">
              <w:rPr>
                <w:lang w:val="en-US"/>
              </w:rPr>
              <w:t>Time to death from any cause</w:t>
            </w:r>
          </w:p>
          <w:p w14:paraId="3EAA4BA5" w14:textId="77777777" w:rsidR="00DB092D" w:rsidRPr="00D14896" w:rsidRDefault="00DB092D" w:rsidP="002E0394">
            <w:pPr>
              <w:pStyle w:val="TableText"/>
              <w:numPr>
                <w:ilvl w:val="0"/>
                <w:numId w:val="10"/>
              </w:numPr>
              <w:ind w:left="227" w:hanging="170"/>
              <w:rPr>
                <w:lang w:val="en-US"/>
              </w:rPr>
            </w:pPr>
            <w:r w:rsidRPr="00D14896">
              <w:rPr>
                <w:lang w:val="en-US"/>
              </w:rPr>
              <w:t>Change in KCCQ-CSS</w:t>
            </w:r>
          </w:p>
        </w:tc>
        <w:tc>
          <w:tcPr>
            <w:tcW w:w="679" w:type="pct"/>
          </w:tcPr>
          <w:p w14:paraId="2624D6D4" w14:textId="77777777" w:rsidR="00DB092D" w:rsidRPr="00D14896" w:rsidRDefault="00354797" w:rsidP="005E2D65">
            <w:pPr>
              <w:pStyle w:val="TableText"/>
              <w:rPr>
                <w:lang w:val="en-US"/>
              </w:rPr>
            </w:pPr>
            <w:r w:rsidRPr="00D14896">
              <w:rPr>
                <w:lang w:val="en-US"/>
              </w:rPr>
              <w:t>KCCQ-CSS scores, all-cause mortality, CV mortality,</w:t>
            </w:r>
            <w:r w:rsidR="005A7569" w:rsidRPr="00D14896">
              <w:rPr>
                <w:lang w:val="en-US"/>
              </w:rPr>
              <w:t xml:space="preserve"> HF hospitalisation</w:t>
            </w:r>
            <w:r w:rsidRPr="00D14896">
              <w:rPr>
                <w:lang w:val="en-US"/>
              </w:rPr>
              <w:t xml:space="preserve"> </w:t>
            </w:r>
            <w:r w:rsidR="005E2D65" w:rsidRPr="00D14896">
              <w:rPr>
                <w:lang w:val="en-US"/>
              </w:rPr>
              <w:t xml:space="preserve">treatment discontinuation, </w:t>
            </w:r>
            <w:r w:rsidR="005A7569" w:rsidRPr="00D14896">
              <w:rPr>
                <w:lang w:val="en-US"/>
              </w:rPr>
              <w:t>EQ-5D scores, adverse events</w:t>
            </w:r>
          </w:p>
        </w:tc>
      </w:tr>
      <w:tr w:rsidR="00DB092D" w:rsidRPr="00E2771E" w14:paraId="782329C6" w14:textId="77777777" w:rsidTr="005E2D65">
        <w:trPr>
          <w:cantSplit/>
        </w:trPr>
        <w:tc>
          <w:tcPr>
            <w:tcW w:w="4321" w:type="pct"/>
            <w:gridSpan w:val="6"/>
            <w:shd w:val="clear" w:color="auto" w:fill="auto"/>
          </w:tcPr>
          <w:p w14:paraId="666E0A00" w14:textId="77777777" w:rsidR="00DB092D" w:rsidRPr="00EC5836" w:rsidRDefault="00DB092D" w:rsidP="00944E0F">
            <w:pPr>
              <w:pStyle w:val="Tableheadingrow"/>
            </w:pPr>
            <w:r>
              <w:t xml:space="preserve">Dapagliflozin </w:t>
            </w:r>
            <w:r w:rsidR="004F0CBF">
              <w:t xml:space="preserve">plus SC </w:t>
            </w:r>
            <w:r>
              <w:t xml:space="preserve">vs placebo </w:t>
            </w:r>
            <w:r w:rsidR="004F0CBF">
              <w:t>plus SC</w:t>
            </w:r>
          </w:p>
        </w:tc>
        <w:tc>
          <w:tcPr>
            <w:tcW w:w="679" w:type="pct"/>
          </w:tcPr>
          <w:p w14:paraId="26828488" w14:textId="77777777" w:rsidR="00DB092D" w:rsidRDefault="00DB092D" w:rsidP="00944E0F">
            <w:pPr>
              <w:pStyle w:val="Tableheadingrow"/>
            </w:pPr>
          </w:p>
        </w:tc>
      </w:tr>
      <w:tr w:rsidR="005E2D65" w:rsidRPr="00D14896" w14:paraId="1CFC4E56" w14:textId="77777777" w:rsidTr="005E2D65">
        <w:trPr>
          <w:cantSplit/>
        </w:trPr>
        <w:tc>
          <w:tcPr>
            <w:tcW w:w="562" w:type="pct"/>
            <w:shd w:val="clear" w:color="auto" w:fill="auto"/>
          </w:tcPr>
          <w:p w14:paraId="78067EFF" w14:textId="77777777" w:rsidR="00DB092D" w:rsidRPr="00D14896" w:rsidRDefault="00DB092D" w:rsidP="00944E0F">
            <w:pPr>
              <w:pStyle w:val="TableText"/>
              <w:rPr>
                <w:lang w:val="en-US"/>
              </w:rPr>
            </w:pPr>
            <w:r w:rsidRPr="00D14896">
              <w:rPr>
                <w:lang w:val="en-US"/>
              </w:rPr>
              <w:t>DAPA-HF</w:t>
            </w:r>
          </w:p>
        </w:tc>
        <w:tc>
          <w:tcPr>
            <w:tcW w:w="288" w:type="pct"/>
            <w:shd w:val="clear" w:color="auto" w:fill="auto"/>
          </w:tcPr>
          <w:p w14:paraId="2C42F666" w14:textId="77777777" w:rsidR="00DB092D" w:rsidRPr="00D14896" w:rsidRDefault="00DB092D" w:rsidP="00944E0F">
            <w:pPr>
              <w:pStyle w:val="TableText"/>
              <w:jc w:val="center"/>
              <w:rPr>
                <w:lang w:val="en-US"/>
              </w:rPr>
            </w:pPr>
            <w:r w:rsidRPr="00D14896">
              <w:rPr>
                <w:lang w:val="en-US"/>
              </w:rPr>
              <w:t>4</w:t>
            </w:r>
            <w:r w:rsidR="004F0CBF" w:rsidRPr="00D14896">
              <w:rPr>
                <w:lang w:val="en-US"/>
              </w:rPr>
              <w:t>,</w:t>
            </w:r>
            <w:r w:rsidRPr="00D14896">
              <w:rPr>
                <w:lang w:val="en-US"/>
              </w:rPr>
              <w:t>744</w:t>
            </w:r>
          </w:p>
        </w:tc>
        <w:tc>
          <w:tcPr>
            <w:tcW w:w="484" w:type="pct"/>
            <w:shd w:val="clear" w:color="auto" w:fill="auto"/>
          </w:tcPr>
          <w:p w14:paraId="1FF360FA" w14:textId="77777777" w:rsidR="004F0CBF" w:rsidRPr="00D14896" w:rsidRDefault="00DB092D" w:rsidP="00944E0F">
            <w:pPr>
              <w:pStyle w:val="TableText"/>
              <w:jc w:val="center"/>
              <w:rPr>
                <w:lang w:val="en-US"/>
              </w:rPr>
            </w:pPr>
            <w:r w:rsidRPr="00D14896">
              <w:rPr>
                <w:lang w:val="en-US"/>
              </w:rPr>
              <w:t>Phase III, MC, R, DB, PC</w:t>
            </w:r>
            <w:r w:rsidR="004F0CBF" w:rsidRPr="00D14896">
              <w:rPr>
                <w:lang w:val="en-US"/>
              </w:rPr>
              <w:t>;</w:t>
            </w:r>
          </w:p>
          <w:p w14:paraId="56DC19F4" w14:textId="77777777" w:rsidR="00B1121A" w:rsidRPr="00D14896" w:rsidRDefault="00B1121A" w:rsidP="00944E0F">
            <w:pPr>
              <w:pStyle w:val="TableText"/>
              <w:jc w:val="center"/>
              <w:rPr>
                <w:lang w:val="en-US"/>
              </w:rPr>
            </w:pPr>
          </w:p>
          <w:p w14:paraId="54DC9C40" w14:textId="77777777" w:rsidR="00DB092D" w:rsidRPr="00D14896" w:rsidRDefault="00B1121A" w:rsidP="00944E0F">
            <w:pPr>
              <w:pStyle w:val="TableText"/>
              <w:jc w:val="center"/>
              <w:rPr>
                <w:lang w:val="en-US"/>
              </w:rPr>
            </w:pPr>
            <w:r w:rsidRPr="00D14896">
              <w:rPr>
                <w:lang w:val="en-US"/>
              </w:rPr>
              <w:t>M</w:t>
            </w:r>
            <w:r w:rsidR="004F0CBF" w:rsidRPr="00D14896">
              <w:rPr>
                <w:lang w:val="en-US"/>
              </w:rPr>
              <w:t xml:space="preserve">edian duration </w:t>
            </w:r>
            <w:r w:rsidRPr="00D14896">
              <w:rPr>
                <w:lang w:val="en-US"/>
              </w:rPr>
              <w:t xml:space="preserve">of follow-up </w:t>
            </w:r>
            <w:r w:rsidR="004F0CBF" w:rsidRPr="00D14896">
              <w:rPr>
                <w:lang w:val="en-US"/>
              </w:rPr>
              <w:t>18.2 months</w:t>
            </w:r>
            <w:r w:rsidR="00DB092D" w:rsidRPr="00D14896">
              <w:rPr>
                <w:lang w:val="en-US"/>
              </w:rPr>
              <w:t xml:space="preserve"> </w:t>
            </w:r>
          </w:p>
        </w:tc>
        <w:tc>
          <w:tcPr>
            <w:tcW w:w="393" w:type="pct"/>
            <w:shd w:val="clear" w:color="auto" w:fill="auto"/>
          </w:tcPr>
          <w:p w14:paraId="2E6331B2" w14:textId="77777777" w:rsidR="00DB092D" w:rsidRPr="00D14896" w:rsidRDefault="00DB092D" w:rsidP="00944E0F">
            <w:pPr>
              <w:pStyle w:val="TableText"/>
              <w:jc w:val="center"/>
              <w:rPr>
                <w:lang w:val="en-US"/>
              </w:rPr>
            </w:pPr>
            <w:r w:rsidRPr="00D14896">
              <w:rPr>
                <w:lang w:val="en-US"/>
              </w:rPr>
              <w:t>Low</w:t>
            </w:r>
          </w:p>
        </w:tc>
        <w:tc>
          <w:tcPr>
            <w:tcW w:w="1179" w:type="pct"/>
            <w:shd w:val="clear" w:color="auto" w:fill="auto"/>
          </w:tcPr>
          <w:p w14:paraId="2E764977" w14:textId="77777777" w:rsidR="00F9077D" w:rsidRPr="00D14896" w:rsidRDefault="00DB092D" w:rsidP="002E0394">
            <w:pPr>
              <w:pStyle w:val="TableText"/>
              <w:numPr>
                <w:ilvl w:val="0"/>
                <w:numId w:val="10"/>
              </w:numPr>
              <w:ind w:left="227" w:hanging="170"/>
              <w:rPr>
                <w:lang w:val="en-US"/>
              </w:rPr>
            </w:pPr>
            <w:r w:rsidRPr="00D14896">
              <w:rPr>
                <w:lang w:val="en-US"/>
              </w:rPr>
              <w:t>Age ≥18 years</w:t>
            </w:r>
          </w:p>
          <w:p w14:paraId="0AED1EDE" w14:textId="77777777" w:rsidR="00DB092D" w:rsidRPr="00D14896" w:rsidRDefault="00DB092D" w:rsidP="002E0394">
            <w:pPr>
              <w:pStyle w:val="TableText"/>
              <w:numPr>
                <w:ilvl w:val="0"/>
                <w:numId w:val="10"/>
              </w:numPr>
              <w:ind w:left="227" w:hanging="170"/>
              <w:rPr>
                <w:lang w:val="en-US"/>
              </w:rPr>
            </w:pPr>
            <w:r w:rsidRPr="00D14896">
              <w:rPr>
                <w:lang w:val="en-US"/>
              </w:rPr>
              <w:t>Symptomatic HFrEF</w:t>
            </w:r>
          </w:p>
          <w:p w14:paraId="45C5ECCF" w14:textId="77777777" w:rsidR="00DB092D" w:rsidRPr="00D14896" w:rsidRDefault="00DB092D" w:rsidP="002E0394">
            <w:pPr>
              <w:pStyle w:val="TableText"/>
              <w:numPr>
                <w:ilvl w:val="0"/>
                <w:numId w:val="10"/>
              </w:numPr>
              <w:ind w:left="227" w:hanging="170"/>
              <w:rPr>
                <w:lang w:val="en-US"/>
              </w:rPr>
            </w:pPr>
            <w:r w:rsidRPr="00D14896">
              <w:rPr>
                <w:lang w:val="en-US"/>
              </w:rPr>
              <w:t>With LVEF ≤40%</w:t>
            </w:r>
          </w:p>
          <w:p w14:paraId="551AA9F3" w14:textId="77777777" w:rsidR="00DB092D" w:rsidRPr="00D14896" w:rsidRDefault="00DB092D" w:rsidP="002E0394">
            <w:pPr>
              <w:pStyle w:val="TableText"/>
              <w:numPr>
                <w:ilvl w:val="0"/>
                <w:numId w:val="10"/>
              </w:numPr>
              <w:ind w:left="227" w:hanging="170"/>
              <w:rPr>
                <w:lang w:val="en-US"/>
              </w:rPr>
            </w:pPr>
            <w:r w:rsidRPr="00D14896">
              <w:rPr>
                <w:lang w:val="en-US"/>
              </w:rPr>
              <w:t>NYHA Class II-IV and</w:t>
            </w:r>
          </w:p>
          <w:p w14:paraId="7AF6A691" w14:textId="77777777" w:rsidR="00DB092D" w:rsidRPr="00D14896" w:rsidRDefault="00C84E58" w:rsidP="002E0394">
            <w:pPr>
              <w:pStyle w:val="TableText"/>
              <w:numPr>
                <w:ilvl w:val="0"/>
                <w:numId w:val="10"/>
              </w:numPr>
              <w:ind w:left="227" w:hanging="170"/>
              <w:rPr>
                <w:lang w:val="en-US"/>
              </w:rPr>
            </w:pPr>
            <w:r>
              <w:rPr>
                <w:lang w:val="en-US"/>
              </w:rPr>
              <w:t>E</w:t>
            </w:r>
            <w:r w:rsidR="00DB092D" w:rsidRPr="00D14896">
              <w:rPr>
                <w:lang w:val="en-US"/>
              </w:rPr>
              <w:t>levated NT-proBNP</w:t>
            </w:r>
            <w:r w:rsidR="000B1D7E" w:rsidRPr="00D14896">
              <w:rPr>
                <w:vertAlign w:val="superscript"/>
                <w:lang w:val="en-US"/>
              </w:rPr>
              <w:t>b</w:t>
            </w:r>
          </w:p>
          <w:p w14:paraId="6360F9F7" w14:textId="77777777" w:rsidR="006C01BB" w:rsidRPr="00D14896" w:rsidRDefault="00DB092D" w:rsidP="002E0394">
            <w:pPr>
              <w:pStyle w:val="TableText"/>
              <w:numPr>
                <w:ilvl w:val="0"/>
                <w:numId w:val="10"/>
              </w:numPr>
              <w:ind w:left="227" w:hanging="170"/>
              <w:rPr>
                <w:lang w:val="en-US"/>
              </w:rPr>
            </w:pPr>
            <w:r w:rsidRPr="00D14896">
              <w:rPr>
                <w:lang w:val="en-US"/>
              </w:rPr>
              <w:t>eGFR ≥30</w:t>
            </w:r>
            <w:r w:rsidR="00613E49">
              <w:rPr>
                <w:lang w:val="en-US"/>
              </w:rPr>
              <w:t> </w:t>
            </w:r>
            <w:r w:rsidRPr="00D14896">
              <w:rPr>
                <w:lang w:val="en-US"/>
              </w:rPr>
              <w:t>mL/min/1.73</w:t>
            </w:r>
            <w:r w:rsidR="00613E49">
              <w:rPr>
                <w:lang w:val="en-US"/>
              </w:rPr>
              <w:t> </w:t>
            </w:r>
            <w:r w:rsidRPr="00D14896">
              <w:rPr>
                <w:lang w:val="en-US"/>
              </w:rPr>
              <w:t>m</w:t>
            </w:r>
            <w:r w:rsidRPr="00D14896">
              <w:rPr>
                <w:vertAlign w:val="superscript"/>
                <w:lang w:val="en-US"/>
              </w:rPr>
              <w:t>2</w:t>
            </w:r>
          </w:p>
          <w:p w14:paraId="1A626B26" w14:textId="77777777" w:rsidR="00DB092D" w:rsidRPr="00D14896" w:rsidRDefault="006C01BB" w:rsidP="002E0394">
            <w:pPr>
              <w:pStyle w:val="TableText"/>
              <w:numPr>
                <w:ilvl w:val="0"/>
                <w:numId w:val="10"/>
              </w:numPr>
              <w:ind w:left="227" w:hanging="170"/>
              <w:rPr>
                <w:lang w:val="en-US"/>
              </w:rPr>
            </w:pPr>
            <w:r w:rsidRPr="00D14896">
              <w:rPr>
                <w:lang w:val="en-US"/>
              </w:rPr>
              <w:t>On s</w:t>
            </w:r>
            <w:r w:rsidR="00DB092D" w:rsidRPr="00D14896">
              <w:rPr>
                <w:lang w:val="en-US"/>
              </w:rPr>
              <w:t>tandard care consistent with local and international guidelines</w:t>
            </w:r>
          </w:p>
        </w:tc>
        <w:tc>
          <w:tcPr>
            <w:tcW w:w="1415" w:type="pct"/>
            <w:shd w:val="clear" w:color="auto" w:fill="auto"/>
          </w:tcPr>
          <w:p w14:paraId="4CB5524B" w14:textId="77777777" w:rsidR="00DB092D" w:rsidRPr="00D14896" w:rsidRDefault="00DB092D" w:rsidP="002E0394">
            <w:pPr>
              <w:pStyle w:val="TableText"/>
              <w:numPr>
                <w:ilvl w:val="0"/>
                <w:numId w:val="10"/>
              </w:numPr>
              <w:ind w:left="227" w:hanging="170"/>
              <w:rPr>
                <w:lang w:val="en-US"/>
              </w:rPr>
            </w:pPr>
            <w:r w:rsidRPr="00D14896">
              <w:rPr>
                <w:lang w:val="en-US"/>
              </w:rPr>
              <w:t>Composite of time to CV</w:t>
            </w:r>
            <w:r w:rsidR="00F07F04">
              <w:rPr>
                <w:lang w:val="en-US"/>
              </w:rPr>
              <w:t xml:space="preserve"> </w:t>
            </w:r>
            <w:r w:rsidRPr="00D14896">
              <w:rPr>
                <w:lang w:val="en-US"/>
              </w:rPr>
              <w:t>death, hospitalisation for HF</w:t>
            </w:r>
            <w:r w:rsidR="00F9077D" w:rsidRPr="00D14896">
              <w:rPr>
                <w:lang w:val="en-US"/>
              </w:rPr>
              <w:t>,</w:t>
            </w:r>
            <w:r w:rsidRPr="00D14896">
              <w:rPr>
                <w:lang w:val="en-US"/>
              </w:rPr>
              <w:br/>
              <w:t>or urgent HF visit</w:t>
            </w:r>
          </w:p>
          <w:p w14:paraId="6322D7A4" w14:textId="77777777" w:rsidR="00DB092D" w:rsidRPr="00D14896" w:rsidRDefault="00DB092D" w:rsidP="002E0394">
            <w:pPr>
              <w:pStyle w:val="TableText"/>
              <w:numPr>
                <w:ilvl w:val="0"/>
                <w:numId w:val="10"/>
              </w:numPr>
              <w:ind w:left="227" w:hanging="170"/>
              <w:rPr>
                <w:lang w:val="en-US"/>
              </w:rPr>
            </w:pPr>
            <w:r w:rsidRPr="00D14896">
              <w:rPr>
                <w:lang w:val="en-US"/>
              </w:rPr>
              <w:t>Time to CV death or hospitalisation for HF</w:t>
            </w:r>
          </w:p>
          <w:p w14:paraId="4AB7AAF5" w14:textId="77777777" w:rsidR="00DB092D" w:rsidRPr="00D14896" w:rsidRDefault="00DB092D" w:rsidP="002E0394">
            <w:pPr>
              <w:pStyle w:val="TableText"/>
              <w:numPr>
                <w:ilvl w:val="0"/>
                <w:numId w:val="10"/>
              </w:numPr>
              <w:ind w:left="227" w:hanging="170"/>
              <w:rPr>
                <w:lang w:val="en-US"/>
              </w:rPr>
            </w:pPr>
            <w:r w:rsidRPr="00D14896">
              <w:rPr>
                <w:lang w:val="en-US"/>
              </w:rPr>
              <w:t>CV death or recurrent HF hospitalisations</w:t>
            </w:r>
          </w:p>
          <w:p w14:paraId="032666EE" w14:textId="77777777" w:rsidR="00DB092D" w:rsidRPr="00D14896" w:rsidRDefault="00DB092D" w:rsidP="002E0394">
            <w:pPr>
              <w:pStyle w:val="TableText"/>
              <w:numPr>
                <w:ilvl w:val="0"/>
                <w:numId w:val="10"/>
              </w:numPr>
              <w:ind w:left="227" w:hanging="170"/>
              <w:rPr>
                <w:lang w:val="en-US"/>
              </w:rPr>
            </w:pPr>
            <w:r w:rsidRPr="00D14896">
              <w:rPr>
                <w:lang w:val="en-US"/>
              </w:rPr>
              <w:t>Time to ≥50% decline in eGFR, ESRD or renal death</w:t>
            </w:r>
          </w:p>
          <w:p w14:paraId="7347577A" w14:textId="77777777" w:rsidR="00DB092D" w:rsidRPr="00D14896" w:rsidRDefault="00DB092D" w:rsidP="002E0394">
            <w:pPr>
              <w:pStyle w:val="TableText"/>
              <w:numPr>
                <w:ilvl w:val="0"/>
                <w:numId w:val="10"/>
              </w:numPr>
              <w:ind w:left="227" w:hanging="170"/>
              <w:rPr>
                <w:lang w:val="en-US"/>
              </w:rPr>
            </w:pPr>
            <w:r w:rsidRPr="00D14896">
              <w:rPr>
                <w:lang w:val="en-US"/>
              </w:rPr>
              <w:t>Time to death from any cause</w:t>
            </w:r>
          </w:p>
          <w:p w14:paraId="12F3EB2C" w14:textId="77777777" w:rsidR="00DB092D" w:rsidRPr="00D14896" w:rsidRDefault="00DB092D" w:rsidP="002E0394">
            <w:pPr>
              <w:pStyle w:val="TableText"/>
              <w:numPr>
                <w:ilvl w:val="0"/>
                <w:numId w:val="10"/>
              </w:numPr>
              <w:ind w:left="227" w:hanging="170"/>
              <w:rPr>
                <w:lang w:val="en-US"/>
              </w:rPr>
            </w:pPr>
            <w:r w:rsidRPr="00D14896">
              <w:rPr>
                <w:lang w:val="en-US"/>
              </w:rPr>
              <w:t>Change in KCCQ-TSS</w:t>
            </w:r>
          </w:p>
          <w:p w14:paraId="3291A72A" w14:textId="77777777" w:rsidR="00DB092D" w:rsidRPr="00D14896" w:rsidRDefault="00DB092D" w:rsidP="002E0394">
            <w:pPr>
              <w:pStyle w:val="TableText"/>
              <w:numPr>
                <w:ilvl w:val="0"/>
                <w:numId w:val="10"/>
              </w:numPr>
              <w:ind w:left="227" w:hanging="170"/>
              <w:rPr>
                <w:lang w:val="en-US"/>
              </w:rPr>
            </w:pPr>
            <w:r w:rsidRPr="00D14896">
              <w:rPr>
                <w:lang w:val="en-US"/>
              </w:rPr>
              <w:t>Change in EQ-5D-5L</w:t>
            </w:r>
          </w:p>
        </w:tc>
        <w:tc>
          <w:tcPr>
            <w:tcW w:w="679" w:type="pct"/>
          </w:tcPr>
          <w:p w14:paraId="18C6C83B" w14:textId="77777777" w:rsidR="00DB092D" w:rsidRPr="00D14896" w:rsidRDefault="00A8162A" w:rsidP="00944E0F">
            <w:pPr>
              <w:pStyle w:val="TableText"/>
              <w:jc w:val="center"/>
              <w:rPr>
                <w:lang w:val="en-US"/>
              </w:rPr>
            </w:pPr>
            <w:r w:rsidRPr="00D14896">
              <w:rPr>
                <w:lang w:val="en-US"/>
              </w:rPr>
              <w:t>-</w:t>
            </w:r>
          </w:p>
        </w:tc>
      </w:tr>
    </w:tbl>
    <w:p w14:paraId="1655F6FC" w14:textId="77777777" w:rsidR="00DB092D" w:rsidRPr="005A4568" w:rsidRDefault="00DB092D" w:rsidP="00DB092D">
      <w:pPr>
        <w:pStyle w:val="TableFigureFooter"/>
        <w:keepLines/>
        <w:widowControl w:val="0"/>
      </w:pPr>
      <w:r w:rsidRPr="005A4568">
        <w:t xml:space="preserve">Source: </w:t>
      </w:r>
      <w:r>
        <w:t>Sections 2.3 and 2.4, p</w:t>
      </w:r>
      <w:r w:rsidR="00EA6B38">
        <w:t>p</w:t>
      </w:r>
      <w:r>
        <w:t>50-73 of the submission; Sections 2A.3 and 2A.4 p</w:t>
      </w:r>
      <w:r w:rsidR="00EA6B38">
        <w:t>p</w:t>
      </w:r>
      <w:r>
        <w:t xml:space="preserve">11-28, and Tables 2.6, </w:t>
      </w:r>
      <w:r w:rsidR="00EA6B38">
        <w:t>p</w:t>
      </w:r>
      <w:r>
        <w:t xml:space="preserve">19 and 2.8, </w:t>
      </w:r>
      <w:r w:rsidR="00EA6B38">
        <w:t>p</w:t>
      </w:r>
      <w:r>
        <w:t>25</w:t>
      </w:r>
      <w:r w:rsidRPr="005A4568">
        <w:t xml:space="preserve"> </w:t>
      </w:r>
      <w:r>
        <w:t xml:space="preserve">of </w:t>
      </w:r>
      <w:r w:rsidRPr="00DD2E96">
        <w:t>Section 2A empagliflozin vs. dapagliflozin.docx</w:t>
      </w:r>
      <w:r>
        <w:t>,</w:t>
      </w:r>
      <w:r w:rsidRPr="00DD2E96">
        <w:t xml:space="preserve"> </w:t>
      </w:r>
      <w:r>
        <w:t>Attachment 4 of the submission</w:t>
      </w:r>
      <w:r w:rsidRPr="00612A3C">
        <w:t>.</w:t>
      </w:r>
    </w:p>
    <w:p w14:paraId="7AF0EECB" w14:textId="77777777" w:rsidR="00DB092D" w:rsidRDefault="00DB092D" w:rsidP="00DB092D">
      <w:pPr>
        <w:pStyle w:val="TableFigureFooter"/>
        <w:keepLines/>
        <w:widowControl w:val="0"/>
      </w:pPr>
      <w:r w:rsidRPr="005A4568">
        <w:t>ACE</w:t>
      </w:r>
      <w:r>
        <w:t>i</w:t>
      </w:r>
      <w:r w:rsidRPr="005A4568">
        <w:t>, angiotensin-converting enzyme</w:t>
      </w:r>
      <w:r>
        <w:t xml:space="preserve"> inhibitor</w:t>
      </w:r>
      <w:r w:rsidRPr="005A4568">
        <w:t xml:space="preserve">; ARB, angiotensin II receptor blocker; </w:t>
      </w:r>
      <w:r>
        <w:t xml:space="preserve">CSS, clinical summary score; </w:t>
      </w:r>
      <w:r w:rsidRPr="005A4568">
        <w:t xml:space="preserve">CV, cardiovascular; </w:t>
      </w:r>
      <w:r>
        <w:t xml:space="preserve">DB, double blind; </w:t>
      </w:r>
      <w:r w:rsidRPr="005A4568">
        <w:t>eGFR, estimated</w:t>
      </w:r>
      <w:r w:rsidR="00613E49">
        <w:t> g</w:t>
      </w:r>
      <w:r w:rsidR="00613E49" w:rsidRPr="00613E49">
        <w:t>lomerular filtration rate</w:t>
      </w:r>
      <w:r w:rsidRPr="005A4568">
        <w:t xml:space="preserve">; ESRD, end-stage renal disease; HF, heart failure; HFrEF, heart failure with reduced ejection fraction; KCCQ, Kansas City Cardiomyopathy Questionnaire; LVEF, left ventricular ejection fraction; </w:t>
      </w:r>
      <w:r>
        <w:t xml:space="preserve">MC, multi-centre; </w:t>
      </w:r>
      <w:r w:rsidRPr="005A4568">
        <w:t>NT-proBNP</w:t>
      </w:r>
      <w:r w:rsidR="00613E49">
        <w:t>,</w:t>
      </w:r>
      <w:r w:rsidRPr="005A4568">
        <w:t xml:space="preserve"> N-Terminal pro b natriuretic peptide; NYHA, New York Heart Association; </w:t>
      </w:r>
      <w:r>
        <w:t xml:space="preserve">R, randomised; </w:t>
      </w:r>
      <w:r w:rsidRPr="005A4568">
        <w:t>TSS, total symptom score.</w:t>
      </w:r>
    </w:p>
    <w:p w14:paraId="0805EC5E" w14:textId="77777777" w:rsidR="007E7FB3" w:rsidRPr="00DB092D" w:rsidRDefault="007E7FB3" w:rsidP="007E7FB3">
      <w:pPr>
        <w:pStyle w:val="TableFigureFooter"/>
        <w:keepLines/>
        <w:widowControl w:val="0"/>
      </w:pPr>
      <w:r>
        <w:rPr>
          <w:vertAlign w:val="superscript"/>
        </w:rPr>
        <w:t>a</w:t>
      </w:r>
      <w:r>
        <w:t xml:space="preserve"> E</w:t>
      </w:r>
      <w:r w:rsidR="00C84E58">
        <w:t xml:space="preserve">jection </w:t>
      </w:r>
      <w:r>
        <w:t>F</w:t>
      </w:r>
      <w:r w:rsidR="00C84E58">
        <w:t>raction (EF)</w:t>
      </w:r>
      <w:r>
        <w:t xml:space="preserve"> ≥36% to ≤40%: elevated NT-proBNP at Visit 1 ≥2500 pg/ml for patients without </w:t>
      </w:r>
      <w:r w:rsidR="00C84E58" w:rsidRPr="00C84E58">
        <w:t xml:space="preserve">Atrial </w:t>
      </w:r>
      <w:r w:rsidR="00C84E58">
        <w:t>F</w:t>
      </w:r>
      <w:r w:rsidR="00C84E58" w:rsidRPr="00C84E58">
        <w:t>ibrillation</w:t>
      </w:r>
      <w:r w:rsidR="00C84E58">
        <w:t xml:space="preserve"> (</w:t>
      </w:r>
      <w:r>
        <w:t>AF</w:t>
      </w:r>
      <w:r w:rsidR="00C84E58">
        <w:t>)</w:t>
      </w:r>
      <w:r>
        <w:t>, or ≥5000</w:t>
      </w:r>
      <w:r w:rsidR="00C84E58">
        <w:t> </w:t>
      </w:r>
      <w:r>
        <w:t>pg/</w:t>
      </w:r>
      <w:r w:rsidR="00C84E58">
        <w:t>mL</w:t>
      </w:r>
      <w:r>
        <w:t xml:space="preserve"> for patients with AF; OR EF ≥31% to ≤35%: elevated NT-proBNP at Visit 1 ≥1000 pg/</w:t>
      </w:r>
      <w:r w:rsidR="00C84E58">
        <w:t>mL</w:t>
      </w:r>
      <w:r>
        <w:t xml:space="preserve"> for patients without AF, or ≥2000 pg/</w:t>
      </w:r>
      <w:r w:rsidR="00C84E58">
        <w:t>mL</w:t>
      </w:r>
      <w:r>
        <w:t xml:space="preserve"> for patients with AF; OR EF≤30%: elevated NT-proBNP at Visit 1 ≥600 pg/</w:t>
      </w:r>
      <w:r w:rsidR="00C84E58">
        <w:t>mL</w:t>
      </w:r>
      <w:r>
        <w:t xml:space="preserve"> for patients without AF, or ≥1200 pg/</w:t>
      </w:r>
      <w:r w:rsidR="00C84E58">
        <w:t>mL</w:t>
      </w:r>
      <w:r>
        <w:t xml:space="preserve"> for patients with AF.</w:t>
      </w:r>
    </w:p>
    <w:p w14:paraId="6649871F" w14:textId="77777777" w:rsidR="00DB092D" w:rsidRPr="00DB092D" w:rsidRDefault="007E7FB3" w:rsidP="00DB092D">
      <w:pPr>
        <w:pStyle w:val="TableFigureFooter"/>
        <w:keepLines/>
        <w:widowControl w:val="0"/>
        <w:rPr>
          <w:vertAlign w:val="superscript"/>
        </w:rPr>
      </w:pPr>
      <w:r>
        <w:rPr>
          <w:vertAlign w:val="superscript"/>
        </w:rPr>
        <w:t>b</w:t>
      </w:r>
      <w:r w:rsidR="00DB092D">
        <w:rPr>
          <w:vertAlign w:val="superscript"/>
        </w:rPr>
        <w:t xml:space="preserve"> </w:t>
      </w:r>
      <w:r w:rsidR="00DB092D" w:rsidRPr="00DF4267">
        <w:t>NT-proBNP ≥600 pg/mL (or if hospitalised for heart failure within the previous 12 months, NT-proBNP ≥400 pg/mL); or ≥900 pg/mL (irrespective of history of HF hospitalisation) if concomitant atrial fibrillation or atrial flutter at Visit 1.</w:t>
      </w:r>
    </w:p>
    <w:p w14:paraId="2DD19A36" w14:textId="77777777" w:rsidR="008F70B4" w:rsidRPr="004E51C5" w:rsidRDefault="00682C3B" w:rsidP="0012228C">
      <w:pPr>
        <w:pStyle w:val="ExecSumBodyText"/>
      </w:pPr>
      <w:r>
        <w:t xml:space="preserve">The </w:t>
      </w:r>
      <w:r w:rsidR="00232EEF">
        <w:t xml:space="preserve">risk of bias was low in both the </w:t>
      </w:r>
      <w:r>
        <w:t xml:space="preserve">EMPEROR-Reduced </w:t>
      </w:r>
      <w:r w:rsidR="00232EEF">
        <w:t xml:space="preserve">and DAPA-HF trials. Both trials recruited patients with symptomatic HFrEF (NYHA Class II-IV), with an LVEF </w:t>
      </w:r>
      <w:r w:rsidR="00232EEF">
        <w:rPr>
          <w:rFonts w:cs="Calibri"/>
        </w:rPr>
        <w:t>≤</w:t>
      </w:r>
      <w:r w:rsidR="00232EEF">
        <w:t>40%, treated with an SGLT2 inhibitor in addition to local standard care for heart failure (HF)</w:t>
      </w:r>
      <w:r w:rsidR="008F70B4">
        <w:t>,</w:t>
      </w:r>
      <w:r w:rsidR="00232EEF">
        <w:t xml:space="preserve"> </w:t>
      </w:r>
      <w:r w:rsidR="008F70B4">
        <w:t>with</w:t>
      </w:r>
      <w:r w:rsidR="00232EEF">
        <w:t xml:space="preserve"> a </w:t>
      </w:r>
      <w:r w:rsidR="00232EEF" w:rsidRPr="004E51C5">
        <w:t xml:space="preserve">mean age of approximately 66 years, </w:t>
      </w:r>
      <w:r w:rsidR="008F70B4" w:rsidRPr="004E51C5">
        <w:t xml:space="preserve">and </w:t>
      </w:r>
      <w:r w:rsidR="00232EEF" w:rsidRPr="004E51C5">
        <w:t xml:space="preserve">predominantly male (76%) and Caucasian (70%). </w:t>
      </w:r>
    </w:p>
    <w:p w14:paraId="5D15DD50" w14:textId="77777777" w:rsidR="00756F31" w:rsidRPr="00565789" w:rsidRDefault="00756F31" w:rsidP="0012228C">
      <w:pPr>
        <w:pStyle w:val="ExecSumBodyText"/>
      </w:pPr>
      <w:r w:rsidRPr="00565789">
        <w:t>There were differences between the EMPEROR-Reduced trial population and the Australian setting in the risk factors of age, sex, and BMI (Atherton et al. 2018).</w:t>
      </w:r>
      <w:r w:rsidRPr="004E51C5">
        <w:t xml:space="preserve"> </w:t>
      </w:r>
      <w:r w:rsidRPr="00565789">
        <w:t>The Pre-Sub-Committee Response (PSCR) reiterated that the results of the subgroup analyses of the primary composite outcome showed that there was no significant treatment interaction effect for these factors (p = 0.49; p = 0.08; p = 0.17, respectively).</w:t>
      </w:r>
    </w:p>
    <w:p w14:paraId="2AD81BC8" w14:textId="77777777" w:rsidR="00045017" w:rsidRPr="00EC5836" w:rsidRDefault="008F70B4" w:rsidP="0012228C">
      <w:pPr>
        <w:pStyle w:val="ExecSumBodyText"/>
        <w:rPr>
          <w:color w:val="0066FF"/>
        </w:rPr>
      </w:pPr>
      <w:r>
        <w:t>There</w:t>
      </w:r>
      <w:r w:rsidR="00232EEF">
        <w:t xml:space="preserve"> </w:t>
      </w:r>
      <w:r w:rsidR="00232EEF" w:rsidRPr="009819B2">
        <w:t xml:space="preserve">were </w:t>
      </w:r>
      <w:r w:rsidR="00135BFA" w:rsidRPr="00565789">
        <w:rPr>
          <w:iCs/>
        </w:rPr>
        <w:t>some</w:t>
      </w:r>
      <w:r w:rsidR="00135BFA" w:rsidRPr="009819B2">
        <w:t xml:space="preserve"> </w:t>
      </w:r>
      <w:r w:rsidR="00232EEF" w:rsidRPr="009819B2">
        <w:t xml:space="preserve">differences between trials in </w:t>
      </w:r>
      <w:r w:rsidR="00135BFA" w:rsidRPr="00565789">
        <w:rPr>
          <w:iCs/>
        </w:rPr>
        <w:t xml:space="preserve">potentially </w:t>
      </w:r>
      <w:r w:rsidR="00232EEF">
        <w:t xml:space="preserve">important </w:t>
      </w:r>
      <w:r w:rsidR="00232EEF" w:rsidRPr="009819B2">
        <w:t>baseline markers of disease severity and progression.</w:t>
      </w:r>
      <w:r w:rsidR="00232EEF">
        <w:t xml:space="preserve"> Larger proportions of patients in the EMPEROR-Reduced trial reported less severe HF symptoms (NYHA CLASS II - 75%, Class III - 24%) compared to the DAPA-HF trial (NYHA CLASS II - 68%; Class III - 32%), while patients in the EMPEROR-Reduced trial also reported a higher median baseline NT-proBNP (1,887-1926 </w:t>
      </w:r>
      <w:r w:rsidR="00232EEF" w:rsidRPr="00897712">
        <w:rPr>
          <w:rFonts w:cstheme="minorHAnsi"/>
          <w:szCs w:val="20"/>
        </w:rPr>
        <w:t>pg/mL</w:t>
      </w:r>
      <w:r w:rsidR="00232EEF">
        <w:rPr>
          <w:rFonts w:cstheme="minorHAnsi"/>
          <w:szCs w:val="20"/>
        </w:rPr>
        <w:t>)</w:t>
      </w:r>
      <w:r w:rsidR="00232EEF">
        <w:t xml:space="preserve"> compared to DAPA-HF (1,428-1,446 </w:t>
      </w:r>
      <w:r w:rsidR="00232EEF" w:rsidRPr="00897712">
        <w:rPr>
          <w:rFonts w:cstheme="minorHAnsi"/>
          <w:szCs w:val="20"/>
        </w:rPr>
        <w:t>pg/mL</w:t>
      </w:r>
      <w:r w:rsidR="00232EEF">
        <w:t xml:space="preserve">), a lower mean baseline LVEF (27%) compared to DAPA-HF (31%) and larger proportions of patients with </w:t>
      </w:r>
      <w:r w:rsidR="000574D4">
        <w:t>type 2 diabetes</w:t>
      </w:r>
      <w:r w:rsidR="00232EEF">
        <w:t xml:space="preserve"> (50%) compared to the DAPA-HF trial (42%).</w:t>
      </w:r>
      <w:r w:rsidR="00135BFA">
        <w:t xml:space="preserve"> </w:t>
      </w:r>
      <w:r w:rsidR="00135BFA" w:rsidRPr="00565789">
        <w:rPr>
          <w:iCs/>
        </w:rPr>
        <w:t>The ESC noted that the</w:t>
      </w:r>
      <w:r w:rsidR="008A0180">
        <w:rPr>
          <w:iCs/>
        </w:rPr>
        <w:t xml:space="preserve"> likely effects of the</w:t>
      </w:r>
      <w:r w:rsidR="00135BFA" w:rsidRPr="00565789">
        <w:rPr>
          <w:iCs/>
        </w:rPr>
        <w:t xml:space="preserve">se </w:t>
      </w:r>
      <w:r w:rsidR="005D4F5E" w:rsidRPr="00565789">
        <w:rPr>
          <w:iCs/>
        </w:rPr>
        <w:t xml:space="preserve">differences </w:t>
      </w:r>
      <w:r w:rsidR="00135BFA" w:rsidRPr="00565789">
        <w:rPr>
          <w:iCs/>
        </w:rPr>
        <w:t>were bidirectional.</w:t>
      </w:r>
    </w:p>
    <w:p w14:paraId="3FAE99B4" w14:textId="77777777" w:rsidR="008F70B4" w:rsidRDefault="00232EEF" w:rsidP="0012228C">
      <w:pPr>
        <w:pStyle w:val="ExecSumBodyText"/>
      </w:pPr>
      <w:r>
        <w:t xml:space="preserve">Baseline use of diuretics, beta-blockers and MRAs was similar between trials (EMPEROR-Reduced: diuretic - 95%, beta-blocker - 95%, MRA - 71%; DAPA-HF: diuretic - 93%, beta-blocker - 96%, MRA - 71%), but use of other HF medicines varied between trials (EMPEROR-Reduced: ACEi - 46%, ARB - 28%, ARNi - 19%; DAPA-HF: ACEi - 56%, ARB - 24%, ARNi - 11%). </w:t>
      </w:r>
    </w:p>
    <w:p w14:paraId="284B6443" w14:textId="77777777" w:rsidR="007F1017" w:rsidRPr="00D4500E" w:rsidRDefault="00232EEF" w:rsidP="0012228C">
      <w:pPr>
        <w:pStyle w:val="ExecSumBodyText"/>
      </w:pPr>
      <w:r w:rsidRPr="00D14896">
        <w:t xml:space="preserve">There were </w:t>
      </w:r>
      <w:r w:rsidR="00135BFA" w:rsidRPr="00565789">
        <w:t>some</w:t>
      </w:r>
      <w:r w:rsidR="00135BFA" w:rsidRPr="00D14896">
        <w:t xml:space="preserve"> </w:t>
      </w:r>
      <w:r w:rsidRPr="00D14896">
        <w:t xml:space="preserve">differences between trials in eligibility criteria (NT-proBNP, minimum eGFR), as well as baseline patient characteristics (geographical region, NYHA Class, median NT-proBNP, mean LVEF, </w:t>
      </w:r>
      <w:r w:rsidR="00F62463" w:rsidRPr="00D14896">
        <w:t>type 2 diabetes</w:t>
      </w:r>
      <w:r w:rsidRPr="00D14896">
        <w:t>) and use of</w:t>
      </w:r>
      <w:r w:rsidR="00B04881" w:rsidRPr="00D14896">
        <w:t xml:space="preserve"> </w:t>
      </w:r>
      <w:r w:rsidRPr="00D14896">
        <w:t>HF medications in standard care (</w:t>
      </w:r>
      <w:r w:rsidR="00135BFA" w:rsidRPr="00565789">
        <w:t xml:space="preserve">proportion of </w:t>
      </w:r>
      <w:r w:rsidRPr="00D14896">
        <w:t>ACEi</w:t>
      </w:r>
      <w:r w:rsidR="00135BFA">
        <w:t>/</w:t>
      </w:r>
      <w:r w:rsidRPr="00D14896">
        <w:t>ARB</w:t>
      </w:r>
      <w:r w:rsidR="00135BFA">
        <w:t xml:space="preserve"> vs</w:t>
      </w:r>
      <w:r w:rsidRPr="00D14896">
        <w:t xml:space="preserve"> ARNi).</w:t>
      </w:r>
      <w:r w:rsidR="00135BFA">
        <w:t xml:space="preserve"> </w:t>
      </w:r>
      <w:r w:rsidR="00135BFA" w:rsidRPr="00565789">
        <w:t>The ESC</w:t>
      </w:r>
      <w:r w:rsidR="005D4F5E" w:rsidRPr="00565789">
        <w:t xml:space="preserve"> again</w:t>
      </w:r>
      <w:r w:rsidR="00135BFA" w:rsidRPr="00565789">
        <w:t xml:space="preserve"> noted that these </w:t>
      </w:r>
      <w:r w:rsidR="008A0180">
        <w:t xml:space="preserve">differences </w:t>
      </w:r>
      <w:r w:rsidR="00135BFA" w:rsidRPr="00565789">
        <w:t xml:space="preserve">were </w:t>
      </w:r>
      <w:r w:rsidR="008A0180">
        <w:t xml:space="preserve">likely </w:t>
      </w:r>
      <w:r w:rsidR="00135BFA" w:rsidRPr="00565789">
        <w:t>bidirectional.</w:t>
      </w:r>
    </w:p>
    <w:p w14:paraId="6F5217F5" w14:textId="77777777" w:rsidR="00D4500E" w:rsidRPr="008F70B4" w:rsidRDefault="00D4500E" w:rsidP="0012228C">
      <w:pPr>
        <w:pStyle w:val="ExecSumBodyText"/>
      </w:pPr>
      <w:r w:rsidRPr="00565789">
        <w:t xml:space="preserve">The </w:t>
      </w:r>
      <w:r w:rsidR="00756F31" w:rsidRPr="00565789">
        <w:t>P</w:t>
      </w:r>
      <w:r w:rsidR="005D4F5E" w:rsidRPr="00565789">
        <w:t xml:space="preserve">SCR argued that the differences mentioned above were minor, and were unlikely to have had a meaningful impact on the key efficacy outcomes, as illustrated by </w:t>
      </w:r>
      <w:r w:rsidR="00E603CB" w:rsidRPr="00565789">
        <w:t>comparable</w:t>
      </w:r>
      <w:r w:rsidR="005D4F5E" w:rsidRPr="00565789">
        <w:t xml:space="preserve"> HRs and the absence of statistical heterogeneity</w:t>
      </w:r>
      <w:r w:rsidR="00945316" w:rsidRPr="00565789">
        <w:t xml:space="preserve"> (shown in Zannad</w:t>
      </w:r>
      <w:r w:rsidR="00BE094C">
        <w:t xml:space="preserve"> et al.</w:t>
      </w:r>
      <w:r w:rsidR="00945316" w:rsidRPr="00565789">
        <w:t>, 2020)</w:t>
      </w:r>
      <w:r w:rsidR="00E603CB" w:rsidRPr="00565789">
        <w:t>,</w:t>
      </w:r>
      <w:r w:rsidR="005D4F5E" w:rsidRPr="00565789">
        <w:t xml:space="preserve"> </w:t>
      </w:r>
      <w:r w:rsidR="00E603CB" w:rsidRPr="00565789">
        <w:t>for the similar primary composite outcomes of the two</w:t>
      </w:r>
      <w:r w:rsidR="005D4F5E" w:rsidRPr="00565789">
        <w:t xml:space="preserve"> trials.</w:t>
      </w:r>
    </w:p>
    <w:p w14:paraId="3B6E05FE" w14:textId="77777777" w:rsidR="008F70B4" w:rsidRDefault="008F70B4" w:rsidP="0012228C">
      <w:pPr>
        <w:pStyle w:val="ExecSumBodyText"/>
      </w:pPr>
      <w:r>
        <w:t>The submission noted that there is no generally accepted level of clinically important difference for the primary composite outcome of time to the first event of adjudicated cardiovascular death or hos</w:t>
      </w:r>
      <w:r w:rsidR="0077043A">
        <w:t xml:space="preserve">pitalisation for heart failure, but </w:t>
      </w:r>
      <w:r>
        <w:t>noted that in the March</w:t>
      </w:r>
      <w:r w:rsidR="00F96DD4">
        <w:t> </w:t>
      </w:r>
      <w:r>
        <w:t xml:space="preserve">2016 consideration of sacubitril/valsartan for the treatment of chronic HFrEF, the PBAC accepted a clinical claim of superior </w:t>
      </w:r>
      <w:r w:rsidR="001A0800" w:rsidRPr="00945316">
        <w:t>effectiveness</w:t>
      </w:r>
      <w:r w:rsidR="001A0800">
        <w:t xml:space="preserve"> </w:t>
      </w:r>
      <w:r>
        <w:t>compared to enalapril, based on a hazard rat</w:t>
      </w:r>
      <w:r w:rsidR="0077043A">
        <w:t xml:space="preserve">io of 0.80 (95% CI: 0.73, 0.87; </w:t>
      </w:r>
      <w:r w:rsidR="00F96DD4">
        <w:t>s</w:t>
      </w:r>
      <w:r>
        <w:t>acubitril/valsartan</w:t>
      </w:r>
      <w:r w:rsidR="00F96DD4">
        <w:t>,</w:t>
      </w:r>
      <w:r>
        <w:t xml:space="preserve"> PSD, March 2016 PBAC meeting). </w:t>
      </w:r>
      <w:r w:rsidR="00F96DD4" w:rsidRPr="00565789">
        <w:rPr>
          <w:iCs/>
        </w:rPr>
        <w:t xml:space="preserve">The PBAC </w:t>
      </w:r>
      <w:r w:rsidR="002F5B32" w:rsidRPr="00565789">
        <w:rPr>
          <w:iCs/>
        </w:rPr>
        <w:t xml:space="preserve">had </w:t>
      </w:r>
      <w:r w:rsidR="00F96DD4" w:rsidRPr="00565789">
        <w:rPr>
          <w:iCs/>
        </w:rPr>
        <w:t>considered that that size of the benefit was uncertain due to issues with study design and early stopping of PARADIGM-HF (para 7.7, sacubitril/valsartan, PSD, March 2016 PBAC meeting)</w:t>
      </w:r>
      <w:r w:rsidR="002F5B32" w:rsidRPr="00565789">
        <w:rPr>
          <w:iCs/>
        </w:rPr>
        <w:t>.</w:t>
      </w:r>
    </w:p>
    <w:p w14:paraId="06E8C202" w14:textId="77777777" w:rsidR="00E01536" w:rsidRDefault="008745EF" w:rsidP="0012228C">
      <w:pPr>
        <w:pStyle w:val="ExecSumBodyText"/>
      </w:pPr>
      <w:r>
        <w:t xml:space="preserve">For the </w:t>
      </w:r>
      <w:r w:rsidR="005421CF">
        <w:t xml:space="preserve">indirect treatment </w:t>
      </w:r>
      <w:r>
        <w:t>comparison with dapagliflozin, t</w:t>
      </w:r>
      <w:r w:rsidR="00E01536" w:rsidRPr="0021171D">
        <w:t xml:space="preserve">he submission </w:t>
      </w:r>
      <w:r w:rsidR="00E01536">
        <w:t>nominated a</w:t>
      </w:r>
      <w:r w:rsidR="00E01536" w:rsidRPr="0021171D">
        <w:t xml:space="preserve"> </w:t>
      </w:r>
      <w:r w:rsidR="002B614B">
        <w:t>noninferior</w:t>
      </w:r>
      <w:r w:rsidR="00E01536">
        <w:t>ity margin (NIM)</w:t>
      </w:r>
      <w:r w:rsidR="00E01536" w:rsidRPr="0021171D">
        <w:t xml:space="preserve"> of 1.3, </w:t>
      </w:r>
      <w:r w:rsidR="00E01536">
        <w:t>derived from</w:t>
      </w:r>
      <w:r w:rsidR="00E01536" w:rsidRPr="0021171D">
        <w:t xml:space="preserve"> </w:t>
      </w:r>
      <w:r w:rsidR="0001433E" w:rsidRPr="00565789">
        <w:rPr>
          <w:iCs/>
        </w:rPr>
        <w:t>an</w:t>
      </w:r>
      <w:r w:rsidR="0001433E">
        <w:t xml:space="preserve"> </w:t>
      </w:r>
      <w:r w:rsidR="0001433E" w:rsidRPr="0001433E">
        <w:rPr>
          <w:i/>
          <w:iCs/>
        </w:rPr>
        <w:t>FDA</w:t>
      </w:r>
      <w:r w:rsidR="0001433E">
        <w:rPr>
          <w:i/>
          <w:iCs/>
        </w:rPr>
        <w:t xml:space="preserve"> expert committee </w:t>
      </w:r>
      <w:r w:rsidR="00F07F04">
        <w:rPr>
          <w:i/>
          <w:iCs/>
        </w:rPr>
        <w:t>advice used to inform</w:t>
      </w:r>
      <w:r w:rsidR="0001433E">
        <w:rPr>
          <w:i/>
          <w:iCs/>
        </w:rPr>
        <w:t xml:space="preserve"> Draft</w:t>
      </w:r>
      <w:r w:rsidR="00E01536" w:rsidRPr="0021171D">
        <w:t xml:space="preserve"> </w:t>
      </w:r>
      <w:r w:rsidR="00E01536" w:rsidRPr="00F17F0D">
        <w:rPr>
          <w:i/>
          <w:iCs/>
        </w:rPr>
        <w:t>Guidance for Industry: Diabetes mellitus</w:t>
      </w:r>
      <w:r w:rsidR="00E01536">
        <w:t xml:space="preserve"> (FDA, 2018; FDA 2018b), </w:t>
      </w:r>
      <w:r w:rsidR="00E01536" w:rsidRPr="0021171D">
        <w:t>for the composite outcome of major adverse cardiovascular events (MACE)</w:t>
      </w:r>
      <w:r w:rsidR="00E01536">
        <w:t>,</w:t>
      </w:r>
      <w:r w:rsidR="00E01536" w:rsidRPr="0021171D">
        <w:t xml:space="preserve"> </w:t>
      </w:r>
      <w:r w:rsidR="00E01536">
        <w:t>including</w:t>
      </w:r>
      <w:r w:rsidR="00E01536" w:rsidRPr="0021171D">
        <w:t xml:space="preserve"> </w:t>
      </w:r>
      <w:r w:rsidR="00E01536">
        <w:t xml:space="preserve">cardiovascular death, </w:t>
      </w:r>
      <w:r w:rsidR="00E01536" w:rsidRPr="0021171D">
        <w:t>myocardial infarction, stroke, and</w:t>
      </w:r>
      <w:r w:rsidR="00B04881">
        <w:t xml:space="preserve"> </w:t>
      </w:r>
      <w:r w:rsidR="00E01536" w:rsidRPr="0021171D">
        <w:t>hospitalisa</w:t>
      </w:r>
      <w:r w:rsidR="00E01536">
        <w:t>tion for acute coronary syndrome</w:t>
      </w:r>
      <w:r w:rsidR="00E01536" w:rsidRPr="0021171D">
        <w:t>.</w:t>
      </w:r>
      <w:r w:rsidR="00E01536">
        <w:t xml:space="preserve"> </w:t>
      </w:r>
      <w:r w:rsidR="00E01536" w:rsidRPr="00D14896">
        <w:t xml:space="preserve">The FDA </w:t>
      </w:r>
      <w:r w:rsidR="00F07F04" w:rsidRPr="00565789">
        <w:rPr>
          <w:iCs/>
        </w:rPr>
        <w:t>committee</w:t>
      </w:r>
      <w:r w:rsidR="00F07F04">
        <w:t xml:space="preserve"> </w:t>
      </w:r>
      <w:r w:rsidR="00E01536" w:rsidRPr="00D14896">
        <w:t xml:space="preserve">guidance related to testing new medicines for the treatment of diabetes for increased cardiovascular risk, and </w:t>
      </w:r>
      <w:r w:rsidR="00BF51D5">
        <w:t xml:space="preserve">the evaluation raised that this </w:t>
      </w:r>
      <w:r w:rsidR="00E01536" w:rsidRPr="00D14896">
        <w:t>may not be directly applicable to HFrEF and the key composite outcome of time to first cardiovascular death or hospitalisation for heart failure (HF).</w:t>
      </w:r>
    </w:p>
    <w:p w14:paraId="2A678D50" w14:textId="77777777" w:rsidR="00982DB6" w:rsidRDefault="0013038F" w:rsidP="0012228C">
      <w:pPr>
        <w:pStyle w:val="ExecSumBodyText"/>
      </w:pPr>
      <w:r>
        <w:t>It was noted that i</w:t>
      </w:r>
      <w:r w:rsidR="00BF51D5">
        <w:t>n the November 2020 consideration of dapagliflozin for the treatment of HFrEF, t</w:t>
      </w:r>
      <w:r w:rsidR="00E01536">
        <w:t>he</w:t>
      </w:r>
      <w:r w:rsidR="00982DB6">
        <w:t xml:space="preserve"> </w:t>
      </w:r>
      <w:r w:rsidR="00DF6D9D" w:rsidRPr="00565789">
        <w:rPr>
          <w:iCs/>
        </w:rPr>
        <w:t>ESC</w:t>
      </w:r>
      <w:r w:rsidR="00DF6D9D">
        <w:t xml:space="preserve"> </w:t>
      </w:r>
      <w:r w:rsidR="00DF6D9D" w:rsidRPr="00565789">
        <w:rPr>
          <w:iCs/>
        </w:rPr>
        <w:t>considered that</w:t>
      </w:r>
      <w:r w:rsidR="00DF6D9D">
        <w:t xml:space="preserve"> </w:t>
      </w:r>
      <w:r w:rsidR="00982DB6">
        <w:t xml:space="preserve">a NIM of 1.104 </w:t>
      </w:r>
      <w:r w:rsidR="00DF6D9D" w:rsidRPr="00565789">
        <w:rPr>
          <w:iCs/>
        </w:rPr>
        <w:t>was reasonable</w:t>
      </w:r>
      <w:r w:rsidR="00DF6D9D">
        <w:t xml:space="preserve"> </w:t>
      </w:r>
      <w:r w:rsidR="00982DB6">
        <w:t>for the composite outcome of time to cardiovascular death or hospitalisation for heart failure,</w:t>
      </w:r>
      <w:r w:rsidR="0018620B">
        <w:t xml:space="preserve"> in the indirect treatment comparison of </w:t>
      </w:r>
      <w:r w:rsidR="005323EE">
        <w:t>dapagliflozin</w:t>
      </w:r>
      <w:r w:rsidR="0018620B">
        <w:t xml:space="preserve"> and </w:t>
      </w:r>
      <w:r w:rsidR="005323EE">
        <w:t>sacubitril</w:t>
      </w:r>
      <w:r w:rsidR="0018620B">
        <w:t>/</w:t>
      </w:r>
      <w:r w:rsidR="005323EE">
        <w:t>valsartan</w:t>
      </w:r>
      <w:r w:rsidR="00982DB6">
        <w:t xml:space="preserve"> (para 6.13, </w:t>
      </w:r>
      <w:r w:rsidR="00F17F0D">
        <w:t>d</w:t>
      </w:r>
      <w:r w:rsidR="00982DB6">
        <w:t xml:space="preserve">apagliflozin PSD, November 2020 PBAC meeting). </w:t>
      </w:r>
      <w:r w:rsidR="008B7425">
        <w:t>This was derived from the ATMOSPHERE trial (Krum et al, 2011; McMurray, 2016), comparing aliskiren monotherapy to enalapril monotherapy in patients with HFrEF, and was based on the 95-95 method with 50% preservation of the effect of placebo against enalapril</w:t>
      </w:r>
      <w:r w:rsidR="00B04881">
        <w:t xml:space="preserve"> </w:t>
      </w:r>
      <w:r w:rsidR="0095523C">
        <w:t>in the SOLVD-Treatment trial</w:t>
      </w:r>
      <w:r w:rsidR="008B7425">
        <w:t xml:space="preserve"> </w:t>
      </w:r>
      <w:r w:rsidR="0095523C">
        <w:t>(</w:t>
      </w:r>
      <w:r w:rsidR="008B7425">
        <w:t>1991).</w:t>
      </w:r>
      <w:r w:rsidR="00F07F04">
        <w:t xml:space="preserve"> </w:t>
      </w:r>
    </w:p>
    <w:p w14:paraId="61A4ED95" w14:textId="77777777" w:rsidR="00982DB6" w:rsidRPr="00E93071" w:rsidRDefault="00982DB6" w:rsidP="0012228C">
      <w:pPr>
        <w:pStyle w:val="ExecSumBodyText"/>
      </w:pPr>
      <w:bookmarkStart w:id="20" w:name="_Ref87280024"/>
      <w:r>
        <w:t>The submission</w:t>
      </w:r>
      <w:r w:rsidR="00F53D59">
        <w:t xml:space="preserve"> </w:t>
      </w:r>
      <w:r w:rsidR="00F53D59" w:rsidRPr="00565789">
        <w:rPr>
          <w:iCs/>
        </w:rPr>
        <w:t>and the PSCR</w:t>
      </w:r>
      <w:r>
        <w:t xml:space="preserve"> argued that the NIM of 1.104 was not applicable to the </w:t>
      </w:r>
      <w:r w:rsidR="00F07F04">
        <w:t>ITC</w:t>
      </w:r>
      <w:r>
        <w:t xml:space="preserve"> of empagliflozin and dapagliflozin</w:t>
      </w:r>
      <w:r w:rsidR="008B7425">
        <w:t>,</w:t>
      </w:r>
      <w:r>
        <w:t xml:space="preserve"> </w:t>
      </w:r>
      <w:r w:rsidR="0095523C">
        <w:t>as</w:t>
      </w:r>
      <w:r w:rsidR="008B7425">
        <w:t xml:space="preserve"> it </w:t>
      </w:r>
      <w:r>
        <w:t xml:space="preserve">was derived from a head-to-head comparison using the 95-95 method with 50% preservation of the </w:t>
      </w:r>
      <w:r w:rsidR="008B7425">
        <w:t xml:space="preserve">comparative </w:t>
      </w:r>
      <w:r>
        <w:t>effect of placebo</w:t>
      </w:r>
      <w:r w:rsidR="008B7425">
        <w:t>,</w:t>
      </w:r>
      <w:r>
        <w:t xml:space="preserve"> </w:t>
      </w:r>
      <w:r w:rsidR="008B7425">
        <w:t>and was</w:t>
      </w:r>
      <w:r>
        <w:t xml:space="preserve"> unsuitable for </w:t>
      </w:r>
      <w:r w:rsidR="00F07F04">
        <w:t>ITCs</w:t>
      </w:r>
      <w:r w:rsidR="008B7425">
        <w:t xml:space="preserve"> with wider confidence intervals</w:t>
      </w:r>
      <w:r w:rsidR="0095523C">
        <w:t xml:space="preserve">. The submission </w:t>
      </w:r>
      <w:r w:rsidR="00F53D59" w:rsidRPr="00565789">
        <w:rPr>
          <w:iCs/>
        </w:rPr>
        <w:t xml:space="preserve">and the PSCR </w:t>
      </w:r>
      <w:r w:rsidR="0095523C">
        <w:t>also noted that</w:t>
      </w:r>
      <w:r w:rsidR="008B7425">
        <w:t xml:space="preserve"> t</w:t>
      </w:r>
      <w:r>
        <w:t xml:space="preserve">he SOLVD-Treatment trial </w:t>
      </w:r>
      <w:r w:rsidR="008B7425">
        <w:t>population was not applicable to the eligible population</w:t>
      </w:r>
      <w:r>
        <w:t xml:space="preserve"> </w:t>
      </w:r>
      <w:r w:rsidR="008B7425">
        <w:t>(</w:t>
      </w:r>
      <w:r>
        <w:t>LVEF of</w:t>
      </w:r>
      <w:r w:rsidR="00B04881">
        <w:t xml:space="preserve"> </w:t>
      </w:r>
      <w:r>
        <w:t>≤35%, included patients with NYHA Class I heart failure</w:t>
      </w:r>
      <w:r w:rsidR="008B7425">
        <w:t>)</w:t>
      </w:r>
      <w:r w:rsidR="0095523C">
        <w:t xml:space="preserve">, and that </w:t>
      </w:r>
      <w:r w:rsidR="008B7425">
        <w:t xml:space="preserve">standard care has evolved substantially since the 1991 </w:t>
      </w:r>
      <w:r w:rsidR="0095523C">
        <w:t>SOLVD-Treatment trial.</w:t>
      </w:r>
      <w:r w:rsidR="00135BFA" w:rsidRPr="00135BFA">
        <w:t xml:space="preserve"> </w:t>
      </w:r>
      <w:r w:rsidR="00F53D59" w:rsidRPr="00565789">
        <w:rPr>
          <w:iCs/>
        </w:rPr>
        <w:t xml:space="preserve">The PSCR also noted that an expert advisory board of 13 cardiologists had considered that a NIM of 1.104 would be inappropriate in the context of this ITC. </w:t>
      </w:r>
      <w:r w:rsidR="000B73CD" w:rsidRPr="00565789">
        <w:rPr>
          <w:iCs/>
        </w:rPr>
        <w:t xml:space="preserve">The ESC agreed with the PSCR that the SOLVD-Treatment trial </w:t>
      </w:r>
      <w:r w:rsidR="005D31A8" w:rsidRPr="00565789">
        <w:rPr>
          <w:iCs/>
        </w:rPr>
        <w:t>had applicability issues</w:t>
      </w:r>
      <w:r w:rsidR="000B73CD" w:rsidRPr="00565789">
        <w:rPr>
          <w:iCs/>
        </w:rPr>
        <w:t>.</w:t>
      </w:r>
      <w:r w:rsidR="00053CBF" w:rsidRPr="00565789">
        <w:rPr>
          <w:iCs/>
        </w:rPr>
        <w:t xml:space="preserve"> </w:t>
      </w:r>
      <w:r w:rsidR="005D31A8" w:rsidRPr="00565789">
        <w:rPr>
          <w:iCs/>
        </w:rPr>
        <w:t>The ESC noted the EMA guideline on the choice of NIM (p10)</w:t>
      </w:r>
      <w:r w:rsidR="005D31A8" w:rsidRPr="00565789">
        <w:rPr>
          <w:rStyle w:val="FootnoteReference"/>
          <w:iCs/>
        </w:rPr>
        <w:footnoteReference w:id="1"/>
      </w:r>
      <w:r w:rsidR="005D31A8" w:rsidRPr="00565789">
        <w:rPr>
          <w:iCs/>
        </w:rPr>
        <w:t xml:space="preserve"> states that “</w:t>
      </w:r>
      <w:r w:rsidR="005D31A8">
        <w:t xml:space="preserve">selection of the non-inferiority margin is based upon a combination of statistical reasoning and clinical judgement” </w:t>
      </w:r>
      <w:r w:rsidR="005D31A8" w:rsidRPr="00565789">
        <w:rPr>
          <w:iCs/>
        </w:rPr>
        <w:t xml:space="preserve">and it considered that cardiologists would likely agree that no difference in clinical effectiveness would be expected between </w:t>
      </w:r>
      <w:r w:rsidR="00211A46" w:rsidRPr="00565789">
        <w:rPr>
          <w:iCs/>
        </w:rPr>
        <w:t>empagliflozin</w:t>
      </w:r>
      <w:r w:rsidR="005D31A8" w:rsidRPr="00565789">
        <w:rPr>
          <w:iCs/>
        </w:rPr>
        <w:t xml:space="preserve"> </w:t>
      </w:r>
      <w:r w:rsidR="00211A46" w:rsidRPr="00565789">
        <w:rPr>
          <w:iCs/>
        </w:rPr>
        <w:t>and dapagliflozin</w:t>
      </w:r>
      <w:r w:rsidR="005D31A8" w:rsidRPr="00565789">
        <w:rPr>
          <w:iCs/>
        </w:rPr>
        <w:t xml:space="preserve"> given the results of the respective trials in HFrEF, even if proving noninferiority in an ITC was challenging. </w:t>
      </w:r>
      <w:r w:rsidR="00053CBF" w:rsidRPr="00565789">
        <w:rPr>
          <w:iCs/>
        </w:rPr>
        <w:t xml:space="preserve">The ESC advised that </w:t>
      </w:r>
      <w:bookmarkStart w:id="21" w:name="_Hlk87435339"/>
      <w:r w:rsidR="00545D4D" w:rsidRPr="00565789">
        <w:rPr>
          <w:iCs/>
        </w:rPr>
        <w:t xml:space="preserve">there </w:t>
      </w:r>
      <w:r w:rsidR="00983E2A" w:rsidRPr="00565789">
        <w:rPr>
          <w:iCs/>
        </w:rPr>
        <w:t xml:space="preserve">appears to be </w:t>
      </w:r>
      <w:r w:rsidR="00BE5523" w:rsidRPr="00565789">
        <w:rPr>
          <w:iCs/>
        </w:rPr>
        <w:t xml:space="preserve">broad </w:t>
      </w:r>
      <w:r w:rsidR="00545D4D" w:rsidRPr="00565789">
        <w:rPr>
          <w:iCs/>
        </w:rPr>
        <w:t>consensus that the benefits for the SGLT2 inhibitors in HFrEF are a class effect, and this is reflected in clinical guidelines and practice.</w:t>
      </w:r>
      <w:r w:rsidR="000B73CD" w:rsidRPr="00565789">
        <w:rPr>
          <w:iCs/>
        </w:rPr>
        <w:t xml:space="preserve"> </w:t>
      </w:r>
      <w:r w:rsidR="005D31A8" w:rsidRPr="00565789">
        <w:rPr>
          <w:iCs/>
        </w:rPr>
        <w:t>As</w:t>
      </w:r>
      <w:r w:rsidR="00545D4D" w:rsidRPr="00565789">
        <w:rPr>
          <w:iCs/>
        </w:rPr>
        <w:t xml:space="preserve"> such,</w:t>
      </w:r>
      <w:r w:rsidR="000B73CD" w:rsidRPr="00565789">
        <w:rPr>
          <w:iCs/>
        </w:rPr>
        <w:t xml:space="preserve"> less importance should be placed on either of the NIMs, neither of which are specific to the population being assessed</w:t>
      </w:r>
      <w:bookmarkEnd w:id="21"/>
      <w:r w:rsidR="000B73CD" w:rsidRPr="00565789">
        <w:rPr>
          <w:iCs/>
        </w:rPr>
        <w:t xml:space="preserve">. The ESC </w:t>
      </w:r>
      <w:r w:rsidR="005D31A8" w:rsidRPr="00565789">
        <w:rPr>
          <w:iCs/>
        </w:rPr>
        <w:t xml:space="preserve">also </w:t>
      </w:r>
      <w:r w:rsidR="000B73CD" w:rsidRPr="00565789">
        <w:rPr>
          <w:iCs/>
        </w:rPr>
        <w:t xml:space="preserve">noted that </w:t>
      </w:r>
      <w:r w:rsidR="00053CBF" w:rsidRPr="00565789">
        <w:rPr>
          <w:iCs/>
        </w:rPr>
        <w:t>the NIMs would increase the risk by between 10–30%</w:t>
      </w:r>
      <w:r w:rsidR="00545D4D" w:rsidRPr="00565789">
        <w:rPr>
          <w:iCs/>
        </w:rPr>
        <w:t>,</w:t>
      </w:r>
      <w:r w:rsidR="00053CBF" w:rsidRPr="00565789">
        <w:rPr>
          <w:iCs/>
        </w:rPr>
        <w:t xml:space="preserve"> and </w:t>
      </w:r>
      <w:r w:rsidR="00545D4D" w:rsidRPr="00565789">
        <w:rPr>
          <w:iCs/>
        </w:rPr>
        <w:t xml:space="preserve">that </w:t>
      </w:r>
      <w:r w:rsidR="00053CBF" w:rsidRPr="00565789">
        <w:rPr>
          <w:iCs/>
        </w:rPr>
        <w:t xml:space="preserve">given the HRs in </w:t>
      </w:r>
      <w:r w:rsidR="00915190" w:rsidRPr="00915190">
        <w:rPr>
          <w:iCs/>
        </w:rPr>
        <w:t>Table 7</w:t>
      </w:r>
      <w:r w:rsidR="00211A46" w:rsidRPr="00565789">
        <w:rPr>
          <w:iCs/>
        </w:rPr>
        <w:t xml:space="preserve"> </w:t>
      </w:r>
      <w:r w:rsidR="00053CBF" w:rsidRPr="00565789">
        <w:rPr>
          <w:iCs/>
        </w:rPr>
        <w:t xml:space="preserve">(below), this would not necessarily be </w:t>
      </w:r>
      <w:r w:rsidR="00053CBF" w:rsidRPr="00E93071">
        <w:rPr>
          <w:iCs/>
        </w:rPr>
        <w:t>considered a significant clinical difference.</w:t>
      </w:r>
      <w:bookmarkEnd w:id="20"/>
      <w:r w:rsidR="00053CBF" w:rsidRPr="00E93071">
        <w:rPr>
          <w:iCs/>
        </w:rPr>
        <w:t xml:space="preserve"> </w:t>
      </w:r>
    </w:p>
    <w:p w14:paraId="0F3B5DD3" w14:textId="77777777" w:rsidR="00B60939" w:rsidRPr="00E93071" w:rsidRDefault="00B60939" w:rsidP="00EC5836">
      <w:pPr>
        <w:pStyle w:val="3-SubsectionHeading"/>
      </w:pPr>
      <w:bookmarkStart w:id="22" w:name="_Toc22897641"/>
      <w:bookmarkStart w:id="23" w:name="_Toc82553837"/>
      <w:r w:rsidRPr="00E93071">
        <w:t>Comparative effectiveness</w:t>
      </w:r>
      <w:bookmarkEnd w:id="22"/>
      <w:bookmarkEnd w:id="23"/>
    </w:p>
    <w:p w14:paraId="738B2252" w14:textId="77777777" w:rsidR="002C2775" w:rsidRPr="001A0800" w:rsidRDefault="00696773" w:rsidP="0012228C">
      <w:pPr>
        <w:pStyle w:val="ExecSumBodyText"/>
        <w:rPr>
          <w:color w:val="0066FF"/>
        </w:rPr>
      </w:pPr>
      <w:r w:rsidRPr="00E93071">
        <w:t>The table below summarises the results of the primary composite outcome (time to first cardiovascular death or hospitalisation for</w:t>
      </w:r>
      <w:r>
        <w:t xml:space="preserve"> heart failure) of the EMPEROR-Reduced trial</w:t>
      </w:r>
      <w:r w:rsidR="00A2704F">
        <w:t xml:space="preserve"> for empagliflozin plus SC compared to placebo plus SC</w:t>
      </w:r>
      <w:r>
        <w:t xml:space="preserve">. </w:t>
      </w:r>
    </w:p>
    <w:p w14:paraId="3BB0863F" w14:textId="77777777" w:rsidR="00696773" w:rsidRPr="00915F45" w:rsidRDefault="00B974B3" w:rsidP="003B10F4">
      <w:pPr>
        <w:pStyle w:val="TableFigureCaption"/>
      </w:pPr>
      <w:r>
        <w:t xml:space="preserve">Table </w:t>
      </w:r>
      <w:r w:rsidR="00915190">
        <w:rPr>
          <w:noProof/>
        </w:rPr>
        <w:t>4</w:t>
      </w:r>
      <w:r w:rsidR="00696773" w:rsidRPr="00915F45">
        <w:t xml:space="preserve">: Results for the primary </w:t>
      </w:r>
      <w:r w:rsidR="00696773">
        <w:t xml:space="preserve">composite </w:t>
      </w:r>
      <w:r w:rsidR="00696773" w:rsidRPr="00915F45">
        <w:t xml:space="preserve">outcome </w:t>
      </w:r>
      <w:r w:rsidR="00696773">
        <w:t xml:space="preserve">of time to first cardiovascular death or hospitalisation for HF (adjudicated) </w:t>
      </w:r>
      <w:r w:rsidR="00696773" w:rsidRPr="00915F45">
        <w:t xml:space="preserve">from the </w:t>
      </w:r>
      <w:r w:rsidR="00696773">
        <w:t>EMPEROR-Reduced</w:t>
      </w:r>
      <w:r w:rsidR="00696773" w:rsidRPr="00915F45">
        <w:t xml:space="preserve"> trial (ITT</w:t>
      </w:r>
      <w:r w:rsidR="00696773">
        <w:t xml:space="preserve">; </w:t>
      </w:r>
      <w:r w:rsidR="0002717B">
        <w:t>pre-specified</w:t>
      </w:r>
      <w:r w:rsidR="00696773">
        <w:t xml:space="preserve"> </w:t>
      </w:r>
      <w:r w:rsidR="00696773" w:rsidRPr="00696773">
        <w:t>hierarchical testing sequence</w:t>
      </w:r>
      <w:r w:rsidR="00696773" w:rsidRPr="00915F45">
        <w:t>)</w:t>
      </w:r>
    </w:p>
    <w:tbl>
      <w:tblPr>
        <w:tblStyle w:val="TableGrid"/>
        <w:tblW w:w="5000" w:type="pct"/>
        <w:tblLook w:val="04A0" w:firstRow="1" w:lastRow="0" w:firstColumn="1" w:lastColumn="0" w:noHBand="0" w:noVBand="1"/>
        <w:tblCaption w:val="Table 4: Results for the primary composite outcome of time to first cardiovascular death or hospitalisation for HF (adjudicated) from the EMPEROR-Reduced trial (ITT; pre-specified hierarchical testing sequence)"/>
      </w:tblPr>
      <w:tblGrid>
        <w:gridCol w:w="4106"/>
        <w:gridCol w:w="1637"/>
        <w:gridCol w:w="1637"/>
        <w:gridCol w:w="1637"/>
      </w:tblGrid>
      <w:tr w:rsidR="00696773" w:rsidRPr="00AF625C" w14:paraId="0B27E7C4" w14:textId="77777777" w:rsidTr="00A2704F">
        <w:trPr>
          <w:tblHeader/>
        </w:trPr>
        <w:tc>
          <w:tcPr>
            <w:tcW w:w="4106" w:type="dxa"/>
            <w:vAlign w:val="center"/>
          </w:tcPr>
          <w:p w14:paraId="7E1AEC6F" w14:textId="77777777" w:rsidR="00696773" w:rsidRPr="00AF625C" w:rsidRDefault="00696773" w:rsidP="00A2704F">
            <w:pPr>
              <w:tabs>
                <w:tab w:val="left" w:pos="164"/>
              </w:tabs>
              <w:ind w:right="-55"/>
              <w:rPr>
                <w:rFonts w:ascii="Arial Narrow" w:hAnsi="Arial Narrow"/>
                <w:sz w:val="20"/>
                <w:szCs w:val="20"/>
              </w:rPr>
            </w:pPr>
            <w:r w:rsidRPr="00AF625C">
              <w:rPr>
                <w:rFonts w:ascii="Arial Narrow" w:hAnsi="Arial Narrow"/>
                <w:b/>
                <w:bCs/>
                <w:sz w:val="20"/>
                <w:szCs w:val="20"/>
              </w:rPr>
              <w:t>Outcome</w:t>
            </w:r>
          </w:p>
        </w:tc>
        <w:tc>
          <w:tcPr>
            <w:tcW w:w="1637" w:type="dxa"/>
          </w:tcPr>
          <w:p w14:paraId="69ED5E73" w14:textId="77777777" w:rsidR="00696773" w:rsidRPr="00AF625C" w:rsidRDefault="00696773" w:rsidP="00A2704F">
            <w:pPr>
              <w:pStyle w:val="TableText"/>
              <w:ind w:left="-71" w:right="-62"/>
              <w:jc w:val="center"/>
              <w:rPr>
                <w:b/>
                <w:bCs w:val="0"/>
                <w:szCs w:val="20"/>
              </w:rPr>
            </w:pPr>
            <w:r>
              <w:rPr>
                <w:b/>
                <w:bCs w:val="0"/>
                <w:szCs w:val="20"/>
              </w:rPr>
              <w:t>Empagliflozin</w:t>
            </w:r>
            <w:r w:rsidRPr="00AF625C">
              <w:rPr>
                <w:b/>
                <w:bCs w:val="0"/>
                <w:szCs w:val="20"/>
              </w:rPr>
              <w:t xml:space="preserve"> +</w:t>
            </w:r>
            <w:r>
              <w:rPr>
                <w:b/>
                <w:bCs w:val="0"/>
                <w:szCs w:val="20"/>
              </w:rPr>
              <w:t xml:space="preserve"> S</w:t>
            </w:r>
            <w:r w:rsidRPr="00AF625C">
              <w:rPr>
                <w:b/>
                <w:bCs w:val="0"/>
                <w:szCs w:val="20"/>
              </w:rPr>
              <w:t>C</w:t>
            </w:r>
          </w:p>
          <w:p w14:paraId="524D52FE" w14:textId="77777777" w:rsidR="00696773" w:rsidRPr="00AF625C" w:rsidRDefault="00696773" w:rsidP="00A2704F">
            <w:pPr>
              <w:ind w:left="-71" w:right="-62"/>
              <w:jc w:val="center"/>
              <w:rPr>
                <w:rFonts w:ascii="Arial Narrow" w:hAnsi="Arial Narrow"/>
                <w:sz w:val="20"/>
                <w:szCs w:val="20"/>
              </w:rPr>
            </w:pPr>
            <w:r>
              <w:rPr>
                <w:rFonts w:ascii="Arial Narrow" w:hAnsi="Arial Narrow"/>
                <w:b/>
                <w:bCs/>
                <w:sz w:val="20"/>
                <w:szCs w:val="20"/>
              </w:rPr>
              <w:t>N=1863</w:t>
            </w:r>
          </w:p>
        </w:tc>
        <w:tc>
          <w:tcPr>
            <w:tcW w:w="1637" w:type="dxa"/>
          </w:tcPr>
          <w:p w14:paraId="7B75C5B8" w14:textId="77777777" w:rsidR="00696773" w:rsidRPr="00AF625C" w:rsidRDefault="00696773" w:rsidP="00A2704F">
            <w:pPr>
              <w:ind w:left="-71" w:right="-62"/>
              <w:jc w:val="center"/>
              <w:rPr>
                <w:rFonts w:ascii="Arial Narrow" w:hAnsi="Arial Narrow"/>
                <w:sz w:val="20"/>
                <w:szCs w:val="20"/>
              </w:rPr>
            </w:pPr>
            <w:r>
              <w:rPr>
                <w:rFonts w:ascii="Arial Narrow" w:hAnsi="Arial Narrow"/>
                <w:b/>
                <w:bCs/>
                <w:sz w:val="20"/>
                <w:szCs w:val="20"/>
              </w:rPr>
              <w:t>Placebo + SC</w:t>
            </w:r>
            <w:r>
              <w:rPr>
                <w:rFonts w:ascii="Arial Narrow" w:hAnsi="Arial Narrow"/>
                <w:b/>
                <w:bCs/>
                <w:sz w:val="20"/>
                <w:szCs w:val="20"/>
              </w:rPr>
              <w:br/>
              <w:t>N=1867</w:t>
            </w:r>
          </w:p>
        </w:tc>
        <w:tc>
          <w:tcPr>
            <w:tcW w:w="1637" w:type="dxa"/>
          </w:tcPr>
          <w:p w14:paraId="702F0FD0" w14:textId="77777777" w:rsidR="00696773" w:rsidRPr="00AF625C" w:rsidRDefault="00696773" w:rsidP="00A2704F">
            <w:pPr>
              <w:pStyle w:val="TableText"/>
              <w:ind w:left="-71" w:right="-62"/>
              <w:jc w:val="center"/>
              <w:rPr>
                <w:b/>
                <w:bCs w:val="0"/>
                <w:szCs w:val="20"/>
              </w:rPr>
            </w:pPr>
            <w:r w:rsidRPr="00AF625C">
              <w:rPr>
                <w:b/>
                <w:bCs w:val="0"/>
                <w:szCs w:val="20"/>
              </w:rPr>
              <w:t>Hazard ratio</w:t>
            </w:r>
          </w:p>
          <w:p w14:paraId="587E9506" w14:textId="77777777" w:rsidR="00696773" w:rsidRPr="00B7206A" w:rsidRDefault="00696773" w:rsidP="00A2704F">
            <w:pPr>
              <w:ind w:left="-71" w:right="-62"/>
              <w:jc w:val="center"/>
              <w:rPr>
                <w:rFonts w:ascii="Arial Narrow" w:hAnsi="Arial Narrow"/>
                <w:sz w:val="20"/>
                <w:szCs w:val="20"/>
                <w:vertAlign w:val="superscript"/>
              </w:rPr>
            </w:pPr>
            <w:r w:rsidRPr="00AF625C">
              <w:rPr>
                <w:rFonts w:ascii="Arial Narrow" w:hAnsi="Arial Narrow"/>
                <w:b/>
                <w:bCs/>
                <w:sz w:val="20"/>
                <w:szCs w:val="20"/>
              </w:rPr>
              <w:t>(95% CI)</w:t>
            </w:r>
            <w:r>
              <w:rPr>
                <w:rFonts w:ascii="Arial Narrow" w:hAnsi="Arial Narrow"/>
                <w:b/>
                <w:bCs/>
                <w:sz w:val="20"/>
                <w:szCs w:val="20"/>
                <w:vertAlign w:val="superscript"/>
              </w:rPr>
              <w:t>a</w:t>
            </w:r>
          </w:p>
        </w:tc>
      </w:tr>
      <w:tr w:rsidR="00696773" w:rsidRPr="00AF625C" w14:paraId="24E07837" w14:textId="77777777" w:rsidTr="00A2704F">
        <w:trPr>
          <w:trHeight w:val="101"/>
        </w:trPr>
        <w:tc>
          <w:tcPr>
            <w:tcW w:w="4106" w:type="dxa"/>
            <w:vAlign w:val="center"/>
          </w:tcPr>
          <w:p w14:paraId="14F302DA" w14:textId="77777777" w:rsidR="00696773" w:rsidRPr="00AF625C" w:rsidRDefault="00696773" w:rsidP="00A2704F">
            <w:pPr>
              <w:pStyle w:val="TableText"/>
              <w:tabs>
                <w:tab w:val="left" w:pos="164"/>
              </w:tabs>
              <w:ind w:right="-55"/>
              <w:rPr>
                <w:szCs w:val="20"/>
              </w:rPr>
            </w:pPr>
            <w:r>
              <w:t>C</w:t>
            </w:r>
            <w:r w:rsidRPr="00E577D7">
              <w:t xml:space="preserve">omposite of </w:t>
            </w:r>
            <w:r>
              <w:t xml:space="preserve">time to </w:t>
            </w:r>
            <w:r w:rsidRPr="00E577D7">
              <w:t xml:space="preserve">CV death or </w:t>
            </w:r>
            <w:r>
              <w:t>HH</w:t>
            </w:r>
            <w:r w:rsidRPr="00E577D7">
              <w:t>F</w:t>
            </w:r>
            <w:r>
              <w:rPr>
                <w:vertAlign w:val="superscript"/>
              </w:rPr>
              <w:t>b</w:t>
            </w:r>
            <w:r w:rsidRPr="00E577D7">
              <w:t xml:space="preserve"> n (%)</w:t>
            </w:r>
          </w:p>
        </w:tc>
        <w:tc>
          <w:tcPr>
            <w:tcW w:w="1637" w:type="dxa"/>
            <w:vAlign w:val="center"/>
          </w:tcPr>
          <w:p w14:paraId="49C124F6" w14:textId="77777777" w:rsidR="00696773" w:rsidRPr="00F47AB7" w:rsidRDefault="00696773" w:rsidP="00A2704F">
            <w:pPr>
              <w:ind w:left="-74" w:right="-62"/>
              <w:jc w:val="center"/>
              <w:rPr>
                <w:rFonts w:ascii="Arial Narrow" w:hAnsi="Arial Narrow"/>
                <w:sz w:val="20"/>
                <w:szCs w:val="20"/>
              </w:rPr>
            </w:pPr>
            <w:r w:rsidRPr="00F47AB7">
              <w:rPr>
                <w:rFonts w:ascii="Arial Narrow" w:hAnsi="Arial Narrow"/>
                <w:sz w:val="20"/>
                <w:szCs w:val="20"/>
              </w:rPr>
              <w:t>361 (19.4</w:t>
            </w:r>
            <w:r>
              <w:rPr>
                <w:rFonts w:ascii="Arial Narrow" w:hAnsi="Arial Narrow"/>
                <w:sz w:val="20"/>
                <w:szCs w:val="20"/>
              </w:rPr>
              <w:t>%</w:t>
            </w:r>
            <w:r w:rsidRPr="00F47AB7">
              <w:rPr>
                <w:rFonts w:ascii="Arial Narrow" w:hAnsi="Arial Narrow"/>
                <w:sz w:val="20"/>
                <w:szCs w:val="20"/>
              </w:rPr>
              <w:t>)</w:t>
            </w:r>
          </w:p>
        </w:tc>
        <w:tc>
          <w:tcPr>
            <w:tcW w:w="1637" w:type="dxa"/>
            <w:vAlign w:val="center"/>
          </w:tcPr>
          <w:p w14:paraId="11B3BAF3" w14:textId="77777777" w:rsidR="00696773" w:rsidRPr="00F47AB7" w:rsidRDefault="00696773" w:rsidP="00A2704F">
            <w:pPr>
              <w:ind w:left="-74" w:right="-62"/>
              <w:jc w:val="center"/>
              <w:rPr>
                <w:rFonts w:ascii="Arial Narrow" w:hAnsi="Arial Narrow"/>
                <w:sz w:val="20"/>
                <w:szCs w:val="20"/>
              </w:rPr>
            </w:pPr>
            <w:r w:rsidRPr="00F47AB7">
              <w:rPr>
                <w:rFonts w:ascii="Arial Narrow" w:hAnsi="Arial Narrow"/>
                <w:sz w:val="20"/>
                <w:szCs w:val="20"/>
              </w:rPr>
              <w:t>462 (24.7</w:t>
            </w:r>
            <w:r>
              <w:rPr>
                <w:rFonts w:ascii="Arial Narrow" w:hAnsi="Arial Narrow"/>
                <w:sz w:val="20"/>
                <w:szCs w:val="20"/>
              </w:rPr>
              <w:t>%</w:t>
            </w:r>
            <w:r w:rsidRPr="00F47AB7">
              <w:rPr>
                <w:rFonts w:ascii="Arial Narrow" w:hAnsi="Arial Narrow"/>
                <w:sz w:val="20"/>
                <w:szCs w:val="20"/>
              </w:rPr>
              <w:t>)</w:t>
            </w:r>
          </w:p>
        </w:tc>
        <w:tc>
          <w:tcPr>
            <w:tcW w:w="1637" w:type="dxa"/>
            <w:vAlign w:val="center"/>
          </w:tcPr>
          <w:p w14:paraId="3717BDFE" w14:textId="77777777" w:rsidR="00696773" w:rsidRPr="00B7206A" w:rsidRDefault="00696773" w:rsidP="00A2704F">
            <w:pPr>
              <w:pStyle w:val="TableText"/>
              <w:ind w:left="-71" w:right="-62"/>
              <w:jc w:val="center"/>
              <w:rPr>
                <w:b/>
                <w:szCs w:val="20"/>
              </w:rPr>
            </w:pPr>
            <w:r w:rsidRPr="00B7206A">
              <w:rPr>
                <w:b/>
                <w:szCs w:val="20"/>
              </w:rPr>
              <w:t>0.75 (0.65, 0.86)</w:t>
            </w:r>
          </w:p>
        </w:tc>
      </w:tr>
      <w:tr w:rsidR="00696773" w:rsidRPr="00AF625C" w14:paraId="409B9F71" w14:textId="77777777" w:rsidTr="00A2704F">
        <w:trPr>
          <w:trHeight w:val="77"/>
        </w:trPr>
        <w:tc>
          <w:tcPr>
            <w:tcW w:w="4106" w:type="dxa"/>
            <w:vAlign w:val="center"/>
          </w:tcPr>
          <w:p w14:paraId="52709FA2" w14:textId="77777777" w:rsidR="00696773" w:rsidRPr="00AF625C" w:rsidRDefault="00696773" w:rsidP="00A2704F">
            <w:pPr>
              <w:tabs>
                <w:tab w:val="left" w:pos="164"/>
              </w:tabs>
              <w:ind w:right="-55"/>
              <w:rPr>
                <w:rFonts w:ascii="Arial Narrow" w:hAnsi="Arial Narrow"/>
                <w:sz w:val="20"/>
                <w:szCs w:val="20"/>
              </w:rPr>
            </w:pPr>
            <w:r>
              <w:rPr>
                <w:rFonts w:ascii="Arial Narrow" w:hAnsi="Arial Narrow"/>
                <w:sz w:val="20"/>
                <w:szCs w:val="20"/>
              </w:rPr>
              <w:t xml:space="preserve">- </w:t>
            </w:r>
            <w:r w:rsidRPr="00F47AB7">
              <w:rPr>
                <w:rFonts w:ascii="Arial Narrow" w:hAnsi="Arial Narrow"/>
                <w:sz w:val="20"/>
                <w:szCs w:val="20"/>
              </w:rPr>
              <w:t>HHF as the first event</w:t>
            </w:r>
          </w:p>
        </w:tc>
        <w:tc>
          <w:tcPr>
            <w:tcW w:w="1637" w:type="dxa"/>
            <w:vAlign w:val="center"/>
          </w:tcPr>
          <w:p w14:paraId="45A8F8E5" w14:textId="77777777" w:rsidR="00696773" w:rsidRPr="00AF625C" w:rsidRDefault="00696773" w:rsidP="00A2704F">
            <w:pPr>
              <w:ind w:left="-74" w:right="-62"/>
              <w:jc w:val="center"/>
              <w:rPr>
                <w:rFonts w:ascii="Arial Narrow" w:hAnsi="Arial Narrow"/>
                <w:sz w:val="20"/>
                <w:szCs w:val="20"/>
              </w:rPr>
            </w:pPr>
            <w:r w:rsidRPr="00F47AB7">
              <w:rPr>
                <w:rFonts w:ascii="Arial Narrow" w:hAnsi="Arial Narrow"/>
                <w:sz w:val="20"/>
                <w:szCs w:val="20"/>
              </w:rPr>
              <w:t>246 (13.2</w:t>
            </w:r>
            <w:r>
              <w:rPr>
                <w:rFonts w:ascii="Arial Narrow" w:hAnsi="Arial Narrow"/>
                <w:sz w:val="20"/>
                <w:szCs w:val="20"/>
              </w:rPr>
              <w:t>%</w:t>
            </w:r>
            <w:r w:rsidRPr="00F47AB7">
              <w:rPr>
                <w:rFonts w:ascii="Arial Narrow" w:hAnsi="Arial Narrow"/>
                <w:sz w:val="20"/>
                <w:szCs w:val="20"/>
              </w:rPr>
              <w:t>)</w:t>
            </w:r>
          </w:p>
        </w:tc>
        <w:tc>
          <w:tcPr>
            <w:tcW w:w="1637" w:type="dxa"/>
            <w:vAlign w:val="center"/>
          </w:tcPr>
          <w:p w14:paraId="7E614A5F" w14:textId="77777777" w:rsidR="00696773" w:rsidRPr="00AF625C" w:rsidRDefault="00696773" w:rsidP="00A2704F">
            <w:pPr>
              <w:ind w:left="-74" w:right="-62"/>
              <w:jc w:val="center"/>
              <w:rPr>
                <w:rFonts w:ascii="Arial Narrow" w:hAnsi="Arial Narrow"/>
                <w:sz w:val="20"/>
                <w:szCs w:val="20"/>
              </w:rPr>
            </w:pPr>
            <w:r w:rsidRPr="00F47AB7">
              <w:rPr>
                <w:rFonts w:ascii="Arial Narrow" w:hAnsi="Arial Narrow"/>
                <w:sz w:val="20"/>
                <w:szCs w:val="20"/>
              </w:rPr>
              <w:t>341 (18.3</w:t>
            </w:r>
            <w:r>
              <w:rPr>
                <w:rFonts w:ascii="Arial Narrow" w:hAnsi="Arial Narrow"/>
                <w:sz w:val="20"/>
                <w:szCs w:val="20"/>
              </w:rPr>
              <w:t>%</w:t>
            </w:r>
            <w:r w:rsidRPr="00F47AB7">
              <w:rPr>
                <w:rFonts w:ascii="Arial Narrow" w:hAnsi="Arial Narrow"/>
                <w:sz w:val="20"/>
                <w:szCs w:val="20"/>
              </w:rPr>
              <w:t>)</w:t>
            </w:r>
          </w:p>
        </w:tc>
        <w:tc>
          <w:tcPr>
            <w:tcW w:w="1637" w:type="dxa"/>
            <w:vAlign w:val="center"/>
          </w:tcPr>
          <w:p w14:paraId="756F0EE7" w14:textId="77777777" w:rsidR="00696773" w:rsidRPr="00AF625C" w:rsidRDefault="00696773" w:rsidP="00A2704F">
            <w:pPr>
              <w:ind w:left="-71" w:right="-62"/>
              <w:jc w:val="center"/>
              <w:rPr>
                <w:rFonts w:ascii="Arial Narrow" w:hAnsi="Arial Narrow"/>
                <w:sz w:val="20"/>
                <w:szCs w:val="20"/>
              </w:rPr>
            </w:pPr>
            <w:r>
              <w:rPr>
                <w:rFonts w:ascii="Arial Narrow" w:hAnsi="Arial Narrow"/>
                <w:sz w:val="20"/>
                <w:szCs w:val="20"/>
              </w:rPr>
              <w:t>-</w:t>
            </w:r>
          </w:p>
        </w:tc>
      </w:tr>
      <w:tr w:rsidR="00696773" w:rsidRPr="00AF625C" w14:paraId="4A3B2EE5" w14:textId="77777777" w:rsidTr="00A2704F">
        <w:tc>
          <w:tcPr>
            <w:tcW w:w="4106" w:type="dxa"/>
            <w:vAlign w:val="center"/>
          </w:tcPr>
          <w:p w14:paraId="2D407EB4" w14:textId="77777777" w:rsidR="00696773" w:rsidRPr="00AF625C" w:rsidRDefault="00696773" w:rsidP="00A2704F">
            <w:pPr>
              <w:tabs>
                <w:tab w:val="left" w:pos="164"/>
              </w:tabs>
              <w:ind w:right="-55"/>
              <w:rPr>
                <w:rFonts w:ascii="Arial Narrow" w:hAnsi="Arial Narrow"/>
                <w:sz w:val="20"/>
                <w:szCs w:val="20"/>
              </w:rPr>
            </w:pPr>
            <w:r>
              <w:rPr>
                <w:rFonts w:ascii="Arial Narrow" w:hAnsi="Arial Narrow"/>
                <w:sz w:val="20"/>
                <w:szCs w:val="20"/>
              </w:rPr>
              <w:t xml:space="preserve">- </w:t>
            </w:r>
            <w:r w:rsidRPr="00F47AB7">
              <w:rPr>
                <w:rFonts w:ascii="Arial Narrow" w:hAnsi="Arial Narrow"/>
                <w:sz w:val="20"/>
                <w:szCs w:val="20"/>
              </w:rPr>
              <w:t>CV death as the first event</w:t>
            </w:r>
          </w:p>
        </w:tc>
        <w:tc>
          <w:tcPr>
            <w:tcW w:w="1637" w:type="dxa"/>
            <w:vAlign w:val="center"/>
          </w:tcPr>
          <w:p w14:paraId="1E499244" w14:textId="77777777" w:rsidR="00696773" w:rsidRPr="00AF625C" w:rsidRDefault="00696773" w:rsidP="00A2704F">
            <w:pPr>
              <w:ind w:left="-74" w:right="-62"/>
              <w:jc w:val="center"/>
              <w:rPr>
                <w:rFonts w:ascii="Arial Narrow" w:hAnsi="Arial Narrow"/>
                <w:sz w:val="20"/>
                <w:szCs w:val="20"/>
              </w:rPr>
            </w:pPr>
            <w:r w:rsidRPr="00F47AB7">
              <w:rPr>
                <w:rFonts w:ascii="Arial Narrow" w:hAnsi="Arial Narrow"/>
                <w:sz w:val="20"/>
                <w:szCs w:val="20"/>
              </w:rPr>
              <w:t>115 (6.2</w:t>
            </w:r>
            <w:r>
              <w:rPr>
                <w:rFonts w:ascii="Arial Narrow" w:hAnsi="Arial Narrow"/>
                <w:sz w:val="20"/>
                <w:szCs w:val="20"/>
              </w:rPr>
              <w:t>%</w:t>
            </w:r>
            <w:r w:rsidRPr="00F47AB7">
              <w:rPr>
                <w:rFonts w:ascii="Arial Narrow" w:hAnsi="Arial Narrow"/>
                <w:sz w:val="20"/>
                <w:szCs w:val="20"/>
              </w:rPr>
              <w:t>)</w:t>
            </w:r>
          </w:p>
        </w:tc>
        <w:tc>
          <w:tcPr>
            <w:tcW w:w="1637" w:type="dxa"/>
            <w:vAlign w:val="center"/>
          </w:tcPr>
          <w:p w14:paraId="077CEA23" w14:textId="77777777" w:rsidR="00696773" w:rsidRPr="00AF625C" w:rsidRDefault="00696773" w:rsidP="00A2704F">
            <w:pPr>
              <w:ind w:left="-74" w:right="-62"/>
              <w:jc w:val="center"/>
              <w:rPr>
                <w:rFonts w:ascii="Arial Narrow" w:hAnsi="Arial Narrow"/>
                <w:sz w:val="20"/>
                <w:szCs w:val="20"/>
              </w:rPr>
            </w:pPr>
            <w:r w:rsidRPr="00F47AB7">
              <w:rPr>
                <w:rFonts w:ascii="Arial Narrow" w:hAnsi="Arial Narrow"/>
                <w:sz w:val="20"/>
                <w:szCs w:val="20"/>
              </w:rPr>
              <w:t>120 (6.4</w:t>
            </w:r>
            <w:r>
              <w:rPr>
                <w:rFonts w:ascii="Arial Narrow" w:hAnsi="Arial Narrow"/>
                <w:sz w:val="20"/>
                <w:szCs w:val="20"/>
              </w:rPr>
              <w:t>%</w:t>
            </w:r>
            <w:r w:rsidRPr="00F47AB7">
              <w:rPr>
                <w:rFonts w:ascii="Arial Narrow" w:hAnsi="Arial Narrow"/>
                <w:sz w:val="20"/>
                <w:szCs w:val="20"/>
              </w:rPr>
              <w:t>)</w:t>
            </w:r>
          </w:p>
        </w:tc>
        <w:tc>
          <w:tcPr>
            <w:tcW w:w="1637" w:type="dxa"/>
            <w:vAlign w:val="center"/>
          </w:tcPr>
          <w:p w14:paraId="5E2EF35D" w14:textId="77777777" w:rsidR="00696773" w:rsidRPr="00AF625C" w:rsidRDefault="00696773" w:rsidP="00A2704F">
            <w:pPr>
              <w:ind w:left="-71" w:right="-62"/>
              <w:jc w:val="center"/>
              <w:rPr>
                <w:rFonts w:ascii="Arial Narrow" w:hAnsi="Arial Narrow"/>
                <w:sz w:val="20"/>
                <w:szCs w:val="20"/>
              </w:rPr>
            </w:pPr>
            <w:r>
              <w:rPr>
                <w:rFonts w:ascii="Arial Narrow" w:hAnsi="Arial Narrow"/>
                <w:sz w:val="20"/>
                <w:szCs w:val="20"/>
              </w:rPr>
              <w:t>-</w:t>
            </w:r>
          </w:p>
        </w:tc>
      </w:tr>
      <w:tr w:rsidR="00696773" w:rsidRPr="00AF625C" w14:paraId="58112265" w14:textId="77777777" w:rsidTr="00A2704F">
        <w:trPr>
          <w:trHeight w:val="101"/>
        </w:trPr>
        <w:tc>
          <w:tcPr>
            <w:tcW w:w="4106" w:type="dxa"/>
            <w:vAlign w:val="center"/>
          </w:tcPr>
          <w:p w14:paraId="5B82E78C" w14:textId="77777777" w:rsidR="00696773" w:rsidRPr="00AF625C" w:rsidRDefault="00696773" w:rsidP="00A2704F">
            <w:pPr>
              <w:pStyle w:val="TableText"/>
              <w:tabs>
                <w:tab w:val="left" w:pos="164"/>
              </w:tabs>
              <w:ind w:right="-55"/>
              <w:rPr>
                <w:szCs w:val="20"/>
              </w:rPr>
            </w:pPr>
            <w:r>
              <w:rPr>
                <w:szCs w:val="20"/>
              </w:rPr>
              <w:t>Median duration of treatment</w:t>
            </w:r>
          </w:p>
        </w:tc>
        <w:tc>
          <w:tcPr>
            <w:tcW w:w="3274" w:type="dxa"/>
            <w:gridSpan w:val="2"/>
            <w:vAlign w:val="center"/>
          </w:tcPr>
          <w:p w14:paraId="47F9D654" w14:textId="77777777" w:rsidR="00696773" w:rsidRPr="00AF625C" w:rsidRDefault="00696773" w:rsidP="00A2704F">
            <w:pPr>
              <w:pStyle w:val="TableText"/>
              <w:jc w:val="center"/>
              <w:rPr>
                <w:szCs w:val="20"/>
              </w:rPr>
            </w:pPr>
            <w:r>
              <w:rPr>
                <w:szCs w:val="20"/>
              </w:rPr>
              <w:t>16 months</w:t>
            </w:r>
          </w:p>
        </w:tc>
        <w:tc>
          <w:tcPr>
            <w:tcW w:w="1637" w:type="dxa"/>
            <w:vAlign w:val="center"/>
          </w:tcPr>
          <w:p w14:paraId="56A020A4" w14:textId="77777777" w:rsidR="00696773" w:rsidRPr="00090F6A" w:rsidRDefault="00696773" w:rsidP="00A2704F">
            <w:pPr>
              <w:pStyle w:val="TableText"/>
              <w:ind w:left="-71" w:right="-62"/>
              <w:jc w:val="center"/>
              <w:rPr>
                <w:szCs w:val="20"/>
              </w:rPr>
            </w:pPr>
            <w:r>
              <w:rPr>
                <w:szCs w:val="20"/>
              </w:rPr>
              <w:t>-</w:t>
            </w:r>
          </w:p>
        </w:tc>
      </w:tr>
    </w:tbl>
    <w:p w14:paraId="24616F55" w14:textId="77777777" w:rsidR="00696773" w:rsidRDefault="00696773" w:rsidP="00696773">
      <w:pPr>
        <w:pStyle w:val="TableFigureFooter"/>
      </w:pPr>
      <w:r>
        <w:t>Source: Table 2.13, p74 of the submission.</w:t>
      </w:r>
    </w:p>
    <w:p w14:paraId="48F8E645" w14:textId="77777777" w:rsidR="00696773" w:rsidRDefault="00696773" w:rsidP="00696773">
      <w:pPr>
        <w:pStyle w:val="TableFigureFooter"/>
      </w:pPr>
      <w:r w:rsidRPr="00D03890">
        <w:t>CV, cardiovascular;</w:t>
      </w:r>
      <w:r>
        <w:t xml:space="preserve"> </w:t>
      </w:r>
      <w:r>
        <w:rPr>
          <w:szCs w:val="18"/>
        </w:rPr>
        <w:t xml:space="preserve">HHF, hospitalisation for heart failure; </w:t>
      </w:r>
      <w:r w:rsidRPr="00D86211">
        <w:rPr>
          <w:szCs w:val="18"/>
        </w:rPr>
        <w:t>ITT, intention to treat</w:t>
      </w:r>
      <w:r>
        <w:rPr>
          <w:szCs w:val="18"/>
        </w:rPr>
        <w:t xml:space="preserve">; </w:t>
      </w:r>
      <w:r>
        <w:t>SC, standard care.</w:t>
      </w:r>
    </w:p>
    <w:p w14:paraId="0FA6CF78" w14:textId="77777777" w:rsidR="00696773" w:rsidRDefault="00696773" w:rsidP="00696773">
      <w:pPr>
        <w:pStyle w:val="TableFigureFooter"/>
      </w:pPr>
      <w:r>
        <w:rPr>
          <w:vertAlign w:val="superscript"/>
        </w:rPr>
        <w:t>a</w:t>
      </w:r>
      <w:r>
        <w:t xml:space="preserve"> Hazard ratios &lt;1 favour empagliflozin. Statistically significant results in bold.</w:t>
      </w:r>
    </w:p>
    <w:p w14:paraId="0D71DF60" w14:textId="77777777" w:rsidR="00696773" w:rsidRPr="00EC5836" w:rsidRDefault="00696773" w:rsidP="00696773">
      <w:pPr>
        <w:pStyle w:val="TableFigureFooter"/>
        <w:rPr>
          <w:color w:val="0066FF"/>
        </w:rPr>
      </w:pPr>
      <w:r>
        <w:rPr>
          <w:vertAlign w:val="superscript"/>
        </w:rPr>
        <w:t>b</w:t>
      </w:r>
      <w:r>
        <w:t xml:space="preserve"> Cox regression model included factors </w:t>
      </w:r>
      <w:r w:rsidR="001F4899">
        <w:t xml:space="preserve">of </w:t>
      </w:r>
      <w:r>
        <w:t>age, baseline eGFR, region, baseline diabetes status, sex, baseline LVEF, and treatment.</w:t>
      </w:r>
    </w:p>
    <w:p w14:paraId="649322DD" w14:textId="77777777" w:rsidR="00DA3167" w:rsidRPr="00EC5836" w:rsidRDefault="00696773" w:rsidP="0012228C">
      <w:pPr>
        <w:pStyle w:val="ExecSumBodyText"/>
        <w:rPr>
          <w:color w:val="0066FF"/>
        </w:rPr>
      </w:pPr>
      <w:r>
        <w:rPr>
          <w:rFonts w:eastAsia="Calibri"/>
        </w:rPr>
        <w:t>Treatment with empagliflozin was associated with a statistically significant improvement in the primary composite endpoint of time to c</w:t>
      </w:r>
      <w:r w:rsidRPr="00A55B0D">
        <w:rPr>
          <w:rFonts w:eastAsia="Calibri"/>
        </w:rPr>
        <w:t xml:space="preserve">ardiovascular death, </w:t>
      </w:r>
      <w:r>
        <w:rPr>
          <w:rFonts w:eastAsia="Calibri"/>
        </w:rPr>
        <w:t xml:space="preserve">or </w:t>
      </w:r>
      <w:r w:rsidRPr="00A55B0D">
        <w:rPr>
          <w:rFonts w:eastAsia="Calibri"/>
        </w:rPr>
        <w:t xml:space="preserve">hospitalisation for </w:t>
      </w:r>
      <w:r>
        <w:rPr>
          <w:rFonts w:eastAsia="Calibri"/>
        </w:rPr>
        <w:t>heart failure</w:t>
      </w:r>
      <w:r w:rsidRPr="00A55B0D">
        <w:rPr>
          <w:rFonts w:eastAsia="Calibri"/>
        </w:rPr>
        <w:t xml:space="preserve"> </w:t>
      </w:r>
      <w:r>
        <w:rPr>
          <w:rFonts w:eastAsia="Calibri"/>
        </w:rPr>
        <w:t>compared to placebo (hazard ratio: 0.75; 95% CI: 0.65, 0.86</w:t>
      </w:r>
      <w:r w:rsidRPr="00A55B0D">
        <w:rPr>
          <w:rFonts w:eastAsia="Calibri"/>
        </w:rPr>
        <w:t>)</w:t>
      </w:r>
      <w:r>
        <w:rPr>
          <w:rFonts w:eastAsia="Calibri"/>
        </w:rPr>
        <w:t>, over a median duration of treatment of 16 months.</w:t>
      </w:r>
    </w:p>
    <w:p w14:paraId="7BAD72F0" w14:textId="77777777" w:rsidR="00247925" w:rsidRPr="00696773" w:rsidRDefault="00696773" w:rsidP="0012228C">
      <w:pPr>
        <w:pStyle w:val="ExecSumBodyText"/>
        <w:rPr>
          <w:color w:val="0066FF"/>
        </w:rPr>
      </w:pPr>
      <w:r>
        <w:t>The table below summarises the key secondary outcome of occurrence of hospitalisation for heart failure (first and recurrent) in a joint frailty model with a competing risk of cardiovascular death, with the same covariates used for the primary outcome.</w:t>
      </w:r>
      <w:r w:rsidR="00BC591F" w:rsidRPr="00EC5836">
        <w:rPr>
          <w:snapToGrid/>
          <w:color w:val="0066FF"/>
          <w:lang w:val="en-US"/>
        </w:rPr>
        <w:t xml:space="preserve"> </w:t>
      </w:r>
    </w:p>
    <w:p w14:paraId="481F6EA7" w14:textId="77777777" w:rsidR="00696773" w:rsidRPr="00915F45" w:rsidRDefault="00B974B3" w:rsidP="00C7705E">
      <w:pPr>
        <w:pStyle w:val="TableFigureCaption"/>
        <w:keepLines/>
      </w:pPr>
      <w:r>
        <w:t xml:space="preserve">Table </w:t>
      </w:r>
      <w:r w:rsidR="00915190">
        <w:rPr>
          <w:noProof/>
        </w:rPr>
        <w:t>5</w:t>
      </w:r>
      <w:r w:rsidR="00696773" w:rsidRPr="00915F45">
        <w:t xml:space="preserve">: Results for the </w:t>
      </w:r>
      <w:r w:rsidR="00696773">
        <w:t>key secondary</w:t>
      </w:r>
      <w:r w:rsidR="00696773" w:rsidRPr="00915F45">
        <w:t xml:space="preserve"> outcome </w:t>
      </w:r>
      <w:r w:rsidR="00696773">
        <w:t xml:space="preserve">time to hospitalisation for HF (adjudicated) using a frailty model with a competing risk of CV death </w:t>
      </w:r>
      <w:r w:rsidR="00696773" w:rsidRPr="00915F45">
        <w:t xml:space="preserve">from the </w:t>
      </w:r>
      <w:r w:rsidR="00696773">
        <w:t>EMPEROR-Reduced</w:t>
      </w:r>
      <w:r w:rsidR="00696773" w:rsidRPr="00915F45">
        <w:t xml:space="preserve"> trial (ITT)</w:t>
      </w:r>
    </w:p>
    <w:tbl>
      <w:tblPr>
        <w:tblStyle w:val="TableGrid"/>
        <w:tblW w:w="5000" w:type="pct"/>
        <w:tblLook w:val="04A0" w:firstRow="1" w:lastRow="0" w:firstColumn="1" w:lastColumn="0" w:noHBand="0" w:noVBand="1"/>
        <w:tblCaption w:val="Table 5: Results for the key secondary outcome time to hospitalisation for HF (adjudicated) using a frailty model with a competing risk of CV death from the EMPEROR-Reduced trial (ITT)"/>
      </w:tblPr>
      <w:tblGrid>
        <w:gridCol w:w="3957"/>
        <w:gridCol w:w="1686"/>
        <w:gridCol w:w="1687"/>
        <w:gridCol w:w="1687"/>
      </w:tblGrid>
      <w:tr w:rsidR="00696773" w:rsidRPr="00AF625C" w14:paraId="22067D25" w14:textId="77777777" w:rsidTr="00A2704F">
        <w:trPr>
          <w:tblHeader/>
        </w:trPr>
        <w:tc>
          <w:tcPr>
            <w:tcW w:w="3957" w:type="dxa"/>
            <w:vAlign w:val="center"/>
          </w:tcPr>
          <w:p w14:paraId="78E4D41B" w14:textId="77777777" w:rsidR="00696773" w:rsidRPr="00AF625C" w:rsidRDefault="00696773" w:rsidP="00C7705E">
            <w:pPr>
              <w:pStyle w:val="Tableheadingrow"/>
              <w:keepLines/>
            </w:pPr>
            <w:r w:rsidRPr="00AF625C">
              <w:t>Outcome</w:t>
            </w:r>
          </w:p>
        </w:tc>
        <w:tc>
          <w:tcPr>
            <w:tcW w:w="1686" w:type="dxa"/>
          </w:tcPr>
          <w:p w14:paraId="7DAA0F09" w14:textId="77777777" w:rsidR="00696773" w:rsidRPr="00AF625C" w:rsidRDefault="00696773" w:rsidP="00C7705E">
            <w:pPr>
              <w:pStyle w:val="TableText"/>
              <w:keepLines/>
              <w:ind w:left="-71" w:right="-62"/>
              <w:jc w:val="center"/>
              <w:rPr>
                <w:b/>
                <w:bCs w:val="0"/>
                <w:szCs w:val="20"/>
              </w:rPr>
            </w:pPr>
            <w:r>
              <w:rPr>
                <w:b/>
                <w:bCs w:val="0"/>
                <w:szCs w:val="20"/>
              </w:rPr>
              <w:t>Empagliflozin</w:t>
            </w:r>
            <w:r w:rsidRPr="00AF625C">
              <w:rPr>
                <w:b/>
                <w:bCs w:val="0"/>
                <w:szCs w:val="20"/>
              </w:rPr>
              <w:t xml:space="preserve"> +</w:t>
            </w:r>
            <w:r>
              <w:rPr>
                <w:b/>
                <w:bCs w:val="0"/>
                <w:szCs w:val="20"/>
              </w:rPr>
              <w:t xml:space="preserve"> S</w:t>
            </w:r>
            <w:r w:rsidRPr="00AF625C">
              <w:rPr>
                <w:b/>
                <w:bCs w:val="0"/>
                <w:szCs w:val="20"/>
              </w:rPr>
              <w:t>C</w:t>
            </w:r>
          </w:p>
          <w:p w14:paraId="000FB699" w14:textId="77777777" w:rsidR="00696773" w:rsidRPr="00AF625C" w:rsidRDefault="00696773" w:rsidP="00C7705E">
            <w:pPr>
              <w:keepNext/>
              <w:keepLines/>
              <w:ind w:left="-71" w:right="-62"/>
              <w:jc w:val="center"/>
              <w:rPr>
                <w:rFonts w:ascii="Arial Narrow" w:hAnsi="Arial Narrow"/>
                <w:sz w:val="20"/>
                <w:szCs w:val="20"/>
              </w:rPr>
            </w:pPr>
            <w:r>
              <w:rPr>
                <w:rFonts w:ascii="Arial Narrow" w:hAnsi="Arial Narrow"/>
                <w:b/>
                <w:bCs/>
                <w:sz w:val="20"/>
                <w:szCs w:val="20"/>
              </w:rPr>
              <w:t>N=1863</w:t>
            </w:r>
          </w:p>
        </w:tc>
        <w:tc>
          <w:tcPr>
            <w:tcW w:w="1687" w:type="dxa"/>
          </w:tcPr>
          <w:p w14:paraId="75DCB577" w14:textId="77777777" w:rsidR="00696773" w:rsidRPr="00AF625C" w:rsidRDefault="00696773" w:rsidP="00C7705E">
            <w:pPr>
              <w:keepNext/>
              <w:keepLines/>
              <w:ind w:left="-71" w:right="-62"/>
              <w:jc w:val="center"/>
              <w:rPr>
                <w:rFonts w:ascii="Arial Narrow" w:hAnsi="Arial Narrow"/>
                <w:sz w:val="20"/>
                <w:szCs w:val="20"/>
              </w:rPr>
            </w:pPr>
            <w:r>
              <w:rPr>
                <w:rFonts w:ascii="Arial Narrow" w:hAnsi="Arial Narrow"/>
                <w:b/>
                <w:bCs/>
                <w:sz w:val="20"/>
                <w:szCs w:val="20"/>
              </w:rPr>
              <w:t>Placebo + SC</w:t>
            </w:r>
            <w:r>
              <w:rPr>
                <w:rFonts w:ascii="Arial Narrow" w:hAnsi="Arial Narrow"/>
                <w:b/>
                <w:bCs/>
                <w:sz w:val="20"/>
                <w:szCs w:val="20"/>
              </w:rPr>
              <w:br/>
              <w:t>N=1867</w:t>
            </w:r>
          </w:p>
        </w:tc>
        <w:tc>
          <w:tcPr>
            <w:tcW w:w="1687" w:type="dxa"/>
          </w:tcPr>
          <w:p w14:paraId="2F2A84AD" w14:textId="77777777" w:rsidR="00696773" w:rsidRPr="00AF625C" w:rsidRDefault="00696773" w:rsidP="00C7705E">
            <w:pPr>
              <w:pStyle w:val="TableText"/>
              <w:keepLines/>
              <w:ind w:left="-71" w:right="-62"/>
              <w:jc w:val="center"/>
              <w:rPr>
                <w:b/>
                <w:bCs w:val="0"/>
                <w:szCs w:val="20"/>
              </w:rPr>
            </w:pPr>
            <w:r w:rsidRPr="00AF625C">
              <w:rPr>
                <w:b/>
                <w:bCs w:val="0"/>
                <w:szCs w:val="20"/>
              </w:rPr>
              <w:t>Hazard ratio</w:t>
            </w:r>
          </w:p>
          <w:p w14:paraId="0D30BE70" w14:textId="77777777" w:rsidR="00696773" w:rsidRPr="00B7206A" w:rsidRDefault="00696773" w:rsidP="00C7705E">
            <w:pPr>
              <w:keepNext/>
              <w:keepLines/>
              <w:ind w:left="-71" w:right="-62"/>
              <w:jc w:val="center"/>
              <w:rPr>
                <w:rFonts w:ascii="Arial Narrow" w:hAnsi="Arial Narrow"/>
                <w:sz w:val="20"/>
                <w:szCs w:val="20"/>
                <w:vertAlign w:val="superscript"/>
              </w:rPr>
            </w:pPr>
            <w:r w:rsidRPr="00AF625C">
              <w:rPr>
                <w:rFonts w:ascii="Arial Narrow" w:hAnsi="Arial Narrow"/>
                <w:b/>
                <w:bCs/>
                <w:sz w:val="20"/>
                <w:szCs w:val="20"/>
              </w:rPr>
              <w:t>(95% CI)</w:t>
            </w:r>
            <w:r>
              <w:rPr>
                <w:rFonts w:ascii="Arial Narrow" w:hAnsi="Arial Narrow"/>
                <w:b/>
                <w:bCs/>
                <w:sz w:val="20"/>
                <w:szCs w:val="20"/>
                <w:vertAlign w:val="superscript"/>
              </w:rPr>
              <w:t>a</w:t>
            </w:r>
          </w:p>
        </w:tc>
      </w:tr>
      <w:tr w:rsidR="00696773" w:rsidRPr="005B65F2" w14:paraId="6DF20B2C" w14:textId="77777777" w:rsidTr="00A2704F">
        <w:trPr>
          <w:trHeight w:val="101"/>
        </w:trPr>
        <w:tc>
          <w:tcPr>
            <w:tcW w:w="9017" w:type="dxa"/>
            <w:gridSpan w:val="4"/>
            <w:vAlign w:val="center"/>
          </w:tcPr>
          <w:p w14:paraId="6DFBBF98" w14:textId="77777777" w:rsidR="00696773" w:rsidRPr="005B65F2" w:rsidRDefault="00696773" w:rsidP="00C7705E">
            <w:pPr>
              <w:pStyle w:val="Tableheadingrow"/>
              <w:keepLines/>
            </w:pPr>
            <w:r w:rsidRPr="005B65F2">
              <w:rPr>
                <w:rFonts w:cstheme="minorHAnsi"/>
              </w:rPr>
              <w:t>Adjudicated HHF (first and recurrent)</w:t>
            </w:r>
            <w:r w:rsidRPr="005B65F2">
              <w:rPr>
                <w:rFonts w:cstheme="minorHAnsi"/>
                <w:vertAlign w:val="superscript"/>
              </w:rPr>
              <w:t>b</w:t>
            </w:r>
            <w:r w:rsidRPr="005B65F2">
              <w:rPr>
                <w:rFonts w:cstheme="minorHAnsi"/>
              </w:rPr>
              <w:t xml:space="preserve"> </w:t>
            </w:r>
            <w:r w:rsidRPr="005B65F2">
              <w:t>(joint frailty model)</w:t>
            </w:r>
          </w:p>
        </w:tc>
      </w:tr>
      <w:tr w:rsidR="00696773" w:rsidRPr="00AF625C" w14:paraId="4F5DF7D6" w14:textId="77777777" w:rsidTr="00A2704F">
        <w:tc>
          <w:tcPr>
            <w:tcW w:w="3957" w:type="dxa"/>
            <w:vAlign w:val="center"/>
          </w:tcPr>
          <w:p w14:paraId="79A398FB" w14:textId="77777777" w:rsidR="00696773" w:rsidRDefault="00696773" w:rsidP="00C7705E">
            <w:pPr>
              <w:pStyle w:val="TableText"/>
              <w:keepLines/>
            </w:pPr>
            <w:r>
              <w:t>Number of HHF events, n</w:t>
            </w:r>
          </w:p>
        </w:tc>
        <w:tc>
          <w:tcPr>
            <w:tcW w:w="1686" w:type="dxa"/>
            <w:vAlign w:val="center"/>
          </w:tcPr>
          <w:p w14:paraId="1430DB15" w14:textId="77777777" w:rsidR="00696773" w:rsidRPr="008C40B8" w:rsidRDefault="00696773" w:rsidP="00C7705E">
            <w:pPr>
              <w:keepNext/>
              <w:keepLines/>
              <w:ind w:left="-71" w:right="-62"/>
              <w:jc w:val="center"/>
              <w:rPr>
                <w:rFonts w:ascii="Arial Narrow" w:hAnsi="Arial Narrow" w:cstheme="minorHAnsi"/>
                <w:bCs/>
                <w:sz w:val="20"/>
                <w:szCs w:val="20"/>
              </w:rPr>
            </w:pPr>
            <w:r>
              <w:rPr>
                <w:rFonts w:ascii="Arial Narrow" w:hAnsi="Arial Narrow" w:cstheme="minorHAnsi"/>
                <w:bCs/>
                <w:sz w:val="20"/>
                <w:szCs w:val="20"/>
              </w:rPr>
              <w:t>388</w:t>
            </w:r>
          </w:p>
        </w:tc>
        <w:tc>
          <w:tcPr>
            <w:tcW w:w="1687" w:type="dxa"/>
            <w:vAlign w:val="center"/>
          </w:tcPr>
          <w:p w14:paraId="31517EE2" w14:textId="77777777" w:rsidR="00696773" w:rsidRPr="008C40B8" w:rsidRDefault="00696773" w:rsidP="00C7705E">
            <w:pPr>
              <w:keepNext/>
              <w:keepLines/>
              <w:ind w:left="-71" w:right="-62"/>
              <w:jc w:val="center"/>
              <w:rPr>
                <w:rFonts w:ascii="Arial Narrow" w:hAnsi="Arial Narrow" w:cstheme="minorHAnsi"/>
                <w:bCs/>
                <w:sz w:val="20"/>
                <w:szCs w:val="20"/>
              </w:rPr>
            </w:pPr>
            <w:r>
              <w:rPr>
                <w:rFonts w:ascii="Arial Narrow" w:hAnsi="Arial Narrow" w:cstheme="minorHAnsi"/>
                <w:bCs/>
                <w:sz w:val="20"/>
                <w:szCs w:val="20"/>
              </w:rPr>
              <w:t>553</w:t>
            </w:r>
          </w:p>
        </w:tc>
        <w:tc>
          <w:tcPr>
            <w:tcW w:w="1687" w:type="dxa"/>
            <w:vAlign w:val="center"/>
          </w:tcPr>
          <w:p w14:paraId="1E7D7E2B" w14:textId="77777777" w:rsidR="00696773" w:rsidRPr="00DC0F0D" w:rsidRDefault="00696773" w:rsidP="00C7705E">
            <w:pPr>
              <w:keepNext/>
              <w:keepLines/>
              <w:ind w:left="-71" w:right="-62"/>
              <w:jc w:val="center"/>
              <w:rPr>
                <w:rFonts w:ascii="Arial Narrow" w:hAnsi="Arial Narrow" w:cstheme="minorHAnsi"/>
                <w:sz w:val="20"/>
                <w:szCs w:val="20"/>
              </w:rPr>
            </w:pPr>
            <w:r w:rsidRPr="00DC0F0D">
              <w:rPr>
                <w:rFonts w:ascii="Arial Narrow" w:hAnsi="Arial Narrow" w:cstheme="minorHAnsi"/>
                <w:sz w:val="20"/>
                <w:szCs w:val="20"/>
              </w:rPr>
              <w:t>-</w:t>
            </w:r>
          </w:p>
        </w:tc>
      </w:tr>
      <w:tr w:rsidR="00696773" w:rsidRPr="00AF625C" w14:paraId="07DB653F" w14:textId="77777777" w:rsidTr="00A2704F">
        <w:tc>
          <w:tcPr>
            <w:tcW w:w="3957" w:type="dxa"/>
            <w:vAlign w:val="center"/>
          </w:tcPr>
          <w:p w14:paraId="62F999C4" w14:textId="77777777" w:rsidR="00696773" w:rsidRPr="008C40B8" w:rsidRDefault="00696773" w:rsidP="00C7705E">
            <w:pPr>
              <w:pStyle w:val="TableText"/>
              <w:keepLines/>
            </w:pPr>
            <w:r>
              <w:t xml:space="preserve">Patients with HHF events, </w:t>
            </w:r>
            <w:r w:rsidRPr="008C40B8">
              <w:t>n (%)</w:t>
            </w:r>
          </w:p>
        </w:tc>
        <w:tc>
          <w:tcPr>
            <w:tcW w:w="1686" w:type="dxa"/>
            <w:vAlign w:val="center"/>
          </w:tcPr>
          <w:p w14:paraId="1C8CE9EB" w14:textId="77777777" w:rsidR="00696773" w:rsidRPr="008C40B8" w:rsidRDefault="00696773" w:rsidP="00C7705E">
            <w:pPr>
              <w:keepNext/>
              <w:keepLines/>
              <w:ind w:left="-71" w:right="-62"/>
              <w:jc w:val="center"/>
              <w:rPr>
                <w:rFonts w:ascii="Arial Narrow" w:hAnsi="Arial Narrow"/>
                <w:sz w:val="20"/>
                <w:szCs w:val="20"/>
              </w:rPr>
            </w:pPr>
            <w:r w:rsidRPr="008C40B8">
              <w:rPr>
                <w:rFonts w:ascii="Arial Narrow" w:hAnsi="Arial Narrow" w:cstheme="minorHAnsi"/>
                <w:bCs/>
                <w:sz w:val="20"/>
                <w:szCs w:val="20"/>
              </w:rPr>
              <w:t>246 (13.2%)</w:t>
            </w:r>
          </w:p>
        </w:tc>
        <w:tc>
          <w:tcPr>
            <w:tcW w:w="1687" w:type="dxa"/>
            <w:vAlign w:val="center"/>
          </w:tcPr>
          <w:p w14:paraId="64F69D8F" w14:textId="77777777" w:rsidR="00696773" w:rsidRPr="008C40B8" w:rsidRDefault="00696773" w:rsidP="00C7705E">
            <w:pPr>
              <w:keepNext/>
              <w:keepLines/>
              <w:ind w:left="-71" w:right="-62"/>
              <w:jc w:val="center"/>
              <w:rPr>
                <w:rFonts w:ascii="Arial Narrow" w:hAnsi="Arial Narrow"/>
                <w:sz w:val="20"/>
                <w:szCs w:val="20"/>
              </w:rPr>
            </w:pPr>
            <w:r w:rsidRPr="008C40B8">
              <w:rPr>
                <w:rFonts w:ascii="Arial Narrow" w:hAnsi="Arial Narrow" w:cstheme="minorHAnsi"/>
                <w:bCs/>
                <w:sz w:val="20"/>
                <w:szCs w:val="20"/>
              </w:rPr>
              <w:t>342 (18.3%)</w:t>
            </w:r>
          </w:p>
        </w:tc>
        <w:tc>
          <w:tcPr>
            <w:tcW w:w="1687" w:type="dxa"/>
            <w:vAlign w:val="center"/>
          </w:tcPr>
          <w:p w14:paraId="640751D6" w14:textId="77777777" w:rsidR="00696773" w:rsidRPr="009B01E2" w:rsidRDefault="00696773" w:rsidP="00C7705E">
            <w:pPr>
              <w:keepNext/>
              <w:keepLines/>
              <w:ind w:left="-71" w:right="-62"/>
              <w:jc w:val="center"/>
              <w:rPr>
                <w:rFonts w:ascii="Arial Narrow" w:hAnsi="Arial Narrow"/>
                <w:b/>
                <w:sz w:val="20"/>
                <w:szCs w:val="20"/>
              </w:rPr>
            </w:pPr>
            <w:r w:rsidRPr="009B01E2">
              <w:rPr>
                <w:rFonts w:ascii="Arial Narrow" w:hAnsi="Arial Narrow" w:cstheme="minorHAnsi"/>
                <w:b/>
                <w:bCs/>
                <w:sz w:val="20"/>
                <w:szCs w:val="20"/>
              </w:rPr>
              <w:t>0.70 (0.58, 0.85)</w:t>
            </w:r>
          </w:p>
        </w:tc>
      </w:tr>
      <w:tr w:rsidR="00696773" w:rsidRPr="00AF625C" w14:paraId="0E428E23" w14:textId="77777777" w:rsidTr="00A2704F">
        <w:tc>
          <w:tcPr>
            <w:tcW w:w="3957" w:type="dxa"/>
            <w:vAlign w:val="center"/>
          </w:tcPr>
          <w:p w14:paraId="06C7E7F3" w14:textId="77777777" w:rsidR="00696773" w:rsidRDefault="00B04881" w:rsidP="00DC0F0D">
            <w:pPr>
              <w:pStyle w:val="TableText"/>
              <w:keepLines/>
              <w:ind w:left="174"/>
            </w:pPr>
            <w:r>
              <w:t xml:space="preserve"> </w:t>
            </w:r>
            <w:r w:rsidR="00696773">
              <w:t>p</w:t>
            </w:r>
            <w:r w:rsidR="00696773" w:rsidRPr="009317DF">
              <w:t>atients with HHF then CV death</w:t>
            </w:r>
          </w:p>
        </w:tc>
        <w:tc>
          <w:tcPr>
            <w:tcW w:w="1686" w:type="dxa"/>
            <w:vAlign w:val="center"/>
          </w:tcPr>
          <w:p w14:paraId="3E1A0262" w14:textId="77777777" w:rsidR="00696773" w:rsidRDefault="00696773" w:rsidP="00C7705E">
            <w:pPr>
              <w:keepNext/>
              <w:keepLines/>
              <w:ind w:left="-71" w:right="-62"/>
              <w:jc w:val="center"/>
              <w:rPr>
                <w:rFonts w:ascii="Arial Narrow" w:hAnsi="Arial Narrow" w:cstheme="minorHAnsi"/>
                <w:bCs/>
                <w:sz w:val="20"/>
                <w:szCs w:val="20"/>
              </w:rPr>
            </w:pPr>
            <w:r w:rsidRPr="009317DF">
              <w:rPr>
                <w:rFonts w:ascii="Arial Narrow" w:hAnsi="Arial Narrow" w:cstheme="minorHAnsi"/>
                <w:bCs/>
                <w:sz w:val="20"/>
                <w:szCs w:val="20"/>
              </w:rPr>
              <w:t>72 (3.9</w:t>
            </w:r>
            <w:r>
              <w:rPr>
                <w:rFonts w:ascii="Arial Narrow" w:hAnsi="Arial Narrow" w:cstheme="minorHAnsi"/>
                <w:bCs/>
                <w:sz w:val="20"/>
                <w:szCs w:val="20"/>
              </w:rPr>
              <w:t>%</w:t>
            </w:r>
            <w:r w:rsidRPr="009317DF">
              <w:rPr>
                <w:rFonts w:ascii="Arial Narrow" w:hAnsi="Arial Narrow" w:cstheme="minorHAnsi"/>
                <w:bCs/>
                <w:sz w:val="20"/>
                <w:szCs w:val="20"/>
              </w:rPr>
              <w:t>)</w:t>
            </w:r>
          </w:p>
        </w:tc>
        <w:tc>
          <w:tcPr>
            <w:tcW w:w="1687" w:type="dxa"/>
            <w:vAlign w:val="center"/>
          </w:tcPr>
          <w:p w14:paraId="06DA50C8" w14:textId="77777777" w:rsidR="00696773" w:rsidRDefault="00696773" w:rsidP="00C7705E">
            <w:pPr>
              <w:keepNext/>
              <w:keepLines/>
              <w:ind w:left="-71" w:right="-62"/>
              <w:jc w:val="center"/>
              <w:rPr>
                <w:rFonts w:ascii="Arial Narrow" w:hAnsi="Arial Narrow" w:cstheme="minorHAnsi"/>
                <w:bCs/>
                <w:sz w:val="20"/>
                <w:szCs w:val="20"/>
              </w:rPr>
            </w:pPr>
            <w:r w:rsidRPr="009317DF">
              <w:rPr>
                <w:rFonts w:ascii="Arial Narrow" w:hAnsi="Arial Narrow" w:cstheme="minorHAnsi"/>
                <w:bCs/>
                <w:sz w:val="20"/>
                <w:szCs w:val="20"/>
              </w:rPr>
              <w:t>82 (4.4</w:t>
            </w:r>
            <w:r>
              <w:rPr>
                <w:rFonts w:ascii="Arial Narrow" w:hAnsi="Arial Narrow" w:cstheme="minorHAnsi"/>
                <w:bCs/>
                <w:sz w:val="20"/>
                <w:szCs w:val="20"/>
              </w:rPr>
              <w:t>%</w:t>
            </w:r>
            <w:r w:rsidRPr="009317DF">
              <w:rPr>
                <w:rFonts w:ascii="Arial Narrow" w:hAnsi="Arial Narrow" w:cstheme="minorHAnsi"/>
                <w:bCs/>
                <w:sz w:val="20"/>
                <w:szCs w:val="20"/>
              </w:rPr>
              <w:t>)</w:t>
            </w:r>
          </w:p>
        </w:tc>
        <w:tc>
          <w:tcPr>
            <w:tcW w:w="1687" w:type="dxa"/>
            <w:vAlign w:val="center"/>
          </w:tcPr>
          <w:p w14:paraId="0059C0B5" w14:textId="77777777" w:rsidR="00696773" w:rsidRPr="00DC0F0D" w:rsidRDefault="00696773" w:rsidP="00C7705E">
            <w:pPr>
              <w:keepNext/>
              <w:keepLines/>
              <w:ind w:left="-71" w:right="-62"/>
              <w:jc w:val="center"/>
              <w:rPr>
                <w:rFonts w:ascii="Arial Narrow" w:hAnsi="Arial Narrow" w:cstheme="minorHAnsi"/>
                <w:sz w:val="20"/>
                <w:szCs w:val="20"/>
              </w:rPr>
            </w:pPr>
            <w:r w:rsidRPr="00DC0F0D">
              <w:rPr>
                <w:rFonts w:ascii="Arial Narrow" w:hAnsi="Arial Narrow" w:cstheme="minorHAnsi"/>
                <w:sz w:val="20"/>
                <w:szCs w:val="20"/>
              </w:rPr>
              <w:t>-</w:t>
            </w:r>
          </w:p>
        </w:tc>
      </w:tr>
      <w:tr w:rsidR="00696773" w:rsidRPr="00AF625C" w14:paraId="3B087E57" w14:textId="77777777" w:rsidTr="00A2704F">
        <w:tc>
          <w:tcPr>
            <w:tcW w:w="3957" w:type="dxa"/>
            <w:vAlign w:val="center"/>
          </w:tcPr>
          <w:p w14:paraId="2A5398E7" w14:textId="77777777" w:rsidR="00696773" w:rsidRDefault="00B04881" w:rsidP="00DC0F0D">
            <w:pPr>
              <w:pStyle w:val="TableText"/>
              <w:keepLines/>
              <w:ind w:left="174"/>
            </w:pPr>
            <w:r>
              <w:t xml:space="preserve"> </w:t>
            </w:r>
            <w:r w:rsidR="00696773">
              <w:t>p</w:t>
            </w:r>
            <w:r w:rsidR="00696773" w:rsidRPr="009317DF">
              <w:t>atients with HHF only</w:t>
            </w:r>
          </w:p>
        </w:tc>
        <w:tc>
          <w:tcPr>
            <w:tcW w:w="1686" w:type="dxa"/>
            <w:vAlign w:val="center"/>
          </w:tcPr>
          <w:p w14:paraId="641DA300" w14:textId="77777777" w:rsidR="00696773" w:rsidRDefault="00696773" w:rsidP="00C7705E">
            <w:pPr>
              <w:keepNext/>
              <w:keepLines/>
              <w:ind w:left="-71" w:right="-62"/>
              <w:jc w:val="center"/>
              <w:rPr>
                <w:rFonts w:ascii="Arial Narrow" w:hAnsi="Arial Narrow" w:cstheme="minorHAnsi"/>
                <w:bCs/>
                <w:sz w:val="20"/>
                <w:szCs w:val="20"/>
              </w:rPr>
            </w:pPr>
            <w:r w:rsidRPr="009317DF">
              <w:rPr>
                <w:rFonts w:ascii="Arial Narrow" w:hAnsi="Arial Narrow" w:cstheme="minorHAnsi"/>
                <w:bCs/>
                <w:sz w:val="20"/>
                <w:szCs w:val="20"/>
              </w:rPr>
              <w:t>174 (9.3</w:t>
            </w:r>
            <w:r>
              <w:rPr>
                <w:rFonts w:ascii="Arial Narrow" w:hAnsi="Arial Narrow" w:cstheme="minorHAnsi"/>
                <w:bCs/>
                <w:sz w:val="20"/>
                <w:szCs w:val="20"/>
              </w:rPr>
              <w:t>%</w:t>
            </w:r>
            <w:r w:rsidRPr="009317DF">
              <w:rPr>
                <w:rFonts w:ascii="Arial Narrow" w:hAnsi="Arial Narrow" w:cstheme="minorHAnsi"/>
                <w:bCs/>
                <w:sz w:val="20"/>
                <w:szCs w:val="20"/>
              </w:rPr>
              <w:t>)</w:t>
            </w:r>
          </w:p>
        </w:tc>
        <w:tc>
          <w:tcPr>
            <w:tcW w:w="1687" w:type="dxa"/>
            <w:vAlign w:val="center"/>
          </w:tcPr>
          <w:p w14:paraId="6003152F" w14:textId="77777777" w:rsidR="00696773" w:rsidRDefault="00696773" w:rsidP="00C7705E">
            <w:pPr>
              <w:keepNext/>
              <w:keepLines/>
              <w:ind w:left="-71" w:right="-62"/>
              <w:jc w:val="center"/>
              <w:rPr>
                <w:rFonts w:ascii="Arial Narrow" w:hAnsi="Arial Narrow" w:cstheme="minorHAnsi"/>
                <w:bCs/>
                <w:sz w:val="20"/>
                <w:szCs w:val="20"/>
              </w:rPr>
            </w:pPr>
            <w:r w:rsidRPr="009317DF">
              <w:rPr>
                <w:rFonts w:ascii="Arial Narrow" w:hAnsi="Arial Narrow" w:cstheme="minorHAnsi"/>
                <w:bCs/>
                <w:sz w:val="20"/>
                <w:szCs w:val="20"/>
              </w:rPr>
              <w:t>260 (13.9</w:t>
            </w:r>
            <w:r>
              <w:rPr>
                <w:rFonts w:ascii="Arial Narrow" w:hAnsi="Arial Narrow" w:cstheme="minorHAnsi"/>
                <w:bCs/>
                <w:sz w:val="20"/>
                <w:szCs w:val="20"/>
              </w:rPr>
              <w:t>%</w:t>
            </w:r>
            <w:r w:rsidRPr="009317DF">
              <w:rPr>
                <w:rFonts w:ascii="Arial Narrow" w:hAnsi="Arial Narrow" w:cstheme="minorHAnsi"/>
                <w:bCs/>
                <w:sz w:val="20"/>
                <w:szCs w:val="20"/>
              </w:rPr>
              <w:t>)</w:t>
            </w:r>
          </w:p>
        </w:tc>
        <w:tc>
          <w:tcPr>
            <w:tcW w:w="1687" w:type="dxa"/>
            <w:vAlign w:val="center"/>
          </w:tcPr>
          <w:p w14:paraId="71509246" w14:textId="77777777" w:rsidR="00696773" w:rsidRPr="00DC0F0D" w:rsidRDefault="00696773" w:rsidP="00C7705E">
            <w:pPr>
              <w:keepNext/>
              <w:keepLines/>
              <w:ind w:left="-71" w:right="-62"/>
              <w:jc w:val="center"/>
              <w:rPr>
                <w:rFonts w:ascii="Arial Narrow" w:hAnsi="Arial Narrow" w:cstheme="minorHAnsi"/>
                <w:sz w:val="20"/>
                <w:szCs w:val="20"/>
              </w:rPr>
            </w:pPr>
            <w:r w:rsidRPr="00DC0F0D">
              <w:rPr>
                <w:rFonts w:ascii="Arial Narrow" w:hAnsi="Arial Narrow" w:cstheme="minorHAnsi"/>
                <w:sz w:val="20"/>
                <w:szCs w:val="20"/>
              </w:rPr>
              <w:t>-</w:t>
            </w:r>
          </w:p>
        </w:tc>
      </w:tr>
      <w:tr w:rsidR="00696773" w:rsidRPr="00AF625C" w14:paraId="0F13CCD3" w14:textId="77777777" w:rsidTr="00A2704F">
        <w:tc>
          <w:tcPr>
            <w:tcW w:w="3957" w:type="dxa"/>
            <w:vAlign w:val="center"/>
          </w:tcPr>
          <w:p w14:paraId="4FE3B3A2" w14:textId="77777777" w:rsidR="00696773" w:rsidRDefault="00696773" w:rsidP="00C7705E">
            <w:pPr>
              <w:pStyle w:val="TableText"/>
              <w:keepLines/>
            </w:pPr>
            <w:r w:rsidRPr="009317DF">
              <w:t xml:space="preserve">Patients with CV death only, </w:t>
            </w:r>
            <w:r>
              <w:t>n</w:t>
            </w:r>
            <w:r w:rsidRPr="009317DF">
              <w:t xml:space="preserve"> (%)</w:t>
            </w:r>
          </w:p>
        </w:tc>
        <w:tc>
          <w:tcPr>
            <w:tcW w:w="1686" w:type="dxa"/>
            <w:vAlign w:val="center"/>
          </w:tcPr>
          <w:p w14:paraId="6D6F3A7F" w14:textId="77777777" w:rsidR="00696773" w:rsidRDefault="00696773" w:rsidP="00C7705E">
            <w:pPr>
              <w:keepNext/>
              <w:keepLines/>
              <w:ind w:left="-71" w:right="-62"/>
              <w:jc w:val="center"/>
              <w:rPr>
                <w:rFonts w:ascii="Arial Narrow" w:hAnsi="Arial Narrow" w:cstheme="minorHAnsi"/>
                <w:bCs/>
                <w:sz w:val="20"/>
                <w:szCs w:val="20"/>
              </w:rPr>
            </w:pPr>
            <w:r w:rsidRPr="009317DF">
              <w:rPr>
                <w:rFonts w:ascii="Arial Narrow" w:hAnsi="Arial Narrow" w:cstheme="minorHAnsi"/>
                <w:bCs/>
                <w:sz w:val="20"/>
                <w:szCs w:val="20"/>
              </w:rPr>
              <w:t>115 (6.2</w:t>
            </w:r>
            <w:r>
              <w:rPr>
                <w:rFonts w:ascii="Arial Narrow" w:hAnsi="Arial Narrow" w:cstheme="minorHAnsi"/>
                <w:bCs/>
                <w:sz w:val="20"/>
                <w:szCs w:val="20"/>
              </w:rPr>
              <w:t>%</w:t>
            </w:r>
            <w:r w:rsidRPr="009317DF">
              <w:rPr>
                <w:rFonts w:ascii="Arial Narrow" w:hAnsi="Arial Narrow" w:cstheme="minorHAnsi"/>
                <w:bCs/>
                <w:sz w:val="20"/>
                <w:szCs w:val="20"/>
              </w:rPr>
              <w:t>)</w:t>
            </w:r>
          </w:p>
        </w:tc>
        <w:tc>
          <w:tcPr>
            <w:tcW w:w="1687" w:type="dxa"/>
            <w:vAlign w:val="center"/>
          </w:tcPr>
          <w:p w14:paraId="5F240283" w14:textId="77777777" w:rsidR="00696773" w:rsidRDefault="00696773" w:rsidP="00C7705E">
            <w:pPr>
              <w:keepNext/>
              <w:keepLines/>
              <w:ind w:left="-71" w:right="-62"/>
              <w:jc w:val="center"/>
              <w:rPr>
                <w:rFonts w:ascii="Arial Narrow" w:hAnsi="Arial Narrow" w:cstheme="minorHAnsi"/>
                <w:bCs/>
                <w:sz w:val="20"/>
                <w:szCs w:val="20"/>
              </w:rPr>
            </w:pPr>
            <w:r w:rsidRPr="009317DF">
              <w:rPr>
                <w:rFonts w:ascii="Arial Narrow" w:hAnsi="Arial Narrow" w:cstheme="minorHAnsi"/>
                <w:bCs/>
                <w:sz w:val="20"/>
                <w:szCs w:val="20"/>
              </w:rPr>
              <w:t>120 (6.4</w:t>
            </w:r>
            <w:r>
              <w:rPr>
                <w:rFonts w:ascii="Arial Narrow" w:hAnsi="Arial Narrow" w:cstheme="minorHAnsi"/>
                <w:bCs/>
                <w:sz w:val="20"/>
                <w:szCs w:val="20"/>
              </w:rPr>
              <w:t>%</w:t>
            </w:r>
            <w:r w:rsidRPr="009317DF">
              <w:rPr>
                <w:rFonts w:ascii="Arial Narrow" w:hAnsi="Arial Narrow" w:cstheme="minorHAnsi"/>
                <w:bCs/>
                <w:sz w:val="20"/>
                <w:szCs w:val="20"/>
              </w:rPr>
              <w:t>)</w:t>
            </w:r>
          </w:p>
        </w:tc>
        <w:tc>
          <w:tcPr>
            <w:tcW w:w="1687" w:type="dxa"/>
            <w:vAlign w:val="center"/>
          </w:tcPr>
          <w:p w14:paraId="0381367B" w14:textId="77777777" w:rsidR="00696773" w:rsidRPr="009317DF" w:rsidRDefault="00696773" w:rsidP="00C7705E">
            <w:pPr>
              <w:keepNext/>
              <w:keepLines/>
              <w:ind w:left="-71" w:right="-62"/>
              <w:jc w:val="center"/>
              <w:rPr>
                <w:rFonts w:ascii="Arial Narrow" w:hAnsi="Arial Narrow" w:cstheme="minorHAnsi"/>
                <w:bCs/>
                <w:sz w:val="20"/>
                <w:szCs w:val="20"/>
              </w:rPr>
            </w:pPr>
            <w:r w:rsidRPr="009317DF">
              <w:rPr>
                <w:rFonts w:ascii="Arial Narrow" w:hAnsi="Arial Narrow" w:cstheme="minorHAnsi"/>
                <w:bCs/>
                <w:sz w:val="20"/>
                <w:szCs w:val="20"/>
              </w:rPr>
              <w:t>0.90 (0.70, 1.15)</w:t>
            </w:r>
          </w:p>
        </w:tc>
      </w:tr>
    </w:tbl>
    <w:p w14:paraId="05A580B7" w14:textId="77777777" w:rsidR="00696773" w:rsidRPr="0002717B" w:rsidRDefault="00696773" w:rsidP="00C7705E">
      <w:pPr>
        <w:pStyle w:val="TableFigureFooter"/>
        <w:keepNext/>
        <w:keepLines/>
      </w:pPr>
      <w:r w:rsidRPr="0002717B">
        <w:t>Source: Table 2.14, p77 of the submission.</w:t>
      </w:r>
    </w:p>
    <w:p w14:paraId="39479997" w14:textId="77777777" w:rsidR="00696773" w:rsidRPr="0002717B" w:rsidRDefault="00696773" w:rsidP="00C7705E">
      <w:pPr>
        <w:pStyle w:val="TableFigureFooter"/>
        <w:keepNext/>
        <w:keepLines/>
      </w:pPr>
      <w:r w:rsidRPr="0002717B">
        <w:t>HHF, hospitalisation for heart failure; ITT, intention to treat; SC, standard care.</w:t>
      </w:r>
    </w:p>
    <w:p w14:paraId="0ADBF6AC" w14:textId="77777777" w:rsidR="00696773" w:rsidRPr="0002717B" w:rsidRDefault="00696773" w:rsidP="00C7705E">
      <w:pPr>
        <w:pStyle w:val="TableFigureFooter"/>
        <w:keepNext/>
        <w:keepLines/>
      </w:pPr>
      <w:r w:rsidRPr="0002717B">
        <w:rPr>
          <w:vertAlign w:val="superscript"/>
        </w:rPr>
        <w:t>a</w:t>
      </w:r>
      <w:r w:rsidRPr="0002717B">
        <w:t xml:space="preserve"> Hazard ratios &lt;1 favour empagliflozin. Statistically significant results in bold.</w:t>
      </w:r>
    </w:p>
    <w:p w14:paraId="3392DC88" w14:textId="77777777" w:rsidR="00696773" w:rsidRPr="0002717B" w:rsidRDefault="00696773" w:rsidP="00C7705E">
      <w:pPr>
        <w:pStyle w:val="TableFigureFooter"/>
        <w:keepNext/>
        <w:keepLines/>
      </w:pPr>
      <w:r w:rsidRPr="0002717B">
        <w:rPr>
          <w:vertAlign w:val="superscript"/>
        </w:rPr>
        <w:t>b</w:t>
      </w:r>
      <w:r w:rsidRPr="0002717B">
        <w:t xml:space="preserve"> Joint frailty exponent (alpha) 1.09. Joint frailty model included factors</w:t>
      </w:r>
      <w:r w:rsidR="00C7705E">
        <w:t xml:space="preserve"> of</w:t>
      </w:r>
      <w:r w:rsidRPr="0002717B">
        <w:t xml:space="preserve"> age, region, sex, and baseline eGFR, diabetes status, LVEF.</w:t>
      </w:r>
    </w:p>
    <w:p w14:paraId="24232227" w14:textId="77777777" w:rsidR="00760C4E" w:rsidRPr="0002717B" w:rsidRDefault="0002717B" w:rsidP="0012228C">
      <w:pPr>
        <w:pStyle w:val="ExecSumBodyText"/>
        <w:rPr>
          <w:color w:val="0066FF"/>
        </w:rPr>
      </w:pPr>
      <w:r>
        <w:rPr>
          <w:rFonts w:eastAsia="Calibri"/>
        </w:rPr>
        <w:t>Treatment with empagliflozin was associated with a statistically significant improvement in time to first adjudicated hospitalisation for HF (first and recurrent, joint frailty model) compared to placebo over a median duration of treatment of 16</w:t>
      </w:r>
      <w:r w:rsidR="00C7705E">
        <w:rPr>
          <w:rFonts w:eastAsia="Calibri"/>
        </w:rPr>
        <w:t> </w:t>
      </w:r>
      <w:r>
        <w:rPr>
          <w:rFonts w:eastAsia="Calibri"/>
        </w:rPr>
        <w:t>months (</w:t>
      </w:r>
      <w:bookmarkStart w:id="24" w:name="_Hlk83374650"/>
      <w:r>
        <w:rPr>
          <w:rFonts w:eastAsia="Calibri"/>
        </w:rPr>
        <w:t xml:space="preserve">hazard ratio: </w:t>
      </w:r>
      <w:bookmarkEnd w:id="24"/>
      <w:r>
        <w:rPr>
          <w:rFonts w:eastAsia="Calibri"/>
        </w:rPr>
        <w:t>0.70; 95% CI: 0.58, 0.85</w:t>
      </w:r>
      <w:r w:rsidRPr="00A55B0D">
        <w:rPr>
          <w:rFonts w:eastAsia="Calibri"/>
        </w:rPr>
        <w:t>)</w:t>
      </w:r>
      <w:r>
        <w:rPr>
          <w:rFonts w:eastAsia="Calibri"/>
        </w:rPr>
        <w:t xml:space="preserve">, with </w:t>
      </w:r>
      <w:r w:rsidRPr="00B14D9F">
        <w:rPr>
          <w:rFonts w:eastAsia="Calibri"/>
        </w:rPr>
        <w:t xml:space="preserve">total number of </w:t>
      </w:r>
      <w:r>
        <w:rPr>
          <w:rFonts w:eastAsia="Calibri"/>
        </w:rPr>
        <w:t xml:space="preserve">hospitalisations for </w:t>
      </w:r>
      <w:r w:rsidRPr="00B14D9F">
        <w:rPr>
          <w:rFonts w:eastAsia="Calibri"/>
        </w:rPr>
        <w:t>HF lower in the empagliflozin group than in the placebo group</w:t>
      </w:r>
      <w:r>
        <w:rPr>
          <w:rFonts w:eastAsia="Calibri"/>
        </w:rPr>
        <w:t xml:space="preserve">. </w:t>
      </w:r>
      <w:r>
        <w:t>The hazard of recurrent hospitalisation for HF was positively correlated with that of cardiovascular death (indicated by a frailty exponent &gt;0).</w:t>
      </w:r>
    </w:p>
    <w:p w14:paraId="72E1F65A" w14:textId="77777777" w:rsidR="0002717B" w:rsidRPr="005C10D1" w:rsidRDefault="0002717B" w:rsidP="0012228C">
      <w:pPr>
        <w:pStyle w:val="ExecSumBodyText"/>
        <w:rPr>
          <w:color w:val="0066FF"/>
        </w:rPr>
      </w:pPr>
      <w:r>
        <w:t>The rate of decline in eGFR over a median duration of treatment of 16 weeks was statistically significantly slower in patients treated with empagliflozin plus SC compared to placebo plus SC, with an estimated difference in slope of 1.733 per year (95% CI: 1.100, 2.366). The composite outcome of time to first renal event also favoured empagliflozin (hazard ratio 0.50, 95% CI: 0.32, 0.77).</w:t>
      </w:r>
    </w:p>
    <w:p w14:paraId="61B4BFC6" w14:textId="77777777" w:rsidR="005C10D1" w:rsidRPr="004E4C67" w:rsidRDefault="00C7705E" w:rsidP="0012228C">
      <w:pPr>
        <w:pStyle w:val="ExecSumBodyText"/>
      </w:pPr>
      <w:r>
        <w:t>The table below</w:t>
      </w:r>
      <w:r w:rsidR="004E4C67" w:rsidRPr="004E4C67">
        <w:t xml:space="preserve"> summarises the results of the exploratory secondary cardiovascular and renal outcomes of the EMPEROR-Reduced trial (ITT).</w:t>
      </w:r>
    </w:p>
    <w:p w14:paraId="6E2DEA1D" w14:textId="77777777" w:rsidR="005C10D1" w:rsidRPr="00915F45" w:rsidRDefault="00B974B3" w:rsidP="003B10F4">
      <w:pPr>
        <w:pStyle w:val="TableFigureCaption"/>
      </w:pPr>
      <w:bookmarkStart w:id="25" w:name="_Ref83376876"/>
      <w:r>
        <w:t xml:space="preserve">Table </w:t>
      </w:r>
      <w:r w:rsidR="00915190">
        <w:rPr>
          <w:noProof/>
        </w:rPr>
        <w:t>6</w:t>
      </w:r>
      <w:bookmarkEnd w:id="25"/>
      <w:r w:rsidR="005C10D1" w:rsidRPr="00915F45">
        <w:t xml:space="preserve">: Results for the </w:t>
      </w:r>
      <w:r w:rsidR="005C10D1">
        <w:t>exploratory</w:t>
      </w:r>
      <w:r w:rsidR="005C10D1" w:rsidRPr="00915F45">
        <w:t xml:space="preserve"> </w:t>
      </w:r>
      <w:r w:rsidR="005C10D1">
        <w:t xml:space="preserve">cardiovascular and renal </w:t>
      </w:r>
      <w:r w:rsidR="005C10D1" w:rsidRPr="00915F45">
        <w:t>outcome</w:t>
      </w:r>
      <w:r w:rsidR="005C10D1">
        <w:t>s</w:t>
      </w:r>
      <w:r w:rsidR="005C10D1" w:rsidRPr="00915F45">
        <w:t xml:space="preserve"> from the </w:t>
      </w:r>
      <w:r w:rsidR="005C10D1">
        <w:t>EMPEROR-Reduced</w:t>
      </w:r>
      <w:r w:rsidR="005C10D1" w:rsidRPr="00915F45">
        <w:t xml:space="preserve"> trial (ITT)</w:t>
      </w:r>
    </w:p>
    <w:tbl>
      <w:tblPr>
        <w:tblStyle w:val="TableGrid"/>
        <w:tblW w:w="5000" w:type="pct"/>
        <w:tblLook w:val="04A0" w:firstRow="1" w:lastRow="0" w:firstColumn="1" w:lastColumn="0" w:noHBand="0" w:noVBand="1"/>
        <w:tblCaption w:val="Table 6: Results for the exploratory cardiovascular and renal outcomes from the EMPEROR-Reduced trial (ITT)"/>
      </w:tblPr>
      <w:tblGrid>
        <w:gridCol w:w="3957"/>
        <w:gridCol w:w="1686"/>
        <w:gridCol w:w="1687"/>
        <w:gridCol w:w="1687"/>
      </w:tblGrid>
      <w:tr w:rsidR="005C10D1" w:rsidRPr="00AF625C" w14:paraId="6B00DE92" w14:textId="77777777" w:rsidTr="0021554F">
        <w:trPr>
          <w:tblHeader/>
        </w:trPr>
        <w:tc>
          <w:tcPr>
            <w:tcW w:w="3957" w:type="dxa"/>
            <w:vAlign w:val="center"/>
          </w:tcPr>
          <w:p w14:paraId="727B5CE8" w14:textId="77777777" w:rsidR="005C10D1" w:rsidRPr="00AF625C" w:rsidRDefault="005C10D1" w:rsidP="0021554F">
            <w:pPr>
              <w:tabs>
                <w:tab w:val="left" w:pos="164"/>
              </w:tabs>
              <w:ind w:right="-114"/>
              <w:rPr>
                <w:rFonts w:ascii="Arial Narrow" w:hAnsi="Arial Narrow"/>
                <w:sz w:val="20"/>
                <w:szCs w:val="20"/>
              </w:rPr>
            </w:pPr>
            <w:r w:rsidRPr="00AF625C">
              <w:rPr>
                <w:rFonts w:ascii="Arial Narrow" w:hAnsi="Arial Narrow"/>
                <w:b/>
                <w:bCs/>
                <w:sz w:val="20"/>
                <w:szCs w:val="20"/>
              </w:rPr>
              <w:t>Outcome</w:t>
            </w:r>
          </w:p>
        </w:tc>
        <w:tc>
          <w:tcPr>
            <w:tcW w:w="1686" w:type="dxa"/>
          </w:tcPr>
          <w:p w14:paraId="01A83296" w14:textId="77777777" w:rsidR="005C10D1" w:rsidRPr="00AF625C" w:rsidRDefault="005C10D1" w:rsidP="0021554F">
            <w:pPr>
              <w:pStyle w:val="TableText"/>
              <w:ind w:left="-71" w:right="-62"/>
              <w:jc w:val="center"/>
              <w:rPr>
                <w:b/>
                <w:bCs w:val="0"/>
                <w:szCs w:val="20"/>
              </w:rPr>
            </w:pPr>
            <w:r>
              <w:rPr>
                <w:b/>
                <w:bCs w:val="0"/>
                <w:szCs w:val="20"/>
              </w:rPr>
              <w:t>Empagliflozin</w:t>
            </w:r>
            <w:r w:rsidRPr="00AF625C">
              <w:rPr>
                <w:b/>
                <w:bCs w:val="0"/>
                <w:szCs w:val="20"/>
              </w:rPr>
              <w:t xml:space="preserve"> +</w:t>
            </w:r>
            <w:r>
              <w:rPr>
                <w:b/>
                <w:bCs w:val="0"/>
                <w:szCs w:val="20"/>
              </w:rPr>
              <w:t xml:space="preserve"> S</w:t>
            </w:r>
            <w:r w:rsidRPr="00AF625C">
              <w:rPr>
                <w:b/>
                <w:bCs w:val="0"/>
                <w:szCs w:val="20"/>
              </w:rPr>
              <w:t>C</w:t>
            </w:r>
          </w:p>
          <w:p w14:paraId="2CA9532D" w14:textId="77777777" w:rsidR="005C10D1" w:rsidRPr="00AF625C" w:rsidRDefault="005C10D1" w:rsidP="0021554F">
            <w:pPr>
              <w:ind w:left="-71" w:right="-62"/>
              <w:jc w:val="center"/>
              <w:rPr>
                <w:rFonts w:ascii="Arial Narrow" w:hAnsi="Arial Narrow"/>
                <w:sz w:val="20"/>
                <w:szCs w:val="20"/>
              </w:rPr>
            </w:pPr>
            <w:r>
              <w:rPr>
                <w:rFonts w:ascii="Arial Narrow" w:hAnsi="Arial Narrow"/>
                <w:b/>
                <w:bCs/>
                <w:sz w:val="20"/>
                <w:szCs w:val="20"/>
              </w:rPr>
              <w:t>N=1863</w:t>
            </w:r>
          </w:p>
        </w:tc>
        <w:tc>
          <w:tcPr>
            <w:tcW w:w="1687" w:type="dxa"/>
          </w:tcPr>
          <w:p w14:paraId="76E89F0A" w14:textId="77777777" w:rsidR="005C10D1" w:rsidRPr="00AF625C" w:rsidRDefault="005C10D1" w:rsidP="0021554F">
            <w:pPr>
              <w:ind w:left="-71" w:right="-62"/>
              <w:jc w:val="center"/>
              <w:rPr>
                <w:rFonts w:ascii="Arial Narrow" w:hAnsi="Arial Narrow"/>
                <w:sz w:val="20"/>
                <w:szCs w:val="20"/>
              </w:rPr>
            </w:pPr>
            <w:r>
              <w:rPr>
                <w:rFonts w:ascii="Arial Narrow" w:hAnsi="Arial Narrow"/>
                <w:b/>
                <w:bCs/>
                <w:sz w:val="20"/>
                <w:szCs w:val="20"/>
              </w:rPr>
              <w:t>Placebo + SC</w:t>
            </w:r>
            <w:r>
              <w:rPr>
                <w:rFonts w:ascii="Arial Narrow" w:hAnsi="Arial Narrow"/>
                <w:b/>
                <w:bCs/>
                <w:sz w:val="20"/>
                <w:szCs w:val="20"/>
              </w:rPr>
              <w:br/>
              <w:t>N=1867</w:t>
            </w:r>
          </w:p>
        </w:tc>
        <w:tc>
          <w:tcPr>
            <w:tcW w:w="1687" w:type="dxa"/>
          </w:tcPr>
          <w:p w14:paraId="552A4917" w14:textId="77777777" w:rsidR="005C10D1" w:rsidRPr="00AF625C" w:rsidRDefault="005C10D1" w:rsidP="0021554F">
            <w:pPr>
              <w:pStyle w:val="TableText"/>
              <w:ind w:left="-71" w:right="-62"/>
              <w:jc w:val="center"/>
              <w:rPr>
                <w:b/>
                <w:bCs w:val="0"/>
                <w:szCs w:val="20"/>
              </w:rPr>
            </w:pPr>
            <w:r w:rsidRPr="00AF625C">
              <w:rPr>
                <w:b/>
                <w:bCs w:val="0"/>
                <w:szCs w:val="20"/>
              </w:rPr>
              <w:t>Hazard ratio</w:t>
            </w:r>
          </w:p>
          <w:p w14:paraId="5242E2BA" w14:textId="77777777" w:rsidR="005C10D1" w:rsidRPr="00B7206A" w:rsidRDefault="005C10D1" w:rsidP="0021554F">
            <w:pPr>
              <w:ind w:left="-71" w:right="-62"/>
              <w:jc w:val="center"/>
              <w:rPr>
                <w:rFonts w:ascii="Arial Narrow" w:hAnsi="Arial Narrow"/>
                <w:sz w:val="20"/>
                <w:szCs w:val="20"/>
                <w:vertAlign w:val="superscript"/>
              </w:rPr>
            </w:pPr>
            <w:r w:rsidRPr="00AF625C">
              <w:rPr>
                <w:rFonts w:ascii="Arial Narrow" w:hAnsi="Arial Narrow"/>
                <w:b/>
                <w:bCs/>
                <w:sz w:val="20"/>
                <w:szCs w:val="20"/>
              </w:rPr>
              <w:t>(95% CI)</w:t>
            </w:r>
            <w:r>
              <w:rPr>
                <w:rFonts w:ascii="Arial Narrow" w:hAnsi="Arial Narrow"/>
                <w:b/>
                <w:bCs/>
                <w:sz w:val="20"/>
                <w:szCs w:val="20"/>
                <w:vertAlign w:val="superscript"/>
              </w:rPr>
              <w:t>a</w:t>
            </w:r>
          </w:p>
        </w:tc>
      </w:tr>
      <w:tr w:rsidR="005C10D1" w:rsidRPr="00AF625C" w14:paraId="0995CA38" w14:textId="77777777" w:rsidTr="0021554F">
        <w:trPr>
          <w:trHeight w:val="101"/>
        </w:trPr>
        <w:tc>
          <w:tcPr>
            <w:tcW w:w="3957" w:type="dxa"/>
            <w:vAlign w:val="center"/>
          </w:tcPr>
          <w:p w14:paraId="1B67818D" w14:textId="77777777" w:rsidR="005C10D1" w:rsidRPr="00AF625C" w:rsidRDefault="005C10D1" w:rsidP="0021554F">
            <w:pPr>
              <w:pStyle w:val="TableText"/>
              <w:tabs>
                <w:tab w:val="left" w:pos="164"/>
              </w:tabs>
              <w:ind w:right="-114"/>
              <w:rPr>
                <w:szCs w:val="20"/>
              </w:rPr>
            </w:pPr>
            <w:r>
              <w:t>First adjudicated HHF (first and recurrent), n (%)</w:t>
            </w:r>
          </w:p>
        </w:tc>
        <w:tc>
          <w:tcPr>
            <w:tcW w:w="1686" w:type="dxa"/>
          </w:tcPr>
          <w:p w14:paraId="6CE1B119" w14:textId="77777777" w:rsidR="005C10D1" w:rsidRPr="00C31F3E" w:rsidRDefault="005C10D1" w:rsidP="0021554F">
            <w:pPr>
              <w:pStyle w:val="TableText"/>
              <w:ind w:left="-71" w:right="-62"/>
              <w:jc w:val="center"/>
              <w:rPr>
                <w:szCs w:val="20"/>
              </w:rPr>
            </w:pPr>
            <w:r w:rsidRPr="00C31F3E">
              <w:rPr>
                <w:szCs w:val="20"/>
              </w:rPr>
              <w:t>246 (13.2%)</w:t>
            </w:r>
          </w:p>
        </w:tc>
        <w:tc>
          <w:tcPr>
            <w:tcW w:w="1687" w:type="dxa"/>
          </w:tcPr>
          <w:p w14:paraId="2953F2BC" w14:textId="77777777" w:rsidR="005C10D1" w:rsidRPr="00C31F3E" w:rsidRDefault="005C10D1" w:rsidP="0021554F">
            <w:pPr>
              <w:pStyle w:val="TableText"/>
              <w:ind w:left="-71" w:right="-62"/>
              <w:jc w:val="center"/>
              <w:rPr>
                <w:szCs w:val="20"/>
              </w:rPr>
            </w:pPr>
            <w:r w:rsidRPr="00C31F3E">
              <w:rPr>
                <w:szCs w:val="20"/>
              </w:rPr>
              <w:t>342 (18.3%)</w:t>
            </w:r>
          </w:p>
        </w:tc>
        <w:tc>
          <w:tcPr>
            <w:tcW w:w="1687" w:type="dxa"/>
            <w:vAlign w:val="center"/>
          </w:tcPr>
          <w:p w14:paraId="1493EA72" w14:textId="77777777" w:rsidR="005C10D1" w:rsidRPr="00C31F3E" w:rsidRDefault="005C10D1" w:rsidP="0021554F">
            <w:pPr>
              <w:pStyle w:val="TableText"/>
              <w:ind w:left="-71" w:right="-62"/>
              <w:jc w:val="center"/>
              <w:rPr>
                <w:szCs w:val="20"/>
              </w:rPr>
            </w:pPr>
            <w:r w:rsidRPr="00C31F3E">
              <w:rPr>
                <w:szCs w:val="20"/>
              </w:rPr>
              <w:t>0.69 (0.59, 0.81)</w:t>
            </w:r>
          </w:p>
        </w:tc>
      </w:tr>
      <w:tr w:rsidR="005C10D1" w:rsidRPr="00AF625C" w14:paraId="7D67DFEC" w14:textId="77777777" w:rsidTr="0021554F">
        <w:trPr>
          <w:trHeight w:val="101"/>
        </w:trPr>
        <w:tc>
          <w:tcPr>
            <w:tcW w:w="3957" w:type="dxa"/>
            <w:vAlign w:val="center"/>
          </w:tcPr>
          <w:p w14:paraId="527B7FAA" w14:textId="77777777" w:rsidR="005C10D1" w:rsidRDefault="005C10D1" w:rsidP="0021554F">
            <w:pPr>
              <w:pStyle w:val="TableText"/>
              <w:tabs>
                <w:tab w:val="left" w:pos="164"/>
              </w:tabs>
              <w:ind w:right="-114"/>
            </w:pPr>
            <w:r>
              <w:t>First adjudicated CV death, n (%)</w:t>
            </w:r>
          </w:p>
        </w:tc>
        <w:tc>
          <w:tcPr>
            <w:tcW w:w="1686" w:type="dxa"/>
            <w:vAlign w:val="center"/>
          </w:tcPr>
          <w:p w14:paraId="66DD74DF" w14:textId="77777777" w:rsidR="005C10D1" w:rsidRPr="00C31F3E" w:rsidRDefault="005C10D1" w:rsidP="0021554F">
            <w:pPr>
              <w:pStyle w:val="TableText"/>
              <w:ind w:left="-71" w:right="-62"/>
              <w:jc w:val="center"/>
              <w:rPr>
                <w:szCs w:val="20"/>
              </w:rPr>
            </w:pPr>
            <w:r w:rsidRPr="00C31F3E">
              <w:rPr>
                <w:szCs w:val="20"/>
              </w:rPr>
              <w:t>187 (10.0</w:t>
            </w:r>
            <w:r>
              <w:rPr>
                <w:szCs w:val="20"/>
              </w:rPr>
              <w:t>%</w:t>
            </w:r>
            <w:r w:rsidRPr="00C31F3E">
              <w:rPr>
                <w:szCs w:val="20"/>
              </w:rPr>
              <w:t>)</w:t>
            </w:r>
          </w:p>
        </w:tc>
        <w:tc>
          <w:tcPr>
            <w:tcW w:w="1687" w:type="dxa"/>
            <w:vAlign w:val="center"/>
          </w:tcPr>
          <w:p w14:paraId="58D9803A" w14:textId="77777777" w:rsidR="005C10D1" w:rsidRPr="00C31F3E" w:rsidRDefault="005C10D1" w:rsidP="0021554F">
            <w:pPr>
              <w:pStyle w:val="TableText"/>
              <w:ind w:left="-71" w:right="-62"/>
              <w:jc w:val="center"/>
              <w:rPr>
                <w:szCs w:val="20"/>
              </w:rPr>
            </w:pPr>
            <w:r w:rsidRPr="00C31F3E">
              <w:rPr>
                <w:szCs w:val="20"/>
              </w:rPr>
              <w:t>202 (10.8</w:t>
            </w:r>
            <w:r>
              <w:rPr>
                <w:szCs w:val="20"/>
              </w:rPr>
              <w:t>%</w:t>
            </w:r>
            <w:r w:rsidRPr="00C31F3E">
              <w:rPr>
                <w:szCs w:val="20"/>
              </w:rPr>
              <w:t>)</w:t>
            </w:r>
          </w:p>
        </w:tc>
        <w:tc>
          <w:tcPr>
            <w:tcW w:w="1687" w:type="dxa"/>
            <w:vAlign w:val="center"/>
          </w:tcPr>
          <w:p w14:paraId="2B191C85" w14:textId="77777777" w:rsidR="005C10D1" w:rsidRPr="00C31F3E" w:rsidRDefault="005C10D1" w:rsidP="0021554F">
            <w:pPr>
              <w:pStyle w:val="TableText"/>
              <w:ind w:left="-71" w:right="-62"/>
              <w:jc w:val="center"/>
              <w:rPr>
                <w:szCs w:val="20"/>
              </w:rPr>
            </w:pPr>
            <w:r w:rsidRPr="00C31F3E">
              <w:rPr>
                <w:szCs w:val="20"/>
              </w:rPr>
              <w:t>0.92 (0.75, 1.12)</w:t>
            </w:r>
          </w:p>
        </w:tc>
      </w:tr>
      <w:tr w:rsidR="005C10D1" w:rsidRPr="00AF625C" w14:paraId="0D3BCD4D" w14:textId="77777777" w:rsidTr="0021554F">
        <w:trPr>
          <w:trHeight w:val="101"/>
        </w:trPr>
        <w:tc>
          <w:tcPr>
            <w:tcW w:w="3957" w:type="dxa"/>
            <w:vAlign w:val="center"/>
          </w:tcPr>
          <w:p w14:paraId="15065720" w14:textId="77777777" w:rsidR="005C10D1" w:rsidRDefault="005C10D1" w:rsidP="0021554F">
            <w:pPr>
              <w:pStyle w:val="TableText"/>
              <w:tabs>
                <w:tab w:val="left" w:pos="164"/>
              </w:tabs>
              <w:ind w:right="-114"/>
            </w:pPr>
            <w:r>
              <w:t>All-cause mortality, n (%)</w:t>
            </w:r>
          </w:p>
        </w:tc>
        <w:tc>
          <w:tcPr>
            <w:tcW w:w="1686" w:type="dxa"/>
            <w:vAlign w:val="center"/>
          </w:tcPr>
          <w:p w14:paraId="2F4919CD" w14:textId="77777777" w:rsidR="005C10D1" w:rsidRPr="00C31F3E" w:rsidRDefault="005C10D1" w:rsidP="0021554F">
            <w:pPr>
              <w:pStyle w:val="TableText"/>
              <w:ind w:left="-71" w:right="-62"/>
              <w:jc w:val="center"/>
              <w:rPr>
                <w:szCs w:val="20"/>
              </w:rPr>
            </w:pPr>
            <w:r w:rsidRPr="00C31F3E">
              <w:rPr>
                <w:szCs w:val="20"/>
              </w:rPr>
              <w:t>249 (13.4</w:t>
            </w:r>
            <w:r>
              <w:rPr>
                <w:szCs w:val="20"/>
              </w:rPr>
              <w:t>%</w:t>
            </w:r>
            <w:r w:rsidRPr="00C31F3E">
              <w:rPr>
                <w:szCs w:val="20"/>
              </w:rPr>
              <w:t>)</w:t>
            </w:r>
          </w:p>
        </w:tc>
        <w:tc>
          <w:tcPr>
            <w:tcW w:w="1687" w:type="dxa"/>
            <w:vAlign w:val="center"/>
          </w:tcPr>
          <w:p w14:paraId="226FA9A3" w14:textId="77777777" w:rsidR="005C10D1" w:rsidRPr="00C31F3E" w:rsidRDefault="005C10D1" w:rsidP="0021554F">
            <w:pPr>
              <w:pStyle w:val="TableText"/>
              <w:ind w:left="-71" w:right="-62"/>
              <w:jc w:val="center"/>
              <w:rPr>
                <w:szCs w:val="20"/>
              </w:rPr>
            </w:pPr>
            <w:r w:rsidRPr="00C31F3E">
              <w:rPr>
                <w:szCs w:val="20"/>
              </w:rPr>
              <w:t>266 (14.2</w:t>
            </w:r>
            <w:r>
              <w:rPr>
                <w:szCs w:val="20"/>
              </w:rPr>
              <w:t>%</w:t>
            </w:r>
            <w:r w:rsidRPr="00C31F3E">
              <w:rPr>
                <w:szCs w:val="20"/>
              </w:rPr>
              <w:t>)</w:t>
            </w:r>
          </w:p>
        </w:tc>
        <w:tc>
          <w:tcPr>
            <w:tcW w:w="1687" w:type="dxa"/>
            <w:vAlign w:val="center"/>
          </w:tcPr>
          <w:p w14:paraId="30CB95BA" w14:textId="77777777" w:rsidR="005C10D1" w:rsidRPr="00C31F3E" w:rsidRDefault="005C10D1" w:rsidP="0021554F">
            <w:pPr>
              <w:pStyle w:val="TableText"/>
              <w:ind w:left="-71" w:right="-62"/>
              <w:jc w:val="center"/>
              <w:rPr>
                <w:szCs w:val="20"/>
              </w:rPr>
            </w:pPr>
            <w:r w:rsidRPr="00C31F3E">
              <w:rPr>
                <w:szCs w:val="20"/>
              </w:rPr>
              <w:t>0.92 (0.77, 1.10)</w:t>
            </w:r>
          </w:p>
        </w:tc>
      </w:tr>
      <w:tr w:rsidR="005C10D1" w:rsidRPr="00AF625C" w14:paraId="30A08796" w14:textId="77777777" w:rsidTr="0021554F">
        <w:trPr>
          <w:trHeight w:val="101"/>
        </w:trPr>
        <w:tc>
          <w:tcPr>
            <w:tcW w:w="3957" w:type="dxa"/>
            <w:vAlign w:val="center"/>
          </w:tcPr>
          <w:p w14:paraId="4A3FB673" w14:textId="77777777" w:rsidR="005C10D1" w:rsidRDefault="005C10D1" w:rsidP="0021554F">
            <w:pPr>
              <w:pStyle w:val="TableText"/>
              <w:tabs>
                <w:tab w:val="left" w:pos="164"/>
              </w:tabs>
              <w:ind w:right="-114"/>
            </w:pPr>
            <w:r>
              <w:t>All cause hospitalisation (first and recurrent), n (%)</w:t>
            </w:r>
          </w:p>
        </w:tc>
        <w:tc>
          <w:tcPr>
            <w:tcW w:w="1686" w:type="dxa"/>
            <w:vAlign w:val="center"/>
          </w:tcPr>
          <w:p w14:paraId="09472B74" w14:textId="77777777" w:rsidR="005C10D1" w:rsidRPr="00C31F3E" w:rsidRDefault="005C10D1" w:rsidP="0021554F">
            <w:pPr>
              <w:pStyle w:val="TableText"/>
              <w:ind w:left="-71" w:right="-62"/>
              <w:jc w:val="center"/>
              <w:rPr>
                <w:szCs w:val="20"/>
              </w:rPr>
            </w:pPr>
            <w:r w:rsidRPr="00C31F3E">
              <w:rPr>
                <w:szCs w:val="20"/>
              </w:rPr>
              <w:t>688 (36.9</w:t>
            </w:r>
            <w:r>
              <w:rPr>
                <w:szCs w:val="20"/>
              </w:rPr>
              <w:t>%</w:t>
            </w:r>
            <w:r w:rsidRPr="00C31F3E">
              <w:rPr>
                <w:szCs w:val="20"/>
              </w:rPr>
              <w:t>)</w:t>
            </w:r>
          </w:p>
        </w:tc>
        <w:tc>
          <w:tcPr>
            <w:tcW w:w="1687" w:type="dxa"/>
            <w:vAlign w:val="center"/>
          </w:tcPr>
          <w:p w14:paraId="0A5AB42C" w14:textId="77777777" w:rsidR="005C10D1" w:rsidRPr="00C31F3E" w:rsidRDefault="005C10D1" w:rsidP="0021554F">
            <w:pPr>
              <w:pStyle w:val="TableText"/>
              <w:ind w:left="-71" w:right="-62"/>
              <w:jc w:val="center"/>
              <w:rPr>
                <w:szCs w:val="20"/>
              </w:rPr>
            </w:pPr>
            <w:r w:rsidRPr="00C31F3E">
              <w:rPr>
                <w:szCs w:val="20"/>
              </w:rPr>
              <w:t>796 (42.6</w:t>
            </w:r>
            <w:r>
              <w:rPr>
                <w:szCs w:val="20"/>
              </w:rPr>
              <w:t>%</w:t>
            </w:r>
            <w:r w:rsidRPr="00C31F3E">
              <w:rPr>
                <w:szCs w:val="20"/>
              </w:rPr>
              <w:t>)</w:t>
            </w:r>
          </w:p>
        </w:tc>
        <w:tc>
          <w:tcPr>
            <w:tcW w:w="1687" w:type="dxa"/>
            <w:vAlign w:val="center"/>
          </w:tcPr>
          <w:p w14:paraId="54BEA3D8" w14:textId="77777777" w:rsidR="005C10D1" w:rsidRPr="00C31F3E" w:rsidRDefault="005C10D1" w:rsidP="0021554F">
            <w:pPr>
              <w:pStyle w:val="TableText"/>
              <w:ind w:left="-71" w:right="-62"/>
              <w:jc w:val="center"/>
              <w:rPr>
                <w:szCs w:val="20"/>
              </w:rPr>
            </w:pPr>
            <w:r w:rsidRPr="00C31F3E">
              <w:rPr>
                <w:szCs w:val="20"/>
              </w:rPr>
              <w:t>0.85 (0.75, 0.95)</w:t>
            </w:r>
          </w:p>
        </w:tc>
      </w:tr>
      <w:tr w:rsidR="005C10D1" w:rsidRPr="00AF625C" w14:paraId="0BBFB2D5" w14:textId="77777777" w:rsidTr="0021554F">
        <w:tc>
          <w:tcPr>
            <w:tcW w:w="3957" w:type="dxa"/>
            <w:vAlign w:val="center"/>
          </w:tcPr>
          <w:p w14:paraId="197E5179" w14:textId="77777777" w:rsidR="005C10D1" w:rsidRPr="008C40B8" w:rsidRDefault="005C10D1" w:rsidP="0021554F">
            <w:pPr>
              <w:tabs>
                <w:tab w:val="left" w:pos="164"/>
              </w:tabs>
              <w:ind w:right="-114"/>
              <w:rPr>
                <w:rFonts w:ascii="Arial Narrow" w:hAnsi="Arial Narrow"/>
                <w:sz w:val="20"/>
                <w:szCs w:val="20"/>
              </w:rPr>
            </w:pPr>
            <w:r>
              <w:rPr>
                <w:rFonts w:ascii="Arial Narrow" w:hAnsi="Arial Narrow" w:cstheme="minorHAnsi"/>
                <w:bCs/>
                <w:sz w:val="20"/>
                <w:szCs w:val="20"/>
              </w:rPr>
              <w:t>C</w:t>
            </w:r>
            <w:r w:rsidRPr="008C40B8">
              <w:rPr>
                <w:rFonts w:ascii="Arial Narrow" w:hAnsi="Arial Narrow" w:cstheme="minorHAnsi"/>
                <w:bCs/>
                <w:sz w:val="20"/>
                <w:szCs w:val="20"/>
              </w:rPr>
              <w:t>omposite renal endpoint</w:t>
            </w:r>
            <w:r w:rsidR="00355FCF">
              <w:rPr>
                <w:rFonts w:ascii="Arial Narrow" w:hAnsi="Arial Narrow" w:cstheme="minorHAnsi"/>
                <w:bCs/>
                <w:sz w:val="20"/>
                <w:szCs w:val="20"/>
              </w:rPr>
              <w:t xml:space="preserve"> </w:t>
            </w:r>
            <w:r>
              <w:rPr>
                <w:rFonts w:ascii="Arial Narrow" w:hAnsi="Arial Narrow" w:cstheme="minorHAnsi"/>
                <w:bCs/>
                <w:sz w:val="20"/>
                <w:szCs w:val="20"/>
                <w:vertAlign w:val="superscript"/>
              </w:rPr>
              <w:t>b</w:t>
            </w:r>
            <w:r w:rsidRPr="008C40B8">
              <w:rPr>
                <w:rFonts w:ascii="Arial Narrow" w:hAnsi="Arial Narrow" w:cstheme="minorHAnsi"/>
                <w:bCs/>
                <w:sz w:val="20"/>
                <w:szCs w:val="20"/>
              </w:rPr>
              <w:t xml:space="preserve"> </w:t>
            </w:r>
            <w:r>
              <w:rPr>
                <w:rFonts w:ascii="Arial Narrow" w:hAnsi="Arial Narrow" w:cstheme="minorHAnsi"/>
                <w:bCs/>
                <w:sz w:val="20"/>
                <w:szCs w:val="20"/>
              </w:rPr>
              <w:t>n</w:t>
            </w:r>
            <w:r w:rsidRPr="008C40B8">
              <w:rPr>
                <w:rFonts w:ascii="Arial Narrow" w:hAnsi="Arial Narrow" w:cstheme="minorHAnsi"/>
                <w:bCs/>
                <w:sz w:val="20"/>
                <w:szCs w:val="20"/>
              </w:rPr>
              <w:t xml:space="preserve"> (%)</w:t>
            </w:r>
          </w:p>
        </w:tc>
        <w:tc>
          <w:tcPr>
            <w:tcW w:w="1686" w:type="dxa"/>
            <w:vAlign w:val="center"/>
          </w:tcPr>
          <w:p w14:paraId="1E08497A" w14:textId="77777777" w:rsidR="005C10D1" w:rsidRPr="008C40B8" w:rsidRDefault="005C10D1" w:rsidP="0021554F">
            <w:pPr>
              <w:ind w:left="-71" w:right="-62"/>
              <w:jc w:val="center"/>
              <w:rPr>
                <w:rFonts w:ascii="Arial Narrow" w:hAnsi="Arial Narrow"/>
                <w:sz w:val="20"/>
                <w:szCs w:val="20"/>
              </w:rPr>
            </w:pPr>
            <w:r w:rsidRPr="008C40B8">
              <w:rPr>
                <w:rFonts w:ascii="Arial Narrow" w:hAnsi="Arial Narrow" w:cstheme="minorHAnsi"/>
                <w:bCs/>
                <w:sz w:val="20"/>
                <w:szCs w:val="20"/>
              </w:rPr>
              <w:t>30 (1.6</w:t>
            </w:r>
            <w:r>
              <w:rPr>
                <w:rFonts w:ascii="Arial Narrow" w:hAnsi="Arial Narrow" w:cstheme="minorHAnsi"/>
                <w:bCs/>
                <w:sz w:val="20"/>
                <w:szCs w:val="20"/>
              </w:rPr>
              <w:t>%</w:t>
            </w:r>
            <w:r w:rsidRPr="008C40B8">
              <w:rPr>
                <w:rFonts w:ascii="Arial Narrow" w:hAnsi="Arial Narrow" w:cstheme="minorHAnsi"/>
                <w:bCs/>
                <w:sz w:val="20"/>
                <w:szCs w:val="20"/>
              </w:rPr>
              <w:t>)</w:t>
            </w:r>
          </w:p>
        </w:tc>
        <w:tc>
          <w:tcPr>
            <w:tcW w:w="1687" w:type="dxa"/>
            <w:vAlign w:val="center"/>
          </w:tcPr>
          <w:p w14:paraId="3EF7A1D7" w14:textId="77777777" w:rsidR="005C10D1" w:rsidRPr="008C40B8" w:rsidRDefault="005C10D1" w:rsidP="0021554F">
            <w:pPr>
              <w:ind w:left="-71" w:right="-62"/>
              <w:jc w:val="center"/>
              <w:rPr>
                <w:rFonts w:ascii="Arial Narrow" w:hAnsi="Arial Narrow"/>
                <w:sz w:val="20"/>
                <w:szCs w:val="20"/>
              </w:rPr>
            </w:pPr>
            <w:r w:rsidRPr="008C40B8">
              <w:rPr>
                <w:rFonts w:ascii="Arial Narrow" w:hAnsi="Arial Narrow" w:cstheme="minorHAnsi"/>
                <w:bCs/>
                <w:sz w:val="20"/>
                <w:szCs w:val="20"/>
              </w:rPr>
              <w:t>58 (3.1</w:t>
            </w:r>
            <w:r>
              <w:rPr>
                <w:rFonts w:ascii="Arial Narrow" w:hAnsi="Arial Narrow" w:cstheme="minorHAnsi"/>
                <w:bCs/>
                <w:sz w:val="20"/>
                <w:szCs w:val="20"/>
              </w:rPr>
              <w:t>%</w:t>
            </w:r>
            <w:r w:rsidRPr="008C40B8">
              <w:rPr>
                <w:rFonts w:ascii="Arial Narrow" w:hAnsi="Arial Narrow" w:cstheme="minorHAnsi"/>
                <w:bCs/>
                <w:sz w:val="20"/>
                <w:szCs w:val="20"/>
              </w:rPr>
              <w:t>)</w:t>
            </w:r>
          </w:p>
        </w:tc>
        <w:tc>
          <w:tcPr>
            <w:tcW w:w="1687" w:type="dxa"/>
            <w:vAlign w:val="center"/>
          </w:tcPr>
          <w:p w14:paraId="3D088AC0" w14:textId="77777777" w:rsidR="005C10D1" w:rsidRPr="008C40B8" w:rsidRDefault="005C10D1" w:rsidP="0021554F">
            <w:pPr>
              <w:ind w:left="-71" w:right="-62"/>
              <w:jc w:val="center"/>
              <w:rPr>
                <w:rFonts w:ascii="Arial Narrow" w:hAnsi="Arial Narrow"/>
                <w:sz w:val="20"/>
                <w:szCs w:val="20"/>
              </w:rPr>
            </w:pPr>
            <w:r w:rsidRPr="008C40B8">
              <w:rPr>
                <w:rFonts w:ascii="Arial Narrow" w:hAnsi="Arial Narrow" w:cstheme="minorHAnsi"/>
                <w:bCs/>
                <w:sz w:val="20"/>
                <w:szCs w:val="20"/>
              </w:rPr>
              <w:t>0.</w:t>
            </w:r>
            <w:r>
              <w:rPr>
                <w:rFonts w:ascii="Arial Narrow" w:hAnsi="Arial Narrow" w:cstheme="minorHAnsi"/>
                <w:bCs/>
                <w:sz w:val="20"/>
                <w:szCs w:val="20"/>
              </w:rPr>
              <w:t>50</w:t>
            </w:r>
            <w:r w:rsidRPr="008C40B8">
              <w:rPr>
                <w:rFonts w:ascii="Arial Narrow" w:hAnsi="Arial Narrow" w:cstheme="minorHAnsi"/>
                <w:bCs/>
                <w:sz w:val="20"/>
                <w:szCs w:val="20"/>
              </w:rPr>
              <w:t xml:space="preserve"> (0.</w:t>
            </w:r>
            <w:r>
              <w:rPr>
                <w:rFonts w:ascii="Arial Narrow" w:hAnsi="Arial Narrow" w:cstheme="minorHAnsi"/>
                <w:bCs/>
                <w:sz w:val="20"/>
                <w:szCs w:val="20"/>
              </w:rPr>
              <w:t>32</w:t>
            </w:r>
            <w:r w:rsidRPr="008C40B8">
              <w:rPr>
                <w:rFonts w:ascii="Arial Narrow" w:hAnsi="Arial Narrow" w:cstheme="minorHAnsi"/>
                <w:bCs/>
                <w:sz w:val="20"/>
                <w:szCs w:val="20"/>
              </w:rPr>
              <w:t>, 0.</w:t>
            </w:r>
            <w:r>
              <w:rPr>
                <w:rFonts w:ascii="Arial Narrow" w:hAnsi="Arial Narrow" w:cstheme="minorHAnsi"/>
                <w:bCs/>
                <w:sz w:val="20"/>
                <w:szCs w:val="20"/>
              </w:rPr>
              <w:t>77</w:t>
            </w:r>
            <w:r w:rsidRPr="008C40B8">
              <w:rPr>
                <w:rFonts w:ascii="Arial Narrow" w:hAnsi="Arial Narrow" w:cstheme="minorHAnsi"/>
                <w:bCs/>
                <w:sz w:val="20"/>
                <w:szCs w:val="20"/>
              </w:rPr>
              <w:t>)</w:t>
            </w:r>
          </w:p>
        </w:tc>
      </w:tr>
    </w:tbl>
    <w:p w14:paraId="543C4901" w14:textId="77777777" w:rsidR="005C10D1" w:rsidRDefault="005C10D1" w:rsidP="004E4C67">
      <w:pPr>
        <w:pStyle w:val="TableFigureFooter"/>
      </w:pPr>
      <w:r>
        <w:t>Source: Table 2.17, p81; Table 2.16, p80; Table 2.18, p83; Table 2.18, p84; and Table 2.20, p86 of the submission.</w:t>
      </w:r>
    </w:p>
    <w:p w14:paraId="27C98AF9" w14:textId="77777777" w:rsidR="005C10D1" w:rsidRDefault="005C10D1" w:rsidP="004E4C67">
      <w:pPr>
        <w:pStyle w:val="TableFigureFooter"/>
      </w:pPr>
      <w:r w:rsidRPr="00D03890">
        <w:t>CV, cardiovascular;</w:t>
      </w:r>
      <w:r>
        <w:t xml:space="preserve"> </w:t>
      </w:r>
      <w:r w:rsidRPr="00D86211">
        <w:t>eGFR, estimated glomerular filtration rate;</w:t>
      </w:r>
      <w:r>
        <w:t xml:space="preserve"> HHF, hospitalisation for heart failure; </w:t>
      </w:r>
      <w:r w:rsidRPr="00D86211">
        <w:t>ITT, intention to treat</w:t>
      </w:r>
      <w:r>
        <w:t>; LVEF, left ventricular ejection fraction; SC, standard care.</w:t>
      </w:r>
    </w:p>
    <w:p w14:paraId="79E5439A" w14:textId="77777777" w:rsidR="005C10D1" w:rsidRDefault="005C10D1" w:rsidP="004E4C67">
      <w:pPr>
        <w:pStyle w:val="TableFigureFooter"/>
      </w:pPr>
      <w:r>
        <w:rPr>
          <w:vertAlign w:val="superscript"/>
        </w:rPr>
        <w:t>a</w:t>
      </w:r>
      <w:r>
        <w:t xml:space="preserve"> Hazard ratios &lt;1 favour empagliflozin</w:t>
      </w:r>
    </w:p>
    <w:p w14:paraId="6B5F6048" w14:textId="77777777" w:rsidR="005C10D1" w:rsidRPr="005C10D1" w:rsidRDefault="005C10D1" w:rsidP="004E4C67">
      <w:pPr>
        <w:pStyle w:val="TableFigureFooter"/>
        <w:rPr>
          <w:color w:val="0066FF"/>
        </w:rPr>
      </w:pPr>
      <w:r>
        <w:rPr>
          <w:vertAlign w:val="superscript"/>
        </w:rPr>
        <w:t>b</w:t>
      </w:r>
      <w:r>
        <w:t xml:space="preserve"> Composite of time to first event of</w:t>
      </w:r>
      <w:r w:rsidR="00C7705E">
        <w:t>:</w:t>
      </w:r>
      <w:r>
        <w:t xml:space="preserve"> (i) c</w:t>
      </w:r>
      <w:r w:rsidRPr="00A24B84">
        <w:t>hronic dialysis (</w:t>
      </w:r>
      <w:r>
        <w:t>≥ 2</w:t>
      </w:r>
      <w:r w:rsidRPr="00A24B84">
        <w:t xml:space="preserve"> </w:t>
      </w:r>
      <w:r>
        <w:t>times/</w:t>
      </w:r>
      <w:r w:rsidRPr="00A24B84">
        <w:t xml:space="preserve">week </w:t>
      </w:r>
      <w:r>
        <w:t>for at least 90 days);</w:t>
      </w:r>
      <w:r w:rsidRPr="00A24B84">
        <w:t xml:space="preserve"> </w:t>
      </w:r>
      <w:r>
        <w:t xml:space="preserve">(ii) </w:t>
      </w:r>
      <w:r w:rsidRPr="00A24B84">
        <w:t>renal transplant</w:t>
      </w:r>
      <w:r w:rsidR="00C7705E">
        <w:t>;</w:t>
      </w:r>
      <w:r w:rsidRPr="00A24B84">
        <w:t xml:space="preserve"> </w:t>
      </w:r>
      <w:r>
        <w:t xml:space="preserve">(iii) </w:t>
      </w:r>
      <w:r w:rsidRPr="00A24B84">
        <w:t>sustained reductio</w:t>
      </w:r>
      <w:r>
        <w:t>n in eGFR from baseline of ≥40%;</w:t>
      </w:r>
      <w:r w:rsidRPr="00A24B84">
        <w:t xml:space="preserve"> </w:t>
      </w:r>
      <w:r>
        <w:t xml:space="preserve">(iv) </w:t>
      </w:r>
      <w:r w:rsidRPr="00A24B84">
        <w:t>sustained eGFR &lt;15 mL/min/1.73 m</w:t>
      </w:r>
      <w:r w:rsidRPr="00AD63DA">
        <w:rPr>
          <w:vertAlign w:val="superscript"/>
        </w:rPr>
        <w:t>2</w:t>
      </w:r>
      <w:r w:rsidRPr="00A24B84">
        <w:t xml:space="preserve"> </w:t>
      </w:r>
      <w:r>
        <w:t>from baseline</w:t>
      </w:r>
      <w:r w:rsidRPr="00A24B84">
        <w:t xml:space="preserve"> ≥30 mL/min/1.73 m</w:t>
      </w:r>
      <w:r w:rsidRPr="00AD63DA">
        <w:rPr>
          <w:vertAlign w:val="superscript"/>
        </w:rPr>
        <w:t>2</w:t>
      </w:r>
      <w:r w:rsidRPr="00A24B84">
        <w:t>, or &lt;10 mL/min/1.73 m</w:t>
      </w:r>
      <w:r w:rsidRPr="00AD63DA">
        <w:rPr>
          <w:vertAlign w:val="superscript"/>
        </w:rPr>
        <w:t>2</w:t>
      </w:r>
      <w:r w:rsidRPr="00A24B84">
        <w:t xml:space="preserve"> </w:t>
      </w:r>
      <w:r>
        <w:t xml:space="preserve">from baseline </w:t>
      </w:r>
      <w:r w:rsidRPr="00A24B84">
        <w:t>&lt;30 mL/min/1.73 m</w:t>
      </w:r>
      <w:r w:rsidRPr="00AD63DA">
        <w:rPr>
          <w:vertAlign w:val="superscript"/>
        </w:rPr>
        <w:t>2</w:t>
      </w:r>
      <w:r w:rsidRPr="00A24B84">
        <w:t>.</w:t>
      </w:r>
    </w:p>
    <w:p w14:paraId="44FD9561" w14:textId="77777777" w:rsidR="00E91B74" w:rsidRPr="00BC61C2" w:rsidRDefault="00E91B74" w:rsidP="0012228C">
      <w:pPr>
        <w:pStyle w:val="ExecSumBodyText"/>
        <w:rPr>
          <w:color w:val="0066FF"/>
        </w:rPr>
      </w:pPr>
      <w:r>
        <w:t>The results of the exploratory outcomes of the EMPEROR-Reduced trial mostly favoured empagliflozin plus SC, but given the outcomes were exploratory, differences should be considered nominal only. Similar proportions of cardiovascular death and all-cause mortality were reported in both treatment arms, with the upper confidence intervals of the hazard ratios of both outcomes exceeding 1, suggesting no difference in mortality between treatments</w:t>
      </w:r>
      <w:r w:rsidR="008A0180">
        <w:t xml:space="preserve">. However, </w:t>
      </w:r>
      <w:r w:rsidR="00D8448F" w:rsidRPr="00565789">
        <w:rPr>
          <w:iCs/>
        </w:rPr>
        <w:t>the ESC noted that the trial was not powered to demonstrate a mortality benefit</w:t>
      </w:r>
      <w:r>
        <w:t>.</w:t>
      </w:r>
    </w:p>
    <w:p w14:paraId="4F588161" w14:textId="77777777" w:rsidR="00A2704F" w:rsidRPr="004B7435" w:rsidRDefault="004B7435" w:rsidP="0012228C">
      <w:pPr>
        <w:pStyle w:val="ExecSumBodyText"/>
        <w:rPr>
          <w:color w:val="0066FF"/>
        </w:rPr>
      </w:pPr>
      <w:r>
        <w:t xml:space="preserve">Treatment with empagliflozin was associated with nominal improvements in the </w:t>
      </w:r>
      <w:r w:rsidR="00C7705E" w:rsidRPr="00C7705E">
        <w:t xml:space="preserve">Kansas City Cardiomyopathy Questionnaire </w:t>
      </w:r>
      <w:r w:rsidR="00C7705E">
        <w:t>(</w:t>
      </w:r>
      <w:r>
        <w:t>KCCQ</w:t>
      </w:r>
      <w:r w:rsidR="00C7705E">
        <w:t>)</w:t>
      </w:r>
      <w:r w:rsidR="003E3B1A">
        <w:t xml:space="preserve"> overall summary score</w:t>
      </w:r>
      <w:r>
        <w:t xml:space="preserve">, clinical summary score </w:t>
      </w:r>
      <w:r w:rsidR="00C7705E">
        <w:t xml:space="preserve">(CSS) </w:t>
      </w:r>
      <w:r>
        <w:t>and total summary score from baseline to Week 52, with i</w:t>
      </w:r>
      <w:r w:rsidR="003E3B1A">
        <w:t xml:space="preserve">mprovement in the KCCQ-CSS </w:t>
      </w:r>
      <w:r>
        <w:t>demonstrated from Week 12 of treatment in both treatmen</w:t>
      </w:r>
      <w:r w:rsidRPr="00C7705E">
        <w:t>t arms</w:t>
      </w:r>
      <w:r w:rsidR="00A2704F" w:rsidRPr="00C7705E">
        <w:rPr>
          <w:rFonts w:cstheme="minorHAnsi"/>
        </w:rPr>
        <w:t>.</w:t>
      </w:r>
    </w:p>
    <w:p w14:paraId="11684999" w14:textId="77777777" w:rsidR="004B7435" w:rsidRPr="00321607" w:rsidRDefault="004B7435" w:rsidP="0012228C">
      <w:pPr>
        <w:pStyle w:val="ExecSumBodyText"/>
        <w:rPr>
          <w:color w:val="0066FF"/>
        </w:rPr>
      </w:pPr>
      <w:r>
        <w:t xml:space="preserve">The submission noted that </w:t>
      </w:r>
      <w:r>
        <w:rPr>
          <w:bCs/>
        </w:rPr>
        <w:t xml:space="preserve">a </w:t>
      </w:r>
      <w:r>
        <w:t>clinically meaningful improvement in KCCQ</w:t>
      </w:r>
      <w:r w:rsidR="00C7705E">
        <w:t>-CSS</w:t>
      </w:r>
      <w:r>
        <w:t xml:space="preserve"> (</w:t>
      </w:r>
      <w:r>
        <w:rPr>
          <w:rFonts w:cs="Calibri"/>
        </w:rPr>
        <w:t xml:space="preserve">≥5 </w:t>
      </w:r>
      <w:r>
        <w:t>points) occurred more frequently in the empagliflozin treatment arm (40%) compared to placebo (35.9%; odds ratio 1.23; 95% CI: 1.05, 1.4</w:t>
      </w:r>
      <w:r w:rsidR="00EC7F59">
        <w:t>5</w:t>
      </w:r>
      <w:r>
        <w:t>), and fewer patients in the empagliflozin treatment arm (32.8%) reported a clinically meaningful decrease in KCCQ score (</w:t>
      </w:r>
      <w:r>
        <w:rPr>
          <w:rFonts w:cs="Calibri"/>
        </w:rPr>
        <w:t xml:space="preserve">≥5 </w:t>
      </w:r>
      <w:r>
        <w:t>points) compared to placebo (36.1%; odds ratio 0.84; 95%</w:t>
      </w:r>
      <w:r w:rsidR="00C7705E">
        <w:t> </w:t>
      </w:r>
      <w:r>
        <w:t>CI: 0.72, 0.9</w:t>
      </w:r>
      <w:r w:rsidR="00EC7F59">
        <w:t>9</w:t>
      </w:r>
      <w:r>
        <w:t>).</w:t>
      </w:r>
    </w:p>
    <w:p w14:paraId="68DC2083" w14:textId="77777777" w:rsidR="004B7435" w:rsidRPr="00C9624D" w:rsidRDefault="004B7435" w:rsidP="00C7705E">
      <w:pPr>
        <w:pStyle w:val="4-SubsectSubhead"/>
      </w:pPr>
      <w:bookmarkStart w:id="26" w:name="_Toc82553838"/>
      <w:r>
        <w:t>Subgroup analyses</w:t>
      </w:r>
      <w:bookmarkEnd w:id="26"/>
    </w:p>
    <w:p w14:paraId="5FD828B1" w14:textId="77777777" w:rsidR="004B7435" w:rsidRPr="00330384" w:rsidRDefault="00E72F51" w:rsidP="0012228C">
      <w:pPr>
        <w:pStyle w:val="ExecSumBodyText"/>
        <w:rPr>
          <w:color w:val="0066FF"/>
        </w:rPr>
      </w:pPr>
      <w:r>
        <w:rPr>
          <w:rFonts w:eastAsia="Calibri"/>
        </w:rPr>
        <w:t>Across the pre-specified subgroup analyses, t</w:t>
      </w:r>
      <w:r w:rsidR="004B7435">
        <w:rPr>
          <w:rFonts w:eastAsia="Calibri"/>
        </w:rPr>
        <w:t>he benefit of empagliflozin plus SC in time to first cardiovascular death or hospitalisation for heart failure compared to placebo plus SC was generally consistent with the result reported for the ITT population. However, t</w:t>
      </w:r>
      <w:r w:rsidR="004B7435">
        <w:t xml:space="preserve">ests for treatment effect interaction indicated a significant </w:t>
      </w:r>
      <w:r w:rsidR="004B7435" w:rsidRPr="00B9021E">
        <w:t xml:space="preserve">interaction by baseline </w:t>
      </w:r>
      <w:r w:rsidR="004B7435">
        <w:t xml:space="preserve">heart </w:t>
      </w:r>
      <w:r w:rsidR="00135BFA" w:rsidRPr="00565789">
        <w:rPr>
          <w:iCs/>
        </w:rPr>
        <w:t>systolic function</w:t>
      </w:r>
      <w:r w:rsidR="00135BFA">
        <w:t xml:space="preserve"> </w:t>
      </w:r>
      <w:r w:rsidR="004B7435">
        <w:t>(LVEF)</w:t>
      </w:r>
      <w:r w:rsidR="004B7435" w:rsidRPr="00B9021E">
        <w:t>, w</w:t>
      </w:r>
      <w:r w:rsidR="004B7435">
        <w:t>ith em</w:t>
      </w:r>
      <w:r w:rsidR="004B7435" w:rsidRPr="00B9021E">
        <w:t>pagliflozin associated with a smaller magnitude of eff</w:t>
      </w:r>
      <w:r w:rsidR="004B7435">
        <w:t>ect in patients with LVEF &gt;30%; and by</w:t>
      </w:r>
      <w:r w:rsidR="004B7435">
        <w:rPr>
          <w:rFonts w:eastAsia="Calibri"/>
        </w:rPr>
        <w:t xml:space="preserve"> r</w:t>
      </w:r>
      <w:r w:rsidR="004B7435" w:rsidRPr="00B9021E">
        <w:rPr>
          <w:rFonts w:eastAsia="Calibri"/>
        </w:rPr>
        <w:t>acial subgroup</w:t>
      </w:r>
      <w:r w:rsidR="004B7435">
        <w:rPr>
          <w:rFonts w:eastAsia="Calibri"/>
        </w:rPr>
        <w:t>,</w:t>
      </w:r>
      <w:r w:rsidR="004B7435">
        <w:t xml:space="preserve"> with empagliflozin associated with </w:t>
      </w:r>
      <w:r w:rsidR="004B7435" w:rsidRPr="00B9021E">
        <w:t>a smaller magnitude of eff</w:t>
      </w:r>
      <w:r w:rsidR="004B7435">
        <w:t>ect for White patients.</w:t>
      </w:r>
    </w:p>
    <w:p w14:paraId="029DE5BF" w14:textId="77777777" w:rsidR="00A864B4" w:rsidRPr="00565789" w:rsidRDefault="00330384" w:rsidP="0012228C">
      <w:pPr>
        <w:pStyle w:val="ExecSumBodyText"/>
      </w:pPr>
      <w:r w:rsidRPr="00565789">
        <w:rPr>
          <w:rFonts w:eastAsia="Calibri"/>
        </w:rPr>
        <w:t>The PSCR</w:t>
      </w:r>
      <w:r w:rsidR="00DF168D" w:rsidRPr="00565789">
        <w:rPr>
          <w:rFonts w:eastAsia="Calibri"/>
        </w:rPr>
        <w:t xml:space="preserve"> considered that these subgroup analyses should be interpreted with caution as they were not adjusted for multiple testing.</w:t>
      </w:r>
      <w:r w:rsidR="00A864B4" w:rsidRPr="00A864B4">
        <w:t xml:space="preserve"> </w:t>
      </w:r>
      <w:r w:rsidR="00A864B4" w:rsidRPr="00565789">
        <w:t xml:space="preserve">The PSCR noted evidence of a consistent treatment effect in patients with preserved ejection fraction (LVEF &gt;40%, including </w:t>
      </w:r>
      <w:r w:rsidR="00A3117F" w:rsidRPr="00565789">
        <w:t xml:space="preserve">the </w:t>
      </w:r>
      <w:r w:rsidR="00A864B4" w:rsidRPr="00565789">
        <w:t xml:space="preserve">subgroup </w:t>
      </w:r>
      <w:r w:rsidR="00A864B4" w:rsidRPr="00565789">
        <w:rPr>
          <w:rFonts w:eastAsia="Calibri"/>
        </w:rPr>
        <w:t>LVEF &gt;40 to &lt;50%</w:t>
      </w:r>
      <w:r w:rsidR="00A3117F" w:rsidRPr="00565789">
        <w:rPr>
          <w:rFonts w:eastAsia="Calibri"/>
        </w:rPr>
        <w:t>;</w:t>
      </w:r>
      <w:r w:rsidR="00A864B4" w:rsidRPr="00565789">
        <w:rPr>
          <w:rFonts w:eastAsia="Calibri"/>
        </w:rPr>
        <w:t xml:space="preserve"> EMPEROR-Preserved trial), and also that the European Society of Cardiology Class I, Level A evidence recommendation for use of SGLT2 inhibitors in HFrEF included patients with LVEF between 30 and 40%.</w:t>
      </w:r>
      <w:r w:rsidR="00D8448F" w:rsidRPr="00565789">
        <w:rPr>
          <w:rFonts w:eastAsia="Calibri"/>
        </w:rPr>
        <w:t xml:space="preserve">  The ESC </w:t>
      </w:r>
      <w:r w:rsidR="00E93071">
        <w:rPr>
          <w:rFonts w:eastAsia="Calibri"/>
        </w:rPr>
        <w:t>advis</w:t>
      </w:r>
      <w:r w:rsidR="00E93071" w:rsidRPr="00565789">
        <w:rPr>
          <w:rFonts w:eastAsia="Calibri"/>
        </w:rPr>
        <w:t xml:space="preserve">ed </w:t>
      </w:r>
      <w:r w:rsidR="00D8448F" w:rsidRPr="00565789">
        <w:rPr>
          <w:rFonts w:eastAsia="Calibri"/>
        </w:rPr>
        <w:t>that these subgroup analyses should be regarded as exploratory.</w:t>
      </w:r>
    </w:p>
    <w:p w14:paraId="7E8382E3" w14:textId="77777777" w:rsidR="00A864B4" w:rsidRPr="00A864B4" w:rsidRDefault="00DF168D" w:rsidP="0012228C">
      <w:pPr>
        <w:pStyle w:val="ExecSumBodyText"/>
        <w:rPr>
          <w:color w:val="0066FF"/>
        </w:rPr>
      </w:pPr>
      <w:bookmarkStart w:id="27" w:name="_Hlk87345313"/>
      <w:r w:rsidRPr="00565789">
        <w:t xml:space="preserve">The PSCR </w:t>
      </w:r>
      <w:r w:rsidR="00A864B4" w:rsidRPr="00565789">
        <w:t xml:space="preserve">claimed that the significant treatment effect interaction for the race subgroup may reflect differences in regional health systems (the majority of white patients in the study were from Europe), as well as the small and unequal sample sizes for each of the race subgroups. </w:t>
      </w:r>
      <w:bookmarkEnd w:id="27"/>
      <w:r w:rsidR="00A864B4" w:rsidRPr="00565789">
        <w:t>It was noted that the findings of the EMPA-REG OUTCOME trial which had larger sample sizes and comparable baseline characteristics to the EMPEROR-Reduced trial showed no treatment interaction effect by race (p=0.43).</w:t>
      </w:r>
    </w:p>
    <w:p w14:paraId="164128A5" w14:textId="77777777" w:rsidR="003E3B1A" w:rsidRPr="003E3B1A" w:rsidRDefault="003E3B1A" w:rsidP="0012228C">
      <w:pPr>
        <w:pStyle w:val="ExecSumBodyText"/>
        <w:rPr>
          <w:color w:val="0066FF"/>
        </w:rPr>
      </w:pPr>
      <w:r w:rsidRPr="00BB1403">
        <w:t>Results of the subgroup analys</w:t>
      </w:r>
      <w:r>
        <w:t>e</w:t>
      </w:r>
      <w:r w:rsidRPr="00BB1403">
        <w:t>s by treatment with or without ARNi at baseline</w:t>
      </w:r>
      <w:r>
        <w:t xml:space="preserve"> were generally </w:t>
      </w:r>
      <w:r w:rsidR="0048449D">
        <w:t xml:space="preserve">consistent </w:t>
      </w:r>
      <w:r>
        <w:t>with the results reported for the overall ITT population. However, results of the subgroup analyses for time to cardiovascular death or all-cause mortality were less favourable for empagliflozin in the subgroup without ARNi</w:t>
      </w:r>
      <w:r w:rsidRPr="009C6DBB">
        <w:t xml:space="preserve"> </w:t>
      </w:r>
      <w:r>
        <w:t>at baseline, although the tests for treatment effect interaction were not significant.</w:t>
      </w:r>
    </w:p>
    <w:p w14:paraId="5CC0F4D1" w14:textId="77777777" w:rsidR="003E3B1A" w:rsidRPr="00C9624D" w:rsidRDefault="003E3B1A" w:rsidP="00C7705E">
      <w:pPr>
        <w:pStyle w:val="4-SubsectSubhead"/>
      </w:pPr>
      <w:bookmarkStart w:id="28" w:name="_Toc82553839"/>
      <w:r>
        <w:t>Indirect treatment comparison with dapagliflozin</w:t>
      </w:r>
      <w:bookmarkEnd w:id="28"/>
    </w:p>
    <w:p w14:paraId="717CDC93" w14:textId="77777777" w:rsidR="003E3B1A" w:rsidRPr="003E3B1A" w:rsidRDefault="003E3B1A" w:rsidP="0012228C">
      <w:pPr>
        <w:pStyle w:val="ExecSumBodyText"/>
        <w:rPr>
          <w:color w:val="0066FF"/>
        </w:rPr>
      </w:pPr>
      <w:r>
        <w:t>The table below</w:t>
      </w:r>
      <w:r w:rsidRPr="0097630E">
        <w:t xml:space="preserve"> summarise</w:t>
      </w:r>
      <w:r w:rsidR="00DE1597">
        <w:t>s</w:t>
      </w:r>
      <w:r w:rsidRPr="0097630E">
        <w:t xml:space="preserve"> the </w:t>
      </w:r>
      <w:r w:rsidR="00841B48">
        <w:t>indirect treatment comparison (</w:t>
      </w:r>
      <w:r w:rsidRPr="0097630E">
        <w:t>ITC</w:t>
      </w:r>
      <w:r w:rsidR="00841B48">
        <w:t>)</w:t>
      </w:r>
      <w:r w:rsidRPr="0097630E">
        <w:t xml:space="preserve"> of empagliflozin plus SC versus dapagliflozin plus SC for the key composite outcome of time to first of cardiovascular death or hospitalisation for heart failure</w:t>
      </w:r>
      <w:r>
        <w:t>.</w:t>
      </w:r>
    </w:p>
    <w:p w14:paraId="5E26EDC2" w14:textId="77777777" w:rsidR="00B316BC" w:rsidRPr="00E72F51" w:rsidRDefault="00B974B3" w:rsidP="00E72F51">
      <w:pPr>
        <w:pStyle w:val="TableFigureCaption"/>
      </w:pPr>
      <w:bookmarkStart w:id="29" w:name="_Ref84950223"/>
      <w:r w:rsidRPr="00E72F51">
        <w:t xml:space="preserve">Table </w:t>
      </w:r>
      <w:r w:rsidR="00915190">
        <w:rPr>
          <w:noProof/>
        </w:rPr>
        <w:t>7</w:t>
      </w:r>
      <w:bookmarkEnd w:id="29"/>
      <w:r w:rsidR="00B316BC" w:rsidRPr="00E72F51">
        <w:t>: Summary of the indirect comparison of empagliflozin plus SC vers</w:t>
      </w:r>
      <w:r w:rsidR="00CD0393" w:rsidRPr="00E72F51">
        <w:t>u</w:t>
      </w:r>
      <w:r w:rsidR="00B316BC" w:rsidRPr="00E72F51">
        <w:t>s dapagliflozin plus SC for the key composite outcome of time to first cardiovascular death or hospitalisation for HF (ITT)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Summary of the indirect comparison of empagliflozin plus SC versus dapagliflozin plus SC for the key composite outcome of time to first cardiovascular death or hospitalisation for HF (ITT)"/>
      </w:tblPr>
      <w:tblGrid>
        <w:gridCol w:w="1838"/>
        <w:gridCol w:w="1794"/>
        <w:gridCol w:w="1795"/>
        <w:gridCol w:w="1795"/>
        <w:gridCol w:w="1795"/>
      </w:tblGrid>
      <w:tr w:rsidR="00B316BC" w:rsidRPr="007E7B30" w14:paraId="1DB8DBC7" w14:textId="77777777" w:rsidTr="00334C88">
        <w:trPr>
          <w:tblHeader/>
        </w:trPr>
        <w:tc>
          <w:tcPr>
            <w:tcW w:w="1838" w:type="dxa"/>
            <w:vAlign w:val="center"/>
          </w:tcPr>
          <w:p w14:paraId="167C1D25" w14:textId="77777777" w:rsidR="00B316BC" w:rsidRPr="007E7B30" w:rsidRDefault="00B316BC" w:rsidP="00E72F51">
            <w:pPr>
              <w:pStyle w:val="Tableheadingrow"/>
            </w:pPr>
            <w:r w:rsidRPr="007E7B30">
              <w:t>Trial</w:t>
            </w:r>
          </w:p>
        </w:tc>
        <w:tc>
          <w:tcPr>
            <w:tcW w:w="1794" w:type="dxa"/>
            <w:shd w:val="clear" w:color="auto" w:fill="auto"/>
            <w:vAlign w:val="center"/>
          </w:tcPr>
          <w:p w14:paraId="3276DCF9" w14:textId="77777777" w:rsidR="00B316BC" w:rsidRPr="007E7B30" w:rsidRDefault="00B316BC" w:rsidP="00E72F51">
            <w:pPr>
              <w:pStyle w:val="Tableheadingrow"/>
              <w:jc w:val="center"/>
            </w:pPr>
            <w:r w:rsidRPr="007E7B30">
              <w:t>Empagliflozin + SC</w:t>
            </w:r>
          </w:p>
          <w:p w14:paraId="15080FB5" w14:textId="77777777" w:rsidR="00B316BC" w:rsidRPr="007E7B30" w:rsidRDefault="00B316BC" w:rsidP="00E72F51">
            <w:pPr>
              <w:pStyle w:val="Tableheadingrow"/>
              <w:jc w:val="center"/>
            </w:pPr>
            <w:r w:rsidRPr="007E7B30">
              <w:t>n/N (%)</w:t>
            </w:r>
          </w:p>
        </w:tc>
        <w:tc>
          <w:tcPr>
            <w:tcW w:w="1795" w:type="dxa"/>
            <w:shd w:val="clear" w:color="auto" w:fill="auto"/>
            <w:vAlign w:val="center"/>
          </w:tcPr>
          <w:p w14:paraId="714F3EA9" w14:textId="77777777" w:rsidR="00B316BC" w:rsidRPr="007E7B30" w:rsidRDefault="00B316BC" w:rsidP="00E72F51">
            <w:pPr>
              <w:pStyle w:val="Tableheadingrow"/>
              <w:jc w:val="center"/>
            </w:pPr>
            <w:r w:rsidRPr="007E7B30">
              <w:t>Placebo + SC</w:t>
            </w:r>
          </w:p>
          <w:p w14:paraId="0823C42C" w14:textId="77777777" w:rsidR="00B316BC" w:rsidRPr="007E7B30" w:rsidRDefault="00B316BC" w:rsidP="00E72F51">
            <w:pPr>
              <w:pStyle w:val="Tableheadingrow"/>
              <w:jc w:val="center"/>
            </w:pPr>
            <w:r w:rsidRPr="007E7B30">
              <w:t>n/N (%)</w:t>
            </w:r>
          </w:p>
        </w:tc>
        <w:tc>
          <w:tcPr>
            <w:tcW w:w="1795" w:type="dxa"/>
            <w:shd w:val="clear" w:color="auto" w:fill="auto"/>
            <w:vAlign w:val="center"/>
          </w:tcPr>
          <w:p w14:paraId="5F297950" w14:textId="77777777" w:rsidR="00B316BC" w:rsidRPr="007E7B30" w:rsidRDefault="00B316BC" w:rsidP="00E72F51">
            <w:pPr>
              <w:pStyle w:val="Tableheadingrow"/>
              <w:jc w:val="center"/>
            </w:pPr>
            <w:r w:rsidRPr="007E7B30">
              <w:t>Dapagliflozin + SC</w:t>
            </w:r>
          </w:p>
          <w:p w14:paraId="551FEE25" w14:textId="77777777" w:rsidR="00B316BC" w:rsidRPr="007E7B30" w:rsidRDefault="00B316BC" w:rsidP="00E72F51">
            <w:pPr>
              <w:pStyle w:val="Tableheadingrow"/>
              <w:jc w:val="center"/>
            </w:pPr>
            <w:r w:rsidRPr="007E7B30">
              <w:t>n/N (%)</w:t>
            </w:r>
          </w:p>
        </w:tc>
        <w:tc>
          <w:tcPr>
            <w:tcW w:w="1795" w:type="dxa"/>
            <w:shd w:val="clear" w:color="auto" w:fill="auto"/>
            <w:vAlign w:val="center"/>
          </w:tcPr>
          <w:p w14:paraId="44FFD37D" w14:textId="77777777" w:rsidR="00B316BC" w:rsidRPr="007E7B30" w:rsidRDefault="00B316BC" w:rsidP="00E72F51">
            <w:pPr>
              <w:pStyle w:val="Tableheadingrow"/>
              <w:jc w:val="center"/>
            </w:pPr>
            <w:r w:rsidRPr="007E7B30">
              <w:t>Hazard Ratio</w:t>
            </w:r>
          </w:p>
          <w:p w14:paraId="25613848" w14:textId="77777777" w:rsidR="00B316BC" w:rsidRPr="007E7B30" w:rsidRDefault="00B316BC" w:rsidP="00E72F51">
            <w:pPr>
              <w:pStyle w:val="Tableheadingrow"/>
              <w:jc w:val="center"/>
            </w:pPr>
            <w:r w:rsidRPr="007E7B30">
              <w:t>(95% CI)</w:t>
            </w:r>
          </w:p>
        </w:tc>
      </w:tr>
      <w:tr w:rsidR="00B316BC" w:rsidRPr="007E7B30" w14:paraId="0218CE1C" w14:textId="77777777" w:rsidTr="00334C88">
        <w:tc>
          <w:tcPr>
            <w:tcW w:w="9017" w:type="dxa"/>
            <w:gridSpan w:val="5"/>
            <w:vAlign w:val="center"/>
          </w:tcPr>
          <w:p w14:paraId="57D42EEB" w14:textId="77777777" w:rsidR="00B316BC" w:rsidRPr="0007222E" w:rsidRDefault="00B316BC" w:rsidP="00E72F51">
            <w:pPr>
              <w:pStyle w:val="Tableheadingrow"/>
              <w:rPr>
                <w:vertAlign w:val="superscript"/>
              </w:rPr>
            </w:pPr>
            <w:r w:rsidRPr="00E72F51">
              <w:t>Empagliflozin</w:t>
            </w:r>
            <w:r w:rsidRPr="007E7B30">
              <w:t xml:space="preserve"> + SC vs dapagliflozin + SC: similar outcome definitions (time to CV death or HHF)</w:t>
            </w:r>
            <w:r>
              <w:rPr>
                <w:vertAlign w:val="superscript"/>
              </w:rPr>
              <w:t>a</w:t>
            </w:r>
          </w:p>
        </w:tc>
      </w:tr>
      <w:tr w:rsidR="00B316BC" w:rsidRPr="007E7B30" w14:paraId="7680DC26" w14:textId="77777777" w:rsidTr="00334C88">
        <w:tc>
          <w:tcPr>
            <w:tcW w:w="1838" w:type="dxa"/>
            <w:vAlign w:val="center"/>
          </w:tcPr>
          <w:p w14:paraId="0CA7A865" w14:textId="77777777" w:rsidR="00B316BC" w:rsidRPr="00E72F51" w:rsidRDefault="00B316BC" w:rsidP="00E72F51">
            <w:pPr>
              <w:pStyle w:val="TableText"/>
            </w:pPr>
            <w:r w:rsidRPr="00E72F51">
              <w:t>EMPEROR-Reduced</w:t>
            </w:r>
          </w:p>
        </w:tc>
        <w:tc>
          <w:tcPr>
            <w:tcW w:w="1794" w:type="dxa"/>
            <w:shd w:val="clear" w:color="auto" w:fill="auto"/>
            <w:vAlign w:val="center"/>
          </w:tcPr>
          <w:p w14:paraId="16F3E238" w14:textId="77777777" w:rsidR="00B316BC" w:rsidRPr="00E72F51" w:rsidRDefault="00B316BC" w:rsidP="00E72F51">
            <w:pPr>
              <w:pStyle w:val="TableText"/>
              <w:jc w:val="center"/>
            </w:pPr>
            <w:r w:rsidRPr="00E72F51">
              <w:t>361/1863 (19.4%)</w:t>
            </w:r>
          </w:p>
        </w:tc>
        <w:tc>
          <w:tcPr>
            <w:tcW w:w="1795" w:type="dxa"/>
            <w:shd w:val="clear" w:color="auto" w:fill="auto"/>
            <w:vAlign w:val="center"/>
          </w:tcPr>
          <w:p w14:paraId="253A394E" w14:textId="77777777" w:rsidR="00B316BC" w:rsidRPr="00E72F51" w:rsidRDefault="00B316BC" w:rsidP="00E72F51">
            <w:pPr>
              <w:pStyle w:val="TableText"/>
              <w:jc w:val="center"/>
            </w:pPr>
            <w:r w:rsidRPr="00E72F51">
              <w:t>462/1867 (24.7%)</w:t>
            </w:r>
          </w:p>
        </w:tc>
        <w:tc>
          <w:tcPr>
            <w:tcW w:w="1795" w:type="dxa"/>
            <w:shd w:val="clear" w:color="auto" w:fill="auto"/>
            <w:vAlign w:val="center"/>
          </w:tcPr>
          <w:p w14:paraId="45B52E0E" w14:textId="77777777" w:rsidR="00B316BC" w:rsidRPr="00E72F51" w:rsidRDefault="00B316BC" w:rsidP="00E72F51">
            <w:pPr>
              <w:pStyle w:val="TableText"/>
              <w:jc w:val="center"/>
            </w:pPr>
          </w:p>
        </w:tc>
        <w:tc>
          <w:tcPr>
            <w:tcW w:w="1795" w:type="dxa"/>
            <w:shd w:val="clear" w:color="auto" w:fill="auto"/>
            <w:vAlign w:val="center"/>
          </w:tcPr>
          <w:p w14:paraId="52B4A092" w14:textId="77777777" w:rsidR="00B316BC" w:rsidRPr="007E7B30" w:rsidRDefault="00B316BC" w:rsidP="00334C88">
            <w:pPr>
              <w:pStyle w:val="BodyText"/>
              <w:spacing w:before="0" w:after="0" w:line="240" w:lineRule="auto"/>
              <w:jc w:val="center"/>
              <w:rPr>
                <w:rFonts w:ascii="Arial Narrow" w:hAnsi="Arial Narrow"/>
                <w:b/>
                <w:sz w:val="20"/>
                <w:szCs w:val="20"/>
              </w:rPr>
            </w:pPr>
            <w:r w:rsidRPr="007E7B30">
              <w:rPr>
                <w:rFonts w:ascii="Arial Narrow" w:hAnsi="Arial Narrow"/>
                <w:b/>
                <w:sz w:val="20"/>
                <w:szCs w:val="20"/>
              </w:rPr>
              <w:t>0.75 (0.65, 0.86)</w:t>
            </w:r>
          </w:p>
        </w:tc>
      </w:tr>
      <w:tr w:rsidR="00B316BC" w:rsidRPr="007E7B30" w14:paraId="2628B229" w14:textId="77777777" w:rsidTr="00334C88">
        <w:tc>
          <w:tcPr>
            <w:tcW w:w="1838" w:type="dxa"/>
            <w:vAlign w:val="center"/>
          </w:tcPr>
          <w:p w14:paraId="488A9936" w14:textId="77777777" w:rsidR="00B316BC" w:rsidRPr="00E72F51" w:rsidRDefault="00B316BC" w:rsidP="00E72F51">
            <w:pPr>
              <w:pStyle w:val="TableText"/>
            </w:pPr>
            <w:r w:rsidRPr="00E72F51">
              <w:t>DAPA-HF</w:t>
            </w:r>
          </w:p>
        </w:tc>
        <w:tc>
          <w:tcPr>
            <w:tcW w:w="1794" w:type="dxa"/>
            <w:shd w:val="clear" w:color="auto" w:fill="auto"/>
            <w:vAlign w:val="center"/>
          </w:tcPr>
          <w:p w14:paraId="08248CC1" w14:textId="77777777" w:rsidR="00B316BC" w:rsidRPr="00E72F51" w:rsidRDefault="00B316BC" w:rsidP="00E72F51">
            <w:pPr>
              <w:pStyle w:val="TableText"/>
              <w:jc w:val="center"/>
            </w:pPr>
          </w:p>
        </w:tc>
        <w:tc>
          <w:tcPr>
            <w:tcW w:w="1795" w:type="dxa"/>
            <w:shd w:val="clear" w:color="auto" w:fill="auto"/>
            <w:vAlign w:val="center"/>
          </w:tcPr>
          <w:p w14:paraId="7D387D4F" w14:textId="77777777" w:rsidR="00B316BC" w:rsidRPr="00E72F51" w:rsidRDefault="00B316BC" w:rsidP="00E72F51">
            <w:pPr>
              <w:pStyle w:val="TableText"/>
              <w:jc w:val="center"/>
            </w:pPr>
            <w:r w:rsidRPr="00E72F51">
              <w:t>495/2371 (20.9%)</w:t>
            </w:r>
          </w:p>
        </w:tc>
        <w:tc>
          <w:tcPr>
            <w:tcW w:w="1795" w:type="dxa"/>
            <w:shd w:val="clear" w:color="auto" w:fill="auto"/>
            <w:vAlign w:val="center"/>
          </w:tcPr>
          <w:p w14:paraId="7B2C3E8D" w14:textId="77777777" w:rsidR="00B316BC" w:rsidRPr="00E72F51" w:rsidRDefault="00B316BC" w:rsidP="00E72F51">
            <w:pPr>
              <w:pStyle w:val="TableText"/>
              <w:jc w:val="center"/>
            </w:pPr>
            <w:r w:rsidRPr="00E72F51">
              <w:t>382/2373 (16.1%)</w:t>
            </w:r>
          </w:p>
        </w:tc>
        <w:tc>
          <w:tcPr>
            <w:tcW w:w="1795" w:type="dxa"/>
            <w:shd w:val="clear" w:color="auto" w:fill="auto"/>
            <w:vAlign w:val="center"/>
          </w:tcPr>
          <w:p w14:paraId="6B6894FE" w14:textId="77777777" w:rsidR="00B316BC" w:rsidRPr="007E7B30" w:rsidRDefault="00B316BC" w:rsidP="00334C88">
            <w:pPr>
              <w:pStyle w:val="BodyText"/>
              <w:spacing w:before="0" w:after="0" w:line="240" w:lineRule="auto"/>
              <w:jc w:val="center"/>
              <w:rPr>
                <w:rFonts w:ascii="Arial Narrow" w:hAnsi="Arial Narrow"/>
                <w:b/>
                <w:sz w:val="20"/>
                <w:szCs w:val="20"/>
              </w:rPr>
            </w:pPr>
            <w:r w:rsidRPr="007E7B30">
              <w:rPr>
                <w:rFonts w:ascii="Arial Narrow" w:hAnsi="Arial Narrow"/>
                <w:b/>
                <w:sz w:val="20"/>
                <w:szCs w:val="20"/>
              </w:rPr>
              <w:t>0.75 (0.65, 0.85)</w:t>
            </w:r>
          </w:p>
        </w:tc>
      </w:tr>
      <w:tr w:rsidR="00B316BC" w:rsidRPr="007E7B30" w14:paraId="5B459F02" w14:textId="77777777" w:rsidTr="00334C88">
        <w:tc>
          <w:tcPr>
            <w:tcW w:w="7222" w:type="dxa"/>
            <w:gridSpan w:val="4"/>
            <w:vAlign w:val="center"/>
          </w:tcPr>
          <w:p w14:paraId="0247994D" w14:textId="77777777" w:rsidR="00B316BC" w:rsidRPr="00E72F51" w:rsidRDefault="00B316BC" w:rsidP="00E72F51">
            <w:pPr>
              <w:pStyle w:val="TableText"/>
              <w:jc w:val="right"/>
            </w:pPr>
            <w:r w:rsidRPr="00E72F51">
              <w:t>Indirect treatment comparison for empagliflozin + SC versus dapagliflozin + SC</w:t>
            </w:r>
          </w:p>
        </w:tc>
        <w:tc>
          <w:tcPr>
            <w:tcW w:w="1795" w:type="dxa"/>
            <w:shd w:val="clear" w:color="auto" w:fill="auto"/>
            <w:vAlign w:val="center"/>
          </w:tcPr>
          <w:p w14:paraId="0FD0E09D" w14:textId="77777777" w:rsidR="00B316BC" w:rsidRPr="007E7B30" w:rsidRDefault="00B316BC" w:rsidP="00334C88">
            <w:pPr>
              <w:pStyle w:val="BodyText"/>
              <w:spacing w:before="0" w:after="0" w:line="240" w:lineRule="auto"/>
              <w:jc w:val="center"/>
              <w:rPr>
                <w:rFonts w:ascii="Arial Narrow" w:hAnsi="Arial Narrow"/>
                <w:sz w:val="20"/>
                <w:szCs w:val="20"/>
              </w:rPr>
            </w:pPr>
            <w:r w:rsidRPr="007E7B30">
              <w:rPr>
                <w:rFonts w:ascii="Arial Narrow" w:hAnsi="Arial Narrow"/>
                <w:sz w:val="20"/>
                <w:szCs w:val="20"/>
              </w:rPr>
              <w:t>1.00 (0.82, 1.21)</w:t>
            </w:r>
          </w:p>
        </w:tc>
      </w:tr>
      <w:tr w:rsidR="00B316BC" w:rsidRPr="007E7B30" w14:paraId="153DDE78" w14:textId="77777777" w:rsidTr="00334C88">
        <w:tc>
          <w:tcPr>
            <w:tcW w:w="9017" w:type="dxa"/>
            <w:gridSpan w:val="5"/>
            <w:vAlign w:val="center"/>
          </w:tcPr>
          <w:p w14:paraId="18F1F482" w14:textId="77777777" w:rsidR="00B316BC" w:rsidRPr="007E7B30" w:rsidRDefault="00B316BC" w:rsidP="00E72F51">
            <w:pPr>
              <w:pStyle w:val="Tableheadingrow"/>
              <w:rPr>
                <w:vertAlign w:val="superscript"/>
              </w:rPr>
            </w:pPr>
            <w:r w:rsidRPr="007E7B30">
              <w:t xml:space="preserve">Empagliflozin + SC vs dapagliflozin + SC: </w:t>
            </w:r>
            <w:r>
              <w:t xml:space="preserve">sensitivity analysis using </w:t>
            </w:r>
            <w:r w:rsidRPr="007E7B30">
              <w:t>primary outcome</w:t>
            </w:r>
            <w:r>
              <w:t>s</w:t>
            </w:r>
            <w:r>
              <w:rPr>
                <w:vertAlign w:val="superscript"/>
              </w:rPr>
              <w:t>b</w:t>
            </w:r>
          </w:p>
        </w:tc>
      </w:tr>
      <w:tr w:rsidR="00B316BC" w:rsidRPr="007E7B30" w14:paraId="7912BA07" w14:textId="77777777" w:rsidTr="00334C88">
        <w:tc>
          <w:tcPr>
            <w:tcW w:w="1838" w:type="dxa"/>
            <w:vAlign w:val="center"/>
          </w:tcPr>
          <w:p w14:paraId="018C60C3" w14:textId="77777777" w:rsidR="00B316BC" w:rsidRPr="00E72F51" w:rsidRDefault="00B316BC" w:rsidP="00E72F51">
            <w:pPr>
              <w:pStyle w:val="TableText"/>
            </w:pPr>
            <w:r w:rsidRPr="00E72F51">
              <w:t>EMPEROR-Reduced</w:t>
            </w:r>
          </w:p>
        </w:tc>
        <w:tc>
          <w:tcPr>
            <w:tcW w:w="1794" w:type="dxa"/>
            <w:shd w:val="clear" w:color="auto" w:fill="auto"/>
            <w:vAlign w:val="center"/>
          </w:tcPr>
          <w:p w14:paraId="0168D10A" w14:textId="77777777" w:rsidR="00B316BC" w:rsidRPr="00E72F51" w:rsidRDefault="00B316BC" w:rsidP="00E72F51">
            <w:pPr>
              <w:pStyle w:val="TableText"/>
              <w:jc w:val="center"/>
            </w:pPr>
            <w:r w:rsidRPr="00E72F51">
              <w:t>361/1863 (19.4%)</w:t>
            </w:r>
          </w:p>
        </w:tc>
        <w:tc>
          <w:tcPr>
            <w:tcW w:w="1795" w:type="dxa"/>
            <w:shd w:val="clear" w:color="auto" w:fill="auto"/>
            <w:vAlign w:val="center"/>
          </w:tcPr>
          <w:p w14:paraId="2D2828F4" w14:textId="77777777" w:rsidR="00B316BC" w:rsidRPr="00E72F51" w:rsidRDefault="00B316BC" w:rsidP="00E72F51">
            <w:pPr>
              <w:pStyle w:val="TableText"/>
              <w:jc w:val="center"/>
            </w:pPr>
            <w:r w:rsidRPr="00E72F51">
              <w:t>462/1867 (24.7%)</w:t>
            </w:r>
          </w:p>
        </w:tc>
        <w:tc>
          <w:tcPr>
            <w:tcW w:w="1795" w:type="dxa"/>
            <w:shd w:val="clear" w:color="auto" w:fill="auto"/>
            <w:vAlign w:val="center"/>
          </w:tcPr>
          <w:p w14:paraId="78B7E014" w14:textId="77777777" w:rsidR="00B316BC" w:rsidRPr="00E72F51" w:rsidRDefault="00B316BC" w:rsidP="00E72F51">
            <w:pPr>
              <w:pStyle w:val="TableText"/>
              <w:jc w:val="center"/>
            </w:pPr>
          </w:p>
        </w:tc>
        <w:tc>
          <w:tcPr>
            <w:tcW w:w="1795" w:type="dxa"/>
            <w:shd w:val="clear" w:color="auto" w:fill="auto"/>
            <w:vAlign w:val="center"/>
          </w:tcPr>
          <w:p w14:paraId="411C631A" w14:textId="77777777" w:rsidR="00B316BC" w:rsidRPr="007E7B30" w:rsidRDefault="00B316BC" w:rsidP="00334C88">
            <w:pPr>
              <w:pStyle w:val="BodyText"/>
              <w:spacing w:before="0" w:after="0" w:line="240" w:lineRule="auto"/>
              <w:jc w:val="center"/>
              <w:rPr>
                <w:rFonts w:ascii="Arial Narrow" w:hAnsi="Arial Narrow"/>
                <w:b/>
                <w:sz w:val="20"/>
                <w:szCs w:val="20"/>
              </w:rPr>
            </w:pPr>
            <w:r w:rsidRPr="007E7B30">
              <w:rPr>
                <w:rFonts w:ascii="Arial Narrow" w:hAnsi="Arial Narrow"/>
                <w:b/>
                <w:sz w:val="20"/>
                <w:szCs w:val="20"/>
              </w:rPr>
              <w:t>0.75 (0.65, 0.86)</w:t>
            </w:r>
          </w:p>
        </w:tc>
      </w:tr>
      <w:tr w:rsidR="00B316BC" w:rsidRPr="007E7B30" w14:paraId="1CBCAD1A" w14:textId="77777777" w:rsidTr="00334C88">
        <w:tc>
          <w:tcPr>
            <w:tcW w:w="1838" w:type="dxa"/>
            <w:vAlign w:val="center"/>
          </w:tcPr>
          <w:p w14:paraId="5E7799B9" w14:textId="77777777" w:rsidR="00B316BC" w:rsidRPr="00E72F51" w:rsidRDefault="00B316BC" w:rsidP="00E72F51">
            <w:pPr>
              <w:pStyle w:val="TableText"/>
            </w:pPr>
            <w:r w:rsidRPr="00E72F51">
              <w:t>DAPA-HF</w:t>
            </w:r>
          </w:p>
        </w:tc>
        <w:tc>
          <w:tcPr>
            <w:tcW w:w="1794" w:type="dxa"/>
            <w:shd w:val="clear" w:color="auto" w:fill="auto"/>
            <w:vAlign w:val="center"/>
          </w:tcPr>
          <w:p w14:paraId="2D513FBA" w14:textId="77777777" w:rsidR="00B316BC" w:rsidRPr="00E72F51" w:rsidRDefault="00B316BC" w:rsidP="00E72F51">
            <w:pPr>
              <w:pStyle w:val="TableText"/>
              <w:jc w:val="center"/>
            </w:pPr>
          </w:p>
        </w:tc>
        <w:tc>
          <w:tcPr>
            <w:tcW w:w="1795" w:type="dxa"/>
            <w:shd w:val="clear" w:color="auto" w:fill="auto"/>
            <w:vAlign w:val="center"/>
          </w:tcPr>
          <w:p w14:paraId="21067D2B" w14:textId="77777777" w:rsidR="00B316BC" w:rsidRPr="00E72F51" w:rsidRDefault="00B316BC" w:rsidP="00E72F51">
            <w:pPr>
              <w:pStyle w:val="TableText"/>
              <w:jc w:val="center"/>
            </w:pPr>
            <w:r w:rsidRPr="00E72F51">
              <w:t>502/2371 (21.2%)</w:t>
            </w:r>
          </w:p>
        </w:tc>
        <w:tc>
          <w:tcPr>
            <w:tcW w:w="1795" w:type="dxa"/>
            <w:shd w:val="clear" w:color="auto" w:fill="auto"/>
            <w:vAlign w:val="center"/>
          </w:tcPr>
          <w:p w14:paraId="10FC8FC0" w14:textId="77777777" w:rsidR="00B316BC" w:rsidRPr="00E72F51" w:rsidRDefault="00B316BC" w:rsidP="00E72F51">
            <w:pPr>
              <w:pStyle w:val="TableText"/>
              <w:jc w:val="center"/>
            </w:pPr>
            <w:r w:rsidRPr="00E72F51">
              <w:t>386/2373 (16.3%)</w:t>
            </w:r>
          </w:p>
        </w:tc>
        <w:tc>
          <w:tcPr>
            <w:tcW w:w="1795" w:type="dxa"/>
            <w:shd w:val="clear" w:color="auto" w:fill="auto"/>
            <w:vAlign w:val="center"/>
          </w:tcPr>
          <w:p w14:paraId="442363E9" w14:textId="77777777" w:rsidR="00B316BC" w:rsidRPr="007E7B30" w:rsidRDefault="00B316BC" w:rsidP="00334C88">
            <w:pPr>
              <w:pStyle w:val="BodyText"/>
              <w:spacing w:before="0" w:after="0" w:line="240" w:lineRule="auto"/>
              <w:jc w:val="center"/>
              <w:rPr>
                <w:rFonts w:ascii="Arial Narrow" w:hAnsi="Arial Narrow"/>
                <w:b/>
                <w:sz w:val="20"/>
                <w:szCs w:val="20"/>
              </w:rPr>
            </w:pPr>
            <w:r w:rsidRPr="007E7B30">
              <w:rPr>
                <w:rFonts w:ascii="Arial Narrow" w:hAnsi="Arial Narrow"/>
                <w:b/>
                <w:sz w:val="20"/>
                <w:szCs w:val="20"/>
              </w:rPr>
              <w:t>0.74 (0.65, 0.85)</w:t>
            </w:r>
          </w:p>
        </w:tc>
      </w:tr>
      <w:tr w:rsidR="00B316BC" w:rsidRPr="007E7B30" w14:paraId="364D9E17" w14:textId="77777777" w:rsidTr="00334C88">
        <w:tc>
          <w:tcPr>
            <w:tcW w:w="7222" w:type="dxa"/>
            <w:gridSpan w:val="4"/>
            <w:vAlign w:val="center"/>
          </w:tcPr>
          <w:p w14:paraId="0D496E8D" w14:textId="77777777" w:rsidR="00B316BC" w:rsidRPr="00E72F51" w:rsidRDefault="00B316BC" w:rsidP="00E72F51">
            <w:pPr>
              <w:pStyle w:val="TableText"/>
              <w:jc w:val="right"/>
            </w:pPr>
            <w:r w:rsidRPr="00E72F51">
              <w:t>Indirect treatment comparison for empagliflozin + SC versus dapagliflozin + SC</w:t>
            </w:r>
          </w:p>
        </w:tc>
        <w:tc>
          <w:tcPr>
            <w:tcW w:w="1795" w:type="dxa"/>
            <w:shd w:val="clear" w:color="auto" w:fill="auto"/>
            <w:vAlign w:val="center"/>
          </w:tcPr>
          <w:p w14:paraId="5522E23A" w14:textId="77777777" w:rsidR="00B316BC" w:rsidRPr="007E7B30" w:rsidRDefault="00B316BC" w:rsidP="00334C88">
            <w:pPr>
              <w:pStyle w:val="BodyText"/>
              <w:spacing w:before="0" w:after="0" w:line="240" w:lineRule="auto"/>
              <w:jc w:val="center"/>
              <w:rPr>
                <w:rFonts w:ascii="Arial Narrow" w:hAnsi="Arial Narrow"/>
                <w:sz w:val="20"/>
                <w:szCs w:val="20"/>
              </w:rPr>
            </w:pPr>
            <w:r w:rsidRPr="007E7B30">
              <w:rPr>
                <w:rFonts w:ascii="Arial Narrow" w:hAnsi="Arial Narrow"/>
                <w:sz w:val="20"/>
                <w:szCs w:val="20"/>
              </w:rPr>
              <w:t>1.01 (0.84, 1.23)</w:t>
            </w:r>
          </w:p>
        </w:tc>
      </w:tr>
    </w:tbl>
    <w:p w14:paraId="5AB6BC15" w14:textId="77777777" w:rsidR="00B316BC" w:rsidRPr="00E72F51" w:rsidRDefault="00B316BC" w:rsidP="00E72F51">
      <w:pPr>
        <w:pStyle w:val="TableFigureFooter"/>
      </w:pPr>
      <w:r w:rsidRPr="00E72F51">
        <w:t>Source: Table 2.19, p43 of the submission. Note: Statistically significant results in bold.</w:t>
      </w:r>
    </w:p>
    <w:p w14:paraId="2F5A68C4" w14:textId="77777777" w:rsidR="00B316BC" w:rsidRPr="00E72F51" w:rsidRDefault="00B316BC" w:rsidP="00E72F51">
      <w:pPr>
        <w:pStyle w:val="TableFigureFooter"/>
      </w:pPr>
      <w:r w:rsidRPr="00E72F51">
        <w:t>CI, confidence interval; CV, cardiovascular; HF, heart failure; HHF, hospitalisation for heart failure; ITT, intention to treat; SC, standard care.</w:t>
      </w:r>
    </w:p>
    <w:p w14:paraId="3A71F9B3" w14:textId="77777777" w:rsidR="00B316BC" w:rsidRPr="00E72F51" w:rsidRDefault="00B316BC" w:rsidP="00E72F51">
      <w:pPr>
        <w:pStyle w:val="TableFigureFooter"/>
      </w:pPr>
      <w:r w:rsidRPr="00E72F51">
        <w:rPr>
          <w:vertAlign w:val="superscript"/>
        </w:rPr>
        <w:t>a</w:t>
      </w:r>
      <w:r w:rsidRPr="00E72F51">
        <w:t xml:space="preserve"> Key secondary outcome for the DAPA-HF trial of time to first CV death or HHF.</w:t>
      </w:r>
    </w:p>
    <w:p w14:paraId="41852158" w14:textId="77777777" w:rsidR="00B316BC" w:rsidRPr="00E72F51" w:rsidRDefault="00B316BC" w:rsidP="00E72F51">
      <w:pPr>
        <w:pStyle w:val="TableFigureFooter"/>
      </w:pPr>
      <w:r w:rsidRPr="00E72F51">
        <w:rPr>
          <w:vertAlign w:val="superscript"/>
        </w:rPr>
        <w:t>b</w:t>
      </w:r>
      <w:r w:rsidRPr="00E72F51">
        <w:t xml:space="preserve"> Primary composite outcome for the DAPA-HF trial of time to first CV death, HHF, or urgent HF visit.</w:t>
      </w:r>
    </w:p>
    <w:p w14:paraId="2B5CF43A" w14:textId="77777777" w:rsidR="003E3B1A" w:rsidRPr="00B316BC" w:rsidRDefault="00B316BC" w:rsidP="0012228C">
      <w:pPr>
        <w:pStyle w:val="ExecSumBodyText"/>
        <w:rPr>
          <w:color w:val="0066FF"/>
        </w:rPr>
      </w:pPr>
      <w:r>
        <w:t xml:space="preserve">Results of the </w:t>
      </w:r>
      <w:r w:rsidR="00E72F51">
        <w:t xml:space="preserve">ITC </w:t>
      </w:r>
      <w:r>
        <w:t xml:space="preserve">of empagliflozin plus SC versus dapagliflozin plus SC for the primary composite outcome showed no statistically significant difference between treatments (hazard ratio </w:t>
      </w:r>
      <w:r w:rsidRPr="009B4218">
        <w:t>1.00</w:t>
      </w:r>
      <w:r>
        <w:t xml:space="preserve">; 95% CI: </w:t>
      </w:r>
      <w:r w:rsidRPr="009B4218">
        <w:t>0.82, 1.21)</w:t>
      </w:r>
      <w:r>
        <w:t xml:space="preserve">. The upper 95% confidence interval for the ITC did not exceed the nominated </w:t>
      </w:r>
      <w:r w:rsidR="002B614B">
        <w:t>noninferior</w:t>
      </w:r>
      <w:r>
        <w:t xml:space="preserve">ity margin of 1.3. </w:t>
      </w:r>
      <w:r w:rsidRPr="00D14896">
        <w:t xml:space="preserve">However, the upper 95% confidence interval of the </w:t>
      </w:r>
      <w:r w:rsidR="00E72F51">
        <w:t>ITC</w:t>
      </w:r>
      <w:r w:rsidRPr="00D14896">
        <w:t xml:space="preserve"> exceeded </w:t>
      </w:r>
      <w:r w:rsidR="00B0564F">
        <w:t>a</w:t>
      </w:r>
      <w:r w:rsidR="00B0564F" w:rsidRPr="00D14896">
        <w:t xml:space="preserve"> </w:t>
      </w:r>
      <w:r w:rsidR="002B614B">
        <w:t>noninferior</w:t>
      </w:r>
      <w:r w:rsidRPr="00D14896">
        <w:t>ity margin of 1.104 considered reasonable</w:t>
      </w:r>
      <w:r w:rsidRPr="00565789">
        <w:rPr>
          <w:iCs/>
        </w:rPr>
        <w:t xml:space="preserve"> </w:t>
      </w:r>
      <w:r w:rsidR="00E72F51" w:rsidRPr="00565789">
        <w:rPr>
          <w:iCs/>
        </w:rPr>
        <w:t xml:space="preserve">by ESC </w:t>
      </w:r>
      <w:r w:rsidRPr="00D14896">
        <w:t xml:space="preserve">at the November 2020 PBAC meeting (para 6.13, </w:t>
      </w:r>
      <w:r w:rsidR="00E72F51">
        <w:t>d</w:t>
      </w:r>
      <w:r w:rsidRPr="00D14896">
        <w:t>apagliflozin</w:t>
      </w:r>
      <w:r w:rsidR="00E72F51">
        <w:t>,</w:t>
      </w:r>
      <w:r w:rsidRPr="00D14896">
        <w:t xml:space="preserve"> PSD, November 2020 PBAC meeting)</w:t>
      </w:r>
      <w:r w:rsidRPr="002E7A7A">
        <w:rPr>
          <w:rFonts w:cstheme="minorHAnsi"/>
        </w:rPr>
        <w:t>.</w:t>
      </w:r>
    </w:p>
    <w:p w14:paraId="281224F2" w14:textId="77777777" w:rsidR="00B316BC" w:rsidRPr="00B316BC" w:rsidRDefault="00B316BC" w:rsidP="0012228C">
      <w:pPr>
        <w:pStyle w:val="ExecSumBodyText"/>
        <w:rPr>
          <w:color w:val="0066FF"/>
        </w:rPr>
      </w:pPr>
      <w:r>
        <w:t xml:space="preserve">There </w:t>
      </w:r>
      <w:r w:rsidRPr="00E72F51">
        <w:t xml:space="preserve">were no statistically significant differences for the </w:t>
      </w:r>
      <w:r w:rsidR="00E72F51" w:rsidRPr="00E72F51">
        <w:t xml:space="preserve">ITCs </w:t>
      </w:r>
      <w:r w:rsidRPr="00E72F51">
        <w:t xml:space="preserve">based on secondary outcomes. The lack of a statistically significant difference may not be sufficient to establish </w:t>
      </w:r>
      <w:r w:rsidR="002B614B" w:rsidRPr="00E72F51">
        <w:t>noninferior</w:t>
      </w:r>
      <w:r w:rsidRPr="00E72F51">
        <w:t>ity</w:t>
      </w:r>
      <w:r w:rsidRPr="00D14896">
        <w:t xml:space="preserve"> as the 95% confidence intervals may include clinically important differences.</w:t>
      </w:r>
      <w:r w:rsidR="00555EA3">
        <w:t xml:space="preserve"> </w:t>
      </w:r>
      <w:r w:rsidR="00555EA3" w:rsidRPr="00565789">
        <w:rPr>
          <w:iCs/>
        </w:rPr>
        <w:t>However, as noted above in the Clinical trials section, the benefit of the SGLT2 inhibitors are broadly considered to be a class effect.</w:t>
      </w:r>
      <w:r w:rsidRPr="00D14896">
        <w:t xml:space="preserve"> The</w:t>
      </w:r>
      <w:r w:rsidR="00756F31">
        <w:t xml:space="preserve"> </w:t>
      </w:r>
      <w:r w:rsidR="00756F31" w:rsidRPr="00565789">
        <w:rPr>
          <w:iCs/>
        </w:rPr>
        <w:t>evaluation considered that the</w:t>
      </w:r>
      <w:r w:rsidRPr="00D14896">
        <w:t xml:space="preserve"> results of the </w:t>
      </w:r>
      <w:r w:rsidR="00262343">
        <w:t>ITCs</w:t>
      </w:r>
      <w:r w:rsidRPr="00D14896">
        <w:t xml:space="preserve"> should be interpreted with caution due to differences between the trials in patient characteristics and standard care treatments.</w:t>
      </w:r>
      <w:r w:rsidR="00B0564F">
        <w:t xml:space="preserve"> </w:t>
      </w:r>
      <w:r w:rsidR="00B0564F" w:rsidRPr="00565789">
        <w:rPr>
          <w:iCs/>
        </w:rPr>
        <w:t xml:space="preserve">The ESC agreed that </w:t>
      </w:r>
      <w:r w:rsidR="005F1060" w:rsidRPr="00565789">
        <w:rPr>
          <w:iCs/>
        </w:rPr>
        <w:t xml:space="preserve">any </w:t>
      </w:r>
      <w:r w:rsidR="00B0564F" w:rsidRPr="00565789">
        <w:rPr>
          <w:iCs/>
        </w:rPr>
        <w:t xml:space="preserve">ITC results should be interpreted with caution, but </w:t>
      </w:r>
      <w:r w:rsidR="00756F31" w:rsidRPr="00565789">
        <w:rPr>
          <w:iCs/>
        </w:rPr>
        <w:t xml:space="preserve">also </w:t>
      </w:r>
      <w:r w:rsidR="005F1060" w:rsidRPr="00565789">
        <w:rPr>
          <w:iCs/>
        </w:rPr>
        <w:t xml:space="preserve">noted that the differences between trials were bidirectional. </w:t>
      </w:r>
    </w:p>
    <w:p w14:paraId="5B202384" w14:textId="77777777" w:rsidR="00B60939" w:rsidRPr="00C9624D" w:rsidRDefault="00B60939" w:rsidP="00D86231">
      <w:pPr>
        <w:pStyle w:val="3-SubsectionHeading"/>
      </w:pPr>
      <w:bookmarkStart w:id="30" w:name="_Toc22897642"/>
      <w:bookmarkStart w:id="31" w:name="_Toc82553840"/>
      <w:r w:rsidRPr="00C9624D">
        <w:t>Comparative harms</w:t>
      </w:r>
      <w:bookmarkEnd w:id="30"/>
      <w:bookmarkEnd w:id="31"/>
    </w:p>
    <w:p w14:paraId="7AFF635B" w14:textId="77777777" w:rsidR="00B60939" w:rsidRDefault="00262343" w:rsidP="0012228C">
      <w:pPr>
        <w:pStyle w:val="ExecSumBodyText"/>
        <w:rPr>
          <w:color w:val="0066FF"/>
        </w:rPr>
      </w:pPr>
      <w:r>
        <w:t>The table below</w:t>
      </w:r>
      <w:r w:rsidR="00A2704F" w:rsidRPr="002E7A7A">
        <w:t xml:space="preserve"> summarises the results of the key safety outcomes for the EMPEROR-Reduced trial</w:t>
      </w:r>
      <w:r w:rsidR="00AC0E89">
        <w:t xml:space="preserve"> comparing empagliflozin plus SC with placebo plus SC</w:t>
      </w:r>
      <w:r w:rsidR="00A2704F" w:rsidRPr="002E7A7A">
        <w:t>.</w:t>
      </w:r>
    </w:p>
    <w:p w14:paraId="3293832F" w14:textId="77777777" w:rsidR="00A2704F" w:rsidRPr="00080909" w:rsidRDefault="00B974B3" w:rsidP="003B10F4">
      <w:pPr>
        <w:pStyle w:val="TableFigureCaption"/>
      </w:pPr>
      <w:r>
        <w:t xml:space="preserve">Table </w:t>
      </w:r>
      <w:r w:rsidR="00915190">
        <w:rPr>
          <w:noProof/>
        </w:rPr>
        <w:t>8</w:t>
      </w:r>
      <w:r w:rsidR="00A2704F" w:rsidRPr="00080909">
        <w:t>:</w:t>
      </w:r>
      <w:r w:rsidR="00A2704F">
        <w:t xml:space="preserve"> </w:t>
      </w:r>
      <w:r w:rsidR="00A2704F" w:rsidRPr="00080909">
        <w:t xml:space="preserve">Summary of </w:t>
      </w:r>
      <w:r w:rsidR="00A2704F">
        <w:t xml:space="preserve">key </w:t>
      </w:r>
      <w:r w:rsidR="00A2704F" w:rsidRPr="00080909">
        <w:t xml:space="preserve">adverse events in the </w:t>
      </w:r>
      <w:r w:rsidR="00A2704F">
        <w:t>EMPEROR-Reduced trial (treated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Summary of key adverse events in the EMPEROR-Reduced trial (treated set)"/>
      </w:tblPr>
      <w:tblGrid>
        <w:gridCol w:w="3823"/>
        <w:gridCol w:w="2597"/>
        <w:gridCol w:w="2597"/>
      </w:tblGrid>
      <w:tr w:rsidR="00A2704F" w:rsidRPr="00080909" w14:paraId="45D19C1F" w14:textId="77777777" w:rsidTr="00A2704F">
        <w:trPr>
          <w:tblHeader/>
        </w:trPr>
        <w:tc>
          <w:tcPr>
            <w:tcW w:w="3823" w:type="dxa"/>
            <w:vAlign w:val="center"/>
          </w:tcPr>
          <w:p w14:paraId="601C75EB" w14:textId="77777777" w:rsidR="00A2704F" w:rsidRPr="0091354C" w:rsidRDefault="00A2704F" w:rsidP="00A2704F">
            <w:pPr>
              <w:pStyle w:val="Tableheadingrow"/>
              <w:rPr>
                <w:szCs w:val="20"/>
              </w:rPr>
            </w:pPr>
            <w:r w:rsidRPr="0091354C">
              <w:rPr>
                <w:szCs w:val="20"/>
              </w:rPr>
              <w:t>Adverse event</w:t>
            </w:r>
            <w:r>
              <w:rPr>
                <w:szCs w:val="20"/>
              </w:rPr>
              <w:t>s, n (%)</w:t>
            </w:r>
          </w:p>
        </w:tc>
        <w:tc>
          <w:tcPr>
            <w:tcW w:w="2597" w:type="dxa"/>
            <w:vAlign w:val="center"/>
          </w:tcPr>
          <w:p w14:paraId="3EE49C07" w14:textId="77777777" w:rsidR="00A2704F" w:rsidRPr="0091354C" w:rsidRDefault="00A2704F" w:rsidP="00A2704F">
            <w:pPr>
              <w:pStyle w:val="Tableheadingrow"/>
              <w:jc w:val="center"/>
              <w:rPr>
                <w:szCs w:val="20"/>
              </w:rPr>
            </w:pPr>
            <w:r w:rsidRPr="0091354C">
              <w:rPr>
                <w:szCs w:val="20"/>
              </w:rPr>
              <w:t>Empagliflozin + SC</w:t>
            </w:r>
          </w:p>
          <w:p w14:paraId="63428258" w14:textId="77777777" w:rsidR="00A2704F" w:rsidRPr="0091354C" w:rsidRDefault="00A2704F" w:rsidP="00A2704F">
            <w:pPr>
              <w:pStyle w:val="Tableheadingrow"/>
              <w:jc w:val="center"/>
              <w:rPr>
                <w:szCs w:val="20"/>
              </w:rPr>
            </w:pPr>
            <w:r w:rsidRPr="0091354C">
              <w:rPr>
                <w:szCs w:val="20"/>
              </w:rPr>
              <w:t xml:space="preserve"> (N=1863)</w:t>
            </w:r>
          </w:p>
        </w:tc>
        <w:tc>
          <w:tcPr>
            <w:tcW w:w="2597" w:type="dxa"/>
            <w:vAlign w:val="center"/>
          </w:tcPr>
          <w:p w14:paraId="098F66F4" w14:textId="77777777" w:rsidR="00A2704F" w:rsidRPr="0091354C" w:rsidRDefault="00A2704F" w:rsidP="00A2704F">
            <w:pPr>
              <w:pStyle w:val="Tableheadingrow"/>
              <w:jc w:val="center"/>
              <w:rPr>
                <w:szCs w:val="20"/>
              </w:rPr>
            </w:pPr>
            <w:r w:rsidRPr="0091354C">
              <w:rPr>
                <w:szCs w:val="20"/>
              </w:rPr>
              <w:t>Placebo + SC</w:t>
            </w:r>
          </w:p>
          <w:p w14:paraId="5D6D5137" w14:textId="77777777" w:rsidR="00A2704F" w:rsidRPr="0091354C" w:rsidRDefault="00A2704F" w:rsidP="00A2704F">
            <w:pPr>
              <w:pStyle w:val="Tableheadingrow"/>
              <w:jc w:val="center"/>
              <w:rPr>
                <w:szCs w:val="20"/>
              </w:rPr>
            </w:pPr>
            <w:r w:rsidRPr="0091354C">
              <w:rPr>
                <w:szCs w:val="20"/>
              </w:rPr>
              <w:t xml:space="preserve"> (N=1863)</w:t>
            </w:r>
          </w:p>
        </w:tc>
      </w:tr>
      <w:tr w:rsidR="00A2704F" w14:paraId="2D77DFE7" w14:textId="77777777" w:rsidTr="00A2704F">
        <w:tc>
          <w:tcPr>
            <w:tcW w:w="3823" w:type="dxa"/>
            <w:vAlign w:val="center"/>
          </w:tcPr>
          <w:p w14:paraId="155F35BE" w14:textId="77777777" w:rsidR="00A2704F" w:rsidRPr="0091354C" w:rsidRDefault="00A2704F" w:rsidP="00A2704F">
            <w:pPr>
              <w:pStyle w:val="TableText"/>
              <w:rPr>
                <w:szCs w:val="20"/>
              </w:rPr>
            </w:pPr>
            <w:r w:rsidRPr="0091354C">
              <w:rPr>
                <w:rFonts w:cstheme="minorHAnsi"/>
                <w:szCs w:val="20"/>
              </w:rPr>
              <w:t>Patients with any adverse events</w:t>
            </w:r>
          </w:p>
        </w:tc>
        <w:tc>
          <w:tcPr>
            <w:tcW w:w="2597" w:type="dxa"/>
            <w:vAlign w:val="center"/>
          </w:tcPr>
          <w:p w14:paraId="009D83C2" w14:textId="77777777" w:rsidR="00A2704F" w:rsidRPr="0091354C" w:rsidRDefault="00A2704F" w:rsidP="00A2704F">
            <w:pPr>
              <w:pStyle w:val="TableText"/>
              <w:jc w:val="center"/>
              <w:rPr>
                <w:szCs w:val="20"/>
              </w:rPr>
            </w:pPr>
            <w:r w:rsidRPr="0091354C">
              <w:rPr>
                <w:rFonts w:cstheme="minorHAnsi"/>
                <w:szCs w:val="20"/>
              </w:rPr>
              <w:t>1420 (76.2%)</w:t>
            </w:r>
          </w:p>
        </w:tc>
        <w:tc>
          <w:tcPr>
            <w:tcW w:w="2597" w:type="dxa"/>
            <w:vAlign w:val="center"/>
          </w:tcPr>
          <w:p w14:paraId="35D452C3" w14:textId="77777777" w:rsidR="00A2704F" w:rsidRPr="0091354C" w:rsidRDefault="00A2704F" w:rsidP="00A2704F">
            <w:pPr>
              <w:pStyle w:val="TableText"/>
              <w:jc w:val="center"/>
              <w:rPr>
                <w:szCs w:val="20"/>
              </w:rPr>
            </w:pPr>
            <w:r w:rsidRPr="0091354C">
              <w:rPr>
                <w:rFonts w:cstheme="minorHAnsi"/>
                <w:szCs w:val="20"/>
              </w:rPr>
              <w:t>1463 (78.5%)</w:t>
            </w:r>
          </w:p>
        </w:tc>
      </w:tr>
      <w:tr w:rsidR="00A2704F" w14:paraId="4B5C7683" w14:textId="77777777" w:rsidTr="00A2704F">
        <w:tc>
          <w:tcPr>
            <w:tcW w:w="3823" w:type="dxa"/>
            <w:vAlign w:val="center"/>
          </w:tcPr>
          <w:p w14:paraId="6AD576C9" w14:textId="77777777" w:rsidR="00A2704F" w:rsidRPr="0091354C" w:rsidRDefault="00A2704F" w:rsidP="00A2704F">
            <w:pPr>
              <w:pStyle w:val="TableText"/>
              <w:rPr>
                <w:szCs w:val="20"/>
              </w:rPr>
            </w:pPr>
            <w:r w:rsidRPr="0091354C">
              <w:rPr>
                <w:rFonts w:cstheme="minorHAnsi"/>
                <w:szCs w:val="20"/>
              </w:rPr>
              <w:t>Severe adverse events</w:t>
            </w:r>
          </w:p>
        </w:tc>
        <w:tc>
          <w:tcPr>
            <w:tcW w:w="2597" w:type="dxa"/>
            <w:vAlign w:val="center"/>
          </w:tcPr>
          <w:p w14:paraId="1A3ADD01" w14:textId="77777777" w:rsidR="00A2704F" w:rsidRPr="0091354C" w:rsidRDefault="00A2704F" w:rsidP="00A2704F">
            <w:pPr>
              <w:pStyle w:val="TableText"/>
              <w:jc w:val="center"/>
              <w:rPr>
                <w:szCs w:val="20"/>
              </w:rPr>
            </w:pPr>
            <w:r w:rsidRPr="0091354C">
              <w:rPr>
                <w:rFonts w:cstheme="minorHAnsi"/>
                <w:szCs w:val="20"/>
              </w:rPr>
              <w:t>459 (26.2%)</w:t>
            </w:r>
          </w:p>
        </w:tc>
        <w:tc>
          <w:tcPr>
            <w:tcW w:w="2597" w:type="dxa"/>
            <w:vAlign w:val="center"/>
          </w:tcPr>
          <w:p w14:paraId="5F3D3D10" w14:textId="77777777" w:rsidR="00A2704F" w:rsidRPr="0091354C" w:rsidRDefault="00A2704F" w:rsidP="00A2704F">
            <w:pPr>
              <w:pStyle w:val="TableText"/>
              <w:jc w:val="center"/>
              <w:rPr>
                <w:szCs w:val="20"/>
              </w:rPr>
            </w:pPr>
            <w:r w:rsidRPr="0091354C">
              <w:rPr>
                <w:rFonts w:cstheme="minorHAnsi"/>
                <w:szCs w:val="20"/>
              </w:rPr>
              <w:t>502 (26.9%)</w:t>
            </w:r>
          </w:p>
        </w:tc>
      </w:tr>
      <w:tr w:rsidR="00A2704F" w14:paraId="2F7C934E" w14:textId="77777777" w:rsidTr="00A2704F">
        <w:tc>
          <w:tcPr>
            <w:tcW w:w="3823" w:type="dxa"/>
            <w:vAlign w:val="center"/>
          </w:tcPr>
          <w:p w14:paraId="353B686A" w14:textId="77777777" w:rsidR="00A2704F" w:rsidRPr="0091354C" w:rsidRDefault="00A2704F" w:rsidP="00A2704F">
            <w:pPr>
              <w:pStyle w:val="TableText"/>
              <w:rPr>
                <w:szCs w:val="20"/>
              </w:rPr>
            </w:pPr>
            <w:r w:rsidRPr="0091354C">
              <w:rPr>
                <w:rFonts w:cstheme="minorHAnsi"/>
                <w:szCs w:val="20"/>
              </w:rPr>
              <w:t>Serious adverse events</w:t>
            </w:r>
          </w:p>
        </w:tc>
        <w:tc>
          <w:tcPr>
            <w:tcW w:w="2597" w:type="dxa"/>
            <w:vAlign w:val="center"/>
          </w:tcPr>
          <w:p w14:paraId="432188C5" w14:textId="77777777" w:rsidR="00A2704F" w:rsidRPr="0091354C" w:rsidRDefault="00A2704F" w:rsidP="00A2704F">
            <w:pPr>
              <w:pStyle w:val="TableText"/>
              <w:jc w:val="center"/>
              <w:rPr>
                <w:szCs w:val="20"/>
              </w:rPr>
            </w:pPr>
            <w:r w:rsidRPr="0091354C">
              <w:rPr>
                <w:rFonts w:cstheme="minorHAnsi"/>
                <w:szCs w:val="20"/>
              </w:rPr>
              <w:t>772 (41.4%)</w:t>
            </w:r>
          </w:p>
        </w:tc>
        <w:tc>
          <w:tcPr>
            <w:tcW w:w="2597" w:type="dxa"/>
            <w:vAlign w:val="center"/>
          </w:tcPr>
          <w:p w14:paraId="7888B45F" w14:textId="77777777" w:rsidR="00A2704F" w:rsidRPr="0091354C" w:rsidRDefault="00A2704F" w:rsidP="00A2704F">
            <w:pPr>
              <w:pStyle w:val="TableText"/>
              <w:jc w:val="center"/>
              <w:rPr>
                <w:szCs w:val="20"/>
              </w:rPr>
            </w:pPr>
            <w:r w:rsidRPr="0091354C">
              <w:rPr>
                <w:rFonts w:cstheme="minorHAnsi"/>
                <w:szCs w:val="20"/>
              </w:rPr>
              <w:t>896 (48.1%)</w:t>
            </w:r>
          </w:p>
        </w:tc>
      </w:tr>
      <w:tr w:rsidR="00A2704F" w14:paraId="01A68E0E" w14:textId="77777777" w:rsidTr="00A2704F">
        <w:tc>
          <w:tcPr>
            <w:tcW w:w="3823" w:type="dxa"/>
            <w:vAlign w:val="center"/>
          </w:tcPr>
          <w:p w14:paraId="592BD54D" w14:textId="77777777" w:rsidR="00A2704F" w:rsidRPr="0091354C" w:rsidRDefault="00A2704F" w:rsidP="00A2704F">
            <w:pPr>
              <w:pStyle w:val="TableText"/>
              <w:rPr>
                <w:szCs w:val="20"/>
              </w:rPr>
            </w:pPr>
            <w:r w:rsidRPr="0091354C">
              <w:rPr>
                <w:rFonts w:cstheme="minorHAnsi"/>
                <w:szCs w:val="20"/>
              </w:rPr>
              <w:t>Drug-related adverse events</w:t>
            </w:r>
          </w:p>
        </w:tc>
        <w:tc>
          <w:tcPr>
            <w:tcW w:w="2597" w:type="dxa"/>
            <w:vAlign w:val="center"/>
          </w:tcPr>
          <w:p w14:paraId="01A2CD22" w14:textId="77777777" w:rsidR="00A2704F" w:rsidRPr="0091354C" w:rsidRDefault="00A2704F" w:rsidP="00A2704F">
            <w:pPr>
              <w:pStyle w:val="TableText"/>
              <w:jc w:val="center"/>
              <w:rPr>
                <w:szCs w:val="20"/>
              </w:rPr>
            </w:pPr>
            <w:r w:rsidRPr="0091354C">
              <w:rPr>
                <w:rFonts w:cstheme="minorHAnsi"/>
                <w:szCs w:val="20"/>
              </w:rPr>
              <w:t>283 (15.2%)</w:t>
            </w:r>
          </w:p>
        </w:tc>
        <w:tc>
          <w:tcPr>
            <w:tcW w:w="2597" w:type="dxa"/>
            <w:vAlign w:val="center"/>
          </w:tcPr>
          <w:p w14:paraId="5DA442E1" w14:textId="77777777" w:rsidR="00A2704F" w:rsidRPr="0091354C" w:rsidRDefault="00A2704F" w:rsidP="00A2704F">
            <w:pPr>
              <w:pStyle w:val="TableText"/>
              <w:jc w:val="center"/>
              <w:rPr>
                <w:szCs w:val="20"/>
              </w:rPr>
            </w:pPr>
            <w:r w:rsidRPr="0091354C">
              <w:rPr>
                <w:rFonts w:cstheme="minorHAnsi"/>
                <w:szCs w:val="20"/>
              </w:rPr>
              <w:t>227 (12.2%)</w:t>
            </w:r>
          </w:p>
        </w:tc>
      </w:tr>
      <w:tr w:rsidR="00A2704F" w14:paraId="6D0A0CAE" w14:textId="77777777" w:rsidTr="00A2704F">
        <w:tc>
          <w:tcPr>
            <w:tcW w:w="3823" w:type="dxa"/>
            <w:vAlign w:val="center"/>
          </w:tcPr>
          <w:p w14:paraId="6DA465A2" w14:textId="77777777" w:rsidR="00A2704F" w:rsidRPr="0091354C" w:rsidRDefault="00A2704F" w:rsidP="00A2704F">
            <w:pPr>
              <w:pStyle w:val="TableText"/>
              <w:rPr>
                <w:szCs w:val="20"/>
              </w:rPr>
            </w:pPr>
            <w:r w:rsidRPr="0091354C">
              <w:rPr>
                <w:rFonts w:cstheme="minorHAnsi"/>
                <w:szCs w:val="20"/>
              </w:rPr>
              <w:t>Adverse events leading to discontinuation</w:t>
            </w:r>
          </w:p>
        </w:tc>
        <w:tc>
          <w:tcPr>
            <w:tcW w:w="2597" w:type="dxa"/>
            <w:vAlign w:val="center"/>
          </w:tcPr>
          <w:p w14:paraId="56DBDAAF" w14:textId="77777777" w:rsidR="00A2704F" w:rsidRPr="0091354C" w:rsidRDefault="00A2704F" w:rsidP="00A2704F">
            <w:pPr>
              <w:pStyle w:val="TableText"/>
              <w:jc w:val="center"/>
              <w:rPr>
                <w:szCs w:val="20"/>
              </w:rPr>
            </w:pPr>
            <w:r w:rsidRPr="0091354C">
              <w:rPr>
                <w:rFonts w:cstheme="minorHAnsi"/>
                <w:szCs w:val="20"/>
              </w:rPr>
              <w:t>322 (17.3%)</w:t>
            </w:r>
          </w:p>
        </w:tc>
        <w:tc>
          <w:tcPr>
            <w:tcW w:w="2597" w:type="dxa"/>
            <w:vAlign w:val="center"/>
          </w:tcPr>
          <w:p w14:paraId="4B614111" w14:textId="77777777" w:rsidR="00A2704F" w:rsidRPr="0091354C" w:rsidRDefault="00A2704F" w:rsidP="00A2704F">
            <w:pPr>
              <w:pStyle w:val="TableText"/>
              <w:jc w:val="center"/>
              <w:rPr>
                <w:szCs w:val="20"/>
              </w:rPr>
            </w:pPr>
            <w:r w:rsidRPr="0091354C">
              <w:rPr>
                <w:rFonts w:cstheme="minorHAnsi"/>
                <w:szCs w:val="20"/>
              </w:rPr>
              <w:t>328 (17.6%)</w:t>
            </w:r>
          </w:p>
        </w:tc>
      </w:tr>
      <w:tr w:rsidR="00A2704F" w14:paraId="348A5175" w14:textId="77777777" w:rsidTr="00A2704F">
        <w:tc>
          <w:tcPr>
            <w:tcW w:w="3823" w:type="dxa"/>
            <w:vAlign w:val="center"/>
          </w:tcPr>
          <w:p w14:paraId="35955171" w14:textId="77777777" w:rsidR="00A2704F" w:rsidRPr="0091354C" w:rsidRDefault="00A2704F" w:rsidP="00A2704F">
            <w:pPr>
              <w:pStyle w:val="TableText"/>
              <w:rPr>
                <w:szCs w:val="20"/>
              </w:rPr>
            </w:pPr>
            <w:r w:rsidRPr="0091354C">
              <w:rPr>
                <w:rFonts w:cstheme="minorHAnsi"/>
                <w:szCs w:val="20"/>
              </w:rPr>
              <w:t>Adverse events resulting in death</w:t>
            </w:r>
          </w:p>
        </w:tc>
        <w:tc>
          <w:tcPr>
            <w:tcW w:w="2597" w:type="dxa"/>
            <w:vAlign w:val="center"/>
          </w:tcPr>
          <w:p w14:paraId="3C623AFC" w14:textId="77777777" w:rsidR="00A2704F" w:rsidRPr="0091354C" w:rsidRDefault="00A2704F" w:rsidP="00A2704F">
            <w:pPr>
              <w:pStyle w:val="TableText"/>
              <w:jc w:val="center"/>
              <w:rPr>
                <w:szCs w:val="20"/>
              </w:rPr>
            </w:pPr>
            <w:r w:rsidRPr="0091354C">
              <w:rPr>
                <w:rFonts w:cstheme="minorHAnsi"/>
                <w:szCs w:val="20"/>
              </w:rPr>
              <w:t>181 (9.7%)</w:t>
            </w:r>
          </w:p>
        </w:tc>
        <w:tc>
          <w:tcPr>
            <w:tcW w:w="2597" w:type="dxa"/>
            <w:vAlign w:val="center"/>
          </w:tcPr>
          <w:p w14:paraId="1F7DB4B5" w14:textId="77777777" w:rsidR="00A2704F" w:rsidRPr="0091354C" w:rsidRDefault="00A2704F" w:rsidP="00A2704F">
            <w:pPr>
              <w:pStyle w:val="TableText"/>
              <w:jc w:val="center"/>
              <w:rPr>
                <w:szCs w:val="20"/>
              </w:rPr>
            </w:pPr>
            <w:r w:rsidRPr="0091354C">
              <w:rPr>
                <w:rFonts w:cstheme="minorHAnsi"/>
                <w:szCs w:val="20"/>
              </w:rPr>
              <w:t>181 (9.7%)</w:t>
            </w:r>
          </w:p>
        </w:tc>
      </w:tr>
      <w:tr w:rsidR="00A2704F" w14:paraId="3E2A9604" w14:textId="77777777" w:rsidTr="00A2704F">
        <w:tc>
          <w:tcPr>
            <w:tcW w:w="3823" w:type="dxa"/>
            <w:vAlign w:val="center"/>
          </w:tcPr>
          <w:p w14:paraId="3963B6D8" w14:textId="77777777" w:rsidR="00A2704F" w:rsidRPr="0091354C" w:rsidRDefault="00A2704F" w:rsidP="00A2704F">
            <w:pPr>
              <w:pStyle w:val="TableText"/>
              <w:rPr>
                <w:szCs w:val="20"/>
              </w:rPr>
            </w:pPr>
            <w:r w:rsidRPr="0091354C">
              <w:rPr>
                <w:rFonts w:cstheme="minorHAnsi"/>
                <w:szCs w:val="20"/>
              </w:rPr>
              <w:t>Adverse events requiring hospitalisation</w:t>
            </w:r>
          </w:p>
        </w:tc>
        <w:tc>
          <w:tcPr>
            <w:tcW w:w="2597" w:type="dxa"/>
            <w:vAlign w:val="center"/>
          </w:tcPr>
          <w:p w14:paraId="416A3EEE" w14:textId="77777777" w:rsidR="00A2704F" w:rsidRPr="0091354C" w:rsidRDefault="00A2704F" w:rsidP="00A2704F">
            <w:pPr>
              <w:pStyle w:val="TableText"/>
              <w:jc w:val="center"/>
              <w:rPr>
                <w:szCs w:val="20"/>
              </w:rPr>
            </w:pPr>
            <w:r w:rsidRPr="0091354C">
              <w:rPr>
                <w:rFonts w:cstheme="minorHAnsi"/>
                <w:szCs w:val="20"/>
              </w:rPr>
              <w:t>596 (32.0%)</w:t>
            </w:r>
          </w:p>
        </w:tc>
        <w:tc>
          <w:tcPr>
            <w:tcW w:w="2597" w:type="dxa"/>
            <w:vAlign w:val="center"/>
          </w:tcPr>
          <w:p w14:paraId="23FD0EB9" w14:textId="77777777" w:rsidR="00A2704F" w:rsidRPr="0091354C" w:rsidRDefault="00A2704F" w:rsidP="00A2704F">
            <w:pPr>
              <w:pStyle w:val="TableText"/>
              <w:jc w:val="center"/>
              <w:rPr>
                <w:szCs w:val="20"/>
              </w:rPr>
            </w:pPr>
            <w:r w:rsidRPr="0091354C">
              <w:rPr>
                <w:rFonts w:cstheme="minorHAnsi"/>
                <w:szCs w:val="20"/>
              </w:rPr>
              <w:t>688 (36.9%)</w:t>
            </w:r>
          </w:p>
        </w:tc>
      </w:tr>
    </w:tbl>
    <w:p w14:paraId="02C9E3E2" w14:textId="77777777" w:rsidR="00A2704F" w:rsidRDefault="00A2704F" w:rsidP="00A2704F">
      <w:pPr>
        <w:pStyle w:val="TableFigureFooter"/>
      </w:pPr>
      <w:r>
        <w:t xml:space="preserve">Source: Table 2.21, p89 of the submission. </w:t>
      </w:r>
    </w:p>
    <w:p w14:paraId="16381312" w14:textId="77777777" w:rsidR="00A2704F" w:rsidRPr="00B1011F" w:rsidRDefault="00A2704F" w:rsidP="00A2704F">
      <w:pPr>
        <w:pStyle w:val="TableFigureFooter"/>
        <w:rPr>
          <w:sz w:val="20"/>
        </w:rPr>
      </w:pPr>
      <w:r>
        <w:t>SC, standard care.</w:t>
      </w:r>
    </w:p>
    <w:p w14:paraId="00405557" w14:textId="77777777" w:rsidR="00A2704F" w:rsidRPr="00A2704F" w:rsidRDefault="00A2704F" w:rsidP="0012228C">
      <w:pPr>
        <w:pStyle w:val="ExecSumBodyText"/>
        <w:rPr>
          <w:color w:val="0066FF"/>
        </w:rPr>
      </w:pPr>
      <w:r>
        <w:t>T</w:t>
      </w:r>
      <w:r w:rsidRPr="00741C90">
        <w:t xml:space="preserve">he proportions of patients reporting adverse events were </w:t>
      </w:r>
      <w:r>
        <w:t xml:space="preserve">similar between treatment arms, with more patients treated with empagliflozin reporting drug related adverse events, and slightly more patients treated with placebo reporting serious adverse events and adverse events requiring hospitalisation (mostly related to hospitalisation for heart failure). </w:t>
      </w:r>
    </w:p>
    <w:p w14:paraId="3F168CC6" w14:textId="77777777" w:rsidR="00A2704F" w:rsidRPr="00A2704F" w:rsidRDefault="00A2704F" w:rsidP="0012228C">
      <w:pPr>
        <w:pStyle w:val="ExecSumBodyText"/>
        <w:rPr>
          <w:color w:val="0066FF"/>
        </w:rPr>
      </w:pPr>
      <w:r w:rsidRPr="003463B5">
        <w:t xml:space="preserve">The most common adverse events </w:t>
      </w:r>
      <w:r>
        <w:t xml:space="preserve">of special interest </w:t>
      </w:r>
      <w:r w:rsidRPr="003463B5">
        <w:t xml:space="preserve">reported in patients treated with empagliflozin plus SC </w:t>
      </w:r>
      <w:r>
        <w:t xml:space="preserve">were volume depletion (10.6%), acute renal failure (9.4%), hypotension (9.4%), and urinary tract infection (4.9%). Similar incidences of </w:t>
      </w:r>
      <w:r w:rsidRPr="003463B5">
        <w:t xml:space="preserve">adverse events </w:t>
      </w:r>
      <w:r>
        <w:t>of special interest were reported in patients receiving placebo plus SC.</w:t>
      </w:r>
    </w:p>
    <w:p w14:paraId="5F235B2D" w14:textId="77777777" w:rsidR="00A2704F" w:rsidRPr="000E325D" w:rsidRDefault="00A2704F" w:rsidP="0012228C">
      <w:pPr>
        <w:pStyle w:val="ExecSumBodyText"/>
        <w:rPr>
          <w:color w:val="0066FF"/>
        </w:rPr>
      </w:pPr>
      <w:r w:rsidRPr="0098062B">
        <w:t xml:space="preserve">The proportions of patients reporting adverse events </w:t>
      </w:r>
      <w:r>
        <w:t>were</w:t>
      </w:r>
      <w:r w:rsidRPr="0098062B">
        <w:t xml:space="preserve"> </w:t>
      </w:r>
      <w:r>
        <w:t xml:space="preserve">generally </w:t>
      </w:r>
      <w:r w:rsidRPr="0098062B">
        <w:t xml:space="preserve">similar between </w:t>
      </w:r>
      <w:r>
        <w:t xml:space="preserve">subgroups with or without </w:t>
      </w:r>
      <w:r w:rsidRPr="0098062B">
        <w:t xml:space="preserve">baseline ARNi </w:t>
      </w:r>
      <w:r>
        <w:t xml:space="preserve">therapy. However, larger proportions of patients treated with empagliflozin with baseline ARNi therapy reported volume depletion and hypotension compared to placebo as well as </w:t>
      </w:r>
      <w:r w:rsidR="00262343">
        <w:t xml:space="preserve">compared to </w:t>
      </w:r>
      <w:r>
        <w:t>patients without baseline ARNi therapy.</w:t>
      </w:r>
      <w:r w:rsidR="00B04881">
        <w:t xml:space="preserve"> </w:t>
      </w:r>
      <w:r>
        <w:t xml:space="preserve">Larger proportions of patients treated with placebo with baseline ARNi therapy reported worsening renal function and acute kidney injury compared to empagliflozin as well as </w:t>
      </w:r>
      <w:r w:rsidR="00262343">
        <w:t xml:space="preserve">compared to </w:t>
      </w:r>
      <w:r>
        <w:t>patients without baseline ARNi therapy.</w:t>
      </w:r>
    </w:p>
    <w:p w14:paraId="6A6DAE01" w14:textId="77777777" w:rsidR="000E325D" w:rsidRPr="000E325D" w:rsidRDefault="000E325D" w:rsidP="0012228C">
      <w:pPr>
        <w:pStyle w:val="ExecSumBodyText"/>
        <w:rPr>
          <w:color w:val="0066FF"/>
        </w:rPr>
      </w:pPr>
      <w:r>
        <w:t>The submission also presented ITCs</w:t>
      </w:r>
      <w:r w:rsidRPr="000E325D">
        <w:t xml:space="preserve"> of empagliflozin plus SC versus dapagliflozin plus SC for adverse events of interest.</w:t>
      </w:r>
    </w:p>
    <w:p w14:paraId="0CB94258" w14:textId="77777777" w:rsidR="000E325D" w:rsidRDefault="00915190" w:rsidP="00915190">
      <w:pPr>
        <w:pStyle w:val="TableHeading"/>
      </w:pPr>
      <w:r>
        <w:t xml:space="preserve">Table </w:t>
      </w:r>
      <w:r>
        <w:rPr>
          <w:noProof/>
        </w:rPr>
        <w:t>9</w:t>
      </w:r>
      <w:r>
        <w:t>:</w:t>
      </w:r>
      <w:r w:rsidR="000E325D">
        <w:t xml:space="preserve"> Summary of the indirect treatment comparison of safety outcomes of interest in the EMPEROR-Reduced and DAPA-HF and trials (nominal; treated set)</w:t>
      </w:r>
    </w:p>
    <w:tbl>
      <w:tblPr>
        <w:tblStyle w:val="TableTheme"/>
        <w:tblW w:w="9067" w:type="dxa"/>
        <w:tblLook w:val="04A0" w:firstRow="1" w:lastRow="0" w:firstColumn="1" w:lastColumn="0" w:noHBand="0" w:noVBand="1"/>
        <w:tblCaption w:val="Table 9: Summary of the indirect treatment comparison of safety outcomes of interest in the EMPEROR-Reduced and DAPA-HF and trials (nominal; treated set)"/>
      </w:tblPr>
      <w:tblGrid>
        <w:gridCol w:w="3823"/>
        <w:gridCol w:w="1748"/>
        <w:gridCol w:w="1748"/>
        <w:gridCol w:w="1748"/>
      </w:tblGrid>
      <w:tr w:rsidR="000E325D" w14:paraId="26FD38A8" w14:textId="77777777" w:rsidTr="000E325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hideMark/>
          </w:tcPr>
          <w:p w14:paraId="3A32E59D" w14:textId="77777777" w:rsidR="000E325D" w:rsidRDefault="000E325D">
            <w:pPr>
              <w:pStyle w:val="BodyText"/>
              <w:keepNext/>
              <w:keepLines/>
              <w:spacing w:before="0" w:after="0" w:line="240" w:lineRule="auto"/>
              <w:ind w:right="-74"/>
              <w:jc w:val="left"/>
              <w:rPr>
                <w:rFonts w:ascii="Arial Narrow" w:hAnsi="Arial Narrow"/>
                <w:sz w:val="20"/>
                <w:szCs w:val="20"/>
              </w:rPr>
            </w:pPr>
            <w:r>
              <w:rPr>
                <w:rFonts w:ascii="Arial Narrow" w:hAnsi="Arial Narrow"/>
                <w:sz w:val="20"/>
                <w:szCs w:val="20"/>
              </w:rPr>
              <w:t>Outcome</w:t>
            </w:r>
          </w:p>
        </w:tc>
        <w:tc>
          <w:tcPr>
            <w:tcW w:w="1748" w:type="dxa"/>
            <w:tcBorders>
              <w:top w:val="single" w:sz="4" w:space="0" w:color="auto"/>
              <w:left w:val="single" w:sz="4" w:space="0" w:color="auto"/>
              <w:bottom w:val="single" w:sz="4" w:space="0" w:color="auto"/>
              <w:right w:val="single" w:sz="4" w:space="0" w:color="auto"/>
            </w:tcBorders>
            <w:hideMark/>
          </w:tcPr>
          <w:p w14:paraId="4D9F81FD"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Empagliflozin + SC vs placebo + SC</w:t>
            </w:r>
          </w:p>
          <w:p w14:paraId="7B4AAB76"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RR (95% CI)</w:t>
            </w:r>
          </w:p>
        </w:tc>
        <w:tc>
          <w:tcPr>
            <w:tcW w:w="1748" w:type="dxa"/>
            <w:tcBorders>
              <w:top w:val="single" w:sz="4" w:space="0" w:color="auto"/>
              <w:left w:val="single" w:sz="4" w:space="0" w:color="auto"/>
              <w:bottom w:val="single" w:sz="4" w:space="0" w:color="auto"/>
              <w:right w:val="single" w:sz="4" w:space="0" w:color="auto"/>
            </w:tcBorders>
            <w:hideMark/>
          </w:tcPr>
          <w:p w14:paraId="7AA0C4ED"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Dapagliflozin</w:t>
            </w:r>
            <w:r>
              <w:rPr>
                <w:rFonts w:ascii="Arial Narrow" w:hAnsi="Arial Narrow"/>
                <w:b w:val="0"/>
                <w:sz w:val="20"/>
                <w:szCs w:val="20"/>
              </w:rPr>
              <w:t xml:space="preserve"> </w:t>
            </w:r>
            <w:r>
              <w:rPr>
                <w:rFonts w:ascii="Arial Narrow" w:hAnsi="Arial Narrow"/>
                <w:sz w:val="20"/>
                <w:szCs w:val="20"/>
              </w:rPr>
              <w:t xml:space="preserve">+ SC </w:t>
            </w:r>
          </w:p>
          <w:p w14:paraId="04AFAA11"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Pr>
                <w:rFonts w:ascii="Arial Narrow" w:hAnsi="Arial Narrow"/>
                <w:sz w:val="20"/>
                <w:szCs w:val="20"/>
              </w:rPr>
              <w:t>vs placebo + SC</w:t>
            </w:r>
          </w:p>
          <w:p w14:paraId="621C0C4A"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RR (95% CI)</w:t>
            </w:r>
          </w:p>
        </w:tc>
        <w:tc>
          <w:tcPr>
            <w:tcW w:w="1748" w:type="dxa"/>
            <w:tcBorders>
              <w:top w:val="single" w:sz="4" w:space="0" w:color="auto"/>
              <w:left w:val="single" w:sz="4" w:space="0" w:color="auto"/>
              <w:bottom w:val="single" w:sz="4" w:space="0" w:color="auto"/>
              <w:right w:val="single" w:sz="4" w:space="0" w:color="auto"/>
            </w:tcBorders>
            <w:hideMark/>
          </w:tcPr>
          <w:p w14:paraId="691062F9"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Pr>
                <w:rFonts w:ascii="Arial Narrow" w:hAnsi="Arial Narrow"/>
                <w:sz w:val="20"/>
                <w:szCs w:val="20"/>
              </w:rPr>
              <w:t>Indirect comparison</w:t>
            </w:r>
          </w:p>
          <w:p w14:paraId="34B1E078"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sz w:val="20"/>
                <w:szCs w:val="20"/>
              </w:rPr>
              <w:t>RR (95% CI)</w:t>
            </w:r>
          </w:p>
        </w:tc>
      </w:tr>
      <w:tr w:rsidR="000E325D" w14:paraId="12A60D9E" w14:textId="77777777" w:rsidTr="000E325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hideMark/>
          </w:tcPr>
          <w:p w14:paraId="5B734F6F" w14:textId="77777777" w:rsidR="000E325D" w:rsidRDefault="000E325D">
            <w:pPr>
              <w:pStyle w:val="BodyText"/>
              <w:keepNext/>
              <w:keepLines/>
              <w:spacing w:before="0" w:after="0" w:line="240" w:lineRule="auto"/>
              <w:ind w:right="-74"/>
              <w:jc w:val="left"/>
              <w:rPr>
                <w:rFonts w:ascii="Arial Narrow" w:hAnsi="Arial Narrow"/>
                <w:b w:val="0"/>
                <w:sz w:val="20"/>
                <w:szCs w:val="20"/>
              </w:rPr>
            </w:pPr>
            <w:r>
              <w:rPr>
                <w:rFonts w:ascii="Arial Narrow" w:hAnsi="Arial Narrow" w:cstheme="minorHAnsi"/>
                <w:b w:val="0"/>
                <w:sz w:val="20"/>
                <w:szCs w:val="20"/>
              </w:rPr>
              <w:t>Adverse events leading to discontinuation</w:t>
            </w:r>
          </w:p>
        </w:tc>
        <w:tc>
          <w:tcPr>
            <w:tcW w:w="1748" w:type="dxa"/>
            <w:tcBorders>
              <w:top w:val="single" w:sz="4" w:space="0" w:color="auto"/>
              <w:left w:val="single" w:sz="4" w:space="0" w:color="auto"/>
              <w:bottom w:val="single" w:sz="4" w:space="0" w:color="auto"/>
              <w:right w:val="single" w:sz="4" w:space="0" w:color="auto"/>
            </w:tcBorders>
            <w:hideMark/>
          </w:tcPr>
          <w:p w14:paraId="71BB3D52"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b w:val="0"/>
                <w:sz w:val="20"/>
                <w:szCs w:val="20"/>
              </w:rPr>
              <w:t>0.98 (0.85, 1.13)</w:t>
            </w:r>
          </w:p>
        </w:tc>
        <w:tc>
          <w:tcPr>
            <w:tcW w:w="1748" w:type="dxa"/>
            <w:tcBorders>
              <w:top w:val="single" w:sz="4" w:space="0" w:color="auto"/>
              <w:left w:val="single" w:sz="4" w:space="0" w:color="auto"/>
              <w:bottom w:val="single" w:sz="4" w:space="0" w:color="auto"/>
              <w:right w:val="single" w:sz="4" w:space="0" w:color="auto"/>
            </w:tcBorders>
            <w:hideMark/>
          </w:tcPr>
          <w:p w14:paraId="372C777D"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Pr>
                <w:rFonts w:ascii="Arial Narrow" w:hAnsi="Arial Narrow"/>
                <w:b w:val="0"/>
                <w:sz w:val="20"/>
                <w:szCs w:val="20"/>
              </w:rPr>
              <w:t>0.96 (0.74, 1.23)</w:t>
            </w:r>
          </w:p>
        </w:tc>
        <w:tc>
          <w:tcPr>
            <w:tcW w:w="1748" w:type="dxa"/>
            <w:tcBorders>
              <w:top w:val="single" w:sz="4" w:space="0" w:color="auto"/>
              <w:left w:val="single" w:sz="4" w:space="0" w:color="auto"/>
              <w:bottom w:val="single" w:sz="4" w:space="0" w:color="auto"/>
              <w:right w:val="single" w:sz="4" w:space="0" w:color="auto"/>
            </w:tcBorders>
            <w:hideMark/>
          </w:tcPr>
          <w:p w14:paraId="3FF0C443"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Pr>
                <w:rFonts w:ascii="Arial Narrow" w:hAnsi="Arial Narrow"/>
                <w:b w:val="0"/>
                <w:sz w:val="20"/>
                <w:szCs w:val="20"/>
              </w:rPr>
              <w:t>1.02 (0.76, 1.40)</w:t>
            </w:r>
          </w:p>
        </w:tc>
      </w:tr>
      <w:tr w:rsidR="000E325D" w14:paraId="57D345C8" w14:textId="77777777" w:rsidTr="000E325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hideMark/>
          </w:tcPr>
          <w:p w14:paraId="0765209F" w14:textId="77777777" w:rsidR="000E325D" w:rsidRDefault="000E325D">
            <w:pPr>
              <w:pStyle w:val="BodyText"/>
              <w:keepNext/>
              <w:keepLines/>
              <w:spacing w:before="0" w:after="0" w:line="240" w:lineRule="auto"/>
              <w:ind w:right="-74"/>
              <w:jc w:val="left"/>
              <w:rPr>
                <w:rFonts w:ascii="Arial Narrow" w:hAnsi="Arial Narrow"/>
                <w:b w:val="0"/>
                <w:sz w:val="20"/>
                <w:szCs w:val="20"/>
              </w:rPr>
            </w:pPr>
            <w:r>
              <w:rPr>
                <w:rFonts w:ascii="Arial Narrow" w:hAnsi="Arial Narrow" w:cstheme="minorHAnsi"/>
                <w:b w:val="0"/>
                <w:bCs/>
                <w:sz w:val="20"/>
                <w:szCs w:val="20"/>
              </w:rPr>
              <w:t>Ketoacidosis</w:t>
            </w:r>
            <w:r>
              <w:rPr>
                <w:rFonts w:ascii="Arial Narrow" w:hAnsi="Arial Narrow" w:cstheme="minorHAnsi"/>
                <w:b w:val="0"/>
                <w:bCs/>
                <w:sz w:val="20"/>
                <w:szCs w:val="20"/>
                <w:vertAlign w:val="superscript"/>
              </w:rPr>
              <w:t>a</w:t>
            </w:r>
          </w:p>
        </w:tc>
        <w:tc>
          <w:tcPr>
            <w:tcW w:w="1748" w:type="dxa"/>
            <w:tcBorders>
              <w:top w:val="single" w:sz="4" w:space="0" w:color="auto"/>
              <w:left w:val="single" w:sz="4" w:space="0" w:color="auto"/>
              <w:bottom w:val="single" w:sz="4" w:space="0" w:color="auto"/>
              <w:right w:val="single" w:sz="4" w:space="0" w:color="auto"/>
            </w:tcBorders>
            <w:hideMark/>
          </w:tcPr>
          <w:p w14:paraId="4DA12C68"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b w:val="0"/>
                <w:bCs/>
                <w:sz w:val="20"/>
                <w:szCs w:val="20"/>
              </w:rPr>
              <w:t>0.61 (0.29, 1.29)</w:t>
            </w:r>
          </w:p>
        </w:tc>
        <w:tc>
          <w:tcPr>
            <w:tcW w:w="1748" w:type="dxa"/>
            <w:tcBorders>
              <w:top w:val="single" w:sz="4" w:space="0" w:color="auto"/>
              <w:left w:val="single" w:sz="4" w:space="0" w:color="auto"/>
              <w:bottom w:val="single" w:sz="4" w:space="0" w:color="auto"/>
              <w:right w:val="single" w:sz="4" w:space="0" w:color="auto"/>
            </w:tcBorders>
            <w:hideMark/>
          </w:tcPr>
          <w:p w14:paraId="3B3177E9"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Pr>
                <w:rFonts w:ascii="Arial Narrow" w:hAnsi="Arial Narrow"/>
                <w:b w:val="0"/>
                <w:bCs/>
                <w:sz w:val="20"/>
                <w:szCs w:val="20"/>
              </w:rPr>
              <w:t>7.00 (0.36, 135.44)</w:t>
            </w:r>
          </w:p>
        </w:tc>
        <w:tc>
          <w:tcPr>
            <w:tcW w:w="1748" w:type="dxa"/>
            <w:tcBorders>
              <w:top w:val="single" w:sz="4" w:space="0" w:color="auto"/>
              <w:left w:val="single" w:sz="4" w:space="0" w:color="auto"/>
              <w:bottom w:val="single" w:sz="4" w:space="0" w:color="auto"/>
              <w:right w:val="single" w:sz="4" w:space="0" w:color="auto"/>
            </w:tcBorders>
            <w:hideMark/>
          </w:tcPr>
          <w:p w14:paraId="73D1EF39"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Pr>
                <w:rFonts w:ascii="Arial Narrow" w:hAnsi="Arial Narrow"/>
                <w:b w:val="0"/>
                <w:bCs/>
                <w:sz w:val="20"/>
                <w:szCs w:val="20"/>
              </w:rPr>
              <w:t>0.09 (0.004, 1.85)</w:t>
            </w:r>
          </w:p>
        </w:tc>
      </w:tr>
      <w:tr w:rsidR="000E325D" w14:paraId="585FB135" w14:textId="77777777" w:rsidTr="000E325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hideMark/>
          </w:tcPr>
          <w:p w14:paraId="5F28EF08" w14:textId="77777777" w:rsidR="000E325D" w:rsidRDefault="000E325D">
            <w:pPr>
              <w:pStyle w:val="BodyText"/>
              <w:keepNext/>
              <w:keepLines/>
              <w:spacing w:before="0" w:after="0" w:line="240" w:lineRule="auto"/>
              <w:ind w:right="-74"/>
              <w:jc w:val="left"/>
              <w:rPr>
                <w:rFonts w:ascii="Arial Narrow" w:hAnsi="Arial Narrow"/>
                <w:b w:val="0"/>
                <w:sz w:val="20"/>
                <w:szCs w:val="20"/>
              </w:rPr>
            </w:pPr>
            <w:r>
              <w:rPr>
                <w:rFonts w:ascii="Arial Narrow" w:hAnsi="Arial Narrow" w:cstheme="minorHAnsi"/>
                <w:b w:val="0"/>
                <w:sz w:val="20"/>
                <w:szCs w:val="20"/>
              </w:rPr>
              <w:t>Fracture</w:t>
            </w:r>
          </w:p>
        </w:tc>
        <w:tc>
          <w:tcPr>
            <w:tcW w:w="1748" w:type="dxa"/>
            <w:tcBorders>
              <w:top w:val="single" w:sz="4" w:space="0" w:color="auto"/>
              <w:left w:val="single" w:sz="4" w:space="0" w:color="auto"/>
              <w:bottom w:val="single" w:sz="4" w:space="0" w:color="auto"/>
              <w:right w:val="single" w:sz="4" w:space="0" w:color="auto"/>
            </w:tcBorders>
            <w:hideMark/>
          </w:tcPr>
          <w:p w14:paraId="4066FCE5"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Pr>
                <w:rFonts w:ascii="Arial Narrow" w:hAnsi="Arial Narrow"/>
                <w:b w:val="0"/>
                <w:sz w:val="20"/>
                <w:szCs w:val="20"/>
              </w:rPr>
              <w:t>1.07 (0.71, 1.62)</w:t>
            </w:r>
          </w:p>
        </w:tc>
        <w:tc>
          <w:tcPr>
            <w:tcW w:w="1748" w:type="dxa"/>
            <w:tcBorders>
              <w:top w:val="single" w:sz="4" w:space="0" w:color="auto"/>
              <w:left w:val="single" w:sz="4" w:space="0" w:color="auto"/>
              <w:bottom w:val="single" w:sz="4" w:space="0" w:color="auto"/>
              <w:right w:val="single" w:sz="4" w:space="0" w:color="auto"/>
            </w:tcBorders>
            <w:hideMark/>
          </w:tcPr>
          <w:p w14:paraId="4A00A1C0"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Pr>
                <w:rFonts w:ascii="Arial Narrow" w:hAnsi="Arial Narrow"/>
                <w:b w:val="0"/>
                <w:sz w:val="20"/>
                <w:szCs w:val="20"/>
              </w:rPr>
              <w:t>0.98 (0.66, 1.45)</w:t>
            </w:r>
          </w:p>
        </w:tc>
        <w:tc>
          <w:tcPr>
            <w:tcW w:w="1748" w:type="dxa"/>
            <w:tcBorders>
              <w:top w:val="single" w:sz="4" w:space="0" w:color="auto"/>
              <w:left w:val="single" w:sz="4" w:space="0" w:color="auto"/>
              <w:bottom w:val="single" w:sz="4" w:space="0" w:color="auto"/>
              <w:right w:val="single" w:sz="4" w:space="0" w:color="auto"/>
            </w:tcBorders>
            <w:hideMark/>
          </w:tcPr>
          <w:p w14:paraId="154A244F"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Pr>
                <w:rFonts w:ascii="Arial Narrow" w:hAnsi="Arial Narrow"/>
                <w:b w:val="0"/>
                <w:sz w:val="20"/>
                <w:szCs w:val="20"/>
              </w:rPr>
              <w:t>1.09 (0.62, 1.93)</w:t>
            </w:r>
          </w:p>
        </w:tc>
      </w:tr>
      <w:tr w:rsidR="000E325D" w14:paraId="2B16D2E7" w14:textId="77777777" w:rsidTr="000E325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hideMark/>
          </w:tcPr>
          <w:p w14:paraId="6A1E152B" w14:textId="77777777" w:rsidR="000E325D" w:rsidRDefault="000E325D">
            <w:pPr>
              <w:pStyle w:val="BodyText"/>
              <w:keepNext/>
              <w:keepLines/>
              <w:spacing w:before="0" w:after="0" w:line="240" w:lineRule="auto"/>
              <w:ind w:right="-74"/>
              <w:jc w:val="left"/>
              <w:rPr>
                <w:rFonts w:ascii="Arial Narrow" w:hAnsi="Arial Narrow"/>
                <w:sz w:val="20"/>
                <w:szCs w:val="20"/>
              </w:rPr>
            </w:pPr>
            <w:r>
              <w:rPr>
                <w:rFonts w:ascii="Arial Narrow" w:hAnsi="Arial Narrow" w:cstheme="minorHAnsi"/>
                <w:b w:val="0"/>
                <w:sz w:val="20"/>
                <w:szCs w:val="20"/>
              </w:rPr>
              <w:t>Amputation</w:t>
            </w:r>
            <w:r>
              <w:rPr>
                <w:rFonts w:ascii="Arial Narrow" w:hAnsi="Arial Narrow" w:cstheme="minorHAnsi"/>
                <w:b w:val="0"/>
                <w:sz w:val="20"/>
                <w:szCs w:val="20"/>
                <w:vertAlign w:val="superscript"/>
              </w:rPr>
              <w:t>b</w:t>
            </w:r>
          </w:p>
        </w:tc>
        <w:tc>
          <w:tcPr>
            <w:tcW w:w="1748" w:type="dxa"/>
            <w:tcBorders>
              <w:top w:val="single" w:sz="4" w:space="0" w:color="auto"/>
              <w:left w:val="single" w:sz="4" w:space="0" w:color="auto"/>
              <w:bottom w:val="single" w:sz="4" w:space="0" w:color="auto"/>
              <w:right w:val="single" w:sz="4" w:space="0" w:color="auto"/>
            </w:tcBorders>
            <w:hideMark/>
          </w:tcPr>
          <w:p w14:paraId="1F1F0770"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bCs/>
                <w:sz w:val="20"/>
                <w:szCs w:val="20"/>
              </w:rPr>
            </w:pPr>
            <w:r>
              <w:rPr>
                <w:rFonts w:ascii="Arial Narrow" w:hAnsi="Arial Narrow"/>
                <w:b w:val="0"/>
                <w:sz w:val="20"/>
                <w:szCs w:val="20"/>
              </w:rPr>
              <w:t>1.30 (0.57, 2.96)</w:t>
            </w:r>
          </w:p>
        </w:tc>
        <w:tc>
          <w:tcPr>
            <w:tcW w:w="1748" w:type="dxa"/>
            <w:tcBorders>
              <w:top w:val="single" w:sz="4" w:space="0" w:color="auto"/>
              <w:left w:val="single" w:sz="4" w:space="0" w:color="auto"/>
              <w:bottom w:val="single" w:sz="4" w:space="0" w:color="auto"/>
              <w:right w:val="single" w:sz="4" w:space="0" w:color="auto"/>
            </w:tcBorders>
            <w:hideMark/>
          </w:tcPr>
          <w:p w14:paraId="046D0DFC"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bCs/>
                <w:sz w:val="20"/>
                <w:szCs w:val="20"/>
              </w:rPr>
            </w:pPr>
            <w:r>
              <w:rPr>
                <w:rFonts w:ascii="Arial Narrow" w:hAnsi="Arial Narrow"/>
                <w:b w:val="0"/>
                <w:sz w:val="20"/>
                <w:szCs w:val="20"/>
              </w:rPr>
              <w:t>1.08 (0.50, 2.37)</w:t>
            </w:r>
          </w:p>
        </w:tc>
        <w:tc>
          <w:tcPr>
            <w:tcW w:w="1748" w:type="dxa"/>
            <w:tcBorders>
              <w:top w:val="single" w:sz="4" w:space="0" w:color="auto"/>
              <w:left w:val="single" w:sz="4" w:space="0" w:color="auto"/>
              <w:bottom w:val="single" w:sz="4" w:space="0" w:color="auto"/>
              <w:right w:val="single" w:sz="4" w:space="0" w:color="auto"/>
            </w:tcBorders>
            <w:hideMark/>
          </w:tcPr>
          <w:p w14:paraId="66BE3C29"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sz w:val="20"/>
                <w:szCs w:val="20"/>
              </w:rPr>
            </w:pPr>
            <w:r>
              <w:rPr>
                <w:rFonts w:ascii="Arial Narrow" w:hAnsi="Arial Narrow"/>
                <w:b w:val="0"/>
                <w:sz w:val="20"/>
                <w:szCs w:val="20"/>
              </w:rPr>
              <w:t>1.20 (0.39, 3.74)</w:t>
            </w:r>
          </w:p>
        </w:tc>
      </w:tr>
      <w:tr w:rsidR="000E325D" w14:paraId="59AA31DA" w14:textId="77777777" w:rsidTr="000E325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hideMark/>
          </w:tcPr>
          <w:p w14:paraId="25A5B1E0" w14:textId="77777777" w:rsidR="000E325D" w:rsidRDefault="000E325D">
            <w:pPr>
              <w:pStyle w:val="BodyText"/>
              <w:keepNext/>
              <w:keepLines/>
              <w:spacing w:before="0" w:after="0" w:line="240" w:lineRule="auto"/>
              <w:ind w:right="-74"/>
              <w:jc w:val="left"/>
              <w:rPr>
                <w:rFonts w:ascii="Arial Narrow" w:hAnsi="Arial Narrow"/>
                <w:b w:val="0"/>
                <w:sz w:val="20"/>
                <w:szCs w:val="20"/>
              </w:rPr>
            </w:pPr>
            <w:r>
              <w:rPr>
                <w:rFonts w:ascii="Arial Narrow" w:hAnsi="Arial Narrow" w:cstheme="minorHAnsi"/>
                <w:b w:val="0"/>
                <w:sz w:val="20"/>
                <w:szCs w:val="20"/>
              </w:rPr>
              <w:t>Hypoglycaemia</w:t>
            </w:r>
            <w:r>
              <w:rPr>
                <w:rFonts w:ascii="Arial Narrow" w:hAnsi="Arial Narrow" w:cstheme="minorHAnsi"/>
                <w:b w:val="0"/>
                <w:sz w:val="20"/>
                <w:szCs w:val="20"/>
                <w:vertAlign w:val="superscript"/>
              </w:rPr>
              <w:t>c</w:t>
            </w:r>
          </w:p>
        </w:tc>
        <w:tc>
          <w:tcPr>
            <w:tcW w:w="1748" w:type="dxa"/>
            <w:tcBorders>
              <w:top w:val="single" w:sz="4" w:space="0" w:color="auto"/>
              <w:left w:val="single" w:sz="4" w:space="0" w:color="auto"/>
              <w:bottom w:val="single" w:sz="4" w:space="0" w:color="auto"/>
              <w:right w:val="single" w:sz="4" w:space="0" w:color="auto"/>
            </w:tcBorders>
            <w:hideMark/>
          </w:tcPr>
          <w:p w14:paraId="60A59C90"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Pr>
                <w:rFonts w:ascii="Arial Narrow" w:hAnsi="Arial Narrow"/>
                <w:b w:val="0"/>
                <w:sz w:val="20"/>
                <w:szCs w:val="20"/>
              </w:rPr>
              <w:t>0.96 (0.57, 1.63)</w:t>
            </w:r>
          </w:p>
        </w:tc>
        <w:tc>
          <w:tcPr>
            <w:tcW w:w="1748" w:type="dxa"/>
            <w:tcBorders>
              <w:top w:val="single" w:sz="4" w:space="0" w:color="auto"/>
              <w:left w:val="single" w:sz="4" w:space="0" w:color="auto"/>
              <w:bottom w:val="single" w:sz="4" w:space="0" w:color="auto"/>
              <w:right w:val="single" w:sz="4" w:space="0" w:color="auto"/>
            </w:tcBorders>
            <w:hideMark/>
          </w:tcPr>
          <w:p w14:paraId="4C743760"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b w:val="0"/>
                <w:sz w:val="20"/>
                <w:szCs w:val="20"/>
              </w:rPr>
              <w:t>1.00 (0.25, 3.99)</w:t>
            </w:r>
          </w:p>
        </w:tc>
        <w:tc>
          <w:tcPr>
            <w:tcW w:w="1748" w:type="dxa"/>
            <w:tcBorders>
              <w:top w:val="single" w:sz="4" w:space="0" w:color="auto"/>
              <w:left w:val="single" w:sz="4" w:space="0" w:color="auto"/>
              <w:bottom w:val="single" w:sz="4" w:space="0" w:color="auto"/>
              <w:right w:val="single" w:sz="4" w:space="0" w:color="auto"/>
            </w:tcBorders>
            <w:hideMark/>
          </w:tcPr>
          <w:p w14:paraId="217D2968"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Pr>
                <w:rFonts w:ascii="Arial Narrow" w:hAnsi="Arial Narrow"/>
                <w:b w:val="0"/>
                <w:sz w:val="20"/>
                <w:szCs w:val="20"/>
              </w:rPr>
              <w:t>0.96 (0.22, 4.22)</w:t>
            </w:r>
          </w:p>
        </w:tc>
      </w:tr>
      <w:tr w:rsidR="000E325D" w14:paraId="0E303582" w14:textId="77777777" w:rsidTr="000E325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hideMark/>
          </w:tcPr>
          <w:p w14:paraId="71476570" w14:textId="77777777" w:rsidR="000E325D" w:rsidRDefault="000E325D">
            <w:pPr>
              <w:pStyle w:val="BodyText"/>
              <w:keepNext/>
              <w:keepLines/>
              <w:spacing w:before="0" w:after="0" w:line="240" w:lineRule="auto"/>
              <w:ind w:right="-74"/>
              <w:jc w:val="left"/>
              <w:rPr>
                <w:rFonts w:ascii="Arial Narrow" w:hAnsi="Arial Narrow"/>
                <w:b w:val="0"/>
                <w:sz w:val="20"/>
                <w:szCs w:val="20"/>
              </w:rPr>
            </w:pPr>
            <w:r>
              <w:rPr>
                <w:rFonts w:ascii="Arial Narrow" w:hAnsi="Arial Narrow" w:cstheme="minorHAnsi"/>
                <w:b w:val="0"/>
                <w:sz w:val="20"/>
                <w:szCs w:val="20"/>
              </w:rPr>
              <w:t>Volume depletion</w:t>
            </w:r>
          </w:p>
        </w:tc>
        <w:tc>
          <w:tcPr>
            <w:tcW w:w="1748" w:type="dxa"/>
            <w:tcBorders>
              <w:top w:val="single" w:sz="4" w:space="0" w:color="auto"/>
              <w:left w:val="single" w:sz="4" w:space="0" w:color="auto"/>
              <w:bottom w:val="single" w:sz="4" w:space="0" w:color="auto"/>
              <w:right w:val="single" w:sz="4" w:space="0" w:color="auto"/>
            </w:tcBorders>
            <w:hideMark/>
          </w:tcPr>
          <w:p w14:paraId="5B0B7372"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Pr>
                <w:rFonts w:ascii="Arial Narrow" w:hAnsi="Arial Narrow"/>
                <w:b w:val="0"/>
                <w:sz w:val="20"/>
                <w:szCs w:val="20"/>
              </w:rPr>
              <w:t>1.07 (0.89, 1.30)</w:t>
            </w:r>
          </w:p>
        </w:tc>
        <w:tc>
          <w:tcPr>
            <w:tcW w:w="1748" w:type="dxa"/>
            <w:tcBorders>
              <w:top w:val="single" w:sz="4" w:space="0" w:color="auto"/>
              <w:left w:val="single" w:sz="4" w:space="0" w:color="auto"/>
              <w:bottom w:val="single" w:sz="4" w:space="0" w:color="auto"/>
              <w:right w:val="single" w:sz="4" w:space="0" w:color="auto"/>
            </w:tcBorders>
            <w:hideMark/>
          </w:tcPr>
          <w:p w14:paraId="6158BCB2"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Pr>
                <w:rFonts w:ascii="Arial Narrow" w:hAnsi="Arial Narrow"/>
                <w:b w:val="0"/>
                <w:sz w:val="20"/>
                <w:szCs w:val="20"/>
              </w:rPr>
              <w:t>1.10 (0.90, 1.35)</w:t>
            </w:r>
          </w:p>
        </w:tc>
        <w:tc>
          <w:tcPr>
            <w:tcW w:w="1748" w:type="dxa"/>
            <w:tcBorders>
              <w:top w:val="single" w:sz="4" w:space="0" w:color="auto"/>
              <w:left w:val="single" w:sz="4" w:space="0" w:color="auto"/>
              <w:bottom w:val="single" w:sz="4" w:space="0" w:color="auto"/>
              <w:right w:val="single" w:sz="4" w:space="0" w:color="auto"/>
            </w:tcBorders>
            <w:hideMark/>
          </w:tcPr>
          <w:p w14:paraId="244BE22A" w14:textId="77777777" w:rsidR="000E325D" w:rsidRDefault="000E325D">
            <w:pPr>
              <w:pStyle w:val="BodyText"/>
              <w:keepNext/>
              <w:keepLines/>
              <w:spacing w:before="0" w:after="0" w:line="240" w:lineRule="auto"/>
              <w:ind w:left="-85" w:right="-84"/>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sz w:val="20"/>
                <w:szCs w:val="20"/>
              </w:rPr>
            </w:pPr>
            <w:r>
              <w:rPr>
                <w:rFonts w:ascii="Arial Narrow" w:hAnsi="Arial Narrow"/>
                <w:b w:val="0"/>
                <w:sz w:val="20"/>
                <w:szCs w:val="20"/>
              </w:rPr>
              <w:t>0.97 (0.74, 1.29)</w:t>
            </w:r>
          </w:p>
        </w:tc>
      </w:tr>
    </w:tbl>
    <w:p w14:paraId="6A81844E" w14:textId="77777777" w:rsidR="000E325D" w:rsidRDefault="000E325D" w:rsidP="000E325D">
      <w:pPr>
        <w:pStyle w:val="TableFooter"/>
        <w:keepNext/>
        <w:keepLines/>
        <w:spacing w:after="120"/>
      </w:pPr>
      <w:r>
        <w:t>Source: Table 2.22, p55 of the submission.</w:t>
      </w:r>
    </w:p>
    <w:p w14:paraId="05BD9A80" w14:textId="77777777" w:rsidR="000E325D" w:rsidRDefault="000E325D" w:rsidP="000E325D">
      <w:pPr>
        <w:pStyle w:val="TableFooter"/>
        <w:keepNext/>
        <w:keepLines/>
        <w:spacing w:after="120"/>
      </w:pPr>
      <w:r>
        <w:t>Abbreviations: CI, confidence interval; RR, risk ratio; SC, standard care.</w:t>
      </w:r>
    </w:p>
    <w:p w14:paraId="55DCE522" w14:textId="77777777" w:rsidR="000E325D" w:rsidRDefault="000E325D" w:rsidP="000E325D">
      <w:pPr>
        <w:pStyle w:val="TableFooter"/>
        <w:keepNext/>
        <w:keepLines/>
        <w:spacing w:after="120"/>
      </w:pPr>
      <w:r>
        <w:rPr>
          <w:vertAlign w:val="superscript"/>
        </w:rPr>
        <w:t>a</w:t>
      </w:r>
      <w:r>
        <w:t xml:space="preserve"> EMPEROR-Reduced included diabetic ketoacidosis by broad BIcMQ definition. DAPA-HF included all reported cases adjudicated as definite or probable. </w:t>
      </w:r>
    </w:p>
    <w:p w14:paraId="164F31E1" w14:textId="77777777" w:rsidR="000E325D" w:rsidRDefault="000E325D" w:rsidP="000E325D">
      <w:pPr>
        <w:pStyle w:val="TableFooter"/>
        <w:keepNext/>
        <w:keepLines/>
        <w:spacing w:after="120"/>
      </w:pPr>
      <w:r>
        <w:rPr>
          <w:vertAlign w:val="superscript"/>
        </w:rPr>
        <w:t>b</w:t>
      </w:r>
      <w:r>
        <w:t xml:space="preserve"> Included amputations vary between trials, DAPA-HF definition broader than EMPEROR-Reduced.</w:t>
      </w:r>
    </w:p>
    <w:p w14:paraId="7739471F" w14:textId="77777777" w:rsidR="000E325D" w:rsidRDefault="000E325D" w:rsidP="000E325D">
      <w:pPr>
        <w:pStyle w:val="TableFooter"/>
        <w:keepNext/>
        <w:keepLines/>
        <w:spacing w:after="120"/>
      </w:pPr>
      <w:r>
        <w:rPr>
          <w:vertAlign w:val="superscript"/>
        </w:rPr>
        <w:t>c</w:t>
      </w:r>
      <w:r>
        <w:t xml:space="preserve"> EMPEROR-Reduced and DAPA-HF definitions of hypoglycaemia vary. </w:t>
      </w:r>
    </w:p>
    <w:p w14:paraId="6B6A6DEA" w14:textId="77777777" w:rsidR="000E325D" w:rsidRPr="00AC0E89" w:rsidRDefault="000E325D" w:rsidP="000E325D">
      <w:pPr>
        <w:pStyle w:val="ExecSumBodyText"/>
        <w:rPr>
          <w:color w:val="0066FF"/>
        </w:rPr>
      </w:pPr>
      <w:r>
        <w:t>The submission acknowledged that there were differences between trials in terms of adverse event coding (ketoacidosis, fractures, volume depletion) and definitions of events between trials (ketoacidosis, amputations, hypoglycaemia).</w:t>
      </w:r>
    </w:p>
    <w:p w14:paraId="6D079B5F" w14:textId="77777777" w:rsidR="007F1017" w:rsidRPr="00C9624D" w:rsidRDefault="007F1017" w:rsidP="00D86231">
      <w:pPr>
        <w:pStyle w:val="3-SubsectionHeading"/>
      </w:pPr>
      <w:bookmarkStart w:id="32" w:name="_Toc22897643"/>
      <w:bookmarkStart w:id="33" w:name="_Toc82553841"/>
      <w:r w:rsidRPr="00C9624D">
        <w:t>Benefits/harms</w:t>
      </w:r>
      <w:bookmarkEnd w:id="32"/>
      <w:bookmarkEnd w:id="33"/>
    </w:p>
    <w:p w14:paraId="57E084F8" w14:textId="77777777" w:rsidR="00A14AD7" w:rsidRPr="00D4665C" w:rsidRDefault="00A14AD7" w:rsidP="0012228C">
      <w:pPr>
        <w:pStyle w:val="ExecSumBodyText"/>
      </w:pPr>
      <w:bookmarkStart w:id="34" w:name="_Toc22897644"/>
      <w:r w:rsidRPr="00D4665C">
        <w:rPr>
          <w:snapToGrid/>
          <w:lang w:val="en-US"/>
        </w:rPr>
        <w:t xml:space="preserve">On the basis of the direct evidence presented in the submission, for every 100 patients treated with </w:t>
      </w:r>
      <w:r>
        <w:rPr>
          <w:snapToGrid/>
          <w:lang w:val="en-US"/>
        </w:rPr>
        <w:t>empagliflozin</w:t>
      </w:r>
      <w:r w:rsidRPr="00D4665C">
        <w:rPr>
          <w:snapToGrid/>
          <w:lang w:val="en-US"/>
        </w:rPr>
        <w:t xml:space="preserve"> </w:t>
      </w:r>
      <w:r w:rsidR="00047622">
        <w:rPr>
          <w:snapToGrid/>
          <w:lang w:val="en-US"/>
        </w:rPr>
        <w:t>plus SC</w:t>
      </w:r>
      <w:r w:rsidRPr="00D4665C">
        <w:rPr>
          <w:snapToGrid/>
          <w:lang w:val="en-US"/>
        </w:rPr>
        <w:t xml:space="preserve"> in comparison with </w:t>
      </w:r>
      <w:r>
        <w:rPr>
          <w:snapToGrid/>
          <w:lang w:val="en-US"/>
        </w:rPr>
        <w:t xml:space="preserve">placebo </w:t>
      </w:r>
      <w:r w:rsidR="00047622">
        <w:rPr>
          <w:snapToGrid/>
          <w:lang w:val="en-US"/>
        </w:rPr>
        <w:t>plus SC</w:t>
      </w:r>
      <w:r>
        <w:rPr>
          <w:snapToGrid/>
          <w:lang w:val="en-US"/>
        </w:rPr>
        <w:t xml:space="preserve"> for a median of 16 months:</w:t>
      </w:r>
    </w:p>
    <w:p w14:paraId="5B5A08DD" w14:textId="77777777" w:rsidR="00A14AD7" w:rsidRPr="005557F7" w:rsidRDefault="00A14AD7" w:rsidP="0012228C">
      <w:pPr>
        <w:pStyle w:val="ExecSumBodyText"/>
        <w:numPr>
          <w:ilvl w:val="1"/>
          <w:numId w:val="8"/>
        </w:numPr>
      </w:pPr>
      <w:r w:rsidRPr="005557F7">
        <w:t>Approximately 5 fewer patients would die due to cardiovascular causes or be hospitalised for heart failure. This difference was due to fewer heart failure hospitalisations.</w:t>
      </w:r>
    </w:p>
    <w:p w14:paraId="28130045" w14:textId="77777777" w:rsidR="00A14AD7" w:rsidRDefault="00A14AD7" w:rsidP="0012228C">
      <w:pPr>
        <w:pStyle w:val="ExecSumBodyText"/>
        <w:numPr>
          <w:ilvl w:val="1"/>
          <w:numId w:val="8"/>
        </w:numPr>
      </w:pPr>
      <w:r w:rsidRPr="005557F7">
        <w:t>Approximately 3 additional patients would experience a drug-related adverse event.</w:t>
      </w:r>
    </w:p>
    <w:p w14:paraId="7BFE25D0" w14:textId="77777777" w:rsidR="00135BFA" w:rsidRPr="00135BFA" w:rsidRDefault="00135BFA" w:rsidP="0012228C">
      <w:pPr>
        <w:pStyle w:val="ExecSumBodyText"/>
        <w:numPr>
          <w:ilvl w:val="1"/>
          <w:numId w:val="8"/>
        </w:numPr>
        <w:rPr>
          <w:iCs/>
        </w:rPr>
      </w:pPr>
      <w:r w:rsidRPr="00565789">
        <w:t xml:space="preserve">Approximately 7 fewer patients would experience a </w:t>
      </w:r>
      <w:r w:rsidR="009D6023" w:rsidRPr="00565789">
        <w:t xml:space="preserve">serious </w:t>
      </w:r>
      <w:r w:rsidRPr="00565789">
        <w:t>adverse event.</w:t>
      </w:r>
    </w:p>
    <w:p w14:paraId="5FFD9917" w14:textId="77777777" w:rsidR="0056267D" w:rsidRPr="00D14896" w:rsidRDefault="00A14AD7" w:rsidP="0012228C">
      <w:pPr>
        <w:pStyle w:val="ExecSumBodyText"/>
      </w:pPr>
      <w:r w:rsidRPr="00D14896">
        <w:rPr>
          <w:snapToGrid/>
          <w:lang w:val="en-US"/>
        </w:rPr>
        <w:t xml:space="preserve">A comparison of benefits and harms for empagliflozin </w:t>
      </w:r>
      <w:r w:rsidR="00047622">
        <w:rPr>
          <w:snapToGrid/>
          <w:lang w:val="en-US"/>
        </w:rPr>
        <w:t>plus SC</w:t>
      </w:r>
      <w:r w:rsidRPr="00D14896">
        <w:rPr>
          <w:snapToGrid/>
          <w:lang w:val="en-US"/>
        </w:rPr>
        <w:t xml:space="preserve"> versus dapagliflozin </w:t>
      </w:r>
      <w:r w:rsidR="00047622">
        <w:rPr>
          <w:snapToGrid/>
          <w:lang w:val="en-US"/>
        </w:rPr>
        <w:t>plus SC</w:t>
      </w:r>
      <w:r w:rsidRPr="00D14896">
        <w:rPr>
          <w:snapToGrid/>
          <w:lang w:val="en-US"/>
        </w:rPr>
        <w:t xml:space="preserve"> has not been presented, given the claim of </w:t>
      </w:r>
      <w:r w:rsidR="002B614B">
        <w:rPr>
          <w:snapToGrid/>
          <w:lang w:val="en-US"/>
        </w:rPr>
        <w:t>noninferior</w:t>
      </w:r>
      <w:r w:rsidRPr="00D14896">
        <w:rPr>
          <w:snapToGrid/>
          <w:lang w:val="en-US"/>
        </w:rPr>
        <w:t xml:space="preserve"> effectiveness and safety</w:t>
      </w:r>
      <w:r w:rsidR="0056267D" w:rsidRPr="00D14896">
        <w:rPr>
          <w:snapToGrid/>
          <w:lang w:val="en-US"/>
        </w:rPr>
        <w:t>.</w:t>
      </w:r>
    </w:p>
    <w:p w14:paraId="1EE7035D" w14:textId="77777777" w:rsidR="00B60939" w:rsidRPr="00C9624D" w:rsidRDefault="00B60939" w:rsidP="00E9094A">
      <w:pPr>
        <w:pStyle w:val="3-SubsectionHeading"/>
      </w:pPr>
      <w:bookmarkStart w:id="35" w:name="_Toc82553842"/>
      <w:r w:rsidRPr="00C9624D">
        <w:t>Clinical claim</w:t>
      </w:r>
      <w:bookmarkEnd w:id="34"/>
      <w:bookmarkEnd w:id="35"/>
    </w:p>
    <w:p w14:paraId="1F78D1DE" w14:textId="77777777" w:rsidR="00A14AD7" w:rsidRPr="00A14AD7" w:rsidRDefault="00A14AD7" w:rsidP="0012228C">
      <w:pPr>
        <w:pStyle w:val="ExecSumBodyText"/>
      </w:pPr>
      <w:r w:rsidRPr="00A14AD7">
        <w:t xml:space="preserve">The submission described empagliflozin plus SC as superior in terms of effectiveness compared with placebo plus SC and </w:t>
      </w:r>
      <w:r w:rsidR="002B614B">
        <w:t>noninferior</w:t>
      </w:r>
      <w:r w:rsidRPr="00A14AD7">
        <w:t xml:space="preserve"> in terms of safety compared to placebo plus SC, in the treatment of HFrEF. </w:t>
      </w:r>
    </w:p>
    <w:p w14:paraId="7917E545" w14:textId="77777777" w:rsidR="00A14AD7" w:rsidRPr="00D14896" w:rsidRDefault="00A14AD7" w:rsidP="0012228C">
      <w:pPr>
        <w:pStyle w:val="ExecSumBodyText"/>
      </w:pPr>
      <w:r w:rsidRPr="00262343">
        <w:t xml:space="preserve">This therapeutic conclusion was adequately supported by the </w:t>
      </w:r>
      <w:r w:rsidR="001A0800">
        <w:t xml:space="preserve">clinical </w:t>
      </w:r>
      <w:r w:rsidRPr="00262343">
        <w:t>evidence presented in the submission. However, the applicability of the EMPEROR</w:t>
      </w:r>
      <w:r w:rsidRPr="00D14896">
        <w:t>-Reduced results to Australian clinical practice</w:t>
      </w:r>
      <w:r w:rsidR="00043727" w:rsidRPr="00D14896">
        <w:t xml:space="preserve"> </w:t>
      </w:r>
      <w:r w:rsidR="00262343">
        <w:t>was</w:t>
      </w:r>
      <w:r w:rsidR="00043727" w:rsidRPr="00D14896">
        <w:t xml:space="preserve"> </w:t>
      </w:r>
      <w:r w:rsidR="00135BFA" w:rsidRPr="00112DD1">
        <w:t>less</w:t>
      </w:r>
      <w:r w:rsidR="00135BFA">
        <w:t xml:space="preserve"> </w:t>
      </w:r>
      <w:r w:rsidR="00043727" w:rsidRPr="00D14896">
        <w:t>certain</w:t>
      </w:r>
      <w:r w:rsidRPr="00D14896">
        <w:t>, given differences in risk factors of age, sex and BMI, and significant treatment effect interactions associated with baseline LVEF and race subgroups.</w:t>
      </w:r>
    </w:p>
    <w:p w14:paraId="24C38E0A" w14:textId="77777777" w:rsidR="00112DD1" w:rsidRPr="00A14AD7" w:rsidRDefault="00A14AD7" w:rsidP="0012228C">
      <w:pPr>
        <w:pStyle w:val="ExecSumBodyText"/>
      </w:pPr>
      <w:r w:rsidRPr="00A14AD7">
        <w:t xml:space="preserve">The submission described empagliflozin plus SC as </w:t>
      </w:r>
      <w:r w:rsidR="002B614B">
        <w:t>noninferior</w:t>
      </w:r>
      <w:r w:rsidRPr="00A14AD7">
        <w:t xml:space="preserve"> in terms of effectiveness and safety compared with dapagliflozin plus SC, in the treatment of HFrEF. </w:t>
      </w:r>
    </w:p>
    <w:p w14:paraId="7D2CE6C7" w14:textId="77777777" w:rsidR="00112DD1" w:rsidRDefault="00F777AA" w:rsidP="0012228C">
      <w:pPr>
        <w:pStyle w:val="ExecSumBodyText"/>
      </w:pPr>
      <w:r>
        <w:t xml:space="preserve">The </w:t>
      </w:r>
      <w:r w:rsidR="00C75185">
        <w:t xml:space="preserve">evaluation identified </w:t>
      </w:r>
      <w:r>
        <w:t xml:space="preserve">some </w:t>
      </w:r>
      <w:r w:rsidR="004938A9">
        <w:t xml:space="preserve">residual </w:t>
      </w:r>
      <w:r>
        <w:t>uncertainty associated with this therapeutic conclusion</w:t>
      </w:r>
      <w:r w:rsidR="00A14AD7" w:rsidRPr="00D14896">
        <w:t>:</w:t>
      </w:r>
    </w:p>
    <w:p w14:paraId="3E9E55A2" w14:textId="77777777" w:rsidR="00A14AD7" w:rsidRPr="00D14896" w:rsidRDefault="00112DD1" w:rsidP="0012228C">
      <w:pPr>
        <w:pStyle w:val="ExecSumBodyText"/>
        <w:numPr>
          <w:ilvl w:val="1"/>
          <w:numId w:val="8"/>
        </w:numPr>
      </w:pPr>
      <w:bookmarkStart w:id="36" w:name="_Hlk87345372"/>
      <w:r>
        <w:t>T</w:t>
      </w:r>
      <w:r w:rsidR="00A14AD7" w:rsidRPr="00D14896">
        <w:t xml:space="preserve">here </w:t>
      </w:r>
      <w:r>
        <w:t>were</w:t>
      </w:r>
      <w:r w:rsidR="00135BFA">
        <w:t xml:space="preserve"> </w:t>
      </w:r>
      <w:r w:rsidR="00135BFA" w:rsidRPr="00112DD1">
        <w:rPr>
          <w:iCs/>
        </w:rPr>
        <w:t>some</w:t>
      </w:r>
      <w:r w:rsidR="00A14AD7" w:rsidRPr="00D14896">
        <w:t xml:space="preserve"> differences between the EMPEROR-Reduced and DAPA-HF trials in eligibility criteria (NT-proBNP, minimum eGFR), baseline patient characteristics (geographical region, NYHA Class, median NT-proBNP, mean LVEF, </w:t>
      </w:r>
      <w:r w:rsidR="0020577E" w:rsidRPr="00D14896">
        <w:t>type 2 diabetes</w:t>
      </w:r>
      <w:r w:rsidR="00A14AD7" w:rsidRPr="00D14896">
        <w:t>), baseline use of</w:t>
      </w:r>
      <w:r w:rsidR="00B04881" w:rsidRPr="00D14896">
        <w:t xml:space="preserve"> </w:t>
      </w:r>
      <w:r w:rsidR="00A14AD7" w:rsidRPr="00D14896">
        <w:t xml:space="preserve">heart failure medications in standard care (ACEi, ARB, ARNi), and duration of follow-up (median 18.2 months versus 16 months). </w:t>
      </w:r>
      <w:r w:rsidR="00135BFA">
        <w:t xml:space="preserve"> </w:t>
      </w:r>
      <w:r w:rsidR="00135BFA" w:rsidRPr="00112DD1">
        <w:rPr>
          <w:iCs/>
        </w:rPr>
        <w:t>However, the</w:t>
      </w:r>
      <w:r w:rsidR="006D6C84" w:rsidRPr="00112DD1">
        <w:rPr>
          <w:iCs/>
        </w:rPr>
        <w:t xml:space="preserve"> ESC noted that these</w:t>
      </w:r>
      <w:r w:rsidR="00135BFA" w:rsidRPr="00112DD1">
        <w:rPr>
          <w:iCs/>
        </w:rPr>
        <w:t xml:space="preserve"> differences </w:t>
      </w:r>
      <w:r w:rsidR="006D6C84" w:rsidRPr="00112DD1">
        <w:rPr>
          <w:iCs/>
        </w:rPr>
        <w:t>were</w:t>
      </w:r>
      <w:r w:rsidR="00135BFA" w:rsidRPr="00112DD1">
        <w:rPr>
          <w:iCs/>
        </w:rPr>
        <w:t xml:space="preserve"> bidirectional.</w:t>
      </w:r>
    </w:p>
    <w:bookmarkEnd w:id="36"/>
    <w:p w14:paraId="5B47ECB6" w14:textId="77777777" w:rsidR="00A14AD7" w:rsidRDefault="00A14AD7" w:rsidP="0012228C">
      <w:pPr>
        <w:pStyle w:val="ExecSumBodyText"/>
        <w:numPr>
          <w:ilvl w:val="1"/>
          <w:numId w:val="8"/>
        </w:numPr>
        <w:rPr>
          <w:iCs/>
        </w:rPr>
      </w:pPr>
      <w:r w:rsidRPr="00D14896">
        <w:t xml:space="preserve">The clinical claim of </w:t>
      </w:r>
      <w:r w:rsidR="002B614B">
        <w:t>noninferior</w:t>
      </w:r>
      <w:r w:rsidRPr="00D14896">
        <w:t xml:space="preserve"> </w:t>
      </w:r>
      <w:r w:rsidR="001A0800">
        <w:t>effectiveness</w:t>
      </w:r>
      <w:r w:rsidR="001A0800" w:rsidRPr="00D14896">
        <w:t xml:space="preserve"> </w:t>
      </w:r>
      <w:r w:rsidRPr="00D14896">
        <w:t xml:space="preserve">based on the </w:t>
      </w:r>
      <w:r w:rsidR="00756F31">
        <w:t>ITC</w:t>
      </w:r>
      <w:r w:rsidRPr="00D14896">
        <w:t xml:space="preserve"> of empagliflozin plus SC versus dapagliflozin plus SC, </w:t>
      </w:r>
      <w:r w:rsidR="001A0800">
        <w:t>for</w:t>
      </w:r>
      <w:r w:rsidRPr="00D14896">
        <w:t xml:space="preserve"> the primary composite outcome</w:t>
      </w:r>
      <w:r w:rsidR="00756F31">
        <w:t>s</w:t>
      </w:r>
      <w:r w:rsidRPr="00D14896">
        <w:t xml:space="preserve">, was based on the nominated </w:t>
      </w:r>
      <w:r w:rsidR="002B614B">
        <w:t>noninferior</w:t>
      </w:r>
      <w:r w:rsidRPr="00D14896">
        <w:t>ity margin of 1.3.</w:t>
      </w:r>
      <w:r w:rsidR="00B04881" w:rsidRPr="00D14896">
        <w:t xml:space="preserve"> </w:t>
      </w:r>
      <w:r w:rsidRPr="00D14896">
        <w:t xml:space="preserve">Applying the </w:t>
      </w:r>
      <w:r w:rsidR="002B614B">
        <w:t>noninferior</w:t>
      </w:r>
      <w:r w:rsidRPr="00D14896">
        <w:t xml:space="preserve">ity margin of 1.104 </w:t>
      </w:r>
      <w:r w:rsidR="00BE213B" w:rsidRPr="00565789">
        <w:rPr>
          <w:iCs/>
        </w:rPr>
        <w:t xml:space="preserve">previously </w:t>
      </w:r>
      <w:r w:rsidRPr="00D14896">
        <w:t xml:space="preserve">considered reasonable </w:t>
      </w:r>
      <w:r w:rsidR="001A0800" w:rsidRPr="00565789">
        <w:rPr>
          <w:iCs/>
        </w:rPr>
        <w:t>by ESC</w:t>
      </w:r>
      <w:r w:rsidR="001A0800">
        <w:t xml:space="preserve"> </w:t>
      </w:r>
      <w:r w:rsidRPr="00D14896">
        <w:t xml:space="preserve">for indirect comparisons in the HFrEF population at the November 2020 PBAC meeting (para 6.13, </w:t>
      </w:r>
      <w:r w:rsidR="001A0800">
        <w:t>d</w:t>
      </w:r>
      <w:r w:rsidRPr="00D14896">
        <w:t>apagliflozin</w:t>
      </w:r>
      <w:r w:rsidR="001A0800">
        <w:t>,</w:t>
      </w:r>
      <w:r w:rsidRPr="00D14896">
        <w:t xml:space="preserve"> PSD, November 2020 PBAC meeting), empagliflozin plus SC did not demonstrate </w:t>
      </w:r>
      <w:r w:rsidR="002B614B">
        <w:t>noninferior</w:t>
      </w:r>
      <w:r w:rsidRPr="00D14896">
        <w:t>ity compared to dapagliflozin plus SC.</w:t>
      </w:r>
      <w:r w:rsidRPr="00A14AD7">
        <w:t xml:space="preserve"> </w:t>
      </w:r>
      <w:bookmarkStart w:id="37" w:name="_Hlk87345429"/>
      <w:r w:rsidR="00135BFA" w:rsidRPr="00565789">
        <w:rPr>
          <w:iCs/>
        </w:rPr>
        <w:t>The ESC noted that there is no agreed noninferiority margin in this population</w:t>
      </w:r>
      <w:r w:rsidR="00BE213B" w:rsidRPr="00565789">
        <w:rPr>
          <w:iCs/>
        </w:rPr>
        <w:t xml:space="preserve"> and that</w:t>
      </w:r>
      <w:r w:rsidR="00F33F1B" w:rsidRPr="00565789">
        <w:rPr>
          <w:iCs/>
        </w:rPr>
        <w:t>,</w:t>
      </w:r>
      <w:r w:rsidR="00BE213B" w:rsidRPr="00565789">
        <w:rPr>
          <w:iCs/>
        </w:rPr>
        <w:t xml:space="preserve"> based on clinical consensus, the benefit is likely to be a class effect for </w:t>
      </w:r>
      <w:r w:rsidR="004E51C5" w:rsidRPr="00565789">
        <w:rPr>
          <w:iCs/>
        </w:rPr>
        <w:t>empagliflozin</w:t>
      </w:r>
      <w:r w:rsidR="00BE213B" w:rsidRPr="00565789">
        <w:rPr>
          <w:iCs/>
        </w:rPr>
        <w:t xml:space="preserve"> and </w:t>
      </w:r>
      <w:r w:rsidR="004E51C5" w:rsidRPr="00565789">
        <w:rPr>
          <w:iCs/>
        </w:rPr>
        <w:t>dapagliflozin</w:t>
      </w:r>
      <w:r w:rsidR="00135BFA" w:rsidRPr="00565789">
        <w:rPr>
          <w:iCs/>
        </w:rPr>
        <w:t>.</w:t>
      </w:r>
      <w:bookmarkEnd w:id="37"/>
    </w:p>
    <w:p w14:paraId="7150D92E" w14:textId="77777777" w:rsidR="00112DD1" w:rsidRPr="00112DD1" w:rsidRDefault="00112DD1" w:rsidP="0012228C">
      <w:pPr>
        <w:pStyle w:val="ExecSumBodyText"/>
      </w:pPr>
      <w:bookmarkStart w:id="38" w:name="_Hlk76376200"/>
      <w:r w:rsidRPr="00112DD1">
        <w:t xml:space="preserve">The </w:t>
      </w:r>
      <w:bookmarkStart w:id="39" w:name="_Hlk87371835"/>
      <w:r w:rsidRPr="00112DD1">
        <w:t>PBAC agreed with the ESC that the claim of noninferior effectiveness and safety was reasonable</w:t>
      </w:r>
      <w:r w:rsidR="00F777AA">
        <w:t xml:space="preserve"> compared with dapagliflozin, noting that neither of the NIMs (1.3 or 1.104) were specific to the population being assessed, but that </w:t>
      </w:r>
      <w:bookmarkEnd w:id="39"/>
      <w:r w:rsidR="00F777AA">
        <w:t>t</w:t>
      </w:r>
      <w:r w:rsidR="00F777AA" w:rsidRPr="00F777AA">
        <w:t xml:space="preserve">here appears to be broad consensus that the benefits for the SGLT2 inhibitors in HFrEF are a class effect, </w:t>
      </w:r>
      <w:r w:rsidR="00F777AA">
        <w:t>which</w:t>
      </w:r>
      <w:r w:rsidR="00F777AA" w:rsidRPr="00F777AA">
        <w:t xml:space="preserve"> is reflected in clinical guidelines and practice. </w:t>
      </w:r>
    </w:p>
    <w:p w14:paraId="45A8BC76" w14:textId="77777777" w:rsidR="00B60939" w:rsidRPr="00C9624D" w:rsidRDefault="00B60939" w:rsidP="00E9094A">
      <w:pPr>
        <w:pStyle w:val="3-SubsectionHeading"/>
      </w:pPr>
      <w:bookmarkStart w:id="40" w:name="_Toc22897645"/>
      <w:bookmarkStart w:id="41" w:name="_Toc82553843"/>
      <w:bookmarkEnd w:id="38"/>
      <w:r w:rsidRPr="00C9624D">
        <w:t>Economic analysis</w:t>
      </w:r>
      <w:bookmarkEnd w:id="40"/>
      <w:bookmarkEnd w:id="41"/>
      <w:r w:rsidR="00491B3A" w:rsidRPr="00C9624D">
        <w:t xml:space="preserve"> </w:t>
      </w:r>
    </w:p>
    <w:p w14:paraId="7552D35B" w14:textId="77777777" w:rsidR="003476DA" w:rsidRPr="00967D69" w:rsidRDefault="003476DA" w:rsidP="0012228C">
      <w:pPr>
        <w:pStyle w:val="ExecSumBodyText"/>
        <w:rPr>
          <w:b/>
          <w:bCs/>
        </w:rPr>
      </w:pPr>
      <w:r w:rsidRPr="00BF5001">
        <w:t xml:space="preserve">The submission presented a modelled economic evaluation of empagliflozin </w:t>
      </w:r>
      <w:r w:rsidR="00047622">
        <w:t>plus SC</w:t>
      </w:r>
      <w:r w:rsidRPr="00BF5001">
        <w:t xml:space="preserve"> versus standard care alone, in patients with HFrEF. The economic analysis was based on the results of the EMPEROR-Reduced trial, with additional modelled data. The type of </w:t>
      </w:r>
      <w:r w:rsidRPr="00967D69">
        <w:t>economic evaluation presented was a cost-utility analysis.</w:t>
      </w:r>
      <w:r w:rsidR="00B04881" w:rsidRPr="00967D69">
        <w:t xml:space="preserve"> </w:t>
      </w:r>
    </w:p>
    <w:p w14:paraId="058337C2" w14:textId="77777777" w:rsidR="009F3A3F" w:rsidRPr="00196C53" w:rsidRDefault="009F3A3F" w:rsidP="0012228C">
      <w:pPr>
        <w:pStyle w:val="ExecSumBodyText"/>
        <w:rPr>
          <w:b/>
          <w:bCs/>
        </w:rPr>
      </w:pPr>
      <w:r w:rsidRPr="00565789">
        <w:t xml:space="preserve">A cost-minimisation analysis to dapagliflozin was presented during the evaluation, </w:t>
      </w:r>
      <w:r w:rsidR="00DE4D28">
        <w:t>with equi-effective doses of dapagliflozin 10 mg per day and empagliflozin 10 mg per day</w:t>
      </w:r>
      <w:r w:rsidRPr="00565789">
        <w:t xml:space="preserve">. </w:t>
      </w:r>
    </w:p>
    <w:p w14:paraId="15FEBDF5" w14:textId="77777777" w:rsidR="003476DA" w:rsidRDefault="00B00AB6" w:rsidP="003B10F4">
      <w:pPr>
        <w:pStyle w:val="TableFigureCaption"/>
      </w:pPr>
      <w:r>
        <w:br w:type="column"/>
      </w:r>
      <w:r w:rsidR="00B974B3">
        <w:t xml:space="preserve">Table </w:t>
      </w:r>
      <w:r w:rsidR="00915190">
        <w:rPr>
          <w:noProof/>
        </w:rPr>
        <w:t>10</w:t>
      </w:r>
      <w:r w:rsidR="003476DA" w:rsidRPr="001426EB">
        <w:t xml:space="preserve">: </w:t>
      </w:r>
      <w:r w:rsidR="003476DA">
        <w:t>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0: Key components of the economic evaluation"/>
      </w:tblPr>
      <w:tblGrid>
        <w:gridCol w:w="1311"/>
        <w:gridCol w:w="7706"/>
      </w:tblGrid>
      <w:tr w:rsidR="003476DA" w:rsidRPr="00B1090B" w14:paraId="40151841" w14:textId="77777777" w:rsidTr="00904424">
        <w:trPr>
          <w:cantSplit/>
          <w:tblHeader/>
        </w:trPr>
        <w:tc>
          <w:tcPr>
            <w:tcW w:w="727" w:type="pct"/>
            <w:shd w:val="clear" w:color="auto" w:fill="auto"/>
            <w:vAlign w:val="center"/>
          </w:tcPr>
          <w:p w14:paraId="68CA277C" w14:textId="77777777" w:rsidR="003476DA" w:rsidRPr="00B1090B" w:rsidRDefault="003476DA" w:rsidP="0021554F">
            <w:pPr>
              <w:widowControl w:val="0"/>
              <w:jc w:val="left"/>
              <w:rPr>
                <w:rFonts w:ascii="Arial Narrow" w:eastAsiaTheme="majorEastAsia" w:hAnsi="Arial Narrow" w:cs="Times New Roman"/>
                <w:b/>
                <w:sz w:val="20"/>
                <w:szCs w:val="20"/>
              </w:rPr>
            </w:pPr>
            <w:r w:rsidRPr="00B1090B">
              <w:rPr>
                <w:rFonts w:ascii="Arial Narrow" w:eastAsiaTheme="majorEastAsia" w:hAnsi="Arial Narrow" w:cs="Times New Roman"/>
                <w:b/>
                <w:sz w:val="20"/>
                <w:szCs w:val="20"/>
              </w:rPr>
              <w:t>Component</w:t>
            </w:r>
          </w:p>
        </w:tc>
        <w:tc>
          <w:tcPr>
            <w:tcW w:w="4273" w:type="pct"/>
            <w:shd w:val="clear" w:color="auto" w:fill="auto"/>
            <w:vAlign w:val="center"/>
          </w:tcPr>
          <w:p w14:paraId="2E59A4D4" w14:textId="77777777" w:rsidR="003476DA" w:rsidRPr="00B1090B" w:rsidRDefault="003476DA" w:rsidP="0021554F">
            <w:pPr>
              <w:widowControl w:val="0"/>
              <w:jc w:val="left"/>
              <w:rPr>
                <w:rFonts w:ascii="Arial Narrow" w:eastAsiaTheme="majorEastAsia" w:hAnsi="Arial Narrow" w:cs="Times New Roman"/>
                <w:b/>
                <w:sz w:val="20"/>
                <w:szCs w:val="20"/>
              </w:rPr>
            </w:pPr>
            <w:r w:rsidRPr="00B1090B">
              <w:rPr>
                <w:rFonts w:ascii="Arial Narrow" w:eastAsiaTheme="majorEastAsia" w:hAnsi="Arial Narrow" w:cs="Times New Roman"/>
                <w:b/>
                <w:sz w:val="20"/>
                <w:szCs w:val="20"/>
              </w:rPr>
              <w:t>Summary</w:t>
            </w:r>
          </w:p>
        </w:tc>
      </w:tr>
      <w:tr w:rsidR="003476DA" w:rsidRPr="00B1090B" w14:paraId="420019E5" w14:textId="77777777" w:rsidTr="00904424">
        <w:trPr>
          <w:cantSplit/>
        </w:trPr>
        <w:tc>
          <w:tcPr>
            <w:tcW w:w="727" w:type="pct"/>
            <w:shd w:val="clear" w:color="auto" w:fill="auto"/>
            <w:vAlign w:val="center"/>
          </w:tcPr>
          <w:p w14:paraId="04505B25" w14:textId="77777777" w:rsidR="003476DA" w:rsidRPr="00B1090B" w:rsidRDefault="003476DA" w:rsidP="0021554F">
            <w:pPr>
              <w:widowControl w:val="0"/>
              <w:jc w:val="left"/>
              <w:rPr>
                <w:rFonts w:ascii="Arial Narrow" w:eastAsiaTheme="majorEastAsia" w:hAnsi="Arial Narrow" w:cstheme="majorBidi"/>
                <w:bCs/>
                <w:sz w:val="20"/>
                <w:szCs w:val="20"/>
              </w:rPr>
            </w:pPr>
            <w:r w:rsidRPr="00B1090B">
              <w:rPr>
                <w:rFonts w:ascii="Arial Narrow" w:eastAsiaTheme="majorEastAsia" w:hAnsi="Arial Narrow" w:cstheme="majorBidi"/>
                <w:bCs/>
                <w:sz w:val="20"/>
                <w:szCs w:val="20"/>
              </w:rPr>
              <w:t>Treatments</w:t>
            </w:r>
          </w:p>
        </w:tc>
        <w:tc>
          <w:tcPr>
            <w:tcW w:w="4273" w:type="pct"/>
            <w:shd w:val="clear" w:color="auto" w:fill="auto"/>
            <w:vAlign w:val="center"/>
          </w:tcPr>
          <w:p w14:paraId="19C552A4" w14:textId="77777777" w:rsidR="003476DA" w:rsidRPr="00B1090B" w:rsidRDefault="003476DA" w:rsidP="0021554F">
            <w:pPr>
              <w:widowControl w:val="0"/>
              <w:jc w:val="left"/>
              <w:rPr>
                <w:rFonts w:ascii="Arial Narrow" w:eastAsiaTheme="majorEastAsia" w:hAnsi="Arial Narrow" w:cstheme="majorBidi"/>
                <w:bCs/>
                <w:sz w:val="20"/>
                <w:szCs w:val="20"/>
              </w:rPr>
            </w:pPr>
            <w:r w:rsidRPr="00B1090B">
              <w:rPr>
                <w:rFonts w:ascii="Arial Narrow" w:eastAsiaTheme="majorEastAsia" w:hAnsi="Arial Narrow" w:cstheme="majorBidi"/>
                <w:bCs/>
                <w:sz w:val="20"/>
                <w:szCs w:val="20"/>
              </w:rPr>
              <w:t>Empagliflozin versus standard care (including ACE inhibitors, ARBs, beta blockers, mineralocorticoid receptor antagonists, and angiotensin receptor-neprilysin inhibitors).</w:t>
            </w:r>
          </w:p>
        </w:tc>
      </w:tr>
      <w:tr w:rsidR="003476DA" w:rsidRPr="00B1090B" w14:paraId="693778CC" w14:textId="77777777" w:rsidTr="00904424">
        <w:trPr>
          <w:cantSplit/>
        </w:trPr>
        <w:tc>
          <w:tcPr>
            <w:tcW w:w="727" w:type="pct"/>
            <w:shd w:val="clear" w:color="auto" w:fill="auto"/>
            <w:vAlign w:val="center"/>
          </w:tcPr>
          <w:p w14:paraId="18EE4880" w14:textId="77777777" w:rsidR="003476DA" w:rsidRPr="00B1090B" w:rsidRDefault="003476DA" w:rsidP="0021554F">
            <w:pPr>
              <w:widowControl w:val="0"/>
              <w:jc w:val="left"/>
              <w:rPr>
                <w:rFonts w:ascii="Arial Narrow" w:eastAsiaTheme="majorEastAsia" w:hAnsi="Arial Narrow" w:cstheme="majorBidi"/>
                <w:bCs/>
                <w:sz w:val="20"/>
                <w:szCs w:val="20"/>
              </w:rPr>
            </w:pPr>
            <w:r w:rsidRPr="00B1090B">
              <w:rPr>
                <w:rFonts w:ascii="Arial Narrow" w:eastAsiaTheme="majorEastAsia" w:hAnsi="Arial Narrow" w:cstheme="majorBidi"/>
                <w:bCs/>
                <w:sz w:val="20"/>
                <w:szCs w:val="20"/>
              </w:rPr>
              <w:t>Time horizon</w:t>
            </w:r>
          </w:p>
        </w:tc>
        <w:tc>
          <w:tcPr>
            <w:tcW w:w="4273" w:type="pct"/>
            <w:shd w:val="clear" w:color="auto" w:fill="auto"/>
          </w:tcPr>
          <w:p w14:paraId="086015F8" w14:textId="77777777" w:rsidR="003476DA" w:rsidRPr="00B1090B" w:rsidRDefault="003476DA" w:rsidP="0021554F">
            <w:pPr>
              <w:widowControl w:val="0"/>
              <w:jc w:val="left"/>
              <w:rPr>
                <w:rFonts w:ascii="Arial Narrow" w:eastAsiaTheme="majorEastAsia" w:hAnsi="Arial Narrow" w:cstheme="majorBidi"/>
                <w:bCs/>
                <w:sz w:val="20"/>
                <w:szCs w:val="20"/>
              </w:rPr>
            </w:pPr>
            <w:r w:rsidRPr="00B1090B">
              <w:rPr>
                <w:rFonts w:ascii="Arial Narrow" w:hAnsi="Arial Narrow"/>
                <w:sz w:val="20"/>
                <w:szCs w:val="20"/>
              </w:rPr>
              <w:t>15 years in the model base case versus median follow-up of 16 months in the EMPEROR-Reduced trial</w:t>
            </w:r>
          </w:p>
        </w:tc>
      </w:tr>
      <w:tr w:rsidR="003476DA" w:rsidRPr="00B1090B" w14:paraId="6B86A4D6" w14:textId="77777777" w:rsidTr="00904424">
        <w:trPr>
          <w:cantSplit/>
        </w:trPr>
        <w:tc>
          <w:tcPr>
            <w:tcW w:w="727" w:type="pct"/>
            <w:shd w:val="clear" w:color="auto" w:fill="auto"/>
            <w:vAlign w:val="center"/>
          </w:tcPr>
          <w:p w14:paraId="102222AC" w14:textId="77777777" w:rsidR="003476DA" w:rsidRPr="00B1090B" w:rsidRDefault="003476DA" w:rsidP="0021554F">
            <w:pPr>
              <w:widowControl w:val="0"/>
              <w:jc w:val="left"/>
              <w:rPr>
                <w:rFonts w:ascii="Arial Narrow" w:eastAsiaTheme="majorEastAsia" w:hAnsi="Arial Narrow" w:cstheme="majorBidi"/>
                <w:bCs/>
                <w:sz w:val="20"/>
                <w:szCs w:val="20"/>
              </w:rPr>
            </w:pPr>
            <w:r w:rsidRPr="00B1090B">
              <w:rPr>
                <w:rFonts w:ascii="Arial Narrow" w:eastAsiaTheme="majorEastAsia" w:hAnsi="Arial Narrow" w:cstheme="majorBidi"/>
                <w:bCs/>
                <w:sz w:val="20"/>
                <w:szCs w:val="20"/>
              </w:rPr>
              <w:t>Outcomes</w:t>
            </w:r>
          </w:p>
        </w:tc>
        <w:tc>
          <w:tcPr>
            <w:tcW w:w="4273" w:type="pct"/>
            <w:shd w:val="clear" w:color="auto" w:fill="auto"/>
            <w:vAlign w:val="center"/>
          </w:tcPr>
          <w:p w14:paraId="0898DDEE" w14:textId="77777777" w:rsidR="003476DA" w:rsidRPr="00B1090B" w:rsidRDefault="003476DA" w:rsidP="0021554F">
            <w:pPr>
              <w:widowControl w:val="0"/>
              <w:jc w:val="left"/>
              <w:rPr>
                <w:rFonts w:ascii="Arial Narrow" w:eastAsiaTheme="majorEastAsia" w:hAnsi="Arial Narrow" w:cstheme="majorBidi"/>
                <w:bCs/>
                <w:sz w:val="20"/>
                <w:szCs w:val="20"/>
              </w:rPr>
            </w:pPr>
            <w:r w:rsidRPr="00B1090B">
              <w:rPr>
                <w:rFonts w:ascii="Arial Narrow" w:eastAsiaTheme="majorEastAsia" w:hAnsi="Arial Narrow" w:cstheme="majorBidi"/>
                <w:bCs/>
                <w:sz w:val="20"/>
                <w:szCs w:val="20"/>
              </w:rPr>
              <w:t>Life years; quality adjusted life years</w:t>
            </w:r>
          </w:p>
        </w:tc>
      </w:tr>
      <w:tr w:rsidR="003476DA" w:rsidRPr="00B1090B" w14:paraId="1DB6F85B" w14:textId="77777777" w:rsidTr="00904424">
        <w:trPr>
          <w:cantSplit/>
        </w:trPr>
        <w:tc>
          <w:tcPr>
            <w:tcW w:w="727" w:type="pct"/>
            <w:shd w:val="clear" w:color="auto" w:fill="auto"/>
            <w:vAlign w:val="center"/>
          </w:tcPr>
          <w:p w14:paraId="276E9A7B" w14:textId="77777777" w:rsidR="003476DA" w:rsidRPr="00B1090B" w:rsidRDefault="003476DA" w:rsidP="0021554F">
            <w:pPr>
              <w:widowControl w:val="0"/>
              <w:jc w:val="left"/>
              <w:rPr>
                <w:rFonts w:ascii="Arial Narrow" w:eastAsiaTheme="majorEastAsia" w:hAnsi="Arial Narrow" w:cstheme="majorBidi"/>
                <w:bCs/>
                <w:sz w:val="20"/>
                <w:szCs w:val="20"/>
              </w:rPr>
            </w:pPr>
            <w:r w:rsidRPr="00B1090B">
              <w:rPr>
                <w:rFonts w:ascii="Arial Narrow" w:eastAsiaTheme="majorEastAsia" w:hAnsi="Arial Narrow" w:cstheme="majorBidi"/>
                <w:bCs/>
                <w:sz w:val="20"/>
                <w:szCs w:val="20"/>
              </w:rPr>
              <w:t>Methods used to generate results</w:t>
            </w:r>
          </w:p>
        </w:tc>
        <w:tc>
          <w:tcPr>
            <w:tcW w:w="4273" w:type="pct"/>
            <w:shd w:val="clear" w:color="auto" w:fill="auto"/>
          </w:tcPr>
          <w:p w14:paraId="59293A85" w14:textId="77777777" w:rsidR="003476DA" w:rsidRPr="00B1090B" w:rsidRDefault="003476DA" w:rsidP="0021554F">
            <w:pPr>
              <w:widowControl w:val="0"/>
              <w:jc w:val="left"/>
              <w:rPr>
                <w:rFonts w:ascii="Arial Narrow" w:eastAsiaTheme="majorEastAsia" w:hAnsi="Arial Narrow" w:cstheme="majorBidi"/>
                <w:bCs/>
                <w:sz w:val="20"/>
                <w:szCs w:val="20"/>
              </w:rPr>
            </w:pPr>
            <w:r w:rsidRPr="00B1090B">
              <w:rPr>
                <w:rFonts w:ascii="Arial Narrow" w:hAnsi="Arial Narrow"/>
                <w:sz w:val="20"/>
                <w:szCs w:val="20"/>
              </w:rPr>
              <w:t>Markov state transition model</w:t>
            </w:r>
          </w:p>
        </w:tc>
      </w:tr>
      <w:tr w:rsidR="003476DA" w:rsidRPr="00B1090B" w14:paraId="25490019" w14:textId="77777777" w:rsidTr="00904424">
        <w:trPr>
          <w:cantSplit/>
        </w:trPr>
        <w:tc>
          <w:tcPr>
            <w:tcW w:w="727" w:type="pct"/>
            <w:shd w:val="clear" w:color="auto" w:fill="auto"/>
            <w:vAlign w:val="center"/>
          </w:tcPr>
          <w:p w14:paraId="0F626E17" w14:textId="77777777" w:rsidR="003476DA" w:rsidRPr="00B1090B" w:rsidRDefault="003476DA" w:rsidP="0021554F">
            <w:pPr>
              <w:widowControl w:val="0"/>
              <w:jc w:val="left"/>
              <w:rPr>
                <w:rFonts w:ascii="Arial Narrow" w:eastAsiaTheme="majorEastAsia" w:hAnsi="Arial Narrow" w:cstheme="majorBidi"/>
                <w:bCs/>
                <w:sz w:val="20"/>
                <w:szCs w:val="20"/>
              </w:rPr>
            </w:pPr>
            <w:r w:rsidRPr="00B1090B">
              <w:rPr>
                <w:rFonts w:ascii="Arial Narrow" w:eastAsiaTheme="majorEastAsia" w:hAnsi="Arial Narrow" w:cstheme="majorBidi"/>
                <w:bCs/>
                <w:sz w:val="20"/>
                <w:szCs w:val="20"/>
              </w:rPr>
              <w:t>Health states</w:t>
            </w:r>
          </w:p>
        </w:tc>
        <w:tc>
          <w:tcPr>
            <w:tcW w:w="4273" w:type="pct"/>
            <w:shd w:val="clear" w:color="auto" w:fill="auto"/>
          </w:tcPr>
          <w:p w14:paraId="4E261037" w14:textId="77777777" w:rsidR="003476DA" w:rsidRPr="00B1090B" w:rsidRDefault="003476DA" w:rsidP="0021554F">
            <w:pPr>
              <w:widowControl w:val="0"/>
              <w:jc w:val="left"/>
              <w:rPr>
                <w:rFonts w:ascii="Arial Narrow" w:eastAsiaTheme="majorEastAsia" w:hAnsi="Arial Narrow" w:cstheme="majorBidi"/>
                <w:bCs/>
                <w:sz w:val="20"/>
                <w:szCs w:val="20"/>
              </w:rPr>
            </w:pPr>
            <w:r w:rsidRPr="00B1090B">
              <w:rPr>
                <w:rFonts w:ascii="Arial Narrow" w:hAnsi="Arial Narrow"/>
                <w:sz w:val="20"/>
                <w:szCs w:val="20"/>
              </w:rPr>
              <w:t>KCCQ-CSS quartiles and dead (CV and non-CV)</w:t>
            </w:r>
          </w:p>
        </w:tc>
      </w:tr>
      <w:tr w:rsidR="003476DA" w:rsidRPr="00B1090B" w14:paraId="1C61547A" w14:textId="77777777" w:rsidTr="00904424">
        <w:trPr>
          <w:cantSplit/>
        </w:trPr>
        <w:tc>
          <w:tcPr>
            <w:tcW w:w="727" w:type="pct"/>
            <w:shd w:val="clear" w:color="auto" w:fill="auto"/>
            <w:vAlign w:val="center"/>
          </w:tcPr>
          <w:p w14:paraId="7C958B0E" w14:textId="77777777" w:rsidR="003476DA" w:rsidRPr="00B1090B" w:rsidRDefault="003476DA" w:rsidP="0021554F">
            <w:pPr>
              <w:widowControl w:val="0"/>
              <w:jc w:val="left"/>
              <w:rPr>
                <w:rFonts w:ascii="Arial Narrow" w:eastAsiaTheme="majorEastAsia" w:hAnsi="Arial Narrow" w:cstheme="majorBidi"/>
                <w:bCs/>
                <w:sz w:val="20"/>
                <w:szCs w:val="20"/>
              </w:rPr>
            </w:pPr>
            <w:r w:rsidRPr="00B1090B">
              <w:rPr>
                <w:rFonts w:ascii="Arial Narrow" w:eastAsiaTheme="majorEastAsia" w:hAnsi="Arial Narrow" w:cstheme="majorBidi"/>
                <w:bCs/>
                <w:sz w:val="20"/>
                <w:szCs w:val="20"/>
              </w:rPr>
              <w:t>Cycle length</w:t>
            </w:r>
          </w:p>
        </w:tc>
        <w:tc>
          <w:tcPr>
            <w:tcW w:w="4273" w:type="pct"/>
            <w:shd w:val="clear" w:color="auto" w:fill="auto"/>
            <w:vAlign w:val="center"/>
          </w:tcPr>
          <w:p w14:paraId="10049F56" w14:textId="77777777" w:rsidR="003476DA" w:rsidRPr="00B1090B" w:rsidRDefault="003476DA" w:rsidP="0021554F">
            <w:pPr>
              <w:widowControl w:val="0"/>
              <w:jc w:val="left"/>
              <w:rPr>
                <w:rFonts w:ascii="Arial Narrow" w:eastAsiaTheme="majorEastAsia" w:hAnsi="Arial Narrow" w:cstheme="majorBidi"/>
                <w:bCs/>
                <w:sz w:val="20"/>
                <w:szCs w:val="20"/>
              </w:rPr>
            </w:pPr>
            <w:r w:rsidRPr="00B1090B">
              <w:rPr>
                <w:rFonts w:ascii="Arial Narrow" w:eastAsiaTheme="majorEastAsia" w:hAnsi="Arial Narrow" w:cstheme="majorBidi"/>
                <w:bCs/>
                <w:sz w:val="20"/>
                <w:szCs w:val="20"/>
              </w:rPr>
              <w:t>One month</w:t>
            </w:r>
          </w:p>
        </w:tc>
      </w:tr>
      <w:tr w:rsidR="003476DA" w:rsidRPr="00B1090B" w14:paraId="25BA7A3E" w14:textId="77777777" w:rsidTr="00904424">
        <w:trPr>
          <w:cantSplit/>
        </w:trPr>
        <w:tc>
          <w:tcPr>
            <w:tcW w:w="727" w:type="pct"/>
            <w:shd w:val="clear" w:color="auto" w:fill="auto"/>
            <w:vAlign w:val="center"/>
          </w:tcPr>
          <w:p w14:paraId="5CF28291" w14:textId="77777777" w:rsidR="003476DA" w:rsidRPr="00B1090B" w:rsidRDefault="003476DA" w:rsidP="0021554F">
            <w:pPr>
              <w:widowControl w:val="0"/>
              <w:jc w:val="left"/>
              <w:rPr>
                <w:rFonts w:ascii="Arial Narrow" w:eastAsiaTheme="majorEastAsia" w:hAnsi="Arial Narrow" w:cstheme="majorBidi"/>
                <w:bCs/>
                <w:sz w:val="20"/>
                <w:szCs w:val="20"/>
              </w:rPr>
            </w:pPr>
            <w:r w:rsidRPr="00B1090B">
              <w:rPr>
                <w:rFonts w:ascii="Arial Narrow" w:eastAsiaTheme="majorEastAsia" w:hAnsi="Arial Narrow" w:cstheme="majorBidi"/>
                <w:bCs/>
                <w:sz w:val="20"/>
                <w:szCs w:val="20"/>
              </w:rPr>
              <w:t>Transition probabilities</w:t>
            </w:r>
          </w:p>
        </w:tc>
        <w:tc>
          <w:tcPr>
            <w:tcW w:w="4273" w:type="pct"/>
            <w:shd w:val="clear" w:color="auto" w:fill="auto"/>
          </w:tcPr>
          <w:p w14:paraId="5E87E1FF" w14:textId="77777777" w:rsidR="003476DA" w:rsidRPr="00B1090B" w:rsidRDefault="003476DA" w:rsidP="0021554F">
            <w:pPr>
              <w:pStyle w:val="TableText"/>
              <w:keepNext w:val="0"/>
              <w:rPr>
                <w:szCs w:val="20"/>
              </w:rPr>
            </w:pPr>
            <w:r w:rsidRPr="00B1090B">
              <w:rPr>
                <w:szCs w:val="20"/>
              </w:rPr>
              <w:t>KCCQ-CSS transitions: individual patient data from EMPEROR-Reduced were used to derive monthly transitions between KCCQ-CSS health states for three time periods (baseline to Week 12, Week 12 to Week 32, Week 32 to Week 52). Transition probabilities from Week 32 to Week 52 were used for the remaining time horizon (up to 15 years).</w:t>
            </w:r>
          </w:p>
          <w:p w14:paraId="1DF5CE01" w14:textId="77777777" w:rsidR="003476DA" w:rsidRPr="00B1090B" w:rsidRDefault="003476DA" w:rsidP="0021554F">
            <w:pPr>
              <w:pStyle w:val="TableText"/>
              <w:keepNext w:val="0"/>
              <w:rPr>
                <w:szCs w:val="20"/>
              </w:rPr>
            </w:pPr>
            <w:r w:rsidRPr="00B1090B">
              <w:rPr>
                <w:szCs w:val="20"/>
              </w:rPr>
              <w:t>CV death transitions were based on Kaplan</w:t>
            </w:r>
            <w:r w:rsidR="003D3F17">
              <w:rPr>
                <w:szCs w:val="20"/>
              </w:rPr>
              <w:t>-</w:t>
            </w:r>
            <w:r w:rsidRPr="00B1090B">
              <w:rPr>
                <w:szCs w:val="20"/>
              </w:rPr>
              <w:t>Meier time to CV death curves from EMPEROR-Reduced over 16 months, extrapolated to 15 years based on a Weibull function using a single model, with treatment and KCCQ-CSS quartiles as covariates.</w:t>
            </w:r>
          </w:p>
          <w:p w14:paraId="79ECB215" w14:textId="77777777" w:rsidR="003476DA" w:rsidRPr="00B1090B" w:rsidRDefault="003476DA" w:rsidP="0021554F">
            <w:pPr>
              <w:pStyle w:val="TableText"/>
              <w:keepNext w:val="0"/>
              <w:rPr>
                <w:szCs w:val="20"/>
              </w:rPr>
            </w:pPr>
            <w:r w:rsidRPr="00B1090B">
              <w:rPr>
                <w:szCs w:val="20"/>
              </w:rPr>
              <w:t>Non-CV mortality transitions were derived from estimates of all-cause mortality minus estimates of CV mortality. All-cause mortality was based on Kaplan</w:t>
            </w:r>
            <w:r w:rsidR="003D3F17">
              <w:rPr>
                <w:szCs w:val="20"/>
              </w:rPr>
              <w:t>-</w:t>
            </w:r>
            <w:r w:rsidRPr="00B1090B">
              <w:rPr>
                <w:szCs w:val="20"/>
              </w:rPr>
              <w:t>Meier time to all-cause death curves from EMPEROR-Reduced over 16 months, extrapolated to 15 years based on a Weibull function using a single model, with treatment and KCCQ-CSS quartiles as covariates. A correction was included to ensure that the monthly probability of non-CV death was not smaller than that of the Australian general population (adjusted to remove CV death).</w:t>
            </w:r>
          </w:p>
          <w:p w14:paraId="0878D8E7" w14:textId="77777777" w:rsidR="003476DA" w:rsidRPr="00B1090B" w:rsidRDefault="003476DA" w:rsidP="0021554F">
            <w:pPr>
              <w:pStyle w:val="TableText"/>
              <w:keepNext w:val="0"/>
              <w:rPr>
                <w:szCs w:val="20"/>
              </w:rPr>
            </w:pPr>
            <w:r w:rsidRPr="00B1090B">
              <w:rPr>
                <w:szCs w:val="20"/>
              </w:rPr>
              <w:t>Empagliflozin treatment discontinuation was based on an exponential function fitted to the Kaplan</w:t>
            </w:r>
            <w:r w:rsidR="003D3F17">
              <w:rPr>
                <w:szCs w:val="20"/>
              </w:rPr>
              <w:t>-</w:t>
            </w:r>
            <w:r w:rsidRPr="00B1090B">
              <w:rPr>
                <w:szCs w:val="20"/>
              </w:rPr>
              <w:t>Meier time to treatment discontinuation curve (censored for death) from EMPEROR-Reduced, with KCCQ-CSS quartiles as covariates, extrapolated to 15 years.</w:t>
            </w:r>
          </w:p>
          <w:p w14:paraId="1F25C068" w14:textId="77777777" w:rsidR="003476DA" w:rsidRPr="00B1090B" w:rsidRDefault="003476DA" w:rsidP="0021554F">
            <w:pPr>
              <w:pStyle w:val="TableText"/>
              <w:keepNext w:val="0"/>
              <w:rPr>
                <w:szCs w:val="20"/>
              </w:rPr>
            </w:pPr>
            <w:r w:rsidRPr="00B1090B">
              <w:rPr>
                <w:szCs w:val="20"/>
              </w:rPr>
              <w:t xml:space="preserve">Monthly probabilities of heart failure hospitalisation were derived using a Poisson model fitted to the observed data from EMPEROR-Reduced </w:t>
            </w:r>
            <w:r w:rsidR="00047622">
              <w:rPr>
                <w:szCs w:val="20"/>
              </w:rPr>
              <w:t xml:space="preserve">with </w:t>
            </w:r>
            <w:r w:rsidRPr="00B1090B">
              <w:rPr>
                <w:szCs w:val="20"/>
              </w:rPr>
              <w:t>treatment and KCCQ-CSS quartiles as covariates.</w:t>
            </w:r>
          </w:p>
          <w:p w14:paraId="065308E3" w14:textId="77777777" w:rsidR="003476DA" w:rsidRDefault="003476DA" w:rsidP="0021554F">
            <w:pPr>
              <w:widowControl w:val="0"/>
              <w:jc w:val="left"/>
              <w:rPr>
                <w:rFonts w:ascii="Arial Narrow" w:hAnsi="Arial Narrow"/>
                <w:sz w:val="20"/>
                <w:szCs w:val="20"/>
              </w:rPr>
            </w:pPr>
            <w:r w:rsidRPr="00B1090B">
              <w:rPr>
                <w:rFonts w:ascii="Arial Narrow" w:hAnsi="Arial Narrow"/>
                <w:sz w:val="20"/>
                <w:szCs w:val="20"/>
              </w:rPr>
              <w:t>The monthly probabilities of adverse events used in the modelled economic evaluation were derived from the rate per 100 patient years of adverse events of special interest from the EMPEROR-Reduced trial.</w:t>
            </w:r>
          </w:p>
          <w:p w14:paraId="3A889B4C" w14:textId="77777777" w:rsidR="003476DA" w:rsidRPr="00B1090B" w:rsidRDefault="003476DA" w:rsidP="0021554F">
            <w:pPr>
              <w:pStyle w:val="TableText"/>
              <w:keepNext w:val="0"/>
              <w:rPr>
                <w:bCs w:val="0"/>
                <w:szCs w:val="20"/>
              </w:rPr>
            </w:pPr>
            <w:r w:rsidRPr="005C2815">
              <w:rPr>
                <w:szCs w:val="20"/>
              </w:rPr>
              <w:t xml:space="preserve">86.0% of incremental costs and 81.7% of incremental QALYs </w:t>
            </w:r>
            <w:r w:rsidR="00047622">
              <w:rPr>
                <w:szCs w:val="20"/>
              </w:rPr>
              <w:t>were</w:t>
            </w:r>
            <w:r w:rsidR="00047622" w:rsidRPr="005C2815">
              <w:rPr>
                <w:szCs w:val="20"/>
              </w:rPr>
              <w:t xml:space="preserve"> </w:t>
            </w:r>
            <w:r w:rsidRPr="005C2815">
              <w:rPr>
                <w:szCs w:val="20"/>
              </w:rPr>
              <w:t>accrued in the extrapolated period beyond 18 months.</w:t>
            </w:r>
          </w:p>
        </w:tc>
      </w:tr>
      <w:tr w:rsidR="003476DA" w:rsidRPr="00B1090B" w14:paraId="407785B0" w14:textId="77777777" w:rsidTr="00904424">
        <w:trPr>
          <w:cantSplit/>
        </w:trPr>
        <w:tc>
          <w:tcPr>
            <w:tcW w:w="727" w:type="pct"/>
            <w:shd w:val="clear" w:color="auto" w:fill="auto"/>
            <w:vAlign w:val="center"/>
          </w:tcPr>
          <w:p w14:paraId="7DF068DF" w14:textId="77777777" w:rsidR="003476DA" w:rsidRPr="00B1090B" w:rsidRDefault="003476DA" w:rsidP="0021554F">
            <w:pPr>
              <w:widowControl w:val="0"/>
              <w:jc w:val="left"/>
              <w:rPr>
                <w:rFonts w:ascii="Arial Narrow" w:eastAsiaTheme="majorEastAsia" w:hAnsi="Arial Narrow" w:cstheme="majorBidi"/>
                <w:bCs/>
                <w:sz w:val="20"/>
                <w:szCs w:val="20"/>
              </w:rPr>
            </w:pPr>
            <w:r w:rsidRPr="00B1090B">
              <w:rPr>
                <w:rFonts w:ascii="Arial Narrow" w:eastAsiaTheme="majorEastAsia" w:hAnsi="Arial Narrow" w:cstheme="majorBidi"/>
                <w:bCs/>
                <w:sz w:val="20"/>
                <w:szCs w:val="20"/>
              </w:rPr>
              <w:t>Costs</w:t>
            </w:r>
          </w:p>
        </w:tc>
        <w:tc>
          <w:tcPr>
            <w:tcW w:w="4273" w:type="pct"/>
            <w:shd w:val="clear" w:color="auto" w:fill="auto"/>
            <w:vAlign w:val="center"/>
          </w:tcPr>
          <w:p w14:paraId="0AF436BD" w14:textId="77777777" w:rsidR="003476DA" w:rsidRPr="00B1090B" w:rsidRDefault="003476DA" w:rsidP="0021554F">
            <w:pPr>
              <w:pStyle w:val="TableText"/>
              <w:keepNext w:val="0"/>
              <w:rPr>
                <w:szCs w:val="20"/>
              </w:rPr>
            </w:pPr>
            <w:r w:rsidRPr="00B1090B">
              <w:rPr>
                <w:szCs w:val="20"/>
              </w:rPr>
              <w:t>The cost of empagliflozin was based on the proposed DMPQ and 100% adherence.</w:t>
            </w:r>
          </w:p>
          <w:p w14:paraId="55E4B0B9" w14:textId="77777777" w:rsidR="003476DA" w:rsidRPr="00B1090B" w:rsidRDefault="003476DA" w:rsidP="0021554F">
            <w:pPr>
              <w:pStyle w:val="TableText"/>
              <w:keepNext w:val="0"/>
              <w:rPr>
                <w:szCs w:val="20"/>
              </w:rPr>
            </w:pPr>
            <w:r w:rsidRPr="00B1090B">
              <w:rPr>
                <w:szCs w:val="20"/>
              </w:rPr>
              <w:t>The cost of standard care was based on</w:t>
            </w:r>
            <w:r w:rsidR="003D3F17">
              <w:rPr>
                <w:szCs w:val="20"/>
              </w:rPr>
              <w:t>:</w:t>
            </w:r>
            <w:r w:rsidRPr="00B1090B">
              <w:rPr>
                <w:szCs w:val="20"/>
              </w:rPr>
              <w:t xml:space="preserve"> the distribution of use of heart failure medicine classes in EMPEROR-Reduced</w:t>
            </w:r>
            <w:r w:rsidR="003D3F17">
              <w:rPr>
                <w:szCs w:val="20"/>
              </w:rPr>
              <w:t>;</w:t>
            </w:r>
            <w:r w:rsidRPr="00B1090B">
              <w:rPr>
                <w:szCs w:val="20"/>
              </w:rPr>
              <w:t xml:space="preserve"> the recommended dose for each medicine based on its PI</w:t>
            </w:r>
            <w:r w:rsidR="003D3F17">
              <w:rPr>
                <w:szCs w:val="20"/>
              </w:rPr>
              <w:t>;</w:t>
            </w:r>
            <w:r w:rsidRPr="00B1090B">
              <w:rPr>
                <w:szCs w:val="20"/>
              </w:rPr>
              <w:t xml:space="preserve"> the DPMQ and pack size from the PBS Schedule; and 100% adherence.</w:t>
            </w:r>
          </w:p>
          <w:p w14:paraId="415C8EA9" w14:textId="77777777" w:rsidR="003476DA" w:rsidRPr="00B1090B" w:rsidRDefault="003476DA" w:rsidP="0021554F">
            <w:pPr>
              <w:pStyle w:val="TableText"/>
              <w:keepNext w:val="0"/>
              <w:rPr>
                <w:szCs w:val="20"/>
              </w:rPr>
            </w:pPr>
            <w:r w:rsidRPr="00B1090B">
              <w:rPr>
                <w:szCs w:val="20"/>
              </w:rPr>
              <w:t xml:space="preserve">Disease management costs were based on resource use estimates from Ford 2012, with unit costs based on MBS items. Ford 2012 presented resource use by NYHA class and the submission assumed that these would apply to the KCCQ-CSS quartiles (e.g. NYHA class IV corresponds to KCCQ-CSS quartile </w:t>
            </w:r>
            <w:r w:rsidR="00047622">
              <w:rPr>
                <w:szCs w:val="20"/>
              </w:rPr>
              <w:t>1</w:t>
            </w:r>
            <w:r w:rsidRPr="00B1090B">
              <w:rPr>
                <w:szCs w:val="20"/>
              </w:rPr>
              <w:t>).</w:t>
            </w:r>
          </w:p>
          <w:p w14:paraId="16D9C0FD" w14:textId="77777777" w:rsidR="003476DA" w:rsidRPr="00B1090B" w:rsidRDefault="003476DA" w:rsidP="0021554F">
            <w:pPr>
              <w:pStyle w:val="TableText"/>
              <w:keepNext w:val="0"/>
              <w:rPr>
                <w:szCs w:val="20"/>
              </w:rPr>
            </w:pPr>
            <w:r w:rsidRPr="00B1090B">
              <w:rPr>
                <w:szCs w:val="20"/>
              </w:rPr>
              <w:t>Heart failure hospitalisation costs were based on AR-DRG costs for heart failure.</w:t>
            </w:r>
          </w:p>
          <w:p w14:paraId="3ACD6A59" w14:textId="77777777" w:rsidR="003476DA" w:rsidRPr="00B1090B" w:rsidRDefault="003476DA" w:rsidP="0021554F">
            <w:pPr>
              <w:pStyle w:val="TableText"/>
              <w:keepNext w:val="0"/>
              <w:rPr>
                <w:szCs w:val="20"/>
              </w:rPr>
            </w:pPr>
            <w:r w:rsidRPr="00B1090B">
              <w:rPr>
                <w:szCs w:val="20"/>
              </w:rPr>
              <w:t xml:space="preserve">Cardiovascular death costs were based on AR-DRG costs for heart failure, </w:t>
            </w:r>
            <w:r w:rsidR="00355FCF" w:rsidRPr="00B1090B">
              <w:rPr>
                <w:szCs w:val="20"/>
              </w:rPr>
              <w:t>stroke,</w:t>
            </w:r>
            <w:r w:rsidRPr="00B1090B">
              <w:rPr>
                <w:szCs w:val="20"/>
              </w:rPr>
              <w:t xml:space="preserve"> and myocardial infarction.</w:t>
            </w:r>
          </w:p>
          <w:p w14:paraId="7575BA43" w14:textId="77777777" w:rsidR="003476DA" w:rsidRPr="00B1090B" w:rsidRDefault="003476DA" w:rsidP="0021554F">
            <w:pPr>
              <w:widowControl w:val="0"/>
              <w:jc w:val="left"/>
              <w:rPr>
                <w:rFonts w:ascii="Arial Narrow" w:hAnsi="Arial Narrow"/>
                <w:iCs/>
                <w:sz w:val="20"/>
                <w:szCs w:val="20"/>
              </w:rPr>
            </w:pPr>
            <w:r w:rsidRPr="00B1090B">
              <w:rPr>
                <w:rFonts w:ascii="Arial Narrow" w:hAnsi="Arial Narrow"/>
                <w:sz w:val="20"/>
                <w:szCs w:val="20"/>
              </w:rPr>
              <w:t>Adverse event costs were weighted by severity, with various AR-DRG costs applied for serious adverse events and the cost of a level B GP visit used for non-serious adverse events.</w:t>
            </w:r>
          </w:p>
        </w:tc>
      </w:tr>
      <w:tr w:rsidR="003476DA" w:rsidRPr="00B1090B" w14:paraId="2BFCD886" w14:textId="77777777" w:rsidTr="00904424">
        <w:trPr>
          <w:cantSplit/>
        </w:trPr>
        <w:tc>
          <w:tcPr>
            <w:tcW w:w="727" w:type="pct"/>
            <w:shd w:val="clear" w:color="auto" w:fill="auto"/>
            <w:vAlign w:val="center"/>
          </w:tcPr>
          <w:p w14:paraId="445099C3" w14:textId="77777777" w:rsidR="003476DA" w:rsidRPr="00B1090B" w:rsidRDefault="003476DA" w:rsidP="0021554F">
            <w:pPr>
              <w:widowControl w:val="0"/>
              <w:jc w:val="left"/>
              <w:rPr>
                <w:rFonts w:ascii="Arial Narrow" w:eastAsiaTheme="majorEastAsia" w:hAnsi="Arial Narrow" w:cstheme="majorBidi"/>
                <w:bCs/>
                <w:sz w:val="20"/>
                <w:szCs w:val="20"/>
              </w:rPr>
            </w:pPr>
            <w:r w:rsidRPr="00B1090B">
              <w:rPr>
                <w:rFonts w:ascii="Arial Narrow" w:eastAsiaTheme="majorEastAsia" w:hAnsi="Arial Narrow" w:cstheme="majorBidi"/>
                <w:bCs/>
                <w:sz w:val="20"/>
                <w:szCs w:val="20"/>
              </w:rPr>
              <w:t>Health related quality of life</w:t>
            </w:r>
          </w:p>
        </w:tc>
        <w:tc>
          <w:tcPr>
            <w:tcW w:w="4273" w:type="pct"/>
            <w:shd w:val="clear" w:color="auto" w:fill="auto"/>
          </w:tcPr>
          <w:p w14:paraId="6327AC19" w14:textId="77777777" w:rsidR="003476DA" w:rsidRPr="00565789" w:rsidRDefault="003476DA" w:rsidP="0021554F">
            <w:pPr>
              <w:pStyle w:val="TableText"/>
              <w:keepNext w:val="0"/>
              <w:rPr>
                <w:iCs/>
                <w:szCs w:val="20"/>
              </w:rPr>
            </w:pPr>
            <w:r w:rsidRPr="00B1090B">
              <w:rPr>
                <w:szCs w:val="20"/>
              </w:rPr>
              <w:t>EQ-5D-5L scores from EMPEROR-Reduced were mapped to EQ-5D-3L scores using the methodology outlined in Hernandez 2017, using the UK value set.</w:t>
            </w:r>
            <w:r w:rsidR="00A13235">
              <w:rPr>
                <w:szCs w:val="20"/>
              </w:rPr>
              <w:t xml:space="preserve"> </w:t>
            </w:r>
            <w:r w:rsidR="00A13235" w:rsidRPr="00565789">
              <w:rPr>
                <w:iCs/>
                <w:szCs w:val="20"/>
              </w:rPr>
              <w:t>The ESC noted that no justification was provided as to why Australian values were not used.</w:t>
            </w:r>
          </w:p>
          <w:p w14:paraId="04022842" w14:textId="77777777" w:rsidR="003476DA" w:rsidRPr="00B1090B" w:rsidRDefault="003476DA" w:rsidP="0021554F">
            <w:pPr>
              <w:pStyle w:val="TableText"/>
              <w:keepNext w:val="0"/>
              <w:rPr>
                <w:szCs w:val="20"/>
              </w:rPr>
            </w:pPr>
            <w:r w:rsidRPr="00B1090B">
              <w:rPr>
                <w:szCs w:val="20"/>
              </w:rPr>
              <w:t>KCCQ-CSS health state utilities were derived from a linear mixed regression equation fitted to EQ-5D-3L data from EMPEROR-</w:t>
            </w:r>
            <w:r w:rsidR="003D3F17">
              <w:rPr>
                <w:szCs w:val="20"/>
              </w:rPr>
              <w:t>Reduced</w:t>
            </w:r>
            <w:r w:rsidRPr="00B1090B">
              <w:rPr>
                <w:szCs w:val="20"/>
              </w:rPr>
              <w:t>. Utilities were adjusted so that utilities did not exceed the utility of the UK general population aged 60 to 69 (KCCQ-CSS quartile 4, 0.7740; quartile 3, 0.7101; quartile 2, 0.6370; quartile 1, 0.5201).</w:t>
            </w:r>
          </w:p>
          <w:p w14:paraId="61CF120A" w14:textId="77777777" w:rsidR="003476DA" w:rsidRPr="00B1090B" w:rsidRDefault="003476DA" w:rsidP="0021554F">
            <w:pPr>
              <w:pStyle w:val="TableText"/>
              <w:keepNext w:val="0"/>
              <w:rPr>
                <w:szCs w:val="20"/>
              </w:rPr>
            </w:pPr>
            <w:r w:rsidRPr="00B1090B">
              <w:rPr>
                <w:szCs w:val="20"/>
              </w:rPr>
              <w:t>Disutilities of heart failure hospitalisation were also derived from the linear mixed regression equation fitted to data from EMPEROR-Reduced. Time-varying indicators were collected at the time of utility measurement to capture short- and longer-term effects of heart failure hospitalisations on utilities (heart failure hospitalisation disutility &lt;1 month, -0.03193; 1 to &lt;2</w:t>
            </w:r>
            <w:r w:rsidR="004A0E3B">
              <w:rPr>
                <w:szCs w:val="20"/>
              </w:rPr>
              <w:t> </w:t>
            </w:r>
            <w:r w:rsidRPr="00B1090B">
              <w:rPr>
                <w:szCs w:val="20"/>
              </w:rPr>
              <w:t>months, -0.03970; 2 to &lt;4 months, -0.02902; 4 to &lt;12 months -0.01453).</w:t>
            </w:r>
          </w:p>
          <w:p w14:paraId="5FF3EDF6" w14:textId="77777777" w:rsidR="003476DA" w:rsidRPr="00B1090B" w:rsidRDefault="003476DA" w:rsidP="0021554F">
            <w:pPr>
              <w:widowControl w:val="0"/>
              <w:jc w:val="left"/>
              <w:rPr>
                <w:rFonts w:ascii="Arial Narrow" w:eastAsiaTheme="majorEastAsia" w:hAnsi="Arial Narrow" w:cstheme="majorBidi"/>
                <w:bCs/>
                <w:sz w:val="20"/>
                <w:szCs w:val="20"/>
              </w:rPr>
            </w:pPr>
            <w:r w:rsidRPr="00B1090B">
              <w:rPr>
                <w:rFonts w:ascii="Arial Narrow" w:hAnsi="Arial Narrow"/>
                <w:sz w:val="20"/>
                <w:szCs w:val="20"/>
              </w:rPr>
              <w:t>Adverse event disutilities were derived from multiple published sources (Dapagliflozin NICE submission, Sullivan 2016, Sullivan 2006) ranging from to -0.003 for hepatic injury to -0.149 for bone fracture); assumed to apply for 1 month.</w:t>
            </w:r>
          </w:p>
        </w:tc>
      </w:tr>
    </w:tbl>
    <w:p w14:paraId="1E0B6493" w14:textId="77777777" w:rsidR="003476DA" w:rsidRDefault="003476DA" w:rsidP="003476DA">
      <w:pPr>
        <w:pStyle w:val="TableFigureFooter"/>
      </w:pPr>
      <w:r w:rsidRPr="00E31AB0">
        <w:t>Source:</w:t>
      </w:r>
      <w:r>
        <w:t xml:space="preserve"> Sections 3.3 to 3.6 of the submission</w:t>
      </w:r>
    </w:p>
    <w:p w14:paraId="361E115A" w14:textId="77777777" w:rsidR="003476DA" w:rsidRPr="00996B43" w:rsidRDefault="001A0800" w:rsidP="003476DA">
      <w:pPr>
        <w:pStyle w:val="TableFigureFooter"/>
      </w:pPr>
      <w:r>
        <w:t>ACE, a</w:t>
      </w:r>
      <w:r w:rsidRPr="001A0800">
        <w:t>ngiotensin-converting enzyme inhibitor</w:t>
      </w:r>
      <w:r>
        <w:t xml:space="preserve">; ARB, </w:t>
      </w:r>
      <w:r w:rsidRPr="001A0800">
        <w:t>angiotensin II receptor blocker</w:t>
      </w:r>
      <w:r>
        <w:t>;</w:t>
      </w:r>
      <w:r w:rsidRPr="001A0800">
        <w:t xml:space="preserve"> </w:t>
      </w:r>
      <w:r w:rsidR="003476DA">
        <w:t xml:space="preserve">AR-DRG, Australian Refined Diagnosis Related Group; </w:t>
      </w:r>
      <w:r w:rsidR="003476DA" w:rsidRPr="00AA4CE2">
        <w:t xml:space="preserve">CV, cardiovascular; </w:t>
      </w:r>
      <w:r w:rsidR="003476DA">
        <w:t xml:space="preserve">DPMQ, dispensed price for maximum quantity; GP, general practitioner; </w:t>
      </w:r>
      <w:r w:rsidR="003476DA" w:rsidRPr="00AA4CE2">
        <w:t xml:space="preserve">KCCQ-CSS, Kansas City Cardiomyopathy Questionnaire Clinical Summary </w:t>
      </w:r>
      <w:r w:rsidR="003476DA" w:rsidRPr="00996B43">
        <w:t xml:space="preserve">Score; </w:t>
      </w:r>
      <w:r w:rsidR="003476DA">
        <w:t xml:space="preserve">NYHA, New York Heart Association; PBS, Pharmaceutical Benefits Scheme; </w:t>
      </w:r>
      <w:r w:rsidR="003476DA" w:rsidRPr="00996B43">
        <w:t>PI, product information</w:t>
      </w:r>
    </w:p>
    <w:p w14:paraId="3A8C7B25" w14:textId="77777777" w:rsidR="003476DA" w:rsidRPr="001426EB" w:rsidRDefault="003476DA" w:rsidP="0012228C">
      <w:pPr>
        <w:pStyle w:val="ExecSumBodyText"/>
      </w:pPr>
      <w:r w:rsidRPr="001426EB">
        <w:t xml:space="preserve">The economic model </w:t>
      </w:r>
      <w:r w:rsidR="007E71A2">
        <w:t>had</w:t>
      </w:r>
      <w:r w:rsidRPr="001426EB">
        <w:t xml:space="preserve"> a 15-year time horizon</w:t>
      </w:r>
      <w:r w:rsidR="007E71A2">
        <w:t xml:space="preserve">, which the submission stated </w:t>
      </w:r>
      <w:r w:rsidR="00047622">
        <w:t>was</w:t>
      </w:r>
      <w:r w:rsidR="00047622" w:rsidRPr="001426EB">
        <w:t xml:space="preserve"> </w:t>
      </w:r>
      <w:r w:rsidRPr="001426EB">
        <w:t>consistent with survival in patients with heart failure (based on a systematic review</w:t>
      </w:r>
      <w:r w:rsidR="007E71A2">
        <w:t xml:space="preserve"> and meta-analysis</w:t>
      </w:r>
      <w:r w:rsidRPr="001426EB">
        <w:t xml:space="preserve"> of survival in heart failure</w:t>
      </w:r>
      <w:r w:rsidR="00B059BB">
        <w:t>;</w:t>
      </w:r>
      <w:r w:rsidR="007E71A2">
        <w:t xml:space="preserve"> Jones 2019</w:t>
      </w:r>
      <w:r w:rsidRPr="001426EB">
        <w:t xml:space="preserve">) and </w:t>
      </w:r>
      <w:r w:rsidR="00047622">
        <w:t xml:space="preserve">was </w:t>
      </w:r>
      <w:r w:rsidRPr="001426EB">
        <w:t xml:space="preserve">appropriate to capture the clinical and economic consequences of empagliflozin </w:t>
      </w:r>
      <w:r w:rsidR="00047622">
        <w:t>plus SC</w:t>
      </w:r>
      <w:r w:rsidRPr="001426EB">
        <w:t xml:space="preserve"> and placebo </w:t>
      </w:r>
      <w:r w:rsidR="00047622">
        <w:t>plus SC</w:t>
      </w:r>
      <w:r w:rsidRPr="001426EB">
        <w:t>. The pooled survival rates from the systematic review and meta-analysis were 86.5% at 1 year, 56.7% at 5 years, and 34.9% at 10 years.</w:t>
      </w:r>
      <w:r w:rsidRPr="00D14896">
        <w:rPr>
          <w:iCs/>
        </w:rPr>
        <w:t xml:space="preserve"> Given the proportion of subjects alive at 10 years, a 15-year time horizon may not be sufficient to capture the lifetime costs and consequences associated with empagliflozin </w:t>
      </w:r>
      <w:r w:rsidR="00047622">
        <w:rPr>
          <w:iCs/>
        </w:rPr>
        <w:t>plus SC</w:t>
      </w:r>
      <w:r w:rsidRPr="00D14896">
        <w:rPr>
          <w:iCs/>
        </w:rPr>
        <w:t xml:space="preserve"> versus </w:t>
      </w:r>
      <w:r w:rsidR="00ED5301">
        <w:rPr>
          <w:iCs/>
        </w:rPr>
        <w:t>SC</w:t>
      </w:r>
      <w:r w:rsidRPr="00D14896">
        <w:rPr>
          <w:iCs/>
        </w:rPr>
        <w:t>, however a longer time horizon would be associated with additional uncertainty given the extrapolation of outcomes based on a median duration of follow-up of 16 months in the EMPEROR-Reduced trial.</w:t>
      </w:r>
      <w:r w:rsidR="007E71A2">
        <w:rPr>
          <w:iCs/>
        </w:rPr>
        <w:t xml:space="preserve"> </w:t>
      </w:r>
      <w:r w:rsidR="007E71A2" w:rsidRPr="00565789">
        <w:t>The PSCR considered the 15-year time horizon was conservative, as approximately one third of patients with HF survive to 10 years. In addition, it considered that the ICER was not significantly impacted when the time horizon was set to 20 years or lifetime.</w:t>
      </w:r>
    </w:p>
    <w:p w14:paraId="3A5CFEED" w14:textId="77777777" w:rsidR="003476DA" w:rsidRPr="00FC537F" w:rsidRDefault="003476DA" w:rsidP="0012228C">
      <w:pPr>
        <w:pStyle w:val="ExecSumBodyText"/>
      </w:pPr>
      <w:r w:rsidRPr="00FC537F">
        <w:t>The figure below illustrates the structure of the economic evaluation.</w:t>
      </w:r>
    </w:p>
    <w:p w14:paraId="1CACA4B0" w14:textId="77777777" w:rsidR="003476DA" w:rsidRPr="001426EB" w:rsidRDefault="003B10F4" w:rsidP="003B10F4">
      <w:pPr>
        <w:pStyle w:val="TableFigureCaption"/>
      </w:pPr>
      <w:r>
        <w:t xml:space="preserve">Figure </w:t>
      </w:r>
      <w:r w:rsidR="00915190">
        <w:rPr>
          <w:noProof/>
        </w:rPr>
        <w:t>1</w:t>
      </w:r>
      <w:r w:rsidR="003476DA" w:rsidRPr="001426EB">
        <w:t>: Model structure</w:t>
      </w:r>
    </w:p>
    <w:p w14:paraId="2636BE91" w14:textId="77777777" w:rsidR="003476DA" w:rsidRPr="001426EB" w:rsidRDefault="003476DA" w:rsidP="003476DA">
      <w:r w:rsidRPr="00FC537F">
        <w:rPr>
          <w:noProof/>
        </w:rPr>
        <w:drawing>
          <wp:inline distT="0" distB="0" distL="0" distR="0" wp14:anchorId="52C77B14" wp14:editId="6ED4808C">
            <wp:extent cx="5148000" cy="2847600"/>
            <wp:effectExtent l="0" t="0" r="0" b="0"/>
            <wp:docPr id="7" name="Picture 7" title="Figure 1: Model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48000" cy="2847600"/>
                    </a:xfrm>
                    <a:prstGeom prst="rect">
                      <a:avLst/>
                    </a:prstGeom>
                  </pic:spPr>
                </pic:pic>
              </a:graphicData>
            </a:graphic>
          </wp:inline>
        </w:drawing>
      </w:r>
    </w:p>
    <w:p w14:paraId="1D399738" w14:textId="77777777" w:rsidR="003476DA" w:rsidRPr="001426EB" w:rsidRDefault="003476DA" w:rsidP="003476DA">
      <w:pPr>
        <w:pStyle w:val="TableFigureFooter"/>
      </w:pPr>
      <w:r w:rsidRPr="001426EB">
        <w:t>Source: Figure 3.4, p167 of the submission</w:t>
      </w:r>
    </w:p>
    <w:p w14:paraId="456B1151" w14:textId="77777777" w:rsidR="003476DA" w:rsidRPr="00FC537F" w:rsidRDefault="003476DA" w:rsidP="003476DA">
      <w:pPr>
        <w:pStyle w:val="TableFigureFooter"/>
        <w:rPr>
          <w:sz w:val="20"/>
        </w:rPr>
      </w:pPr>
      <w:r w:rsidRPr="001426EB">
        <w:t>CV, cardiovascular; hHF, hospitalisation due to heart failure; KCCQ-CSS, Kansas City Cardiomyopathy Questionnaire Clinical Summary Score</w:t>
      </w:r>
    </w:p>
    <w:p w14:paraId="37841F53" w14:textId="77777777" w:rsidR="003476DA" w:rsidRDefault="003476DA" w:rsidP="0012228C">
      <w:pPr>
        <w:pStyle w:val="ExecSumBodyText"/>
        <w:rPr>
          <w:iCs/>
        </w:rPr>
      </w:pPr>
      <w:r w:rsidRPr="001426EB">
        <w:t xml:space="preserve">Subjects </w:t>
      </w:r>
      <w:r w:rsidR="007E71A2">
        <w:t xml:space="preserve">could </w:t>
      </w:r>
      <w:r w:rsidRPr="001426EB">
        <w:t xml:space="preserve">begin the model in one of the four KCCQ-CSS quartile health states. During each one-month cycle, subjects </w:t>
      </w:r>
      <w:r w:rsidR="007E71A2">
        <w:t>could</w:t>
      </w:r>
      <w:r w:rsidR="007E71A2" w:rsidRPr="001426EB">
        <w:t xml:space="preserve"> </w:t>
      </w:r>
      <w:r w:rsidRPr="001426EB">
        <w:t>remain in their KCCQ-CSS quartile health state, move to another KCCQ-CSS quartile health state, or die from cardiovascular or non-cardiovascular causes.</w:t>
      </w:r>
      <w:r w:rsidR="00B04881">
        <w:t xml:space="preserve"> </w:t>
      </w:r>
      <w:bookmarkStart w:id="42" w:name="_Hlk87430281"/>
      <w:r w:rsidRPr="001426EB">
        <w:t xml:space="preserve">During each cycle, subjects </w:t>
      </w:r>
      <w:r w:rsidR="007E71A2">
        <w:t>could</w:t>
      </w:r>
      <w:r w:rsidR="007E71A2" w:rsidRPr="001426EB">
        <w:t xml:space="preserve"> </w:t>
      </w:r>
      <w:r w:rsidRPr="001426EB">
        <w:t xml:space="preserve">experience hospitalisation due to heart failure or treatment-related adverse events. </w:t>
      </w:r>
      <w:bookmarkEnd w:id="42"/>
      <w:r w:rsidRPr="001426EB">
        <w:t xml:space="preserve">Subjects in the empagliflozin arm </w:t>
      </w:r>
      <w:r w:rsidR="007E71A2">
        <w:t>could</w:t>
      </w:r>
      <w:r w:rsidR="007E71A2" w:rsidRPr="001426EB">
        <w:t xml:space="preserve"> </w:t>
      </w:r>
      <w:r w:rsidRPr="001426EB">
        <w:t>discontinue drug treatment in each cycle.</w:t>
      </w:r>
      <w:r>
        <w:t xml:space="preserve"> The model applie</w:t>
      </w:r>
      <w:r w:rsidR="007E71A2">
        <w:t>d</w:t>
      </w:r>
      <w:r>
        <w:t xml:space="preserve"> higher rates of heart failure hospitalisation, and CV and non-CV mortality to patients with poorer KCCQ-CSS scores (based on quartiles). </w:t>
      </w:r>
      <w:bookmarkStart w:id="43" w:name="_Hlk87430505"/>
      <w:r w:rsidRPr="00D14896">
        <w:rPr>
          <w:iCs/>
        </w:rPr>
        <w:t xml:space="preserve">Heart failure hospitalisations </w:t>
      </w:r>
      <w:r w:rsidR="007E71A2">
        <w:rPr>
          <w:iCs/>
        </w:rPr>
        <w:t>were</w:t>
      </w:r>
      <w:r w:rsidR="007E71A2" w:rsidRPr="00D14896">
        <w:rPr>
          <w:iCs/>
        </w:rPr>
        <w:t xml:space="preserve"> </w:t>
      </w:r>
      <w:r w:rsidRPr="00D14896">
        <w:rPr>
          <w:iCs/>
        </w:rPr>
        <w:t xml:space="preserve">associated with a cost and disutility, but </w:t>
      </w:r>
      <w:r w:rsidR="007E71A2">
        <w:rPr>
          <w:iCs/>
        </w:rPr>
        <w:t>did</w:t>
      </w:r>
      <w:r w:rsidR="007E71A2" w:rsidRPr="00D14896">
        <w:rPr>
          <w:iCs/>
        </w:rPr>
        <w:t xml:space="preserve"> </w:t>
      </w:r>
      <w:r w:rsidRPr="00D14896">
        <w:rPr>
          <w:iCs/>
        </w:rPr>
        <w:t xml:space="preserve">not alter health state transitions and </w:t>
      </w:r>
      <w:r w:rsidR="007E71A2">
        <w:rPr>
          <w:iCs/>
        </w:rPr>
        <w:t>did</w:t>
      </w:r>
      <w:r w:rsidR="007E71A2" w:rsidRPr="00D14896">
        <w:rPr>
          <w:iCs/>
        </w:rPr>
        <w:t xml:space="preserve"> </w:t>
      </w:r>
      <w:r w:rsidRPr="00D14896">
        <w:rPr>
          <w:iCs/>
        </w:rPr>
        <w:t xml:space="preserve">not affect mortality rates, which </w:t>
      </w:r>
      <w:r w:rsidR="007E71A2">
        <w:rPr>
          <w:iCs/>
        </w:rPr>
        <w:t>was</w:t>
      </w:r>
      <w:r w:rsidR="007E71A2" w:rsidRPr="00D14896">
        <w:rPr>
          <w:iCs/>
        </w:rPr>
        <w:t xml:space="preserve"> </w:t>
      </w:r>
      <w:r w:rsidRPr="00D14896">
        <w:rPr>
          <w:iCs/>
        </w:rPr>
        <w:t xml:space="preserve">unlikely to reflect the disease pathway. </w:t>
      </w:r>
    </w:p>
    <w:p w14:paraId="62B29741" w14:textId="77777777" w:rsidR="00EB08C6" w:rsidRPr="00565789" w:rsidRDefault="00EB08C6" w:rsidP="0012228C">
      <w:pPr>
        <w:pStyle w:val="ExecSumBodyText"/>
      </w:pPr>
      <w:bookmarkStart w:id="44" w:name="_Ref87430846"/>
      <w:bookmarkEnd w:id="43"/>
      <w:r w:rsidRPr="00565789">
        <w:t>The PSCR</w:t>
      </w:r>
      <w:r w:rsidR="00D9710A" w:rsidRPr="00565789">
        <w:t xml:space="preserve"> </w:t>
      </w:r>
      <w:r w:rsidR="003607D7">
        <w:t xml:space="preserve">and pre-PBAC response </w:t>
      </w:r>
      <w:r w:rsidRPr="00565789">
        <w:t xml:space="preserve">considered that although HHF may impact heath state transitions and mortality rates, incorporating HHF as a separate health state would have significantly increased the complexity of the model. While </w:t>
      </w:r>
      <w:r w:rsidR="00AF272D" w:rsidRPr="00565789">
        <w:t>it recognised that there was</w:t>
      </w:r>
      <w:r w:rsidRPr="00565789">
        <w:t xml:space="preserve"> no explicit consideration of HHF impacts on health state transitions and mortality in the current model structure, it claimed that any HHF that resulted in a change in health state or death in EMPEROR-Reduced </w:t>
      </w:r>
      <w:r w:rsidR="00AF272D" w:rsidRPr="00565789">
        <w:t>was</w:t>
      </w:r>
      <w:r w:rsidRPr="00565789">
        <w:t xml:space="preserve"> implicitly captured in the health state transition matrices and/or the mortality equations</w:t>
      </w:r>
      <w:r w:rsidR="00D9710A" w:rsidRPr="00565789">
        <w:t xml:space="preserve"> (as patients move to lower KCCQ-CSS quartiles, they progress in their disease and as a result their risk of hospitalisation and mortality increases)</w:t>
      </w:r>
      <w:r w:rsidRPr="00565789">
        <w:t>.</w:t>
      </w:r>
      <w:r w:rsidR="008A1901">
        <w:t xml:space="preserve"> </w:t>
      </w:r>
      <w:r w:rsidR="00724814" w:rsidRPr="00565789">
        <w:t xml:space="preserve">The ESC considered that this may be true for the within trial period, </w:t>
      </w:r>
      <w:r w:rsidR="00EB4F9F" w:rsidRPr="00565789">
        <w:t xml:space="preserve">but </w:t>
      </w:r>
      <w:r w:rsidR="00724814" w:rsidRPr="00565789">
        <w:t>it was less likely over the extrapolated period.</w:t>
      </w:r>
      <w:bookmarkEnd w:id="44"/>
      <w:r w:rsidR="00724814" w:rsidRPr="00565789">
        <w:t xml:space="preserve">  </w:t>
      </w:r>
    </w:p>
    <w:p w14:paraId="78618C39" w14:textId="77777777" w:rsidR="003476DA" w:rsidRDefault="003476DA" w:rsidP="0012228C">
      <w:pPr>
        <w:pStyle w:val="ExecSumBodyText"/>
        <w:rPr>
          <w:iCs/>
        </w:rPr>
      </w:pPr>
      <w:r>
        <w:t>The submission stated that t</w:t>
      </w:r>
      <w:r w:rsidRPr="000843FF">
        <w:t>he health states were defined based on KCCQ-CSS quartiles</w:t>
      </w:r>
      <w:r>
        <w:t>, rather than the more commonly used NYHA functional classification</w:t>
      </w:r>
      <w:r w:rsidRPr="000843FF">
        <w:t xml:space="preserve"> because the KCCQ score </w:t>
      </w:r>
      <w:r>
        <w:t xml:space="preserve">is </w:t>
      </w:r>
      <w:r w:rsidRPr="000843FF">
        <w:t>an established and prognostically important measure of health status in patients with HFrEF</w:t>
      </w:r>
      <w:r>
        <w:t xml:space="preserve">. </w:t>
      </w:r>
      <w:r w:rsidRPr="00D14896">
        <w:rPr>
          <w:iCs/>
        </w:rPr>
        <w:t>The submission claimed that the KCCQ is a better measure of disease severity compared with NYHA class, but no justification was provided in the submission. In the NICE assessment of dapagliflozin for HFrEF, clinical experts stated that NYHA class is more subjective and less sensitive to changes in patient symptoms than the KCCQ tool.</w:t>
      </w:r>
      <w:r>
        <w:t xml:space="preserve"> The submission noted that, in assessing the dapagliflozin HFrEF submission</w:t>
      </w:r>
      <w:r w:rsidR="003D3F17">
        <w:t>,</w:t>
      </w:r>
      <w:r>
        <w:t xml:space="preserve"> the NICE evaluation committee stated that the KCCQ tool is a reasonable tool to classify disease severity and is appropriate for decision making. </w:t>
      </w:r>
      <w:r w:rsidRPr="00D14896">
        <w:rPr>
          <w:iCs/>
        </w:rPr>
        <w:t xml:space="preserve">The impact of the different KCCQ summary scores used to define health states (KCCQ-CSS in the submission; KCCQ-TSS in the NICE dapagliflozin submission) </w:t>
      </w:r>
      <w:r w:rsidR="007E71A2">
        <w:rPr>
          <w:iCs/>
        </w:rPr>
        <w:t>was</w:t>
      </w:r>
      <w:r w:rsidR="007E71A2" w:rsidRPr="00D14896">
        <w:rPr>
          <w:iCs/>
        </w:rPr>
        <w:t xml:space="preserve"> </w:t>
      </w:r>
      <w:r w:rsidRPr="00D14896">
        <w:rPr>
          <w:iCs/>
        </w:rPr>
        <w:t>unclear.</w:t>
      </w:r>
    </w:p>
    <w:p w14:paraId="514D7153" w14:textId="77777777" w:rsidR="003476DA" w:rsidRPr="00B92AAB" w:rsidRDefault="003476DA" w:rsidP="0012228C">
      <w:pPr>
        <w:pStyle w:val="ExecSumBodyText"/>
      </w:pPr>
      <w:r>
        <w:t>The submission presented a sensitivity analysis assessing the impact of using NYHA class health states instead of KCCQ-CSS quartiles.</w:t>
      </w:r>
      <w:r w:rsidRPr="00E07F10">
        <w:t xml:space="preserve"> </w:t>
      </w:r>
      <w:r>
        <w:t>The sensitivity analysis used</w:t>
      </w:r>
      <w:r w:rsidRPr="00E07F10">
        <w:t xml:space="preserve"> individual patient data from EMPEROR-Reduced to derive monthly transitions between </w:t>
      </w:r>
      <w:r>
        <w:t>NYHA class</w:t>
      </w:r>
      <w:r w:rsidRPr="00E07F10">
        <w:t xml:space="preserve"> health states</w:t>
      </w:r>
      <w:r w:rsidR="00536FE4">
        <w:t xml:space="preserve"> (see </w:t>
      </w:r>
      <w:r w:rsidR="00915190">
        <w:t xml:space="preserve">Table </w:t>
      </w:r>
      <w:r w:rsidR="00915190">
        <w:rPr>
          <w:noProof/>
        </w:rPr>
        <w:t>13</w:t>
      </w:r>
      <w:r w:rsidR="00536FE4">
        <w:t>)</w:t>
      </w:r>
      <w:r w:rsidRPr="00E07F10">
        <w:t>.</w:t>
      </w:r>
    </w:p>
    <w:p w14:paraId="2301587E" w14:textId="77777777" w:rsidR="003476DA" w:rsidRPr="001552B3" w:rsidRDefault="003476DA" w:rsidP="0012228C">
      <w:pPr>
        <w:pStyle w:val="ExecSumBodyText"/>
      </w:pPr>
      <w:r>
        <w:t>Alternative analyses were also presented based on the subgroups by baseline ARNi use. These analyses use</w:t>
      </w:r>
      <w:r w:rsidR="003D3F17">
        <w:t>d</w:t>
      </w:r>
      <w:r>
        <w:t xml:space="preserve"> patient characteristics based on the baseline ARNi use subgroups in EMPEROR-Reduced (used to inform initial health state distribution, background mortality, health state utilities and drug costs). The Weibull risk equations for cardiovascular mortality and all-cause mortality, and Poisson model for estimating heart failure hospitalisations were also refitted using data from the subgroups by baseline </w:t>
      </w:r>
      <w:r w:rsidRPr="001552B3">
        <w:t>ARNi use.</w:t>
      </w:r>
    </w:p>
    <w:p w14:paraId="692D7434" w14:textId="77777777" w:rsidR="00DA5726" w:rsidRDefault="00DA5726">
      <w:pPr>
        <w:jc w:val="left"/>
        <w:rPr>
          <w:rFonts w:ascii="Arial Narrow" w:eastAsiaTheme="majorEastAsia" w:hAnsi="Arial Narrow" w:cstheme="majorBidi"/>
          <w:b/>
          <w:bCs/>
          <w:sz w:val="20"/>
        </w:rPr>
      </w:pPr>
      <w:r>
        <w:br w:type="page"/>
      </w:r>
    </w:p>
    <w:p w14:paraId="05AC9D5D" w14:textId="42704C57" w:rsidR="003476DA" w:rsidRPr="001552B3" w:rsidRDefault="00B974B3" w:rsidP="003607D7">
      <w:pPr>
        <w:pStyle w:val="TableFigureCaption"/>
        <w:keepNext w:val="0"/>
        <w:widowControl w:val="0"/>
      </w:pPr>
      <w:r w:rsidRPr="001552B3">
        <w:t xml:space="preserve">Table </w:t>
      </w:r>
      <w:r w:rsidR="00915190">
        <w:rPr>
          <w:noProof/>
        </w:rPr>
        <w:t>11</w:t>
      </w:r>
      <w:r w:rsidR="003476DA" w:rsidRPr="001552B3">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Key drivers of the model"/>
      </w:tblPr>
      <w:tblGrid>
        <w:gridCol w:w="1554"/>
        <w:gridCol w:w="6379"/>
        <w:gridCol w:w="1084"/>
      </w:tblGrid>
      <w:tr w:rsidR="003476DA" w:rsidRPr="001552B3" w14:paraId="081D405C" w14:textId="77777777" w:rsidTr="005557F7">
        <w:trPr>
          <w:tblHeader/>
        </w:trPr>
        <w:tc>
          <w:tcPr>
            <w:tcW w:w="862" w:type="pct"/>
            <w:shd w:val="clear" w:color="auto" w:fill="auto"/>
            <w:vAlign w:val="center"/>
          </w:tcPr>
          <w:p w14:paraId="4A1DA61E" w14:textId="77777777" w:rsidR="003476DA" w:rsidRPr="001552B3" w:rsidRDefault="003476DA" w:rsidP="003607D7">
            <w:pPr>
              <w:pStyle w:val="Tableheadingrow"/>
              <w:keepNext w:val="0"/>
              <w:widowControl w:val="0"/>
              <w:jc w:val="center"/>
              <w:rPr>
                <w:lang w:val="en-AU"/>
              </w:rPr>
            </w:pPr>
            <w:r w:rsidRPr="001552B3">
              <w:rPr>
                <w:lang w:val="en-AU"/>
              </w:rPr>
              <w:t>Description</w:t>
            </w:r>
          </w:p>
        </w:tc>
        <w:tc>
          <w:tcPr>
            <w:tcW w:w="3537" w:type="pct"/>
            <w:shd w:val="clear" w:color="auto" w:fill="auto"/>
            <w:vAlign w:val="center"/>
          </w:tcPr>
          <w:p w14:paraId="6E7AA29D" w14:textId="77777777" w:rsidR="003476DA" w:rsidRPr="001552B3" w:rsidRDefault="003476DA" w:rsidP="003607D7">
            <w:pPr>
              <w:pStyle w:val="Tableheadingrow"/>
              <w:keepNext w:val="0"/>
              <w:widowControl w:val="0"/>
              <w:jc w:val="center"/>
              <w:rPr>
                <w:lang w:val="en-AU"/>
              </w:rPr>
            </w:pPr>
            <w:r w:rsidRPr="001552B3">
              <w:rPr>
                <w:lang w:val="en-AU"/>
              </w:rPr>
              <w:t>Method/Value</w:t>
            </w:r>
          </w:p>
        </w:tc>
        <w:tc>
          <w:tcPr>
            <w:tcW w:w="601" w:type="pct"/>
            <w:shd w:val="clear" w:color="auto" w:fill="auto"/>
            <w:vAlign w:val="center"/>
          </w:tcPr>
          <w:p w14:paraId="71BD5971" w14:textId="77777777" w:rsidR="003476DA" w:rsidRPr="001552B3" w:rsidRDefault="003476DA" w:rsidP="003607D7">
            <w:pPr>
              <w:pStyle w:val="Tableheadingrow"/>
              <w:keepNext w:val="0"/>
              <w:widowControl w:val="0"/>
              <w:jc w:val="center"/>
              <w:rPr>
                <w:lang w:val="en-AU"/>
              </w:rPr>
            </w:pPr>
            <w:r w:rsidRPr="001552B3">
              <w:rPr>
                <w:lang w:val="en-AU"/>
              </w:rPr>
              <w:t>Impact</w:t>
            </w:r>
          </w:p>
        </w:tc>
      </w:tr>
      <w:tr w:rsidR="003476DA" w:rsidRPr="00D14896" w14:paraId="51CF55C3" w14:textId="77777777" w:rsidTr="00182411">
        <w:tc>
          <w:tcPr>
            <w:tcW w:w="862" w:type="pct"/>
            <w:shd w:val="clear" w:color="auto" w:fill="auto"/>
            <w:vAlign w:val="center"/>
          </w:tcPr>
          <w:p w14:paraId="653ACA15" w14:textId="77777777" w:rsidR="003476DA" w:rsidRPr="001552B3" w:rsidRDefault="003476DA" w:rsidP="003607D7">
            <w:pPr>
              <w:pStyle w:val="TableText"/>
              <w:keepNext w:val="0"/>
              <w:widowControl w:val="0"/>
              <w:jc w:val="center"/>
            </w:pPr>
            <w:r w:rsidRPr="001552B3">
              <w:t>Modelled mortality benefit</w:t>
            </w:r>
          </w:p>
        </w:tc>
        <w:tc>
          <w:tcPr>
            <w:tcW w:w="3537" w:type="pct"/>
            <w:shd w:val="clear" w:color="auto" w:fill="auto"/>
          </w:tcPr>
          <w:p w14:paraId="1B677E78" w14:textId="77777777" w:rsidR="003476DA" w:rsidRPr="001552B3" w:rsidRDefault="003476DA" w:rsidP="003607D7">
            <w:pPr>
              <w:pStyle w:val="TableText"/>
              <w:keepNext w:val="0"/>
              <w:widowControl w:val="0"/>
            </w:pPr>
            <w:bookmarkStart w:id="45" w:name="_Hlk81831253"/>
            <w:r w:rsidRPr="001552B3">
              <w:t>The model assume</w:t>
            </w:r>
            <w:r w:rsidR="00182411" w:rsidRPr="001552B3">
              <w:t>d</w:t>
            </w:r>
            <w:r w:rsidRPr="001552B3">
              <w:t xml:space="preserve"> differences in time to cardiovascular death favouring empagliflozin that </w:t>
            </w:r>
            <w:r w:rsidR="00F630C5" w:rsidRPr="001552B3">
              <w:t xml:space="preserve">were </w:t>
            </w:r>
            <w:r w:rsidRPr="001552B3">
              <w:t xml:space="preserve">not consistent with the available clinical data (see </w:t>
            </w:r>
            <w:r w:rsidR="00915190">
              <w:t xml:space="preserve">Table </w:t>
            </w:r>
            <w:r w:rsidR="00915190">
              <w:rPr>
                <w:noProof/>
              </w:rPr>
              <w:t>6</w:t>
            </w:r>
            <w:r w:rsidR="00182411" w:rsidRPr="001552B3">
              <w:t xml:space="preserve"> </w:t>
            </w:r>
            <w:r w:rsidRPr="001552B3">
              <w:t>above).</w:t>
            </w:r>
          </w:p>
          <w:bookmarkEnd w:id="45"/>
          <w:p w14:paraId="6C6B7837" w14:textId="77777777" w:rsidR="003476DA" w:rsidRPr="001552B3" w:rsidRDefault="003476DA" w:rsidP="003607D7">
            <w:pPr>
              <w:pStyle w:val="TableText"/>
              <w:keepNext w:val="0"/>
              <w:widowControl w:val="0"/>
              <w:rPr>
                <w:iCs/>
              </w:rPr>
            </w:pPr>
            <w:r w:rsidRPr="001552B3">
              <w:rPr>
                <w:iCs/>
              </w:rPr>
              <w:t xml:space="preserve">In the model, a cardiovascular mortality benefit for empagliflozin </w:t>
            </w:r>
            <w:r w:rsidR="00F630C5" w:rsidRPr="001552B3">
              <w:rPr>
                <w:iCs/>
              </w:rPr>
              <w:t>was</w:t>
            </w:r>
            <w:r w:rsidRPr="001552B3">
              <w:rPr>
                <w:iCs/>
              </w:rPr>
              <w:t xml:space="preserve"> generated from improved survival within each KCCQ-CSS health state (with the exception of KCCQ-CSS quartile 2), as well as from higher proportions of patients in the empagliflozin arm transitioning to KCCQ-CSS quartiles representing improved health status which have lower mortality (and lower proportions transitioning to lower health status quartiles with higher mortality) compared with the placebo arm.</w:t>
            </w:r>
          </w:p>
          <w:p w14:paraId="71EFBFC7" w14:textId="77777777" w:rsidR="0017118B" w:rsidRPr="001552B3" w:rsidRDefault="003476DA" w:rsidP="003607D7">
            <w:pPr>
              <w:widowControl w:val="0"/>
              <w:jc w:val="left"/>
              <w:rPr>
                <w:rFonts w:ascii="Arial Narrow" w:eastAsiaTheme="majorEastAsia" w:hAnsi="Arial Narrow" w:cstheme="majorBidi"/>
                <w:bCs/>
                <w:iCs/>
                <w:sz w:val="20"/>
              </w:rPr>
            </w:pPr>
            <w:r w:rsidRPr="001552B3">
              <w:rPr>
                <w:rFonts w:ascii="Arial Narrow" w:eastAsiaTheme="majorEastAsia" w:hAnsi="Arial Narrow" w:cstheme="majorBidi"/>
                <w:bCs/>
                <w:iCs/>
                <w:sz w:val="20"/>
              </w:rPr>
              <w:t xml:space="preserve">The impact of no survival benefit associated with empagliflozin treatment could not be tested during the evaluation due to the model structure with estimates of cardiovascular mortality curves derived separately for KCCQ-CSS health states. </w:t>
            </w:r>
          </w:p>
          <w:p w14:paraId="159D216B" w14:textId="77777777" w:rsidR="0017118B" w:rsidRPr="001552B3" w:rsidRDefault="0017118B" w:rsidP="003607D7">
            <w:pPr>
              <w:widowControl w:val="0"/>
              <w:jc w:val="left"/>
              <w:rPr>
                <w:rFonts w:ascii="Arial Narrow" w:eastAsiaTheme="majorEastAsia" w:hAnsi="Arial Narrow" w:cstheme="majorBidi"/>
                <w:bCs/>
                <w:i/>
                <w:sz w:val="20"/>
              </w:rPr>
            </w:pPr>
            <w:r w:rsidRPr="001552B3">
              <w:rPr>
                <w:rFonts w:ascii="Arial Narrow" w:eastAsiaTheme="majorEastAsia" w:hAnsi="Arial Narrow" w:cstheme="majorBidi"/>
                <w:bCs/>
                <w:sz w:val="20"/>
              </w:rPr>
              <w:t>The ESC noted the PSCR reiterated the clinical plausibility of mortality benefit with empagliflozin, and ESC considered the trial data was likely limited in being powered to assess this outcome given the sample size and the limited follow up of a median 16</w:t>
            </w:r>
            <w:r w:rsidR="00D005C4" w:rsidRPr="001552B3">
              <w:rPr>
                <w:rFonts w:ascii="Arial Narrow" w:eastAsiaTheme="majorEastAsia" w:hAnsi="Arial Narrow" w:cstheme="majorBidi"/>
                <w:bCs/>
                <w:sz w:val="20"/>
              </w:rPr>
              <w:t> </w:t>
            </w:r>
            <w:r w:rsidRPr="001552B3">
              <w:rPr>
                <w:rFonts w:ascii="Arial Narrow" w:eastAsiaTheme="majorEastAsia" w:hAnsi="Arial Narrow" w:cstheme="majorBidi"/>
                <w:bCs/>
                <w:sz w:val="20"/>
              </w:rPr>
              <w:t xml:space="preserve">months. </w:t>
            </w:r>
          </w:p>
        </w:tc>
        <w:tc>
          <w:tcPr>
            <w:tcW w:w="601" w:type="pct"/>
            <w:shd w:val="clear" w:color="auto" w:fill="auto"/>
            <w:vAlign w:val="center"/>
          </w:tcPr>
          <w:p w14:paraId="4817BD8B" w14:textId="77777777" w:rsidR="003476DA" w:rsidRPr="00D14896" w:rsidRDefault="003476DA" w:rsidP="003607D7">
            <w:pPr>
              <w:pStyle w:val="TableText"/>
              <w:keepNext w:val="0"/>
              <w:widowControl w:val="0"/>
              <w:jc w:val="center"/>
            </w:pPr>
            <w:r w:rsidRPr="001552B3">
              <w:t>High, favours empagliflozin</w:t>
            </w:r>
          </w:p>
        </w:tc>
      </w:tr>
      <w:tr w:rsidR="003476DA" w:rsidRPr="00D14896" w14:paraId="20865A76" w14:textId="77777777" w:rsidTr="00182411">
        <w:tc>
          <w:tcPr>
            <w:tcW w:w="862" w:type="pct"/>
            <w:shd w:val="clear" w:color="auto" w:fill="auto"/>
            <w:vAlign w:val="center"/>
          </w:tcPr>
          <w:p w14:paraId="1A19F2A2" w14:textId="77777777" w:rsidR="003476DA" w:rsidRPr="00D14896" w:rsidRDefault="003476DA" w:rsidP="003607D7">
            <w:pPr>
              <w:pStyle w:val="TableText"/>
              <w:keepNext w:val="0"/>
              <w:widowControl w:val="0"/>
              <w:jc w:val="center"/>
            </w:pPr>
            <w:r w:rsidRPr="00D14896">
              <w:t>KCCQ-CSS quartile health state transitions</w:t>
            </w:r>
          </w:p>
        </w:tc>
        <w:tc>
          <w:tcPr>
            <w:tcW w:w="3537" w:type="pct"/>
            <w:shd w:val="clear" w:color="auto" w:fill="auto"/>
          </w:tcPr>
          <w:p w14:paraId="707DEDB1" w14:textId="77777777" w:rsidR="003476DA" w:rsidRPr="00D14896" w:rsidRDefault="003476DA" w:rsidP="003607D7">
            <w:pPr>
              <w:pStyle w:val="TableText"/>
              <w:keepNext w:val="0"/>
              <w:widowControl w:val="0"/>
            </w:pPr>
            <w:r w:rsidRPr="00D14896">
              <w:t>The model assume</w:t>
            </w:r>
            <w:r w:rsidR="00182411">
              <w:t>d</w:t>
            </w:r>
            <w:r w:rsidRPr="00D14896">
              <w:t xml:space="preserve"> that transition probabilities between KCCQ-CSS quartile health states, </w:t>
            </w:r>
            <w:r w:rsidRPr="00EB08C6">
              <w:t>derived</w:t>
            </w:r>
            <w:r w:rsidRPr="00D14896">
              <w:t xml:space="preserve"> from individual patient data from EMPEROR-Reduced between 9 and 12 months, are constant from month 9 to the end of the </w:t>
            </w:r>
            <w:r w:rsidR="00904424" w:rsidRPr="00D14896">
              <w:t>15-year</w:t>
            </w:r>
            <w:r w:rsidRPr="00D14896">
              <w:t xml:space="preserve"> model time horizon.</w:t>
            </w:r>
          </w:p>
          <w:p w14:paraId="2A148C06" w14:textId="77777777" w:rsidR="003476DA" w:rsidRPr="00D14896" w:rsidRDefault="00182411" w:rsidP="003607D7">
            <w:pPr>
              <w:widowControl w:val="0"/>
            </w:pPr>
            <w:r w:rsidRPr="00EB08C6">
              <w:rPr>
                <w:rFonts w:ascii="Arial Narrow" w:eastAsiaTheme="majorEastAsia" w:hAnsi="Arial Narrow" w:cstheme="majorBidi"/>
                <w:bCs/>
                <w:sz w:val="20"/>
              </w:rPr>
              <w:t>A</w:t>
            </w:r>
            <w:r w:rsidR="003476DA" w:rsidRPr="00EB08C6">
              <w:rPr>
                <w:rFonts w:ascii="Arial Narrow" w:eastAsiaTheme="majorEastAsia" w:hAnsi="Arial Narrow" w:cstheme="majorBidi"/>
                <w:bCs/>
                <w:sz w:val="20"/>
              </w:rPr>
              <w:t xml:space="preserve">nalysis of individual patient data indicates that patients in both treatment arms experience initial improvement in health status, followed by stabilisation. It </w:t>
            </w:r>
            <w:r w:rsidRPr="00EB08C6">
              <w:rPr>
                <w:rFonts w:ascii="Arial Narrow" w:eastAsiaTheme="majorEastAsia" w:hAnsi="Arial Narrow" w:cstheme="majorBidi"/>
                <w:bCs/>
                <w:sz w:val="20"/>
              </w:rPr>
              <w:t>was</w:t>
            </w:r>
            <w:r w:rsidR="003476DA" w:rsidRPr="00EB08C6">
              <w:rPr>
                <w:rFonts w:ascii="Arial Narrow" w:eastAsiaTheme="majorEastAsia" w:hAnsi="Arial Narrow" w:cstheme="majorBidi"/>
                <w:bCs/>
                <w:sz w:val="20"/>
              </w:rPr>
              <w:t xml:space="preserve"> unclear whether transitions derived from the </w:t>
            </w:r>
            <w:r w:rsidR="00904424" w:rsidRPr="00EB08C6">
              <w:rPr>
                <w:rFonts w:ascii="Arial Narrow" w:eastAsiaTheme="majorEastAsia" w:hAnsi="Arial Narrow" w:cstheme="majorBidi"/>
                <w:bCs/>
                <w:sz w:val="20"/>
              </w:rPr>
              <w:t>9-12-month</w:t>
            </w:r>
            <w:r w:rsidR="003476DA" w:rsidRPr="00EB08C6">
              <w:rPr>
                <w:rFonts w:ascii="Arial Narrow" w:eastAsiaTheme="majorEastAsia" w:hAnsi="Arial Narrow" w:cstheme="majorBidi"/>
                <w:bCs/>
                <w:sz w:val="20"/>
              </w:rPr>
              <w:t xml:space="preserve"> period adequately reflect longer term health outcomes in a progressive disease.</w:t>
            </w:r>
            <w:r w:rsidR="00EB08C6" w:rsidRPr="00EB08C6">
              <w:rPr>
                <w:rFonts w:ascii="Arial Narrow" w:eastAsiaTheme="majorEastAsia" w:hAnsi="Arial Narrow" w:cstheme="majorBidi"/>
                <w:bCs/>
                <w:sz w:val="20"/>
              </w:rPr>
              <w:t xml:space="preserve"> </w:t>
            </w:r>
            <w:r w:rsidR="00AF272D" w:rsidRPr="00565789">
              <w:rPr>
                <w:rFonts w:ascii="Arial Narrow" w:eastAsiaTheme="majorEastAsia" w:hAnsi="Arial Narrow" w:cstheme="majorBidi"/>
                <w:bCs/>
                <w:iCs/>
                <w:sz w:val="20"/>
              </w:rPr>
              <w:t>The PSCR acknowledged the absence of long term KCCQ-CSS data. However, it stated that based on the trial KCCQ data, the variation in the transition probabilities between Months 4-8 and Months 9+ was much less than the variation between Months 1-3 and Months 4-8, which it suggested meant that the transition probabilities were relatively stable over time.</w:t>
            </w:r>
          </w:p>
        </w:tc>
        <w:tc>
          <w:tcPr>
            <w:tcW w:w="601" w:type="pct"/>
            <w:shd w:val="clear" w:color="auto" w:fill="auto"/>
            <w:vAlign w:val="center"/>
          </w:tcPr>
          <w:p w14:paraId="714C8B3B" w14:textId="77777777" w:rsidR="003476DA" w:rsidRPr="00D14896" w:rsidRDefault="003476DA" w:rsidP="003607D7">
            <w:pPr>
              <w:pStyle w:val="TableText"/>
              <w:keepNext w:val="0"/>
              <w:widowControl w:val="0"/>
              <w:jc w:val="center"/>
            </w:pPr>
            <w:r w:rsidRPr="00D14896">
              <w:t>Unclear</w:t>
            </w:r>
          </w:p>
        </w:tc>
      </w:tr>
      <w:tr w:rsidR="003476DA" w:rsidRPr="00D14896" w14:paraId="01602700" w14:textId="77777777" w:rsidTr="00182411">
        <w:tc>
          <w:tcPr>
            <w:tcW w:w="862" w:type="pct"/>
            <w:shd w:val="clear" w:color="auto" w:fill="auto"/>
            <w:vAlign w:val="center"/>
          </w:tcPr>
          <w:p w14:paraId="5D491671" w14:textId="77777777" w:rsidR="003476DA" w:rsidRPr="00D14896" w:rsidRDefault="003476DA" w:rsidP="00182411">
            <w:pPr>
              <w:pStyle w:val="TableText"/>
              <w:jc w:val="center"/>
            </w:pPr>
            <w:r w:rsidRPr="00D14896">
              <w:t>QALY loss associated with hospitalisation for heart failure</w:t>
            </w:r>
          </w:p>
        </w:tc>
        <w:tc>
          <w:tcPr>
            <w:tcW w:w="3537" w:type="pct"/>
            <w:shd w:val="clear" w:color="auto" w:fill="auto"/>
          </w:tcPr>
          <w:p w14:paraId="57EEC205" w14:textId="0CCD7E3B" w:rsidR="003476DA" w:rsidRPr="00D14896" w:rsidRDefault="003476DA" w:rsidP="00B00AB6">
            <w:pPr>
              <w:pStyle w:val="TableText"/>
            </w:pPr>
            <w:r w:rsidRPr="00D14896">
              <w:t>The disutility associated with heart failure hospitalisation, derived from EMPEROR-Reduced EQ-5D data, was assessed at different timepoints to capture short-and long-term effects.</w:t>
            </w:r>
            <w:r w:rsidRPr="00D14896">
              <w:rPr>
                <w:iCs/>
              </w:rPr>
              <w:t xml:space="preserve"> In calculating the total QALY loss associated with heart failure hospitalisations, the submission derived</w:t>
            </w:r>
            <w:r w:rsidR="001E7B70">
              <w:rPr>
                <w:iCs/>
              </w:rPr>
              <w:t xml:space="preserve"> HHF disutilities</w:t>
            </w:r>
            <w:r w:rsidRPr="00D14896">
              <w:rPr>
                <w:iCs/>
              </w:rPr>
              <w:t xml:space="preserve"> from the linear regression equation </w:t>
            </w:r>
            <w:r w:rsidR="00807CF7">
              <w:rPr>
                <w:iCs/>
              </w:rPr>
              <w:t xml:space="preserve">to </w:t>
            </w:r>
            <w:r w:rsidRPr="00D14896">
              <w:rPr>
                <w:iCs/>
              </w:rPr>
              <w:t xml:space="preserve">represent QALY losses over a </w:t>
            </w:r>
            <w:r w:rsidR="00904424" w:rsidRPr="00D14896">
              <w:rPr>
                <w:iCs/>
              </w:rPr>
              <w:t>one-month</w:t>
            </w:r>
            <w:r w:rsidRPr="00D14896">
              <w:rPr>
                <w:iCs/>
              </w:rPr>
              <w:t xml:space="preserve"> period. To calculate the QALY loss over a 12</w:t>
            </w:r>
            <w:r w:rsidR="00182411">
              <w:rPr>
                <w:iCs/>
              </w:rPr>
              <w:t>-</w:t>
            </w:r>
            <w:r w:rsidRPr="00D14896">
              <w:rPr>
                <w:iCs/>
              </w:rPr>
              <w:t xml:space="preserve">month period, the disutilities associated with each time period were multiplied by the number of months in the time period (e.g. the disutility for 2 to &lt;4 months was multiplied by 2 months) rather than the proportion of a year spent in the health state (e.g. ×2/12 months). A disutility of 0.1 over a year, for example, should generate a QALY loss of 0.1 QALYs (=0.1×12/12), not 1.2 QALYs (=0.1×12). This resulted in an overestimate of the QALY loss associated with heart failure hospitalisation. This approach differed to the approach used to calculate the QALY loss associated with adverse events, which multiplied the disutilities by 1/12 to derive the QALY loss over a one-month period. </w:t>
            </w:r>
            <w:r w:rsidR="000B2CF8" w:rsidRPr="00565789">
              <w:t xml:space="preserve">The PSCR claimed that the estimates generated from the linear mixed regression equation were not disutilities, but monthly QALY losses. </w:t>
            </w:r>
            <w:r w:rsidR="00486BC3" w:rsidRPr="00565789">
              <w:t>The ESC noted t</w:t>
            </w:r>
            <w:r w:rsidR="000B2CF8" w:rsidRPr="00565789">
              <w:t>he disutility estimates for heart failure hospitalisation and adverse events were derived from the same linear mixed regression equation</w:t>
            </w:r>
            <w:r w:rsidR="00807CF7" w:rsidRPr="00565789">
              <w:t>,</w:t>
            </w:r>
            <w:r w:rsidR="000B2CF8" w:rsidRPr="00565789">
              <w:t xml:space="preserve"> however, as stated above, the approach used to calculate the QALY loss associated with heart failure hospitalisation was inconsistent with the approach used to calculate </w:t>
            </w:r>
            <w:r w:rsidR="00486BC3" w:rsidRPr="00565789">
              <w:t>disutilities</w:t>
            </w:r>
            <w:r w:rsidR="000B2CF8" w:rsidRPr="00565789">
              <w:t xml:space="preserve"> associated with adverse events.</w:t>
            </w:r>
          </w:p>
        </w:tc>
        <w:tc>
          <w:tcPr>
            <w:tcW w:w="601" w:type="pct"/>
            <w:shd w:val="clear" w:color="auto" w:fill="auto"/>
            <w:vAlign w:val="center"/>
          </w:tcPr>
          <w:p w14:paraId="7D9612E7" w14:textId="77777777" w:rsidR="003476DA" w:rsidRPr="00D14896" w:rsidRDefault="003476DA" w:rsidP="00182411">
            <w:pPr>
              <w:pStyle w:val="TableText"/>
              <w:jc w:val="center"/>
            </w:pPr>
            <w:r w:rsidRPr="00D14896">
              <w:t>Moderate, favours empagliflozin</w:t>
            </w:r>
          </w:p>
        </w:tc>
      </w:tr>
    </w:tbl>
    <w:p w14:paraId="60C4E0DF" w14:textId="77777777" w:rsidR="003476DA" w:rsidRDefault="003476DA" w:rsidP="003476DA">
      <w:pPr>
        <w:pStyle w:val="TableFigureFooter"/>
      </w:pPr>
      <w:r w:rsidRPr="001426EB">
        <w:t xml:space="preserve">Source: </w:t>
      </w:r>
      <w:r>
        <w:t xml:space="preserve">Constructed during the evaluation with reference to Section 3 of the submission and </w:t>
      </w:r>
      <w:r w:rsidRPr="001426EB">
        <w:t>‘Att_10_Jardiance (empagliflozin) HFrEF Economic Evaluation’ spreadsheet provided with the submission</w:t>
      </w:r>
    </w:p>
    <w:p w14:paraId="7BF3BBDA" w14:textId="77777777" w:rsidR="003476DA" w:rsidRPr="001426EB" w:rsidRDefault="003476DA" w:rsidP="0012228C">
      <w:pPr>
        <w:pStyle w:val="ExecSumBodyText"/>
      </w:pPr>
      <w:r>
        <w:t xml:space="preserve">The figure below presents the model traces for empagliflozin </w:t>
      </w:r>
      <w:r w:rsidR="00047622">
        <w:t>plus SC</w:t>
      </w:r>
      <w:r>
        <w:t xml:space="preserve"> and placebo </w:t>
      </w:r>
      <w:r w:rsidR="00047622">
        <w:t>plus SC</w:t>
      </w:r>
      <w:r>
        <w:t xml:space="preserve"> arms.</w:t>
      </w:r>
    </w:p>
    <w:p w14:paraId="507A94A1" w14:textId="77777777" w:rsidR="003476DA" w:rsidRDefault="003B10F4" w:rsidP="003B10F4">
      <w:pPr>
        <w:pStyle w:val="TableFigureCaption"/>
      </w:pPr>
      <w:r>
        <w:t xml:space="preserve">Figure </w:t>
      </w:r>
      <w:r w:rsidR="00915190">
        <w:rPr>
          <w:noProof/>
        </w:rPr>
        <w:t>2</w:t>
      </w:r>
      <w:r w:rsidR="003476DA">
        <w:t>: Model trace for empagliflozin plus standard care and placebo plus standard care</w:t>
      </w:r>
    </w:p>
    <w:p w14:paraId="09A4B6D7" w14:textId="77777777" w:rsidR="003476DA" w:rsidRDefault="003476DA" w:rsidP="003476DA">
      <w:pPr>
        <w:pStyle w:val="Tableheadingrow"/>
      </w:pPr>
      <w:r>
        <w:rPr>
          <w:noProof/>
          <w:lang w:val="en-AU"/>
        </w:rPr>
        <w:drawing>
          <wp:inline distT="0" distB="0" distL="0" distR="0" wp14:anchorId="531869BF" wp14:editId="6A9DB2AE">
            <wp:extent cx="5691503" cy="3779557"/>
            <wp:effectExtent l="0" t="0" r="508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pic:cNvPicPr/>
                  </pic:nvPicPr>
                  <pic:blipFill>
                    <a:blip r:embed="rId9"/>
                    <a:stretch>
                      <a:fillRect/>
                    </a:stretch>
                  </pic:blipFill>
                  <pic:spPr>
                    <a:xfrm>
                      <a:off x="0" y="0"/>
                      <a:ext cx="5691503" cy="3779557"/>
                    </a:xfrm>
                    <a:prstGeom prst="rect">
                      <a:avLst/>
                    </a:prstGeom>
                  </pic:spPr>
                </pic:pic>
              </a:graphicData>
            </a:graphic>
          </wp:inline>
        </w:drawing>
      </w:r>
    </w:p>
    <w:p w14:paraId="0F06FB20" w14:textId="77777777" w:rsidR="003476DA" w:rsidRPr="001426EB" w:rsidRDefault="003476DA" w:rsidP="003476DA">
      <w:pPr>
        <w:pStyle w:val="TableFigureFooter"/>
      </w:pPr>
      <w:r>
        <w:t xml:space="preserve">Source: Constructed during the evaluation using </w:t>
      </w:r>
      <w:r w:rsidRPr="001426EB">
        <w:t>‘Att_10_Jardiance (empagliflozin) HFrEF Economic Evaluation’ spreadsheet provided with the submission</w:t>
      </w:r>
    </w:p>
    <w:p w14:paraId="19DCA3C3" w14:textId="77777777" w:rsidR="003476DA" w:rsidRDefault="003476DA" w:rsidP="003476DA">
      <w:pPr>
        <w:pStyle w:val="TableFigureFooter"/>
      </w:pPr>
      <w:r>
        <w:t xml:space="preserve">CV, cardiovascular; Empa, empagliflozin plus standard care; KCCQ Q1-4, </w:t>
      </w:r>
      <w:r w:rsidRPr="001426EB">
        <w:t>Kansas City Cardiomyopathy Questionnaire Clinical Summary Score</w:t>
      </w:r>
      <w:r>
        <w:t xml:space="preserve"> Quartiles 1 to 4; Pbo, placebo plus standard care</w:t>
      </w:r>
    </w:p>
    <w:p w14:paraId="40833EF7" w14:textId="77777777" w:rsidR="003476DA" w:rsidRDefault="003476DA" w:rsidP="0012228C">
      <w:pPr>
        <w:pStyle w:val="ExecSumBodyText"/>
      </w:pPr>
      <w:r w:rsidRPr="00CD690A">
        <w:t xml:space="preserve">The model trace indicated that empagliflozin was associated with a survival benefit, predominantly due to a reduction in cardiovascular deaths. </w:t>
      </w:r>
      <w:r>
        <w:t xml:space="preserve">This was </w:t>
      </w:r>
      <w:r w:rsidR="004938A9">
        <w:t>not supported by</w:t>
      </w:r>
      <w:r>
        <w:t xml:space="preserve"> the results of the EMPEROR-Reduced trial, which </w:t>
      </w:r>
      <w:r w:rsidR="004938A9">
        <w:t>did not demonstrate a</w:t>
      </w:r>
      <w:r>
        <w:t xml:space="preserve"> difference in mortality between treatments (see </w:t>
      </w:r>
      <w:r w:rsidR="00915190">
        <w:t xml:space="preserve">Table </w:t>
      </w:r>
      <w:r w:rsidR="00915190">
        <w:rPr>
          <w:noProof/>
        </w:rPr>
        <w:t>6</w:t>
      </w:r>
      <w:r w:rsidR="00182411">
        <w:t xml:space="preserve"> </w:t>
      </w:r>
      <w:r>
        <w:t xml:space="preserve">above). </w:t>
      </w:r>
      <w:r w:rsidRPr="00CD690A">
        <w:t xml:space="preserve">There were higher proportions of patients in the KCCQ-CSS quartile 4 health state, and lower proportions in the KCCQ-CSS quartile 1 health state in the empagliflozin </w:t>
      </w:r>
      <w:r w:rsidR="00047622">
        <w:t>plus SC</w:t>
      </w:r>
      <w:r w:rsidRPr="00CD690A">
        <w:t xml:space="preserve"> arm compared to placebo </w:t>
      </w:r>
      <w:r w:rsidR="00047622">
        <w:t>plus SC</w:t>
      </w:r>
      <w:r w:rsidRPr="00CD690A">
        <w:t>, indicating better health status over the model duration. Ninety percent of patients had died by 15 years in the model.</w:t>
      </w:r>
      <w:r w:rsidR="002D4FE1">
        <w:t xml:space="preserve"> </w:t>
      </w:r>
      <w:r w:rsidR="0039678F" w:rsidRPr="00565789">
        <w:rPr>
          <w:iCs/>
        </w:rPr>
        <w:t>The ESC noted the PSCR</w:t>
      </w:r>
      <w:r w:rsidR="00D005C4" w:rsidRPr="00565789">
        <w:rPr>
          <w:iCs/>
        </w:rPr>
        <w:t xml:space="preserve"> </w:t>
      </w:r>
      <w:r w:rsidR="0039678F" w:rsidRPr="00565789">
        <w:rPr>
          <w:iCs/>
        </w:rPr>
        <w:t xml:space="preserve">reiterated </w:t>
      </w:r>
      <w:r w:rsidR="004938A9">
        <w:rPr>
          <w:iCs/>
        </w:rPr>
        <w:t xml:space="preserve">the </w:t>
      </w:r>
      <w:r w:rsidR="0039678F" w:rsidRPr="00565789">
        <w:rPr>
          <w:iCs/>
        </w:rPr>
        <w:t xml:space="preserve">clinical plausibility of a mortality benefit with </w:t>
      </w:r>
      <w:r w:rsidR="004E51C5" w:rsidRPr="00565789">
        <w:rPr>
          <w:iCs/>
        </w:rPr>
        <w:t>empagliflozin</w:t>
      </w:r>
      <w:r w:rsidR="0039678F" w:rsidRPr="00565789">
        <w:rPr>
          <w:iCs/>
        </w:rPr>
        <w:t>. The</w:t>
      </w:r>
      <w:r w:rsidR="000E5CAE" w:rsidRPr="00565789">
        <w:rPr>
          <w:iCs/>
        </w:rPr>
        <w:t xml:space="preserve"> ESC </w:t>
      </w:r>
      <w:r w:rsidR="0039678F" w:rsidRPr="00565789">
        <w:rPr>
          <w:iCs/>
        </w:rPr>
        <w:t>further noted</w:t>
      </w:r>
      <w:r w:rsidR="000E5CAE" w:rsidRPr="00565789">
        <w:rPr>
          <w:iCs/>
        </w:rPr>
        <w:t xml:space="preserve"> </w:t>
      </w:r>
      <w:r w:rsidR="0039678F" w:rsidRPr="00565789">
        <w:rPr>
          <w:iCs/>
        </w:rPr>
        <w:t xml:space="preserve">that based on </w:t>
      </w:r>
      <w:r w:rsidR="000E5CAE" w:rsidRPr="00565789">
        <w:rPr>
          <w:iCs/>
        </w:rPr>
        <w:t>the</w:t>
      </w:r>
      <w:r w:rsidR="0039678F" w:rsidRPr="00565789">
        <w:rPr>
          <w:iCs/>
        </w:rPr>
        <w:t xml:space="preserve"> hierarchical tests performed in the</w:t>
      </w:r>
      <w:r w:rsidR="000E5CAE" w:rsidRPr="00565789">
        <w:rPr>
          <w:iCs/>
        </w:rPr>
        <w:t xml:space="preserve"> EMP</w:t>
      </w:r>
      <w:r w:rsidR="00D005C4" w:rsidRPr="00565789">
        <w:rPr>
          <w:iCs/>
        </w:rPr>
        <w:t>E</w:t>
      </w:r>
      <w:r w:rsidR="000E5CAE" w:rsidRPr="00565789">
        <w:rPr>
          <w:iCs/>
        </w:rPr>
        <w:t>R</w:t>
      </w:r>
      <w:r w:rsidR="00D005C4" w:rsidRPr="00565789">
        <w:rPr>
          <w:iCs/>
        </w:rPr>
        <w:t>O</w:t>
      </w:r>
      <w:r w:rsidR="000E5CAE" w:rsidRPr="00565789">
        <w:rPr>
          <w:iCs/>
        </w:rPr>
        <w:t>R-</w:t>
      </w:r>
      <w:r w:rsidR="00D005C4" w:rsidRPr="00565789">
        <w:rPr>
          <w:iCs/>
        </w:rPr>
        <w:t>R</w:t>
      </w:r>
      <w:r w:rsidR="000E5CAE" w:rsidRPr="00565789">
        <w:rPr>
          <w:iCs/>
        </w:rPr>
        <w:t>educed trial</w:t>
      </w:r>
      <w:r w:rsidR="0039678F" w:rsidRPr="00565789">
        <w:rPr>
          <w:iCs/>
        </w:rPr>
        <w:t>, the sample size</w:t>
      </w:r>
      <w:r w:rsidR="00B36AC8" w:rsidRPr="00565789">
        <w:rPr>
          <w:iCs/>
        </w:rPr>
        <w:t>,</w:t>
      </w:r>
      <w:r w:rsidR="0039678F" w:rsidRPr="00565789">
        <w:rPr>
          <w:iCs/>
        </w:rPr>
        <w:t xml:space="preserve"> and the limited follow up of a median 16 months, the trial</w:t>
      </w:r>
      <w:r w:rsidR="000E5CAE" w:rsidRPr="00565789">
        <w:rPr>
          <w:iCs/>
        </w:rPr>
        <w:t xml:space="preserve"> was </w:t>
      </w:r>
      <w:r w:rsidR="0039678F" w:rsidRPr="00565789">
        <w:rPr>
          <w:iCs/>
        </w:rPr>
        <w:t xml:space="preserve">not </w:t>
      </w:r>
      <w:r w:rsidR="000E5CAE" w:rsidRPr="00565789">
        <w:rPr>
          <w:iCs/>
        </w:rPr>
        <w:t>powered to assess this outcome</w:t>
      </w:r>
      <w:r w:rsidR="00FE4EF2" w:rsidRPr="00565789">
        <w:rPr>
          <w:iCs/>
        </w:rPr>
        <w:t>.</w:t>
      </w:r>
      <w:r w:rsidR="000E5CAE" w:rsidRPr="00565789">
        <w:rPr>
          <w:iCs/>
        </w:rPr>
        <w:t xml:space="preserve">  </w:t>
      </w:r>
    </w:p>
    <w:p w14:paraId="06135C61" w14:textId="77777777" w:rsidR="003476DA" w:rsidRDefault="003476DA" w:rsidP="0012228C">
      <w:pPr>
        <w:pStyle w:val="ExecSumBodyText"/>
      </w:pPr>
      <w:r>
        <w:t>The model estimate</w:t>
      </w:r>
      <w:r w:rsidR="00182411">
        <w:t>d</w:t>
      </w:r>
      <w:r>
        <w:t xml:space="preserve"> that on average, patients treated with empagliflozin </w:t>
      </w:r>
      <w:r w:rsidR="00047622">
        <w:t>plus SC</w:t>
      </w:r>
      <w:r>
        <w:t xml:space="preserve"> </w:t>
      </w:r>
      <w:r w:rsidR="00182411">
        <w:t xml:space="preserve">would </w:t>
      </w:r>
      <w:r>
        <w:t>experience 1.10 heart failure hospitalisations, compared with 1.32 hospitalisations in patients treated with standard care alone over 15 years.</w:t>
      </w:r>
    </w:p>
    <w:p w14:paraId="2FCBB621" w14:textId="77777777" w:rsidR="003476DA" w:rsidRPr="00C93C98" w:rsidRDefault="003476DA" w:rsidP="0012228C">
      <w:pPr>
        <w:pStyle w:val="ExecSumBodyText"/>
      </w:pPr>
      <w:r>
        <w:t>The model estimate</w:t>
      </w:r>
      <w:r w:rsidR="00182411">
        <w:t>d</w:t>
      </w:r>
      <w:r>
        <w:t xml:space="preserve"> that 79.4% of empagliflozin </w:t>
      </w:r>
      <w:r w:rsidR="00047622">
        <w:t>plus SC</w:t>
      </w:r>
      <w:r>
        <w:t xml:space="preserve"> patients </w:t>
      </w:r>
      <w:r w:rsidR="00182411">
        <w:t xml:space="preserve">would </w:t>
      </w:r>
      <w:r>
        <w:t>remain on empagliflozin treatment at 1 year, which decrease</w:t>
      </w:r>
      <w:r w:rsidR="00182411">
        <w:t>d</w:t>
      </w:r>
      <w:r>
        <w:t xml:space="preserve"> to 29.4% at 5 years (54.7% of those remaining alive) and 7.7% at 10 years (31.7% of those remaining alive). At the end of the model, 1.9% of patients remain</w:t>
      </w:r>
      <w:r w:rsidR="00182411">
        <w:t>ed</w:t>
      </w:r>
      <w:r>
        <w:t xml:space="preserve"> on empagliflozin (18.7% of those remaining alive).</w:t>
      </w:r>
    </w:p>
    <w:p w14:paraId="3516CF01" w14:textId="77777777" w:rsidR="003476DA" w:rsidRPr="006A6DCC" w:rsidRDefault="003476DA" w:rsidP="0012228C">
      <w:pPr>
        <w:pStyle w:val="ExecSumBodyText"/>
      </w:pPr>
      <w:r w:rsidRPr="00C537E3">
        <w:t>The submission performed external validation of modelled overall survival in the standard care arm of the model with Kaplan</w:t>
      </w:r>
      <w:r w:rsidR="003D3F17">
        <w:t>-</w:t>
      </w:r>
      <w:r w:rsidRPr="00C537E3">
        <w:t>Meier estimates from selected studies included in a systematic re</w:t>
      </w:r>
      <w:r>
        <w:t>view of survival in patients with heart failure</w:t>
      </w:r>
      <w:r w:rsidRPr="004C3CA8">
        <w:t xml:space="preserve"> </w:t>
      </w:r>
      <w:r>
        <w:t xml:space="preserve">(studies </w:t>
      </w:r>
      <w:r w:rsidRPr="004C3CA8">
        <w:t>that recruited patients from the year 2000 onwards</w:t>
      </w:r>
      <w:r>
        <w:t>;</w:t>
      </w:r>
      <w:r w:rsidRPr="004C3CA8">
        <w:t xml:space="preserve"> studies that reported survival for patients with HFrEF</w:t>
      </w:r>
      <w:r>
        <w:t>; Jones 2019</w:t>
      </w:r>
      <w:r w:rsidR="00B059BB">
        <w:t>, shown in figure below</w:t>
      </w:r>
      <w:r>
        <w:t xml:space="preserve">). </w:t>
      </w:r>
      <w:r w:rsidRPr="00D14896">
        <w:rPr>
          <w:iCs/>
        </w:rPr>
        <w:t>No details were provided about the inclusion/exclusion of studies in the relevant subgroups of the systematic review, and the methods used to extract data from the Kaplan</w:t>
      </w:r>
      <w:r w:rsidR="003D3F17">
        <w:rPr>
          <w:iCs/>
        </w:rPr>
        <w:t>-</w:t>
      </w:r>
      <w:r w:rsidRPr="00D14896">
        <w:rPr>
          <w:iCs/>
        </w:rPr>
        <w:t>Meier curves in the individual studies were not reported.</w:t>
      </w:r>
    </w:p>
    <w:p w14:paraId="471029FC" w14:textId="77777777" w:rsidR="003476DA" w:rsidRDefault="003B10F4" w:rsidP="003B10F4">
      <w:pPr>
        <w:pStyle w:val="TableFigureCaption"/>
      </w:pPr>
      <w:r>
        <w:t xml:space="preserve">Figure </w:t>
      </w:r>
      <w:r w:rsidR="00915190">
        <w:rPr>
          <w:noProof/>
        </w:rPr>
        <w:t>3</w:t>
      </w:r>
      <w:r w:rsidR="003476DA">
        <w:t>: Modelled standard care survival versus individual studies from Jones 2019 systematic review</w:t>
      </w:r>
    </w:p>
    <w:p w14:paraId="52279378" w14:textId="77777777" w:rsidR="003476DA" w:rsidRDefault="003476DA" w:rsidP="003476DA">
      <w:r w:rsidRPr="006A6DCC">
        <w:rPr>
          <w:noProof/>
        </w:rPr>
        <w:drawing>
          <wp:inline distT="0" distB="0" distL="0" distR="0" wp14:anchorId="3EDCA570" wp14:editId="31C38691">
            <wp:extent cx="5688732" cy="4261700"/>
            <wp:effectExtent l="0" t="0" r="7620" b="5715"/>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line chart&#10;&#10;Description automatically generated"/>
                    <pic:cNvPicPr/>
                  </pic:nvPicPr>
                  <pic:blipFill>
                    <a:blip r:embed="rId10"/>
                    <a:stretch>
                      <a:fillRect/>
                    </a:stretch>
                  </pic:blipFill>
                  <pic:spPr>
                    <a:xfrm>
                      <a:off x="0" y="0"/>
                      <a:ext cx="5688732" cy="4261700"/>
                    </a:xfrm>
                    <a:prstGeom prst="rect">
                      <a:avLst/>
                    </a:prstGeom>
                  </pic:spPr>
                </pic:pic>
              </a:graphicData>
            </a:graphic>
          </wp:inline>
        </w:drawing>
      </w:r>
    </w:p>
    <w:p w14:paraId="53514426" w14:textId="77777777" w:rsidR="003476DA" w:rsidRDefault="003476DA" w:rsidP="003476DA">
      <w:pPr>
        <w:pStyle w:val="TableFigureFooter"/>
      </w:pPr>
      <w:r>
        <w:t>Source: Figure 3.20, p206 of the submission</w:t>
      </w:r>
    </w:p>
    <w:p w14:paraId="6FB052AC" w14:textId="77777777" w:rsidR="003476DA" w:rsidRPr="0022737D" w:rsidRDefault="003476DA" w:rsidP="0012228C">
      <w:pPr>
        <w:pStyle w:val="ExecSumBodyText"/>
      </w:pPr>
      <w:r>
        <w:t xml:space="preserve">The submission claimed that, although a number of studies report more favourable survival rates, it </w:t>
      </w:r>
      <w:r w:rsidR="00182411">
        <w:t>was</w:t>
      </w:r>
      <w:r>
        <w:t xml:space="preserve"> reasonable to conclude that the model </w:t>
      </w:r>
      <w:r w:rsidR="00182411">
        <w:t>was</w:t>
      </w:r>
      <w:r>
        <w:t xml:space="preserve"> externally valid, albeit on the lower range of reported survival in the published literature. </w:t>
      </w:r>
      <w:r w:rsidRPr="00D14896">
        <w:rPr>
          <w:iCs/>
        </w:rPr>
        <w:t>The lower survival for standard care patients estimated in the model compared with published estimates, particularly beyond five years, suggest</w:t>
      </w:r>
      <w:r w:rsidR="00182411">
        <w:rPr>
          <w:iCs/>
        </w:rPr>
        <w:t>ed</w:t>
      </w:r>
      <w:r w:rsidRPr="00D14896">
        <w:rPr>
          <w:iCs/>
        </w:rPr>
        <w:t xml:space="preserve"> poor external validity of the model.</w:t>
      </w:r>
      <w:r w:rsidR="002D4FE1">
        <w:rPr>
          <w:iCs/>
        </w:rPr>
        <w:t xml:space="preserve"> </w:t>
      </w:r>
    </w:p>
    <w:p w14:paraId="5A608DC3" w14:textId="77777777" w:rsidR="003476DA" w:rsidRDefault="003476DA" w:rsidP="0012228C">
      <w:pPr>
        <w:pStyle w:val="ExecSumBodyText"/>
        <w:rPr>
          <w:b/>
        </w:rPr>
      </w:pPr>
      <w:r w:rsidRPr="000C4714">
        <w:t xml:space="preserve">The results of the stepped economic evaluation are summarised in </w:t>
      </w:r>
      <w:r>
        <w:t>the table below</w:t>
      </w:r>
      <w:r w:rsidRPr="000C4714">
        <w:t xml:space="preserve">. </w:t>
      </w:r>
      <w:r w:rsidRPr="0016208B">
        <w:t xml:space="preserve">Step 1 of the submission’s stepped economic evaluation, based on a </w:t>
      </w:r>
      <w:r w:rsidR="00182411" w:rsidRPr="0016208B">
        <w:t>33-month</w:t>
      </w:r>
      <w:r w:rsidRPr="0016208B">
        <w:t xml:space="preserve"> duration, could not be replicated. During the evaluation, an alternative Step 1 was used, based on the median follow-up of EMPEROR-Reduced (consistent with the use of Kaplan-Meier curves to inform mortality prior to extrapolation) and including drug costs only. Further,</w:t>
      </w:r>
      <w:r w:rsidR="00066FDE">
        <w:t xml:space="preserve"> during evaluation,</w:t>
      </w:r>
      <w:r w:rsidRPr="0016208B">
        <w:t xml:space="preserve"> Step 3 (incorporating non-drug costs) was divided into four sub-steps (disease management costs, heart failure hospitalisation costs, cardiovascular death costs, adverse event costs) and Step 4 (incorporating utilities) was divided into three sub-steps (health state utilities, heart failure hospitalisation disutility, adverse event disutility) to more clearly identify the key components of the economic model.</w:t>
      </w:r>
    </w:p>
    <w:p w14:paraId="452B66A7" w14:textId="77777777" w:rsidR="003476DA" w:rsidRPr="001426EB" w:rsidRDefault="00B974B3" w:rsidP="003B10F4">
      <w:pPr>
        <w:pStyle w:val="TableFigureCaption"/>
      </w:pPr>
      <w:r>
        <w:t xml:space="preserve">Table </w:t>
      </w:r>
      <w:r w:rsidR="00915190">
        <w:rPr>
          <w:noProof/>
        </w:rPr>
        <w:t>12</w:t>
      </w:r>
      <w:r w:rsidR="003476DA" w:rsidRPr="001426EB">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2: Results of the stepped economic evaluation"/>
      </w:tblPr>
      <w:tblGrid>
        <w:gridCol w:w="2757"/>
        <w:gridCol w:w="2451"/>
        <w:gridCol w:w="2298"/>
        <w:gridCol w:w="1511"/>
      </w:tblGrid>
      <w:tr w:rsidR="003476DA" w:rsidRPr="00DC2CE6" w14:paraId="2016E369" w14:textId="77777777" w:rsidTr="0021554F">
        <w:trPr>
          <w:tblHeader/>
        </w:trPr>
        <w:tc>
          <w:tcPr>
            <w:tcW w:w="1529" w:type="pct"/>
            <w:vAlign w:val="center"/>
          </w:tcPr>
          <w:p w14:paraId="2D0DF554" w14:textId="77777777" w:rsidR="003476DA" w:rsidRPr="00DC2CE6" w:rsidRDefault="003476DA" w:rsidP="00182411">
            <w:pPr>
              <w:pStyle w:val="Tableheadingrow"/>
              <w:keepLines/>
              <w:rPr>
                <w:szCs w:val="20"/>
                <w:lang w:val="en-AU"/>
              </w:rPr>
            </w:pPr>
            <w:r w:rsidRPr="00DC2CE6">
              <w:rPr>
                <w:szCs w:val="20"/>
                <w:lang w:val="en-AU"/>
              </w:rPr>
              <w:t>Step and component</w:t>
            </w:r>
          </w:p>
        </w:tc>
        <w:tc>
          <w:tcPr>
            <w:tcW w:w="1359" w:type="pct"/>
            <w:vAlign w:val="center"/>
          </w:tcPr>
          <w:p w14:paraId="0B895722" w14:textId="77777777" w:rsidR="003476DA" w:rsidRPr="00DC2CE6" w:rsidRDefault="003476DA" w:rsidP="00182411">
            <w:pPr>
              <w:pStyle w:val="Tableheadingrow"/>
              <w:keepLines/>
              <w:jc w:val="center"/>
              <w:rPr>
                <w:szCs w:val="20"/>
                <w:lang w:val="en-AU"/>
              </w:rPr>
            </w:pPr>
            <w:r w:rsidRPr="00DC2CE6">
              <w:rPr>
                <w:szCs w:val="20"/>
                <w:lang w:val="en-AU"/>
              </w:rPr>
              <w:t>Empagliflozin+SC</w:t>
            </w:r>
          </w:p>
        </w:tc>
        <w:tc>
          <w:tcPr>
            <w:tcW w:w="1274" w:type="pct"/>
            <w:vAlign w:val="center"/>
          </w:tcPr>
          <w:p w14:paraId="2EE06EFF" w14:textId="77777777" w:rsidR="003476DA" w:rsidRPr="00DC2CE6" w:rsidRDefault="003476DA" w:rsidP="00182411">
            <w:pPr>
              <w:pStyle w:val="Tableheadingrow"/>
              <w:keepLines/>
              <w:jc w:val="center"/>
              <w:rPr>
                <w:szCs w:val="20"/>
                <w:lang w:val="en-AU"/>
              </w:rPr>
            </w:pPr>
            <w:r w:rsidRPr="00DC2CE6">
              <w:rPr>
                <w:szCs w:val="20"/>
                <w:lang w:val="en-AU"/>
              </w:rPr>
              <w:t>Placebo+SC</w:t>
            </w:r>
          </w:p>
        </w:tc>
        <w:tc>
          <w:tcPr>
            <w:tcW w:w="838" w:type="pct"/>
            <w:vAlign w:val="center"/>
          </w:tcPr>
          <w:p w14:paraId="730EF697" w14:textId="77777777" w:rsidR="003476DA" w:rsidRPr="00DC2CE6" w:rsidRDefault="003476DA" w:rsidP="00182411">
            <w:pPr>
              <w:pStyle w:val="Tableheadingrow"/>
              <w:keepLines/>
              <w:jc w:val="center"/>
              <w:rPr>
                <w:szCs w:val="20"/>
                <w:lang w:val="en-AU"/>
              </w:rPr>
            </w:pPr>
            <w:r w:rsidRPr="00DC2CE6">
              <w:rPr>
                <w:szCs w:val="20"/>
                <w:lang w:val="en-AU"/>
              </w:rPr>
              <w:t>Increment</w:t>
            </w:r>
          </w:p>
        </w:tc>
      </w:tr>
      <w:tr w:rsidR="003476DA" w:rsidRPr="00DC2CE6" w14:paraId="25E900BD" w14:textId="77777777" w:rsidTr="0021554F">
        <w:tc>
          <w:tcPr>
            <w:tcW w:w="5000" w:type="pct"/>
            <w:gridSpan w:val="4"/>
            <w:vAlign w:val="center"/>
          </w:tcPr>
          <w:p w14:paraId="291F03FE" w14:textId="77777777" w:rsidR="003476DA" w:rsidRPr="00DC2CE6" w:rsidRDefault="003476DA" w:rsidP="00182411">
            <w:pPr>
              <w:pStyle w:val="TableText"/>
              <w:keepLines/>
              <w:rPr>
                <w:b/>
                <w:bCs w:val="0"/>
                <w:szCs w:val="20"/>
                <w:vertAlign w:val="superscript"/>
              </w:rPr>
            </w:pPr>
            <w:r w:rsidRPr="00DC2CE6">
              <w:rPr>
                <w:b/>
                <w:bCs w:val="0"/>
                <w:szCs w:val="20"/>
              </w:rPr>
              <w:t>Step 1: modelled analysis based on EMPEROR-Reduced median follow-up (16 months) and drug costs only</w:t>
            </w:r>
            <w:r w:rsidR="002D4FE1" w:rsidRPr="00DC2CE6">
              <w:rPr>
                <w:b/>
                <w:bCs w:val="0"/>
                <w:szCs w:val="20"/>
              </w:rPr>
              <w:t xml:space="preserve"> </w:t>
            </w:r>
            <w:r w:rsidR="002D4FE1" w:rsidRPr="00DC2CE6">
              <w:rPr>
                <w:b/>
                <w:bCs w:val="0"/>
                <w:szCs w:val="20"/>
                <w:vertAlign w:val="superscript"/>
              </w:rPr>
              <w:t>a</w:t>
            </w:r>
          </w:p>
        </w:tc>
      </w:tr>
      <w:tr w:rsidR="003476DA" w:rsidRPr="00DC2CE6" w14:paraId="4799FA52" w14:textId="77777777" w:rsidTr="0021554F">
        <w:tc>
          <w:tcPr>
            <w:tcW w:w="1529" w:type="pct"/>
            <w:vAlign w:val="center"/>
          </w:tcPr>
          <w:p w14:paraId="76CE27DA" w14:textId="77777777" w:rsidR="003476DA" w:rsidRPr="00DC2CE6" w:rsidRDefault="003476DA" w:rsidP="00182411">
            <w:pPr>
              <w:pStyle w:val="TableText"/>
              <w:keepLines/>
              <w:rPr>
                <w:szCs w:val="20"/>
              </w:rPr>
            </w:pPr>
            <w:r w:rsidRPr="00DC2CE6">
              <w:rPr>
                <w:szCs w:val="20"/>
              </w:rPr>
              <w:t>Costs</w:t>
            </w:r>
            <w:r w:rsidR="001810F2">
              <w:rPr>
                <w:szCs w:val="20"/>
              </w:rPr>
              <w:t xml:space="preserve"> ($)</w:t>
            </w:r>
          </w:p>
        </w:tc>
        <w:tc>
          <w:tcPr>
            <w:tcW w:w="1359" w:type="pct"/>
            <w:vAlign w:val="center"/>
          </w:tcPr>
          <w:p w14:paraId="5DDBC430" w14:textId="77777777" w:rsidR="003476DA" w:rsidRPr="00CC7AA8" w:rsidRDefault="00CC7AA8" w:rsidP="00182411">
            <w:pPr>
              <w:pStyle w:val="TableText"/>
              <w:keepLines/>
              <w:jc w:val="center"/>
              <w:rPr>
                <w:szCs w:val="20"/>
                <w:highlight w:val="black"/>
              </w:rPr>
            </w:pPr>
            <w:r>
              <w:rPr>
                <w:noProof/>
                <w:color w:val="000000"/>
                <w:szCs w:val="20"/>
                <w:highlight w:val="black"/>
              </w:rPr>
              <w:t>'''''''''''''''''</w:t>
            </w:r>
          </w:p>
        </w:tc>
        <w:tc>
          <w:tcPr>
            <w:tcW w:w="1274" w:type="pct"/>
            <w:vAlign w:val="center"/>
          </w:tcPr>
          <w:p w14:paraId="53025827" w14:textId="77777777" w:rsidR="003476DA" w:rsidRPr="00DC2CE6" w:rsidRDefault="003476DA" w:rsidP="00182411">
            <w:pPr>
              <w:pStyle w:val="TableText"/>
              <w:keepLines/>
              <w:jc w:val="center"/>
              <w:rPr>
                <w:szCs w:val="20"/>
              </w:rPr>
            </w:pPr>
            <w:r w:rsidRPr="00DC2CE6">
              <w:rPr>
                <w:szCs w:val="20"/>
              </w:rPr>
              <w:t>$2,021</w:t>
            </w:r>
          </w:p>
        </w:tc>
        <w:tc>
          <w:tcPr>
            <w:tcW w:w="838" w:type="pct"/>
            <w:vAlign w:val="center"/>
          </w:tcPr>
          <w:p w14:paraId="1BFCAD88" w14:textId="77777777" w:rsidR="003476DA" w:rsidRPr="00CC7AA8" w:rsidRDefault="00CC7AA8" w:rsidP="00182411">
            <w:pPr>
              <w:pStyle w:val="TableText"/>
              <w:keepLines/>
              <w:jc w:val="center"/>
              <w:rPr>
                <w:szCs w:val="20"/>
                <w:highlight w:val="black"/>
              </w:rPr>
            </w:pPr>
            <w:r>
              <w:rPr>
                <w:noProof/>
                <w:color w:val="000000"/>
                <w:szCs w:val="20"/>
                <w:highlight w:val="black"/>
              </w:rPr>
              <w:t>'''''''''''</w:t>
            </w:r>
          </w:p>
        </w:tc>
      </w:tr>
      <w:tr w:rsidR="003476DA" w:rsidRPr="00DC2CE6" w14:paraId="23C0F398" w14:textId="77777777" w:rsidTr="0021554F">
        <w:tc>
          <w:tcPr>
            <w:tcW w:w="1529" w:type="pct"/>
            <w:vAlign w:val="center"/>
          </w:tcPr>
          <w:p w14:paraId="7924F34D" w14:textId="77777777" w:rsidR="003476DA" w:rsidRPr="00DC2CE6" w:rsidRDefault="003476DA" w:rsidP="00182411">
            <w:pPr>
              <w:pStyle w:val="TableText"/>
              <w:keepLines/>
              <w:rPr>
                <w:szCs w:val="20"/>
              </w:rPr>
            </w:pPr>
            <w:r w:rsidRPr="00DC2CE6">
              <w:rPr>
                <w:szCs w:val="20"/>
              </w:rPr>
              <w:t>Heart failure hospitalisations</w:t>
            </w:r>
          </w:p>
        </w:tc>
        <w:tc>
          <w:tcPr>
            <w:tcW w:w="1359" w:type="pct"/>
            <w:vAlign w:val="center"/>
          </w:tcPr>
          <w:p w14:paraId="1996D72C" w14:textId="77777777" w:rsidR="003476DA" w:rsidRPr="00DC2CE6" w:rsidRDefault="003476DA" w:rsidP="00182411">
            <w:pPr>
              <w:pStyle w:val="TableText"/>
              <w:keepLines/>
              <w:jc w:val="center"/>
              <w:rPr>
                <w:szCs w:val="20"/>
              </w:rPr>
            </w:pPr>
            <w:r w:rsidRPr="00DC2CE6">
              <w:rPr>
                <w:szCs w:val="20"/>
              </w:rPr>
              <w:t>0.1976</w:t>
            </w:r>
          </w:p>
        </w:tc>
        <w:tc>
          <w:tcPr>
            <w:tcW w:w="1274" w:type="pct"/>
            <w:vAlign w:val="center"/>
          </w:tcPr>
          <w:p w14:paraId="4AC972BF" w14:textId="77777777" w:rsidR="003476DA" w:rsidRPr="00DC2CE6" w:rsidRDefault="003476DA" w:rsidP="00182411">
            <w:pPr>
              <w:pStyle w:val="TableText"/>
              <w:keepLines/>
              <w:jc w:val="center"/>
              <w:rPr>
                <w:szCs w:val="20"/>
              </w:rPr>
            </w:pPr>
            <w:r w:rsidRPr="00DC2CE6">
              <w:rPr>
                <w:szCs w:val="20"/>
              </w:rPr>
              <w:t>0.2584</w:t>
            </w:r>
          </w:p>
        </w:tc>
        <w:tc>
          <w:tcPr>
            <w:tcW w:w="838" w:type="pct"/>
            <w:vAlign w:val="center"/>
          </w:tcPr>
          <w:p w14:paraId="2D43F955" w14:textId="77777777" w:rsidR="003476DA" w:rsidRPr="00DC2CE6" w:rsidRDefault="003476DA" w:rsidP="00182411">
            <w:pPr>
              <w:pStyle w:val="TableText"/>
              <w:keepLines/>
              <w:jc w:val="center"/>
              <w:rPr>
                <w:szCs w:val="20"/>
              </w:rPr>
            </w:pPr>
            <w:r w:rsidRPr="00DC2CE6">
              <w:rPr>
                <w:szCs w:val="20"/>
              </w:rPr>
              <w:t>-0.0608</w:t>
            </w:r>
          </w:p>
        </w:tc>
      </w:tr>
      <w:tr w:rsidR="003476DA" w:rsidRPr="00DC2CE6" w14:paraId="5A1EC68C" w14:textId="77777777" w:rsidTr="0021554F">
        <w:tc>
          <w:tcPr>
            <w:tcW w:w="1529" w:type="pct"/>
            <w:vAlign w:val="center"/>
          </w:tcPr>
          <w:p w14:paraId="3C4DCD29" w14:textId="77777777" w:rsidR="003476DA" w:rsidRPr="00DC2CE6" w:rsidRDefault="003476DA" w:rsidP="00182411">
            <w:pPr>
              <w:pStyle w:val="TableText"/>
              <w:keepLines/>
              <w:rPr>
                <w:szCs w:val="20"/>
              </w:rPr>
            </w:pPr>
            <w:r w:rsidRPr="00DC2CE6">
              <w:rPr>
                <w:szCs w:val="20"/>
              </w:rPr>
              <w:t>Deaths</w:t>
            </w:r>
          </w:p>
        </w:tc>
        <w:tc>
          <w:tcPr>
            <w:tcW w:w="1359" w:type="pct"/>
            <w:vAlign w:val="center"/>
          </w:tcPr>
          <w:p w14:paraId="0FC4678D" w14:textId="77777777" w:rsidR="003476DA" w:rsidRPr="00DC2CE6" w:rsidRDefault="003476DA" w:rsidP="00182411">
            <w:pPr>
              <w:pStyle w:val="TableText"/>
              <w:keepLines/>
              <w:jc w:val="center"/>
              <w:rPr>
                <w:szCs w:val="20"/>
              </w:rPr>
            </w:pPr>
            <w:r w:rsidRPr="00DC2CE6">
              <w:rPr>
                <w:szCs w:val="20"/>
              </w:rPr>
              <w:t>0.1228</w:t>
            </w:r>
          </w:p>
        </w:tc>
        <w:tc>
          <w:tcPr>
            <w:tcW w:w="1274" w:type="pct"/>
            <w:vAlign w:val="center"/>
          </w:tcPr>
          <w:p w14:paraId="7CC554E6" w14:textId="77777777" w:rsidR="003476DA" w:rsidRPr="00DC2CE6" w:rsidRDefault="003476DA" w:rsidP="00182411">
            <w:pPr>
              <w:pStyle w:val="TableText"/>
              <w:keepLines/>
              <w:jc w:val="center"/>
              <w:rPr>
                <w:szCs w:val="20"/>
              </w:rPr>
            </w:pPr>
            <w:r w:rsidRPr="00DC2CE6">
              <w:rPr>
                <w:szCs w:val="20"/>
              </w:rPr>
              <w:t>0.1251</w:t>
            </w:r>
          </w:p>
        </w:tc>
        <w:tc>
          <w:tcPr>
            <w:tcW w:w="838" w:type="pct"/>
            <w:vAlign w:val="center"/>
          </w:tcPr>
          <w:p w14:paraId="3957031A" w14:textId="77777777" w:rsidR="003476DA" w:rsidRPr="00DC2CE6" w:rsidRDefault="003476DA" w:rsidP="00182411">
            <w:pPr>
              <w:pStyle w:val="TableText"/>
              <w:keepLines/>
              <w:jc w:val="center"/>
              <w:rPr>
                <w:szCs w:val="20"/>
              </w:rPr>
            </w:pPr>
            <w:r w:rsidRPr="00DC2CE6">
              <w:rPr>
                <w:szCs w:val="20"/>
              </w:rPr>
              <w:t>-0.0023</w:t>
            </w:r>
          </w:p>
        </w:tc>
      </w:tr>
      <w:tr w:rsidR="003476DA" w:rsidRPr="00DC2CE6" w14:paraId="3C01103C" w14:textId="77777777" w:rsidTr="0021554F">
        <w:tc>
          <w:tcPr>
            <w:tcW w:w="1529" w:type="pct"/>
            <w:vAlign w:val="center"/>
          </w:tcPr>
          <w:p w14:paraId="69B3DB59" w14:textId="77777777" w:rsidR="003476DA" w:rsidRPr="00DC2CE6" w:rsidRDefault="003476DA" w:rsidP="00182411">
            <w:pPr>
              <w:pStyle w:val="TableText"/>
              <w:keepLines/>
              <w:rPr>
                <w:szCs w:val="20"/>
              </w:rPr>
            </w:pPr>
            <w:r w:rsidRPr="00DC2CE6">
              <w:rPr>
                <w:szCs w:val="20"/>
              </w:rPr>
              <w:t>Life years</w:t>
            </w:r>
          </w:p>
        </w:tc>
        <w:tc>
          <w:tcPr>
            <w:tcW w:w="1359" w:type="pct"/>
            <w:vAlign w:val="center"/>
          </w:tcPr>
          <w:p w14:paraId="33F2D427" w14:textId="77777777" w:rsidR="003476DA" w:rsidRPr="00DC2CE6" w:rsidRDefault="003476DA" w:rsidP="00182411">
            <w:pPr>
              <w:pStyle w:val="TableText"/>
              <w:keepLines/>
              <w:jc w:val="center"/>
              <w:rPr>
                <w:szCs w:val="20"/>
              </w:rPr>
            </w:pPr>
            <w:r w:rsidRPr="00DC2CE6">
              <w:rPr>
                <w:szCs w:val="20"/>
              </w:rPr>
              <w:t>1.2148</w:t>
            </w:r>
          </w:p>
        </w:tc>
        <w:tc>
          <w:tcPr>
            <w:tcW w:w="1274" w:type="pct"/>
            <w:vAlign w:val="center"/>
          </w:tcPr>
          <w:p w14:paraId="05C1A873" w14:textId="77777777" w:rsidR="003476DA" w:rsidRPr="00DC2CE6" w:rsidRDefault="003476DA" w:rsidP="00182411">
            <w:pPr>
              <w:pStyle w:val="TableText"/>
              <w:keepLines/>
              <w:jc w:val="center"/>
              <w:rPr>
                <w:szCs w:val="20"/>
              </w:rPr>
            </w:pPr>
            <w:r w:rsidRPr="00DC2CE6">
              <w:rPr>
                <w:szCs w:val="20"/>
              </w:rPr>
              <w:t>1.2087</w:t>
            </w:r>
          </w:p>
        </w:tc>
        <w:tc>
          <w:tcPr>
            <w:tcW w:w="838" w:type="pct"/>
            <w:vAlign w:val="center"/>
          </w:tcPr>
          <w:p w14:paraId="7167F3CE" w14:textId="77777777" w:rsidR="003476DA" w:rsidRPr="00DC2CE6" w:rsidRDefault="003476DA" w:rsidP="00182411">
            <w:pPr>
              <w:pStyle w:val="TableText"/>
              <w:keepLines/>
              <w:jc w:val="center"/>
              <w:rPr>
                <w:szCs w:val="20"/>
              </w:rPr>
            </w:pPr>
            <w:r w:rsidRPr="00DC2CE6">
              <w:rPr>
                <w:szCs w:val="20"/>
              </w:rPr>
              <w:t>0.0061</w:t>
            </w:r>
          </w:p>
        </w:tc>
      </w:tr>
      <w:tr w:rsidR="003476DA" w:rsidRPr="00DC2CE6" w14:paraId="7A699ECA" w14:textId="77777777" w:rsidTr="0021554F">
        <w:tc>
          <w:tcPr>
            <w:tcW w:w="4162" w:type="pct"/>
            <w:gridSpan w:val="3"/>
            <w:vAlign w:val="center"/>
          </w:tcPr>
          <w:p w14:paraId="0FD8A4F1" w14:textId="77777777" w:rsidR="003476DA" w:rsidRPr="00DC2CE6" w:rsidRDefault="003476DA" w:rsidP="00182411">
            <w:pPr>
              <w:pStyle w:val="TableText"/>
              <w:keepLines/>
              <w:rPr>
                <w:szCs w:val="20"/>
              </w:rPr>
            </w:pPr>
            <w:r w:rsidRPr="00DC2CE6">
              <w:rPr>
                <w:szCs w:val="20"/>
              </w:rPr>
              <w:t>Incremental cost per heart failure hospitalisation avoided</w:t>
            </w:r>
          </w:p>
        </w:tc>
        <w:tc>
          <w:tcPr>
            <w:tcW w:w="838" w:type="pct"/>
            <w:vAlign w:val="center"/>
          </w:tcPr>
          <w:p w14:paraId="053C6E8C" w14:textId="77777777" w:rsidR="003476DA" w:rsidRPr="00CC7AA8" w:rsidRDefault="00CC7AA8" w:rsidP="00182411">
            <w:pPr>
              <w:pStyle w:val="TableText"/>
              <w:keepLines/>
              <w:jc w:val="center"/>
              <w:rPr>
                <w:szCs w:val="20"/>
              </w:rPr>
            </w:pPr>
            <w:r>
              <w:rPr>
                <w:noProof/>
                <w:color w:val="000000"/>
                <w:szCs w:val="20"/>
                <w:highlight w:val="black"/>
              </w:rPr>
              <w:t>'''''''''''''''''</w:t>
            </w:r>
            <w:r w:rsidR="001810F2">
              <w:rPr>
                <w:szCs w:val="20"/>
                <w:vertAlign w:val="superscript"/>
              </w:rPr>
              <w:t>1</w:t>
            </w:r>
          </w:p>
        </w:tc>
      </w:tr>
      <w:tr w:rsidR="003476DA" w:rsidRPr="00DC2CE6" w14:paraId="49737246" w14:textId="77777777" w:rsidTr="0021554F">
        <w:tc>
          <w:tcPr>
            <w:tcW w:w="4162" w:type="pct"/>
            <w:gridSpan w:val="3"/>
            <w:vAlign w:val="center"/>
          </w:tcPr>
          <w:p w14:paraId="40FD927C" w14:textId="77777777" w:rsidR="003476DA" w:rsidRPr="00DC2CE6" w:rsidRDefault="003476DA" w:rsidP="00182411">
            <w:pPr>
              <w:pStyle w:val="TableText"/>
              <w:keepLines/>
              <w:rPr>
                <w:szCs w:val="20"/>
              </w:rPr>
            </w:pPr>
            <w:r w:rsidRPr="00DC2CE6">
              <w:rPr>
                <w:szCs w:val="20"/>
              </w:rPr>
              <w:t>Incremental cost per death avoided</w:t>
            </w:r>
          </w:p>
        </w:tc>
        <w:tc>
          <w:tcPr>
            <w:tcW w:w="838" w:type="pct"/>
            <w:vAlign w:val="center"/>
          </w:tcPr>
          <w:p w14:paraId="5AE9767D" w14:textId="77777777" w:rsidR="003476DA" w:rsidRPr="00CC7AA8" w:rsidRDefault="00CC7AA8" w:rsidP="00182411">
            <w:pPr>
              <w:pStyle w:val="TableText"/>
              <w:keepLines/>
              <w:jc w:val="center"/>
              <w:rPr>
                <w:szCs w:val="20"/>
              </w:rPr>
            </w:pPr>
            <w:r>
              <w:rPr>
                <w:noProof/>
                <w:color w:val="000000"/>
                <w:szCs w:val="20"/>
                <w:highlight w:val="black"/>
              </w:rPr>
              <w:t>''''''''''''''''''''''''</w:t>
            </w:r>
            <w:r w:rsidR="001810F2">
              <w:rPr>
                <w:szCs w:val="20"/>
                <w:vertAlign w:val="superscript"/>
              </w:rPr>
              <w:t>2</w:t>
            </w:r>
          </w:p>
        </w:tc>
      </w:tr>
      <w:tr w:rsidR="003476DA" w:rsidRPr="00DC2CE6" w14:paraId="4A586937" w14:textId="77777777" w:rsidTr="0021554F">
        <w:tc>
          <w:tcPr>
            <w:tcW w:w="4162" w:type="pct"/>
            <w:gridSpan w:val="3"/>
            <w:vAlign w:val="center"/>
          </w:tcPr>
          <w:p w14:paraId="6CF3D19A" w14:textId="77777777" w:rsidR="003476DA" w:rsidRPr="00DC2CE6" w:rsidRDefault="003476DA" w:rsidP="00182411">
            <w:pPr>
              <w:pStyle w:val="TableText"/>
              <w:keepLines/>
              <w:rPr>
                <w:szCs w:val="20"/>
              </w:rPr>
            </w:pPr>
            <w:r w:rsidRPr="00DC2CE6">
              <w:rPr>
                <w:szCs w:val="20"/>
              </w:rPr>
              <w:t>Incremental cost per life year gained</w:t>
            </w:r>
          </w:p>
        </w:tc>
        <w:tc>
          <w:tcPr>
            <w:tcW w:w="838" w:type="pct"/>
            <w:vAlign w:val="center"/>
          </w:tcPr>
          <w:p w14:paraId="60BCE98B" w14:textId="77777777" w:rsidR="003476DA" w:rsidRPr="00CC7AA8" w:rsidRDefault="00CC7AA8" w:rsidP="00182411">
            <w:pPr>
              <w:pStyle w:val="TableText"/>
              <w:keepLines/>
              <w:jc w:val="center"/>
              <w:rPr>
                <w:szCs w:val="20"/>
              </w:rPr>
            </w:pPr>
            <w:r>
              <w:rPr>
                <w:noProof/>
                <w:color w:val="000000"/>
                <w:szCs w:val="20"/>
                <w:highlight w:val="black"/>
              </w:rPr>
              <w:t>''''''''''''''''''''''</w:t>
            </w:r>
            <w:r w:rsidR="001810F2">
              <w:rPr>
                <w:szCs w:val="20"/>
                <w:vertAlign w:val="superscript"/>
              </w:rPr>
              <w:t>3</w:t>
            </w:r>
          </w:p>
        </w:tc>
      </w:tr>
      <w:tr w:rsidR="003476DA" w:rsidRPr="00DC2CE6" w14:paraId="0E2F4179" w14:textId="77777777" w:rsidTr="0021554F">
        <w:tc>
          <w:tcPr>
            <w:tcW w:w="5000" w:type="pct"/>
            <w:gridSpan w:val="4"/>
            <w:vAlign w:val="center"/>
          </w:tcPr>
          <w:p w14:paraId="3CC93627" w14:textId="77777777" w:rsidR="003476DA" w:rsidRPr="00DC2CE6" w:rsidRDefault="003476DA" w:rsidP="00182411">
            <w:pPr>
              <w:pStyle w:val="TableText"/>
              <w:keepLines/>
              <w:rPr>
                <w:b/>
                <w:bCs w:val="0"/>
                <w:szCs w:val="20"/>
              </w:rPr>
            </w:pPr>
            <w:r w:rsidRPr="00DC2CE6">
              <w:rPr>
                <w:b/>
                <w:bCs w:val="0"/>
                <w:szCs w:val="20"/>
              </w:rPr>
              <w:t>Step 2: time horizon extended to 15 years</w:t>
            </w:r>
          </w:p>
        </w:tc>
      </w:tr>
      <w:tr w:rsidR="003476DA" w:rsidRPr="00DC2CE6" w14:paraId="43C7CB02" w14:textId="77777777" w:rsidTr="0021554F">
        <w:tc>
          <w:tcPr>
            <w:tcW w:w="1529" w:type="pct"/>
            <w:vAlign w:val="center"/>
          </w:tcPr>
          <w:p w14:paraId="45EF877D" w14:textId="77777777" w:rsidR="003476DA" w:rsidRPr="00DC2CE6" w:rsidRDefault="003476DA" w:rsidP="00182411">
            <w:pPr>
              <w:pStyle w:val="TableText"/>
              <w:keepLines/>
              <w:rPr>
                <w:szCs w:val="20"/>
              </w:rPr>
            </w:pPr>
            <w:r w:rsidRPr="00DC2CE6">
              <w:rPr>
                <w:szCs w:val="20"/>
              </w:rPr>
              <w:t>Costs</w:t>
            </w:r>
            <w:r w:rsidR="001810F2">
              <w:rPr>
                <w:szCs w:val="20"/>
              </w:rPr>
              <w:t xml:space="preserve"> ($)</w:t>
            </w:r>
          </w:p>
        </w:tc>
        <w:tc>
          <w:tcPr>
            <w:tcW w:w="1359" w:type="pct"/>
            <w:vAlign w:val="center"/>
          </w:tcPr>
          <w:p w14:paraId="112D99A9" w14:textId="77777777" w:rsidR="003476DA" w:rsidRPr="00CC7AA8" w:rsidRDefault="00CC7AA8" w:rsidP="00182411">
            <w:pPr>
              <w:pStyle w:val="TableText"/>
              <w:keepLines/>
              <w:jc w:val="center"/>
              <w:rPr>
                <w:szCs w:val="20"/>
                <w:highlight w:val="black"/>
              </w:rPr>
            </w:pPr>
            <w:r>
              <w:rPr>
                <w:noProof/>
                <w:color w:val="000000"/>
                <w:szCs w:val="20"/>
                <w:highlight w:val="black"/>
              </w:rPr>
              <w:t>''''''''''''''''''</w:t>
            </w:r>
          </w:p>
        </w:tc>
        <w:tc>
          <w:tcPr>
            <w:tcW w:w="1274" w:type="pct"/>
            <w:vAlign w:val="center"/>
          </w:tcPr>
          <w:p w14:paraId="1D6C944E" w14:textId="77777777" w:rsidR="003476DA" w:rsidRPr="00DC2CE6" w:rsidRDefault="003476DA" w:rsidP="00182411">
            <w:pPr>
              <w:pStyle w:val="TableText"/>
              <w:keepLines/>
              <w:jc w:val="center"/>
              <w:rPr>
                <w:szCs w:val="20"/>
              </w:rPr>
            </w:pPr>
            <w:r w:rsidRPr="00DC2CE6">
              <w:rPr>
                <w:szCs w:val="20"/>
              </w:rPr>
              <w:t>$8,475</w:t>
            </w:r>
          </w:p>
        </w:tc>
        <w:tc>
          <w:tcPr>
            <w:tcW w:w="838" w:type="pct"/>
            <w:vAlign w:val="center"/>
          </w:tcPr>
          <w:p w14:paraId="698238BE" w14:textId="77777777" w:rsidR="003476DA" w:rsidRPr="00CC7AA8" w:rsidRDefault="00CC7AA8" w:rsidP="00182411">
            <w:pPr>
              <w:pStyle w:val="TableText"/>
              <w:keepLines/>
              <w:jc w:val="center"/>
              <w:rPr>
                <w:szCs w:val="20"/>
                <w:highlight w:val="black"/>
              </w:rPr>
            </w:pPr>
            <w:r>
              <w:rPr>
                <w:noProof/>
                <w:color w:val="000000"/>
                <w:szCs w:val="20"/>
                <w:highlight w:val="black"/>
              </w:rPr>
              <w:t>'''''''''''''''''</w:t>
            </w:r>
          </w:p>
        </w:tc>
      </w:tr>
      <w:tr w:rsidR="003476DA" w:rsidRPr="00DC2CE6" w14:paraId="51438E77" w14:textId="77777777" w:rsidTr="0021554F">
        <w:trPr>
          <w:trHeight w:val="70"/>
        </w:trPr>
        <w:tc>
          <w:tcPr>
            <w:tcW w:w="1529" w:type="pct"/>
            <w:vAlign w:val="center"/>
          </w:tcPr>
          <w:p w14:paraId="62C3DA79" w14:textId="77777777" w:rsidR="003476DA" w:rsidRPr="00DC2CE6" w:rsidRDefault="003476DA" w:rsidP="00182411">
            <w:pPr>
              <w:pStyle w:val="TableText"/>
              <w:keepLines/>
              <w:rPr>
                <w:szCs w:val="20"/>
              </w:rPr>
            </w:pPr>
            <w:r w:rsidRPr="00DC2CE6">
              <w:rPr>
                <w:szCs w:val="20"/>
              </w:rPr>
              <w:t>Life years</w:t>
            </w:r>
          </w:p>
        </w:tc>
        <w:tc>
          <w:tcPr>
            <w:tcW w:w="1359" w:type="pct"/>
            <w:vAlign w:val="center"/>
          </w:tcPr>
          <w:p w14:paraId="0EA1507E" w14:textId="77777777" w:rsidR="003476DA" w:rsidRPr="00DC2CE6" w:rsidRDefault="003476DA" w:rsidP="00182411">
            <w:pPr>
              <w:pStyle w:val="TableText"/>
              <w:keepLines/>
              <w:jc w:val="center"/>
              <w:rPr>
                <w:szCs w:val="20"/>
              </w:rPr>
            </w:pPr>
            <w:r w:rsidRPr="00DC2CE6">
              <w:rPr>
                <w:szCs w:val="20"/>
              </w:rPr>
              <w:t>5.2001</w:t>
            </w:r>
          </w:p>
        </w:tc>
        <w:tc>
          <w:tcPr>
            <w:tcW w:w="1274" w:type="pct"/>
            <w:vAlign w:val="center"/>
          </w:tcPr>
          <w:p w14:paraId="5D99A0E7" w14:textId="77777777" w:rsidR="003476DA" w:rsidRPr="00DC2CE6" w:rsidRDefault="003476DA" w:rsidP="00182411">
            <w:pPr>
              <w:pStyle w:val="TableText"/>
              <w:keepLines/>
              <w:jc w:val="center"/>
              <w:rPr>
                <w:szCs w:val="20"/>
              </w:rPr>
            </w:pPr>
            <w:r w:rsidRPr="00DC2CE6">
              <w:rPr>
                <w:szCs w:val="20"/>
              </w:rPr>
              <w:t>5.0700</w:t>
            </w:r>
          </w:p>
        </w:tc>
        <w:tc>
          <w:tcPr>
            <w:tcW w:w="838" w:type="pct"/>
            <w:vAlign w:val="center"/>
          </w:tcPr>
          <w:p w14:paraId="69BEA16C" w14:textId="77777777" w:rsidR="003476DA" w:rsidRPr="00DC2CE6" w:rsidRDefault="003476DA" w:rsidP="00182411">
            <w:pPr>
              <w:pStyle w:val="TableText"/>
              <w:keepLines/>
              <w:jc w:val="center"/>
              <w:rPr>
                <w:szCs w:val="20"/>
              </w:rPr>
            </w:pPr>
            <w:r w:rsidRPr="00DC2CE6">
              <w:rPr>
                <w:szCs w:val="20"/>
              </w:rPr>
              <w:t>0.1302</w:t>
            </w:r>
          </w:p>
        </w:tc>
      </w:tr>
      <w:tr w:rsidR="003476DA" w:rsidRPr="00DC2CE6" w14:paraId="0449C8AF" w14:textId="77777777" w:rsidTr="0021554F">
        <w:tc>
          <w:tcPr>
            <w:tcW w:w="4162" w:type="pct"/>
            <w:gridSpan w:val="3"/>
            <w:vAlign w:val="center"/>
          </w:tcPr>
          <w:p w14:paraId="27BD4A17" w14:textId="77777777" w:rsidR="003476DA" w:rsidRPr="00DC2CE6" w:rsidRDefault="003476DA" w:rsidP="00182411">
            <w:pPr>
              <w:pStyle w:val="TableText"/>
              <w:keepLines/>
              <w:rPr>
                <w:szCs w:val="20"/>
              </w:rPr>
            </w:pPr>
            <w:r w:rsidRPr="00DC2CE6">
              <w:rPr>
                <w:szCs w:val="20"/>
              </w:rPr>
              <w:t>Incremental cost per life year gained</w:t>
            </w:r>
          </w:p>
        </w:tc>
        <w:tc>
          <w:tcPr>
            <w:tcW w:w="838" w:type="pct"/>
          </w:tcPr>
          <w:p w14:paraId="23D02C8C" w14:textId="77777777" w:rsidR="003476DA" w:rsidRPr="00DC2CE6" w:rsidRDefault="00CC7AA8" w:rsidP="00182411">
            <w:pPr>
              <w:pStyle w:val="TableText"/>
              <w:keepLines/>
              <w:jc w:val="center"/>
              <w:rPr>
                <w:szCs w:val="20"/>
              </w:rPr>
            </w:pPr>
            <w:r>
              <w:rPr>
                <w:noProof/>
                <w:color w:val="000000"/>
                <w:szCs w:val="20"/>
                <w:highlight w:val="black"/>
              </w:rPr>
              <w:t>'''''''''''''''''''</w:t>
            </w:r>
            <w:r w:rsidR="001810F2">
              <w:rPr>
                <w:szCs w:val="20"/>
                <w:vertAlign w:val="superscript"/>
              </w:rPr>
              <w:t>4</w:t>
            </w:r>
          </w:p>
        </w:tc>
      </w:tr>
      <w:tr w:rsidR="003476DA" w:rsidRPr="00DC2CE6" w14:paraId="4FFC4E1D" w14:textId="77777777" w:rsidTr="0021554F">
        <w:tc>
          <w:tcPr>
            <w:tcW w:w="5000" w:type="pct"/>
            <w:gridSpan w:val="4"/>
            <w:vAlign w:val="center"/>
          </w:tcPr>
          <w:p w14:paraId="1DA4A28A" w14:textId="77777777" w:rsidR="003476DA" w:rsidRPr="00DC2CE6" w:rsidRDefault="003476DA" w:rsidP="00182411">
            <w:pPr>
              <w:pStyle w:val="Tableheadingrow"/>
              <w:keepLines/>
              <w:rPr>
                <w:szCs w:val="20"/>
                <w:lang w:val="en-AU"/>
              </w:rPr>
            </w:pPr>
            <w:r w:rsidRPr="00DC2CE6">
              <w:rPr>
                <w:szCs w:val="20"/>
                <w:lang w:val="en-AU"/>
              </w:rPr>
              <w:t>Step 3: disease management, heart failure hospitalisation, CV death and adverse event costs included</w:t>
            </w:r>
          </w:p>
        </w:tc>
      </w:tr>
      <w:tr w:rsidR="003476DA" w:rsidRPr="00DC2CE6" w14:paraId="4635B15A" w14:textId="77777777" w:rsidTr="0021554F">
        <w:tc>
          <w:tcPr>
            <w:tcW w:w="5000" w:type="pct"/>
            <w:gridSpan w:val="4"/>
            <w:vAlign w:val="center"/>
          </w:tcPr>
          <w:p w14:paraId="1D4DA167" w14:textId="77777777" w:rsidR="003476DA" w:rsidRPr="00DC2CE6" w:rsidRDefault="003476DA" w:rsidP="00182411">
            <w:pPr>
              <w:pStyle w:val="Tableheadingrow"/>
              <w:keepLines/>
              <w:rPr>
                <w:szCs w:val="20"/>
                <w:lang w:val="en-AU"/>
              </w:rPr>
            </w:pPr>
            <w:r w:rsidRPr="00DC2CE6">
              <w:rPr>
                <w:szCs w:val="20"/>
                <w:lang w:val="en-AU"/>
              </w:rPr>
              <w:t>Step 3a: disease management costs included</w:t>
            </w:r>
            <w:r w:rsidR="00DC2CE6" w:rsidRPr="00DC2CE6">
              <w:rPr>
                <w:szCs w:val="20"/>
                <w:lang w:val="en-AU"/>
              </w:rPr>
              <w:t xml:space="preserve"> </w:t>
            </w:r>
            <w:r w:rsidR="00DC2CE6" w:rsidRPr="00DC2CE6">
              <w:rPr>
                <w:b w:val="0"/>
                <w:bCs/>
                <w:szCs w:val="20"/>
                <w:vertAlign w:val="superscript"/>
              </w:rPr>
              <w:t>a</w:t>
            </w:r>
          </w:p>
        </w:tc>
      </w:tr>
      <w:tr w:rsidR="003476DA" w:rsidRPr="00DC2CE6" w14:paraId="76260D35" w14:textId="77777777" w:rsidTr="0021554F">
        <w:tc>
          <w:tcPr>
            <w:tcW w:w="1529" w:type="pct"/>
            <w:vAlign w:val="center"/>
          </w:tcPr>
          <w:p w14:paraId="14E1A7BC" w14:textId="77777777" w:rsidR="003476DA" w:rsidRPr="00DC2CE6" w:rsidRDefault="003476DA" w:rsidP="00182411">
            <w:pPr>
              <w:pStyle w:val="TableText"/>
              <w:keepLines/>
              <w:rPr>
                <w:szCs w:val="20"/>
              </w:rPr>
            </w:pPr>
            <w:r w:rsidRPr="00DC2CE6">
              <w:rPr>
                <w:szCs w:val="20"/>
              </w:rPr>
              <w:t>Costs</w:t>
            </w:r>
            <w:r w:rsidR="001810F2">
              <w:rPr>
                <w:szCs w:val="20"/>
              </w:rPr>
              <w:t xml:space="preserve"> ($)</w:t>
            </w:r>
          </w:p>
        </w:tc>
        <w:tc>
          <w:tcPr>
            <w:tcW w:w="1359" w:type="pct"/>
            <w:vAlign w:val="center"/>
          </w:tcPr>
          <w:p w14:paraId="2FEC8933" w14:textId="77777777" w:rsidR="003476DA" w:rsidRPr="00CC7AA8" w:rsidRDefault="00CC7AA8" w:rsidP="00182411">
            <w:pPr>
              <w:pStyle w:val="TableText"/>
              <w:keepLines/>
              <w:jc w:val="center"/>
              <w:rPr>
                <w:szCs w:val="20"/>
                <w:highlight w:val="black"/>
              </w:rPr>
            </w:pPr>
            <w:r>
              <w:rPr>
                <w:noProof/>
                <w:color w:val="000000"/>
                <w:szCs w:val="20"/>
                <w:highlight w:val="black"/>
              </w:rPr>
              <w:t>''''''''''''''''''</w:t>
            </w:r>
          </w:p>
        </w:tc>
        <w:tc>
          <w:tcPr>
            <w:tcW w:w="1274" w:type="pct"/>
            <w:vAlign w:val="center"/>
          </w:tcPr>
          <w:p w14:paraId="20584252" w14:textId="77777777" w:rsidR="003476DA" w:rsidRPr="00DC2CE6" w:rsidRDefault="003476DA" w:rsidP="00182411">
            <w:pPr>
              <w:pStyle w:val="TableText"/>
              <w:keepLines/>
              <w:jc w:val="center"/>
              <w:rPr>
                <w:szCs w:val="20"/>
              </w:rPr>
            </w:pPr>
            <w:r w:rsidRPr="00DC2CE6">
              <w:rPr>
                <w:szCs w:val="20"/>
              </w:rPr>
              <w:t>$12,171</w:t>
            </w:r>
          </w:p>
        </w:tc>
        <w:tc>
          <w:tcPr>
            <w:tcW w:w="838" w:type="pct"/>
            <w:vAlign w:val="center"/>
          </w:tcPr>
          <w:p w14:paraId="74F500A1" w14:textId="77777777" w:rsidR="003476DA" w:rsidRPr="00CC7AA8" w:rsidRDefault="00CC7AA8" w:rsidP="00182411">
            <w:pPr>
              <w:pStyle w:val="TableText"/>
              <w:keepLines/>
              <w:jc w:val="center"/>
              <w:rPr>
                <w:szCs w:val="20"/>
                <w:highlight w:val="black"/>
              </w:rPr>
            </w:pPr>
            <w:r>
              <w:rPr>
                <w:noProof/>
                <w:color w:val="000000"/>
                <w:szCs w:val="20"/>
                <w:highlight w:val="black"/>
              </w:rPr>
              <w:t>''''''''''''''''''</w:t>
            </w:r>
          </w:p>
        </w:tc>
      </w:tr>
      <w:tr w:rsidR="003476DA" w:rsidRPr="00DC2CE6" w14:paraId="6A0968C3" w14:textId="77777777" w:rsidTr="0021554F">
        <w:tc>
          <w:tcPr>
            <w:tcW w:w="1529" w:type="pct"/>
            <w:vAlign w:val="center"/>
          </w:tcPr>
          <w:p w14:paraId="2CD599AC" w14:textId="77777777" w:rsidR="003476DA" w:rsidRPr="00DC2CE6" w:rsidRDefault="003476DA" w:rsidP="00182411">
            <w:pPr>
              <w:pStyle w:val="TableText"/>
              <w:keepLines/>
              <w:rPr>
                <w:szCs w:val="20"/>
              </w:rPr>
            </w:pPr>
            <w:r w:rsidRPr="00DC2CE6">
              <w:rPr>
                <w:szCs w:val="20"/>
              </w:rPr>
              <w:t>Life years</w:t>
            </w:r>
          </w:p>
        </w:tc>
        <w:tc>
          <w:tcPr>
            <w:tcW w:w="1359" w:type="pct"/>
            <w:vAlign w:val="center"/>
          </w:tcPr>
          <w:p w14:paraId="19753939" w14:textId="77777777" w:rsidR="003476DA" w:rsidRPr="00DC2CE6" w:rsidRDefault="003476DA" w:rsidP="00182411">
            <w:pPr>
              <w:pStyle w:val="TableText"/>
              <w:keepLines/>
              <w:jc w:val="center"/>
              <w:rPr>
                <w:szCs w:val="20"/>
              </w:rPr>
            </w:pPr>
            <w:r w:rsidRPr="00DC2CE6">
              <w:rPr>
                <w:szCs w:val="20"/>
              </w:rPr>
              <w:t>5.2001</w:t>
            </w:r>
          </w:p>
        </w:tc>
        <w:tc>
          <w:tcPr>
            <w:tcW w:w="1274" w:type="pct"/>
            <w:vAlign w:val="center"/>
          </w:tcPr>
          <w:p w14:paraId="4120FC19" w14:textId="77777777" w:rsidR="003476DA" w:rsidRPr="00DC2CE6" w:rsidRDefault="003476DA" w:rsidP="00182411">
            <w:pPr>
              <w:pStyle w:val="TableText"/>
              <w:keepLines/>
              <w:jc w:val="center"/>
              <w:rPr>
                <w:szCs w:val="20"/>
              </w:rPr>
            </w:pPr>
            <w:r w:rsidRPr="00DC2CE6">
              <w:rPr>
                <w:szCs w:val="20"/>
              </w:rPr>
              <w:t>5.0700</w:t>
            </w:r>
          </w:p>
        </w:tc>
        <w:tc>
          <w:tcPr>
            <w:tcW w:w="838" w:type="pct"/>
            <w:vAlign w:val="center"/>
          </w:tcPr>
          <w:p w14:paraId="2974345C" w14:textId="77777777" w:rsidR="003476DA" w:rsidRPr="00DC2CE6" w:rsidRDefault="003476DA" w:rsidP="00182411">
            <w:pPr>
              <w:pStyle w:val="TableText"/>
              <w:keepLines/>
              <w:jc w:val="center"/>
              <w:rPr>
                <w:szCs w:val="20"/>
              </w:rPr>
            </w:pPr>
            <w:r w:rsidRPr="00DC2CE6">
              <w:rPr>
                <w:szCs w:val="20"/>
              </w:rPr>
              <w:t>0.1302</w:t>
            </w:r>
          </w:p>
        </w:tc>
      </w:tr>
      <w:tr w:rsidR="003476DA" w:rsidRPr="00DC2CE6" w14:paraId="3BEEB562" w14:textId="77777777" w:rsidTr="0021554F">
        <w:tc>
          <w:tcPr>
            <w:tcW w:w="4162" w:type="pct"/>
            <w:gridSpan w:val="3"/>
            <w:vAlign w:val="center"/>
          </w:tcPr>
          <w:p w14:paraId="0604FBA7" w14:textId="77777777" w:rsidR="003476DA" w:rsidRPr="00DC2CE6" w:rsidRDefault="003476DA" w:rsidP="00182411">
            <w:pPr>
              <w:pStyle w:val="TableText"/>
              <w:keepLines/>
              <w:rPr>
                <w:szCs w:val="20"/>
              </w:rPr>
            </w:pPr>
            <w:r w:rsidRPr="00DC2CE6">
              <w:rPr>
                <w:szCs w:val="20"/>
              </w:rPr>
              <w:t>Incremental cost per life year gained</w:t>
            </w:r>
          </w:p>
        </w:tc>
        <w:tc>
          <w:tcPr>
            <w:tcW w:w="838" w:type="pct"/>
          </w:tcPr>
          <w:p w14:paraId="0836DDFC" w14:textId="77777777" w:rsidR="003476DA" w:rsidRPr="00DC2CE6" w:rsidRDefault="00CC7AA8" w:rsidP="00182411">
            <w:pPr>
              <w:pStyle w:val="TableText"/>
              <w:keepLines/>
              <w:jc w:val="center"/>
              <w:rPr>
                <w:szCs w:val="20"/>
              </w:rPr>
            </w:pPr>
            <w:r>
              <w:rPr>
                <w:noProof/>
                <w:color w:val="000000"/>
                <w:szCs w:val="20"/>
                <w:highlight w:val="black"/>
              </w:rPr>
              <w:t>''''''''''''''''''''</w:t>
            </w:r>
            <w:r w:rsidR="001810F2">
              <w:rPr>
                <w:szCs w:val="20"/>
                <w:vertAlign w:val="superscript"/>
              </w:rPr>
              <w:t>4</w:t>
            </w:r>
          </w:p>
        </w:tc>
      </w:tr>
      <w:tr w:rsidR="003476DA" w:rsidRPr="00DC2CE6" w14:paraId="5F79031C" w14:textId="77777777" w:rsidTr="0021554F">
        <w:tc>
          <w:tcPr>
            <w:tcW w:w="5000" w:type="pct"/>
            <w:gridSpan w:val="4"/>
            <w:vAlign w:val="center"/>
          </w:tcPr>
          <w:p w14:paraId="4FB14A37" w14:textId="77777777" w:rsidR="003476DA" w:rsidRPr="00DC2CE6" w:rsidRDefault="003476DA" w:rsidP="00182411">
            <w:pPr>
              <w:pStyle w:val="Tableheadingrow"/>
              <w:keepLines/>
              <w:rPr>
                <w:szCs w:val="20"/>
                <w:lang w:val="en-AU"/>
              </w:rPr>
            </w:pPr>
            <w:r w:rsidRPr="00DC2CE6">
              <w:rPr>
                <w:szCs w:val="20"/>
                <w:lang w:val="en-AU"/>
              </w:rPr>
              <w:t>Step 3b: heart failure hospitalisation costs included</w:t>
            </w:r>
            <w:r w:rsidR="00DC2CE6" w:rsidRPr="00DC2CE6">
              <w:rPr>
                <w:szCs w:val="20"/>
                <w:lang w:val="en-AU"/>
              </w:rPr>
              <w:t xml:space="preserve"> </w:t>
            </w:r>
            <w:r w:rsidR="00DC2CE6" w:rsidRPr="00DC2CE6">
              <w:rPr>
                <w:b w:val="0"/>
                <w:bCs/>
                <w:szCs w:val="20"/>
                <w:vertAlign w:val="superscript"/>
              </w:rPr>
              <w:t>a</w:t>
            </w:r>
          </w:p>
        </w:tc>
      </w:tr>
      <w:tr w:rsidR="003476DA" w:rsidRPr="00DC2CE6" w14:paraId="4815DCD1" w14:textId="77777777" w:rsidTr="0021554F">
        <w:tc>
          <w:tcPr>
            <w:tcW w:w="1529" w:type="pct"/>
            <w:vAlign w:val="center"/>
          </w:tcPr>
          <w:p w14:paraId="40792EED" w14:textId="77777777" w:rsidR="003476DA" w:rsidRPr="001810F2" w:rsidRDefault="003476DA" w:rsidP="001810F2">
            <w:pPr>
              <w:pStyle w:val="TableText"/>
              <w:keepLines/>
              <w:rPr>
                <w:szCs w:val="20"/>
                <w:vertAlign w:val="superscript"/>
              </w:rPr>
            </w:pPr>
            <w:r w:rsidRPr="00DC2CE6">
              <w:rPr>
                <w:szCs w:val="20"/>
              </w:rPr>
              <w:t>Costs</w:t>
            </w:r>
            <w:r w:rsidR="001810F2">
              <w:rPr>
                <w:szCs w:val="20"/>
              </w:rPr>
              <w:t xml:space="preserve"> ($)</w:t>
            </w:r>
          </w:p>
        </w:tc>
        <w:tc>
          <w:tcPr>
            <w:tcW w:w="1359" w:type="pct"/>
            <w:vAlign w:val="center"/>
          </w:tcPr>
          <w:p w14:paraId="040A0734" w14:textId="77777777" w:rsidR="003476DA" w:rsidRPr="00CC7AA8" w:rsidRDefault="00CC7AA8" w:rsidP="00182411">
            <w:pPr>
              <w:pStyle w:val="TableText"/>
              <w:keepLines/>
              <w:jc w:val="center"/>
              <w:rPr>
                <w:szCs w:val="20"/>
                <w:highlight w:val="black"/>
              </w:rPr>
            </w:pPr>
            <w:r>
              <w:rPr>
                <w:noProof/>
                <w:color w:val="000000"/>
                <w:szCs w:val="20"/>
                <w:highlight w:val="black"/>
              </w:rPr>
              <w:t>'''''''''''''''''''</w:t>
            </w:r>
          </w:p>
        </w:tc>
        <w:tc>
          <w:tcPr>
            <w:tcW w:w="1274" w:type="pct"/>
            <w:vAlign w:val="center"/>
          </w:tcPr>
          <w:p w14:paraId="0FC305D9" w14:textId="77777777" w:rsidR="003476DA" w:rsidRPr="00DC2CE6" w:rsidRDefault="003476DA" w:rsidP="00182411">
            <w:pPr>
              <w:pStyle w:val="TableText"/>
              <w:keepLines/>
              <w:jc w:val="center"/>
              <w:rPr>
                <w:szCs w:val="20"/>
              </w:rPr>
            </w:pPr>
            <w:r w:rsidRPr="00DC2CE6">
              <w:rPr>
                <w:szCs w:val="20"/>
              </w:rPr>
              <w:t>$20,571</w:t>
            </w:r>
          </w:p>
        </w:tc>
        <w:tc>
          <w:tcPr>
            <w:tcW w:w="838" w:type="pct"/>
            <w:vAlign w:val="center"/>
          </w:tcPr>
          <w:p w14:paraId="47C412E6" w14:textId="77777777" w:rsidR="003476DA" w:rsidRPr="00CC7AA8" w:rsidRDefault="00CC7AA8" w:rsidP="00182411">
            <w:pPr>
              <w:pStyle w:val="TableText"/>
              <w:keepLines/>
              <w:jc w:val="center"/>
              <w:rPr>
                <w:szCs w:val="20"/>
                <w:highlight w:val="black"/>
              </w:rPr>
            </w:pPr>
            <w:r>
              <w:rPr>
                <w:noProof/>
                <w:color w:val="000000"/>
                <w:szCs w:val="20"/>
                <w:highlight w:val="black"/>
              </w:rPr>
              <w:t>''''''''''''''''</w:t>
            </w:r>
          </w:p>
        </w:tc>
      </w:tr>
      <w:tr w:rsidR="003476DA" w:rsidRPr="00DC2CE6" w14:paraId="49F334BB" w14:textId="77777777" w:rsidTr="0021554F">
        <w:tc>
          <w:tcPr>
            <w:tcW w:w="1529" w:type="pct"/>
            <w:vAlign w:val="center"/>
          </w:tcPr>
          <w:p w14:paraId="09C520E9" w14:textId="77777777" w:rsidR="003476DA" w:rsidRPr="00DC2CE6" w:rsidRDefault="003476DA" w:rsidP="00182411">
            <w:pPr>
              <w:pStyle w:val="TableText"/>
              <w:keepLines/>
              <w:rPr>
                <w:szCs w:val="20"/>
              </w:rPr>
            </w:pPr>
            <w:r w:rsidRPr="00DC2CE6">
              <w:rPr>
                <w:szCs w:val="20"/>
              </w:rPr>
              <w:t>Life years</w:t>
            </w:r>
          </w:p>
        </w:tc>
        <w:tc>
          <w:tcPr>
            <w:tcW w:w="1359" w:type="pct"/>
            <w:vAlign w:val="center"/>
          </w:tcPr>
          <w:p w14:paraId="6A8C3C18" w14:textId="77777777" w:rsidR="003476DA" w:rsidRPr="00DC2CE6" w:rsidRDefault="003476DA" w:rsidP="00182411">
            <w:pPr>
              <w:pStyle w:val="TableText"/>
              <w:keepLines/>
              <w:jc w:val="center"/>
              <w:rPr>
                <w:szCs w:val="20"/>
              </w:rPr>
            </w:pPr>
            <w:r w:rsidRPr="00DC2CE6">
              <w:rPr>
                <w:szCs w:val="20"/>
              </w:rPr>
              <w:t>5.2001</w:t>
            </w:r>
          </w:p>
        </w:tc>
        <w:tc>
          <w:tcPr>
            <w:tcW w:w="1274" w:type="pct"/>
            <w:vAlign w:val="center"/>
          </w:tcPr>
          <w:p w14:paraId="20EA606D" w14:textId="77777777" w:rsidR="003476DA" w:rsidRPr="00DC2CE6" w:rsidRDefault="003476DA" w:rsidP="00182411">
            <w:pPr>
              <w:pStyle w:val="TableText"/>
              <w:keepLines/>
              <w:jc w:val="center"/>
              <w:rPr>
                <w:szCs w:val="20"/>
              </w:rPr>
            </w:pPr>
            <w:r w:rsidRPr="00DC2CE6">
              <w:rPr>
                <w:szCs w:val="20"/>
              </w:rPr>
              <w:t>5.0700</w:t>
            </w:r>
          </w:p>
        </w:tc>
        <w:tc>
          <w:tcPr>
            <w:tcW w:w="838" w:type="pct"/>
            <w:vAlign w:val="center"/>
          </w:tcPr>
          <w:p w14:paraId="5A820B2A" w14:textId="77777777" w:rsidR="003476DA" w:rsidRPr="00DC2CE6" w:rsidRDefault="003476DA" w:rsidP="00182411">
            <w:pPr>
              <w:pStyle w:val="TableText"/>
              <w:keepLines/>
              <w:jc w:val="center"/>
              <w:rPr>
                <w:szCs w:val="20"/>
              </w:rPr>
            </w:pPr>
            <w:r w:rsidRPr="00DC2CE6">
              <w:rPr>
                <w:szCs w:val="20"/>
              </w:rPr>
              <w:t>0.1302</w:t>
            </w:r>
          </w:p>
        </w:tc>
      </w:tr>
      <w:tr w:rsidR="003476DA" w:rsidRPr="00DC2CE6" w14:paraId="04E9051B" w14:textId="77777777" w:rsidTr="0021554F">
        <w:tc>
          <w:tcPr>
            <w:tcW w:w="4162" w:type="pct"/>
            <w:gridSpan w:val="3"/>
            <w:vAlign w:val="center"/>
          </w:tcPr>
          <w:p w14:paraId="123AC80C" w14:textId="77777777" w:rsidR="003476DA" w:rsidRPr="00DC2CE6" w:rsidRDefault="003476DA" w:rsidP="00182411">
            <w:pPr>
              <w:pStyle w:val="TableText"/>
              <w:keepLines/>
              <w:rPr>
                <w:szCs w:val="20"/>
              </w:rPr>
            </w:pPr>
            <w:r w:rsidRPr="00DC2CE6">
              <w:rPr>
                <w:szCs w:val="20"/>
              </w:rPr>
              <w:t>Incremental cost per life year gained</w:t>
            </w:r>
          </w:p>
        </w:tc>
        <w:tc>
          <w:tcPr>
            <w:tcW w:w="838" w:type="pct"/>
          </w:tcPr>
          <w:p w14:paraId="74192D3A" w14:textId="77777777" w:rsidR="003476DA" w:rsidRPr="00DC2CE6" w:rsidRDefault="00CC7AA8" w:rsidP="00182411">
            <w:pPr>
              <w:pStyle w:val="TableText"/>
              <w:keepLines/>
              <w:jc w:val="center"/>
              <w:rPr>
                <w:szCs w:val="20"/>
              </w:rPr>
            </w:pPr>
            <w:r>
              <w:rPr>
                <w:noProof/>
                <w:color w:val="000000"/>
                <w:szCs w:val="20"/>
                <w:highlight w:val="black"/>
              </w:rPr>
              <w:t>'''''''''''''''''</w:t>
            </w:r>
            <w:r w:rsidR="001810F2">
              <w:rPr>
                <w:szCs w:val="20"/>
                <w:vertAlign w:val="superscript"/>
              </w:rPr>
              <w:t>1</w:t>
            </w:r>
          </w:p>
        </w:tc>
      </w:tr>
      <w:tr w:rsidR="003476DA" w:rsidRPr="00DC2CE6" w14:paraId="0CA88120" w14:textId="77777777" w:rsidTr="0021554F">
        <w:tc>
          <w:tcPr>
            <w:tcW w:w="5000" w:type="pct"/>
            <w:gridSpan w:val="4"/>
            <w:vAlign w:val="center"/>
          </w:tcPr>
          <w:p w14:paraId="7A759A2C" w14:textId="77777777" w:rsidR="003476DA" w:rsidRPr="00DC2CE6" w:rsidRDefault="003476DA" w:rsidP="00182411">
            <w:pPr>
              <w:pStyle w:val="Tableheadingrow"/>
              <w:keepLines/>
              <w:rPr>
                <w:szCs w:val="20"/>
                <w:lang w:val="en-AU"/>
              </w:rPr>
            </w:pPr>
            <w:r w:rsidRPr="00DC2CE6">
              <w:rPr>
                <w:szCs w:val="20"/>
                <w:lang w:val="en-AU"/>
              </w:rPr>
              <w:t>Step 3c: CV death costs included</w:t>
            </w:r>
            <w:r w:rsidR="00DC2CE6" w:rsidRPr="00DC2CE6">
              <w:rPr>
                <w:szCs w:val="20"/>
                <w:lang w:val="en-AU"/>
              </w:rPr>
              <w:t xml:space="preserve"> </w:t>
            </w:r>
            <w:r w:rsidR="00DC2CE6" w:rsidRPr="00DC2CE6">
              <w:rPr>
                <w:b w:val="0"/>
                <w:bCs/>
                <w:szCs w:val="20"/>
                <w:vertAlign w:val="superscript"/>
              </w:rPr>
              <w:t>a</w:t>
            </w:r>
          </w:p>
        </w:tc>
      </w:tr>
      <w:tr w:rsidR="003476DA" w:rsidRPr="00DC2CE6" w14:paraId="4C6B3280" w14:textId="77777777" w:rsidTr="0021554F">
        <w:tc>
          <w:tcPr>
            <w:tcW w:w="1529" w:type="pct"/>
            <w:vAlign w:val="center"/>
          </w:tcPr>
          <w:p w14:paraId="376E54E9" w14:textId="77777777" w:rsidR="003476DA" w:rsidRPr="00DC2CE6" w:rsidRDefault="003476DA" w:rsidP="00182411">
            <w:pPr>
              <w:pStyle w:val="TableText"/>
              <w:keepLines/>
              <w:rPr>
                <w:szCs w:val="20"/>
              </w:rPr>
            </w:pPr>
            <w:r w:rsidRPr="00DC2CE6">
              <w:rPr>
                <w:szCs w:val="20"/>
              </w:rPr>
              <w:t>Costs</w:t>
            </w:r>
            <w:r w:rsidR="001810F2">
              <w:rPr>
                <w:szCs w:val="20"/>
              </w:rPr>
              <w:t xml:space="preserve"> ($)</w:t>
            </w:r>
          </w:p>
        </w:tc>
        <w:tc>
          <w:tcPr>
            <w:tcW w:w="1359" w:type="pct"/>
            <w:vAlign w:val="center"/>
          </w:tcPr>
          <w:p w14:paraId="1EBC2F89" w14:textId="77777777" w:rsidR="003476DA" w:rsidRPr="00CC7AA8" w:rsidRDefault="00CC7AA8" w:rsidP="00182411">
            <w:pPr>
              <w:pStyle w:val="TableText"/>
              <w:keepLines/>
              <w:jc w:val="center"/>
              <w:rPr>
                <w:szCs w:val="20"/>
                <w:highlight w:val="black"/>
              </w:rPr>
            </w:pPr>
            <w:r>
              <w:rPr>
                <w:noProof/>
                <w:color w:val="000000"/>
                <w:szCs w:val="20"/>
                <w:highlight w:val="black"/>
              </w:rPr>
              <w:t>'''''''''''''''''''</w:t>
            </w:r>
          </w:p>
        </w:tc>
        <w:tc>
          <w:tcPr>
            <w:tcW w:w="1274" w:type="pct"/>
            <w:vAlign w:val="center"/>
          </w:tcPr>
          <w:p w14:paraId="347859C9" w14:textId="77777777" w:rsidR="003476DA" w:rsidRPr="00DC2CE6" w:rsidRDefault="003476DA" w:rsidP="00182411">
            <w:pPr>
              <w:pStyle w:val="TableText"/>
              <w:keepLines/>
              <w:jc w:val="center"/>
              <w:rPr>
                <w:szCs w:val="20"/>
              </w:rPr>
            </w:pPr>
            <w:r w:rsidRPr="00DC2CE6">
              <w:rPr>
                <w:szCs w:val="20"/>
              </w:rPr>
              <w:t>$25,149</w:t>
            </w:r>
          </w:p>
        </w:tc>
        <w:tc>
          <w:tcPr>
            <w:tcW w:w="838" w:type="pct"/>
            <w:vAlign w:val="center"/>
          </w:tcPr>
          <w:p w14:paraId="081944A5" w14:textId="77777777" w:rsidR="003476DA" w:rsidRPr="00CC7AA8" w:rsidRDefault="00CC7AA8" w:rsidP="00182411">
            <w:pPr>
              <w:pStyle w:val="TableText"/>
              <w:keepLines/>
              <w:jc w:val="center"/>
              <w:rPr>
                <w:szCs w:val="20"/>
                <w:highlight w:val="black"/>
              </w:rPr>
            </w:pPr>
            <w:r>
              <w:rPr>
                <w:noProof/>
                <w:color w:val="000000"/>
                <w:szCs w:val="20"/>
                <w:highlight w:val="black"/>
              </w:rPr>
              <w:t>''''''''''''''''</w:t>
            </w:r>
          </w:p>
        </w:tc>
      </w:tr>
      <w:tr w:rsidR="003476DA" w:rsidRPr="00DC2CE6" w14:paraId="25E20FBC" w14:textId="77777777" w:rsidTr="0021554F">
        <w:tc>
          <w:tcPr>
            <w:tcW w:w="1529" w:type="pct"/>
            <w:vAlign w:val="center"/>
          </w:tcPr>
          <w:p w14:paraId="477D3A0E" w14:textId="77777777" w:rsidR="003476DA" w:rsidRPr="00DC2CE6" w:rsidRDefault="003476DA" w:rsidP="00182411">
            <w:pPr>
              <w:pStyle w:val="TableText"/>
              <w:keepLines/>
              <w:rPr>
                <w:szCs w:val="20"/>
              </w:rPr>
            </w:pPr>
            <w:r w:rsidRPr="00DC2CE6">
              <w:rPr>
                <w:szCs w:val="20"/>
              </w:rPr>
              <w:t>Life years</w:t>
            </w:r>
          </w:p>
        </w:tc>
        <w:tc>
          <w:tcPr>
            <w:tcW w:w="1359" w:type="pct"/>
            <w:vAlign w:val="center"/>
          </w:tcPr>
          <w:p w14:paraId="2A2917F5" w14:textId="77777777" w:rsidR="003476DA" w:rsidRPr="00DC2CE6" w:rsidRDefault="003476DA" w:rsidP="00182411">
            <w:pPr>
              <w:pStyle w:val="TableText"/>
              <w:keepLines/>
              <w:jc w:val="center"/>
              <w:rPr>
                <w:szCs w:val="20"/>
              </w:rPr>
            </w:pPr>
            <w:r w:rsidRPr="00DC2CE6">
              <w:rPr>
                <w:szCs w:val="20"/>
              </w:rPr>
              <w:t>5.2001</w:t>
            </w:r>
          </w:p>
        </w:tc>
        <w:tc>
          <w:tcPr>
            <w:tcW w:w="1274" w:type="pct"/>
            <w:vAlign w:val="center"/>
          </w:tcPr>
          <w:p w14:paraId="0588E8ED" w14:textId="77777777" w:rsidR="003476DA" w:rsidRPr="00DC2CE6" w:rsidRDefault="003476DA" w:rsidP="00182411">
            <w:pPr>
              <w:pStyle w:val="TableText"/>
              <w:keepLines/>
              <w:jc w:val="center"/>
              <w:rPr>
                <w:szCs w:val="20"/>
              </w:rPr>
            </w:pPr>
            <w:r w:rsidRPr="00DC2CE6">
              <w:rPr>
                <w:szCs w:val="20"/>
              </w:rPr>
              <w:t>5.0700</w:t>
            </w:r>
          </w:p>
        </w:tc>
        <w:tc>
          <w:tcPr>
            <w:tcW w:w="838" w:type="pct"/>
            <w:vAlign w:val="center"/>
          </w:tcPr>
          <w:p w14:paraId="705C742F" w14:textId="77777777" w:rsidR="003476DA" w:rsidRPr="00DC2CE6" w:rsidRDefault="003476DA" w:rsidP="00182411">
            <w:pPr>
              <w:pStyle w:val="TableText"/>
              <w:keepLines/>
              <w:jc w:val="center"/>
              <w:rPr>
                <w:szCs w:val="20"/>
              </w:rPr>
            </w:pPr>
            <w:r w:rsidRPr="00DC2CE6">
              <w:rPr>
                <w:szCs w:val="20"/>
              </w:rPr>
              <w:t>0.1302</w:t>
            </w:r>
          </w:p>
        </w:tc>
      </w:tr>
      <w:tr w:rsidR="003476DA" w:rsidRPr="00DC2CE6" w14:paraId="04198E8F" w14:textId="77777777" w:rsidTr="0021554F">
        <w:tc>
          <w:tcPr>
            <w:tcW w:w="4162" w:type="pct"/>
            <w:gridSpan w:val="3"/>
            <w:vAlign w:val="center"/>
          </w:tcPr>
          <w:p w14:paraId="6C825F0F" w14:textId="77777777" w:rsidR="003476DA" w:rsidRPr="00DC2CE6" w:rsidRDefault="003476DA" w:rsidP="00182411">
            <w:pPr>
              <w:pStyle w:val="TableText"/>
              <w:keepLines/>
              <w:rPr>
                <w:szCs w:val="20"/>
              </w:rPr>
            </w:pPr>
            <w:r w:rsidRPr="00DC2CE6">
              <w:rPr>
                <w:szCs w:val="20"/>
              </w:rPr>
              <w:t>Incremental cost per life year gained</w:t>
            </w:r>
          </w:p>
        </w:tc>
        <w:tc>
          <w:tcPr>
            <w:tcW w:w="838" w:type="pct"/>
          </w:tcPr>
          <w:p w14:paraId="6085B264" w14:textId="77777777" w:rsidR="003476DA" w:rsidRPr="00DC2CE6" w:rsidRDefault="00CC7AA8" w:rsidP="00182411">
            <w:pPr>
              <w:pStyle w:val="TableText"/>
              <w:keepLines/>
              <w:jc w:val="center"/>
              <w:rPr>
                <w:szCs w:val="20"/>
              </w:rPr>
            </w:pPr>
            <w:r>
              <w:rPr>
                <w:noProof/>
                <w:color w:val="000000"/>
                <w:szCs w:val="20"/>
                <w:highlight w:val="black"/>
              </w:rPr>
              <w:t>'''''''''''''''</w:t>
            </w:r>
            <w:r w:rsidR="001810F2">
              <w:rPr>
                <w:szCs w:val="20"/>
                <w:vertAlign w:val="superscript"/>
              </w:rPr>
              <w:t>1</w:t>
            </w:r>
          </w:p>
        </w:tc>
      </w:tr>
      <w:tr w:rsidR="003476DA" w:rsidRPr="00DC2CE6" w14:paraId="0D5E58A5" w14:textId="77777777" w:rsidTr="0021554F">
        <w:tc>
          <w:tcPr>
            <w:tcW w:w="5000" w:type="pct"/>
            <w:gridSpan w:val="4"/>
            <w:vAlign w:val="center"/>
          </w:tcPr>
          <w:p w14:paraId="637EAA76" w14:textId="77777777" w:rsidR="003476DA" w:rsidRPr="00DC2CE6" w:rsidRDefault="003476DA" w:rsidP="00182411">
            <w:pPr>
              <w:pStyle w:val="Tableheadingrow"/>
              <w:keepLines/>
              <w:rPr>
                <w:szCs w:val="20"/>
                <w:lang w:val="en-AU"/>
              </w:rPr>
            </w:pPr>
            <w:r w:rsidRPr="00DC2CE6">
              <w:rPr>
                <w:szCs w:val="20"/>
                <w:lang w:val="en-AU"/>
              </w:rPr>
              <w:t>Step 3d: adverse event costs included</w:t>
            </w:r>
          </w:p>
        </w:tc>
      </w:tr>
      <w:tr w:rsidR="003476DA" w:rsidRPr="00DC2CE6" w14:paraId="411D110F" w14:textId="77777777" w:rsidTr="0021554F">
        <w:tc>
          <w:tcPr>
            <w:tcW w:w="1529" w:type="pct"/>
            <w:vAlign w:val="center"/>
          </w:tcPr>
          <w:p w14:paraId="777B7B5E" w14:textId="77777777" w:rsidR="003476DA" w:rsidRPr="00DC2CE6" w:rsidRDefault="003476DA" w:rsidP="00182411">
            <w:pPr>
              <w:pStyle w:val="TableText"/>
              <w:keepLines/>
              <w:rPr>
                <w:szCs w:val="20"/>
              </w:rPr>
            </w:pPr>
            <w:r w:rsidRPr="00DC2CE6">
              <w:rPr>
                <w:szCs w:val="20"/>
              </w:rPr>
              <w:t>Costs</w:t>
            </w:r>
            <w:r w:rsidR="001810F2">
              <w:rPr>
                <w:szCs w:val="20"/>
              </w:rPr>
              <w:t xml:space="preserve"> ($)</w:t>
            </w:r>
          </w:p>
        </w:tc>
        <w:tc>
          <w:tcPr>
            <w:tcW w:w="1359" w:type="pct"/>
            <w:vAlign w:val="center"/>
          </w:tcPr>
          <w:p w14:paraId="5738C5A6" w14:textId="77777777" w:rsidR="003476DA" w:rsidRPr="00CC7AA8" w:rsidRDefault="00CC7AA8" w:rsidP="00182411">
            <w:pPr>
              <w:pStyle w:val="TableText"/>
              <w:keepLines/>
              <w:jc w:val="center"/>
              <w:rPr>
                <w:szCs w:val="20"/>
                <w:highlight w:val="black"/>
              </w:rPr>
            </w:pPr>
            <w:r>
              <w:rPr>
                <w:noProof/>
                <w:color w:val="000000"/>
                <w:szCs w:val="20"/>
                <w:highlight w:val="black"/>
              </w:rPr>
              <w:t>'''''''''''''''''''''</w:t>
            </w:r>
          </w:p>
        </w:tc>
        <w:tc>
          <w:tcPr>
            <w:tcW w:w="1274" w:type="pct"/>
            <w:vAlign w:val="center"/>
          </w:tcPr>
          <w:p w14:paraId="38035EED" w14:textId="77777777" w:rsidR="003476DA" w:rsidRPr="00DC2CE6" w:rsidRDefault="003476DA" w:rsidP="00182411">
            <w:pPr>
              <w:pStyle w:val="TableText"/>
              <w:keepLines/>
              <w:jc w:val="center"/>
              <w:rPr>
                <w:szCs w:val="20"/>
              </w:rPr>
            </w:pPr>
            <w:r w:rsidRPr="00DC2CE6">
              <w:rPr>
                <w:szCs w:val="20"/>
              </w:rPr>
              <w:t>$30,923</w:t>
            </w:r>
          </w:p>
        </w:tc>
        <w:tc>
          <w:tcPr>
            <w:tcW w:w="838" w:type="pct"/>
            <w:vAlign w:val="center"/>
          </w:tcPr>
          <w:p w14:paraId="745D79F8" w14:textId="77777777" w:rsidR="003476DA" w:rsidRPr="00CC7AA8" w:rsidRDefault="00CC7AA8" w:rsidP="00182411">
            <w:pPr>
              <w:pStyle w:val="TableText"/>
              <w:keepLines/>
              <w:jc w:val="center"/>
              <w:rPr>
                <w:szCs w:val="20"/>
                <w:highlight w:val="black"/>
              </w:rPr>
            </w:pPr>
            <w:r>
              <w:rPr>
                <w:noProof/>
                <w:color w:val="000000"/>
                <w:szCs w:val="20"/>
                <w:highlight w:val="black"/>
              </w:rPr>
              <w:t>''''''''''''''''</w:t>
            </w:r>
          </w:p>
        </w:tc>
      </w:tr>
      <w:tr w:rsidR="003476DA" w:rsidRPr="00DC2CE6" w14:paraId="64B3CD61" w14:textId="77777777" w:rsidTr="0021554F">
        <w:tc>
          <w:tcPr>
            <w:tcW w:w="1529" w:type="pct"/>
            <w:vAlign w:val="center"/>
          </w:tcPr>
          <w:p w14:paraId="132450EE" w14:textId="77777777" w:rsidR="003476DA" w:rsidRPr="00DC2CE6" w:rsidRDefault="003476DA" w:rsidP="00182411">
            <w:pPr>
              <w:pStyle w:val="TableText"/>
              <w:keepLines/>
              <w:rPr>
                <w:szCs w:val="20"/>
              </w:rPr>
            </w:pPr>
            <w:r w:rsidRPr="00DC2CE6">
              <w:rPr>
                <w:szCs w:val="20"/>
              </w:rPr>
              <w:t>Life years</w:t>
            </w:r>
          </w:p>
        </w:tc>
        <w:tc>
          <w:tcPr>
            <w:tcW w:w="1359" w:type="pct"/>
            <w:vAlign w:val="center"/>
          </w:tcPr>
          <w:p w14:paraId="73418430" w14:textId="77777777" w:rsidR="003476DA" w:rsidRPr="00DC2CE6" w:rsidRDefault="003476DA" w:rsidP="00182411">
            <w:pPr>
              <w:pStyle w:val="TableText"/>
              <w:keepLines/>
              <w:jc w:val="center"/>
              <w:rPr>
                <w:szCs w:val="20"/>
              </w:rPr>
            </w:pPr>
            <w:r w:rsidRPr="00DC2CE6">
              <w:rPr>
                <w:szCs w:val="20"/>
              </w:rPr>
              <w:t>5.2001</w:t>
            </w:r>
          </w:p>
        </w:tc>
        <w:tc>
          <w:tcPr>
            <w:tcW w:w="1274" w:type="pct"/>
            <w:vAlign w:val="center"/>
          </w:tcPr>
          <w:p w14:paraId="33791B73" w14:textId="77777777" w:rsidR="003476DA" w:rsidRPr="00DC2CE6" w:rsidRDefault="003476DA" w:rsidP="00182411">
            <w:pPr>
              <w:pStyle w:val="TableText"/>
              <w:keepLines/>
              <w:jc w:val="center"/>
              <w:rPr>
                <w:szCs w:val="20"/>
              </w:rPr>
            </w:pPr>
            <w:r w:rsidRPr="00DC2CE6">
              <w:rPr>
                <w:szCs w:val="20"/>
              </w:rPr>
              <w:t>5.0700</w:t>
            </w:r>
          </w:p>
        </w:tc>
        <w:tc>
          <w:tcPr>
            <w:tcW w:w="838" w:type="pct"/>
            <w:vAlign w:val="center"/>
          </w:tcPr>
          <w:p w14:paraId="481EE7EA" w14:textId="77777777" w:rsidR="003476DA" w:rsidRPr="00DC2CE6" w:rsidRDefault="003476DA" w:rsidP="00182411">
            <w:pPr>
              <w:pStyle w:val="TableText"/>
              <w:keepLines/>
              <w:jc w:val="center"/>
              <w:rPr>
                <w:szCs w:val="20"/>
              </w:rPr>
            </w:pPr>
            <w:r w:rsidRPr="00DC2CE6">
              <w:rPr>
                <w:szCs w:val="20"/>
              </w:rPr>
              <w:t>0.1302</w:t>
            </w:r>
          </w:p>
        </w:tc>
      </w:tr>
      <w:tr w:rsidR="003476DA" w:rsidRPr="00DC2CE6" w14:paraId="45ED89ED" w14:textId="77777777" w:rsidTr="0021554F">
        <w:tc>
          <w:tcPr>
            <w:tcW w:w="4162" w:type="pct"/>
            <w:gridSpan w:val="3"/>
            <w:vAlign w:val="center"/>
          </w:tcPr>
          <w:p w14:paraId="60DAE61E" w14:textId="77777777" w:rsidR="003476DA" w:rsidRPr="00DC2CE6" w:rsidRDefault="003476DA" w:rsidP="00182411">
            <w:pPr>
              <w:pStyle w:val="TableText"/>
              <w:keepLines/>
              <w:rPr>
                <w:szCs w:val="20"/>
              </w:rPr>
            </w:pPr>
            <w:r w:rsidRPr="00DC2CE6">
              <w:rPr>
                <w:szCs w:val="20"/>
              </w:rPr>
              <w:t>Incremental cost per life year gained</w:t>
            </w:r>
          </w:p>
        </w:tc>
        <w:tc>
          <w:tcPr>
            <w:tcW w:w="838" w:type="pct"/>
          </w:tcPr>
          <w:p w14:paraId="48BAEB9C" w14:textId="77777777" w:rsidR="003476DA" w:rsidRPr="00DC2CE6" w:rsidRDefault="00CC7AA8" w:rsidP="00182411">
            <w:pPr>
              <w:pStyle w:val="TableText"/>
              <w:keepLines/>
              <w:jc w:val="center"/>
              <w:rPr>
                <w:szCs w:val="20"/>
              </w:rPr>
            </w:pPr>
            <w:r>
              <w:rPr>
                <w:noProof/>
                <w:color w:val="000000"/>
                <w:szCs w:val="20"/>
                <w:highlight w:val="black"/>
              </w:rPr>
              <w:t>'''''''''''''''''</w:t>
            </w:r>
            <w:r w:rsidR="001810F2">
              <w:rPr>
                <w:szCs w:val="20"/>
                <w:vertAlign w:val="superscript"/>
              </w:rPr>
              <w:t>1</w:t>
            </w:r>
          </w:p>
        </w:tc>
      </w:tr>
      <w:tr w:rsidR="003476DA" w:rsidRPr="00DC2CE6" w14:paraId="263EC279" w14:textId="77777777" w:rsidTr="0021554F">
        <w:tc>
          <w:tcPr>
            <w:tcW w:w="5000" w:type="pct"/>
            <w:gridSpan w:val="4"/>
            <w:vAlign w:val="center"/>
          </w:tcPr>
          <w:p w14:paraId="44D12329" w14:textId="77777777" w:rsidR="003476DA" w:rsidRPr="00DC2CE6" w:rsidRDefault="003476DA" w:rsidP="00182411">
            <w:pPr>
              <w:pStyle w:val="Tableheadingrow"/>
              <w:keepLines/>
              <w:rPr>
                <w:szCs w:val="20"/>
                <w:lang w:val="en-AU"/>
              </w:rPr>
            </w:pPr>
            <w:r w:rsidRPr="00DC2CE6">
              <w:rPr>
                <w:szCs w:val="20"/>
                <w:lang w:val="en-AU"/>
              </w:rPr>
              <w:t>Step 4: utilities applied to time in health states, disutilities applied for heart failure hospitalisation, adverse events</w:t>
            </w:r>
          </w:p>
        </w:tc>
      </w:tr>
      <w:tr w:rsidR="003476DA" w:rsidRPr="00DC2CE6" w14:paraId="27435AE6" w14:textId="77777777" w:rsidTr="0021554F">
        <w:tc>
          <w:tcPr>
            <w:tcW w:w="5000" w:type="pct"/>
            <w:gridSpan w:val="4"/>
            <w:vAlign w:val="center"/>
          </w:tcPr>
          <w:p w14:paraId="50B768FC" w14:textId="77777777" w:rsidR="003476DA" w:rsidRPr="00DC2CE6" w:rsidRDefault="003476DA" w:rsidP="00182411">
            <w:pPr>
              <w:pStyle w:val="Tableheadingrow"/>
              <w:keepLines/>
              <w:rPr>
                <w:szCs w:val="20"/>
                <w:lang w:val="en-AU"/>
              </w:rPr>
            </w:pPr>
            <w:r w:rsidRPr="00DC2CE6">
              <w:rPr>
                <w:szCs w:val="20"/>
                <w:lang w:val="en-AU"/>
              </w:rPr>
              <w:t>Step 4a: utilities applied to time in health states</w:t>
            </w:r>
            <w:r w:rsidR="00DC2CE6" w:rsidRPr="00DC2CE6">
              <w:rPr>
                <w:szCs w:val="20"/>
                <w:lang w:val="en-AU"/>
              </w:rPr>
              <w:t xml:space="preserve"> </w:t>
            </w:r>
            <w:r w:rsidR="00DC2CE6" w:rsidRPr="00DC2CE6">
              <w:rPr>
                <w:b w:val="0"/>
                <w:bCs/>
                <w:szCs w:val="20"/>
                <w:vertAlign w:val="superscript"/>
              </w:rPr>
              <w:t>a</w:t>
            </w:r>
          </w:p>
        </w:tc>
      </w:tr>
      <w:tr w:rsidR="003476DA" w:rsidRPr="00DC2CE6" w14:paraId="2992EEC2" w14:textId="77777777" w:rsidTr="0021554F">
        <w:tc>
          <w:tcPr>
            <w:tcW w:w="1529" w:type="pct"/>
            <w:vAlign w:val="center"/>
          </w:tcPr>
          <w:p w14:paraId="5E02EABE" w14:textId="77777777" w:rsidR="003476DA" w:rsidRPr="00DC2CE6" w:rsidRDefault="003476DA" w:rsidP="00182411">
            <w:pPr>
              <w:pStyle w:val="TableText"/>
              <w:keepLines/>
              <w:rPr>
                <w:szCs w:val="20"/>
              </w:rPr>
            </w:pPr>
            <w:r w:rsidRPr="00DC2CE6">
              <w:rPr>
                <w:szCs w:val="20"/>
              </w:rPr>
              <w:t>Costs</w:t>
            </w:r>
            <w:r w:rsidR="001810F2">
              <w:rPr>
                <w:szCs w:val="20"/>
              </w:rPr>
              <w:t xml:space="preserve"> ($)</w:t>
            </w:r>
          </w:p>
        </w:tc>
        <w:tc>
          <w:tcPr>
            <w:tcW w:w="1359" w:type="pct"/>
            <w:vAlign w:val="center"/>
          </w:tcPr>
          <w:p w14:paraId="30F455EA" w14:textId="77777777" w:rsidR="003476DA" w:rsidRPr="00CC7AA8" w:rsidRDefault="00CC7AA8" w:rsidP="00182411">
            <w:pPr>
              <w:pStyle w:val="TableText"/>
              <w:keepLines/>
              <w:jc w:val="center"/>
              <w:rPr>
                <w:szCs w:val="20"/>
                <w:highlight w:val="black"/>
              </w:rPr>
            </w:pPr>
            <w:r>
              <w:rPr>
                <w:noProof/>
                <w:color w:val="000000"/>
                <w:szCs w:val="20"/>
                <w:highlight w:val="black"/>
              </w:rPr>
              <w:t>''''''''''''''''''''</w:t>
            </w:r>
          </w:p>
        </w:tc>
        <w:tc>
          <w:tcPr>
            <w:tcW w:w="1274" w:type="pct"/>
            <w:vAlign w:val="center"/>
          </w:tcPr>
          <w:p w14:paraId="2890B226" w14:textId="77777777" w:rsidR="003476DA" w:rsidRPr="00DC2CE6" w:rsidRDefault="003476DA" w:rsidP="00182411">
            <w:pPr>
              <w:pStyle w:val="TableText"/>
              <w:keepLines/>
              <w:jc w:val="center"/>
              <w:rPr>
                <w:szCs w:val="20"/>
              </w:rPr>
            </w:pPr>
            <w:r w:rsidRPr="00DC2CE6">
              <w:rPr>
                <w:szCs w:val="20"/>
              </w:rPr>
              <w:t>$30,923</w:t>
            </w:r>
          </w:p>
        </w:tc>
        <w:tc>
          <w:tcPr>
            <w:tcW w:w="838" w:type="pct"/>
            <w:vAlign w:val="center"/>
          </w:tcPr>
          <w:p w14:paraId="520F21DD" w14:textId="77777777" w:rsidR="003476DA" w:rsidRPr="00CC7AA8" w:rsidRDefault="00CC7AA8" w:rsidP="00182411">
            <w:pPr>
              <w:pStyle w:val="TableText"/>
              <w:keepLines/>
              <w:jc w:val="center"/>
              <w:rPr>
                <w:szCs w:val="20"/>
                <w:highlight w:val="black"/>
              </w:rPr>
            </w:pPr>
            <w:r>
              <w:rPr>
                <w:noProof/>
                <w:color w:val="000000"/>
                <w:szCs w:val="20"/>
                <w:highlight w:val="black"/>
              </w:rPr>
              <w:t>''''''''''''''''</w:t>
            </w:r>
          </w:p>
        </w:tc>
      </w:tr>
      <w:tr w:rsidR="003476DA" w:rsidRPr="00DC2CE6" w14:paraId="78382C94" w14:textId="77777777" w:rsidTr="0021554F">
        <w:tc>
          <w:tcPr>
            <w:tcW w:w="1529" w:type="pct"/>
            <w:vAlign w:val="center"/>
          </w:tcPr>
          <w:p w14:paraId="04DE494B" w14:textId="77777777" w:rsidR="003476DA" w:rsidRPr="00DC2CE6" w:rsidRDefault="003476DA" w:rsidP="00182411">
            <w:pPr>
              <w:pStyle w:val="TableText"/>
              <w:keepLines/>
              <w:rPr>
                <w:szCs w:val="20"/>
              </w:rPr>
            </w:pPr>
            <w:r w:rsidRPr="00DC2CE6">
              <w:rPr>
                <w:szCs w:val="20"/>
              </w:rPr>
              <w:t>QALYs</w:t>
            </w:r>
          </w:p>
        </w:tc>
        <w:tc>
          <w:tcPr>
            <w:tcW w:w="1359" w:type="pct"/>
            <w:vAlign w:val="center"/>
          </w:tcPr>
          <w:p w14:paraId="5EAE7A4A" w14:textId="77777777" w:rsidR="003476DA" w:rsidRPr="00DC2CE6" w:rsidRDefault="003476DA" w:rsidP="00182411">
            <w:pPr>
              <w:pStyle w:val="TableText"/>
              <w:keepLines/>
              <w:jc w:val="center"/>
              <w:rPr>
                <w:szCs w:val="20"/>
              </w:rPr>
            </w:pPr>
            <w:r w:rsidRPr="00DC2CE6">
              <w:rPr>
                <w:szCs w:val="20"/>
              </w:rPr>
              <w:t>3.5963</w:t>
            </w:r>
          </w:p>
        </w:tc>
        <w:tc>
          <w:tcPr>
            <w:tcW w:w="1274" w:type="pct"/>
            <w:vAlign w:val="center"/>
          </w:tcPr>
          <w:p w14:paraId="669663FD" w14:textId="77777777" w:rsidR="003476DA" w:rsidRPr="00DC2CE6" w:rsidRDefault="003476DA" w:rsidP="00182411">
            <w:pPr>
              <w:pStyle w:val="TableText"/>
              <w:keepLines/>
              <w:jc w:val="center"/>
              <w:rPr>
                <w:szCs w:val="20"/>
              </w:rPr>
            </w:pPr>
            <w:r w:rsidRPr="00DC2CE6">
              <w:rPr>
                <w:szCs w:val="20"/>
              </w:rPr>
              <w:t>3.4779</w:t>
            </w:r>
          </w:p>
        </w:tc>
        <w:tc>
          <w:tcPr>
            <w:tcW w:w="838" w:type="pct"/>
            <w:vAlign w:val="center"/>
          </w:tcPr>
          <w:p w14:paraId="3286CB76" w14:textId="77777777" w:rsidR="003476DA" w:rsidRPr="00DC2CE6" w:rsidRDefault="003476DA" w:rsidP="00182411">
            <w:pPr>
              <w:pStyle w:val="TableText"/>
              <w:keepLines/>
              <w:jc w:val="center"/>
              <w:rPr>
                <w:szCs w:val="20"/>
              </w:rPr>
            </w:pPr>
            <w:r w:rsidRPr="00DC2CE6">
              <w:rPr>
                <w:szCs w:val="20"/>
              </w:rPr>
              <w:t>0.1184</w:t>
            </w:r>
          </w:p>
        </w:tc>
      </w:tr>
      <w:tr w:rsidR="003476DA" w:rsidRPr="00DC2CE6" w14:paraId="1391A0BD" w14:textId="77777777" w:rsidTr="0021554F">
        <w:tc>
          <w:tcPr>
            <w:tcW w:w="4162" w:type="pct"/>
            <w:gridSpan w:val="3"/>
            <w:vAlign w:val="center"/>
          </w:tcPr>
          <w:p w14:paraId="1E132B3E" w14:textId="77777777" w:rsidR="003476DA" w:rsidRPr="00DC2CE6" w:rsidRDefault="003476DA" w:rsidP="00182411">
            <w:pPr>
              <w:pStyle w:val="TableText"/>
              <w:keepLines/>
              <w:rPr>
                <w:szCs w:val="20"/>
              </w:rPr>
            </w:pPr>
            <w:r w:rsidRPr="00DC2CE6">
              <w:rPr>
                <w:szCs w:val="20"/>
              </w:rPr>
              <w:t>Incremental cost per QALY gained</w:t>
            </w:r>
          </w:p>
        </w:tc>
        <w:tc>
          <w:tcPr>
            <w:tcW w:w="838" w:type="pct"/>
            <w:vAlign w:val="center"/>
          </w:tcPr>
          <w:p w14:paraId="606EBE91" w14:textId="77777777" w:rsidR="003476DA" w:rsidRPr="00DC2CE6" w:rsidRDefault="00CC7AA8" w:rsidP="00182411">
            <w:pPr>
              <w:pStyle w:val="TableText"/>
              <w:keepLines/>
              <w:jc w:val="center"/>
              <w:rPr>
                <w:szCs w:val="20"/>
              </w:rPr>
            </w:pPr>
            <w:r>
              <w:rPr>
                <w:noProof/>
                <w:color w:val="000000"/>
                <w:szCs w:val="20"/>
                <w:highlight w:val="black"/>
              </w:rPr>
              <w:t>'''''''''''''''</w:t>
            </w:r>
            <w:r w:rsidR="001810F2">
              <w:rPr>
                <w:szCs w:val="20"/>
                <w:vertAlign w:val="superscript"/>
              </w:rPr>
              <w:t>1</w:t>
            </w:r>
          </w:p>
        </w:tc>
      </w:tr>
      <w:tr w:rsidR="003476DA" w:rsidRPr="00DC2CE6" w14:paraId="4F8AA770" w14:textId="77777777" w:rsidTr="0021554F">
        <w:tc>
          <w:tcPr>
            <w:tcW w:w="5000" w:type="pct"/>
            <w:gridSpan w:val="4"/>
            <w:vAlign w:val="center"/>
          </w:tcPr>
          <w:p w14:paraId="54D020E4" w14:textId="77777777" w:rsidR="003476DA" w:rsidRPr="00DC2CE6" w:rsidRDefault="003476DA" w:rsidP="00182411">
            <w:pPr>
              <w:pStyle w:val="Tableheadingrow"/>
              <w:keepLines/>
              <w:rPr>
                <w:szCs w:val="20"/>
                <w:lang w:val="en-AU"/>
              </w:rPr>
            </w:pPr>
            <w:r w:rsidRPr="00DC2CE6">
              <w:rPr>
                <w:szCs w:val="20"/>
                <w:lang w:val="en-AU"/>
              </w:rPr>
              <w:t>Step 4b: disutility applied for heart failure hospitalisation</w:t>
            </w:r>
            <w:r w:rsidR="00DC2CE6" w:rsidRPr="00DC2CE6">
              <w:rPr>
                <w:szCs w:val="20"/>
                <w:lang w:val="en-AU"/>
              </w:rPr>
              <w:t xml:space="preserve"> </w:t>
            </w:r>
            <w:r w:rsidR="00DC2CE6" w:rsidRPr="00DC2CE6">
              <w:rPr>
                <w:b w:val="0"/>
                <w:bCs/>
                <w:szCs w:val="20"/>
                <w:vertAlign w:val="superscript"/>
              </w:rPr>
              <w:t>a</w:t>
            </w:r>
          </w:p>
        </w:tc>
      </w:tr>
      <w:tr w:rsidR="003476DA" w:rsidRPr="00DC2CE6" w14:paraId="1FA5A6DB" w14:textId="77777777" w:rsidTr="0021554F">
        <w:tc>
          <w:tcPr>
            <w:tcW w:w="1529" w:type="pct"/>
            <w:vAlign w:val="center"/>
          </w:tcPr>
          <w:p w14:paraId="15466103" w14:textId="77777777" w:rsidR="003476DA" w:rsidRPr="00DC2CE6" w:rsidRDefault="003476DA" w:rsidP="00182411">
            <w:pPr>
              <w:pStyle w:val="TableText"/>
              <w:keepLines/>
              <w:rPr>
                <w:szCs w:val="20"/>
              </w:rPr>
            </w:pPr>
            <w:r w:rsidRPr="00DC2CE6">
              <w:rPr>
                <w:szCs w:val="20"/>
              </w:rPr>
              <w:t>Costs</w:t>
            </w:r>
            <w:r w:rsidR="001810F2">
              <w:rPr>
                <w:szCs w:val="20"/>
              </w:rPr>
              <w:t xml:space="preserve"> ($)</w:t>
            </w:r>
          </w:p>
        </w:tc>
        <w:tc>
          <w:tcPr>
            <w:tcW w:w="1359" w:type="pct"/>
            <w:vAlign w:val="center"/>
          </w:tcPr>
          <w:p w14:paraId="48046417" w14:textId="77777777" w:rsidR="003476DA" w:rsidRPr="00CC7AA8" w:rsidRDefault="00CC7AA8" w:rsidP="00182411">
            <w:pPr>
              <w:pStyle w:val="TableText"/>
              <w:keepLines/>
              <w:jc w:val="center"/>
              <w:rPr>
                <w:szCs w:val="20"/>
                <w:highlight w:val="black"/>
              </w:rPr>
            </w:pPr>
            <w:r>
              <w:rPr>
                <w:noProof/>
                <w:color w:val="000000"/>
                <w:szCs w:val="20"/>
                <w:highlight w:val="black"/>
              </w:rPr>
              <w:t>'''''''''''''''''''''</w:t>
            </w:r>
          </w:p>
        </w:tc>
        <w:tc>
          <w:tcPr>
            <w:tcW w:w="1274" w:type="pct"/>
            <w:vAlign w:val="center"/>
          </w:tcPr>
          <w:p w14:paraId="6B80A271" w14:textId="77777777" w:rsidR="003476DA" w:rsidRPr="00DC2CE6" w:rsidRDefault="003476DA" w:rsidP="00182411">
            <w:pPr>
              <w:pStyle w:val="TableText"/>
              <w:keepLines/>
              <w:jc w:val="center"/>
              <w:rPr>
                <w:szCs w:val="20"/>
              </w:rPr>
            </w:pPr>
            <w:r w:rsidRPr="00DC2CE6">
              <w:rPr>
                <w:szCs w:val="20"/>
              </w:rPr>
              <w:t>$30,923</w:t>
            </w:r>
          </w:p>
        </w:tc>
        <w:tc>
          <w:tcPr>
            <w:tcW w:w="838" w:type="pct"/>
            <w:vAlign w:val="center"/>
          </w:tcPr>
          <w:p w14:paraId="40E4ABF5" w14:textId="77777777" w:rsidR="003476DA" w:rsidRPr="00CC7AA8" w:rsidRDefault="00CC7AA8" w:rsidP="00182411">
            <w:pPr>
              <w:pStyle w:val="TableText"/>
              <w:keepLines/>
              <w:jc w:val="center"/>
              <w:rPr>
                <w:szCs w:val="20"/>
                <w:highlight w:val="black"/>
              </w:rPr>
            </w:pPr>
            <w:r>
              <w:rPr>
                <w:noProof/>
                <w:color w:val="000000"/>
                <w:szCs w:val="20"/>
                <w:highlight w:val="black"/>
              </w:rPr>
              <w:t>''''''''''''''''</w:t>
            </w:r>
          </w:p>
        </w:tc>
      </w:tr>
      <w:tr w:rsidR="003476DA" w:rsidRPr="00DC2CE6" w14:paraId="43C30333" w14:textId="77777777" w:rsidTr="0021554F">
        <w:tc>
          <w:tcPr>
            <w:tcW w:w="1529" w:type="pct"/>
            <w:vAlign w:val="center"/>
          </w:tcPr>
          <w:p w14:paraId="30FED2A9" w14:textId="77777777" w:rsidR="003476DA" w:rsidRPr="00DC2CE6" w:rsidRDefault="003476DA" w:rsidP="00182411">
            <w:pPr>
              <w:pStyle w:val="TableText"/>
              <w:keepLines/>
              <w:rPr>
                <w:szCs w:val="20"/>
              </w:rPr>
            </w:pPr>
            <w:r w:rsidRPr="00DC2CE6">
              <w:rPr>
                <w:szCs w:val="20"/>
              </w:rPr>
              <w:t>QALYs</w:t>
            </w:r>
          </w:p>
        </w:tc>
        <w:tc>
          <w:tcPr>
            <w:tcW w:w="1359" w:type="pct"/>
            <w:vAlign w:val="center"/>
          </w:tcPr>
          <w:p w14:paraId="3AE47297" w14:textId="77777777" w:rsidR="003476DA" w:rsidRPr="00DC2CE6" w:rsidRDefault="003476DA" w:rsidP="00182411">
            <w:pPr>
              <w:pStyle w:val="TableText"/>
              <w:keepLines/>
              <w:jc w:val="center"/>
              <w:rPr>
                <w:szCs w:val="20"/>
              </w:rPr>
            </w:pPr>
            <w:r w:rsidRPr="00DC2CE6">
              <w:rPr>
                <w:szCs w:val="20"/>
              </w:rPr>
              <w:t>3.4096</w:t>
            </w:r>
          </w:p>
        </w:tc>
        <w:tc>
          <w:tcPr>
            <w:tcW w:w="1274" w:type="pct"/>
            <w:vAlign w:val="center"/>
          </w:tcPr>
          <w:p w14:paraId="690CD27C" w14:textId="77777777" w:rsidR="003476DA" w:rsidRPr="00DC2CE6" w:rsidRDefault="003476DA" w:rsidP="00182411">
            <w:pPr>
              <w:pStyle w:val="TableText"/>
              <w:keepLines/>
              <w:jc w:val="center"/>
              <w:rPr>
                <w:szCs w:val="20"/>
              </w:rPr>
            </w:pPr>
            <w:r w:rsidRPr="00DC2CE6">
              <w:rPr>
                <w:szCs w:val="20"/>
              </w:rPr>
              <w:t>3.2502</w:t>
            </w:r>
          </w:p>
        </w:tc>
        <w:tc>
          <w:tcPr>
            <w:tcW w:w="838" w:type="pct"/>
            <w:vAlign w:val="center"/>
          </w:tcPr>
          <w:p w14:paraId="2BF3D1C3" w14:textId="77777777" w:rsidR="003476DA" w:rsidRPr="00DC2CE6" w:rsidRDefault="003476DA" w:rsidP="00182411">
            <w:pPr>
              <w:pStyle w:val="TableText"/>
              <w:keepLines/>
              <w:jc w:val="center"/>
              <w:rPr>
                <w:szCs w:val="20"/>
              </w:rPr>
            </w:pPr>
            <w:r w:rsidRPr="00DC2CE6">
              <w:rPr>
                <w:szCs w:val="20"/>
              </w:rPr>
              <w:t>0.1594</w:t>
            </w:r>
          </w:p>
        </w:tc>
      </w:tr>
      <w:tr w:rsidR="003476DA" w:rsidRPr="00DC2CE6" w14:paraId="0028E388" w14:textId="77777777" w:rsidTr="0021554F">
        <w:tc>
          <w:tcPr>
            <w:tcW w:w="4162" w:type="pct"/>
            <w:gridSpan w:val="3"/>
            <w:vAlign w:val="center"/>
          </w:tcPr>
          <w:p w14:paraId="2B5EA1CE" w14:textId="77777777" w:rsidR="003476DA" w:rsidRPr="00DC2CE6" w:rsidRDefault="003476DA" w:rsidP="00182411">
            <w:pPr>
              <w:pStyle w:val="TableText"/>
              <w:keepLines/>
              <w:rPr>
                <w:szCs w:val="20"/>
              </w:rPr>
            </w:pPr>
            <w:r w:rsidRPr="00DC2CE6">
              <w:rPr>
                <w:szCs w:val="20"/>
              </w:rPr>
              <w:t>Incremental cost per QALY gained</w:t>
            </w:r>
          </w:p>
        </w:tc>
        <w:tc>
          <w:tcPr>
            <w:tcW w:w="838" w:type="pct"/>
            <w:vAlign w:val="center"/>
          </w:tcPr>
          <w:p w14:paraId="6872335A" w14:textId="77777777" w:rsidR="003476DA" w:rsidRPr="00DC2CE6" w:rsidRDefault="00CC7AA8" w:rsidP="00182411">
            <w:pPr>
              <w:pStyle w:val="TableText"/>
              <w:keepLines/>
              <w:jc w:val="center"/>
              <w:rPr>
                <w:szCs w:val="20"/>
              </w:rPr>
            </w:pPr>
            <w:r>
              <w:rPr>
                <w:noProof/>
                <w:color w:val="000000"/>
                <w:szCs w:val="20"/>
                <w:highlight w:val="black"/>
              </w:rPr>
              <w:t>'''''''''''''''</w:t>
            </w:r>
            <w:r w:rsidR="001810F2">
              <w:rPr>
                <w:szCs w:val="20"/>
                <w:vertAlign w:val="superscript"/>
              </w:rPr>
              <w:t>1</w:t>
            </w:r>
          </w:p>
        </w:tc>
      </w:tr>
      <w:tr w:rsidR="003476DA" w:rsidRPr="00DC2CE6" w14:paraId="0DB0B9B3" w14:textId="77777777" w:rsidTr="0021554F">
        <w:tc>
          <w:tcPr>
            <w:tcW w:w="5000" w:type="pct"/>
            <w:gridSpan w:val="4"/>
            <w:vAlign w:val="center"/>
          </w:tcPr>
          <w:p w14:paraId="3BAD9819" w14:textId="77777777" w:rsidR="003476DA" w:rsidRPr="00DC2CE6" w:rsidRDefault="003476DA" w:rsidP="00182411">
            <w:pPr>
              <w:pStyle w:val="Tableheadingrow"/>
              <w:keepLines/>
              <w:rPr>
                <w:szCs w:val="20"/>
                <w:lang w:val="en-AU"/>
              </w:rPr>
            </w:pPr>
            <w:r w:rsidRPr="00DC2CE6">
              <w:rPr>
                <w:szCs w:val="20"/>
                <w:lang w:val="en-AU"/>
              </w:rPr>
              <w:t>Step 4c: disutilities applied for adverse events</w:t>
            </w:r>
          </w:p>
        </w:tc>
      </w:tr>
      <w:tr w:rsidR="003476DA" w:rsidRPr="00DC2CE6" w14:paraId="1CAF3158" w14:textId="77777777" w:rsidTr="0021554F">
        <w:tc>
          <w:tcPr>
            <w:tcW w:w="1529" w:type="pct"/>
            <w:vAlign w:val="center"/>
          </w:tcPr>
          <w:p w14:paraId="4FD0B5E2" w14:textId="77777777" w:rsidR="003476DA" w:rsidRPr="00DC2CE6" w:rsidRDefault="003476DA" w:rsidP="00182411">
            <w:pPr>
              <w:pStyle w:val="TableText"/>
              <w:keepLines/>
              <w:rPr>
                <w:szCs w:val="20"/>
              </w:rPr>
            </w:pPr>
            <w:r w:rsidRPr="00DC2CE6">
              <w:rPr>
                <w:szCs w:val="20"/>
              </w:rPr>
              <w:t>Costs</w:t>
            </w:r>
            <w:r w:rsidR="001810F2">
              <w:rPr>
                <w:szCs w:val="20"/>
              </w:rPr>
              <w:t xml:space="preserve"> ($)</w:t>
            </w:r>
          </w:p>
        </w:tc>
        <w:tc>
          <w:tcPr>
            <w:tcW w:w="1359" w:type="pct"/>
            <w:vAlign w:val="center"/>
          </w:tcPr>
          <w:p w14:paraId="14DE7F3D" w14:textId="77777777" w:rsidR="003476DA" w:rsidRPr="00CC7AA8" w:rsidRDefault="00CC7AA8" w:rsidP="00182411">
            <w:pPr>
              <w:pStyle w:val="TableText"/>
              <w:keepLines/>
              <w:jc w:val="center"/>
              <w:rPr>
                <w:szCs w:val="20"/>
                <w:highlight w:val="black"/>
              </w:rPr>
            </w:pPr>
            <w:r>
              <w:rPr>
                <w:noProof/>
                <w:color w:val="000000"/>
                <w:szCs w:val="20"/>
                <w:highlight w:val="black"/>
              </w:rPr>
              <w:t>'''''''''''''''''''''</w:t>
            </w:r>
          </w:p>
        </w:tc>
        <w:tc>
          <w:tcPr>
            <w:tcW w:w="1274" w:type="pct"/>
            <w:vAlign w:val="center"/>
          </w:tcPr>
          <w:p w14:paraId="36C3FC5C" w14:textId="77777777" w:rsidR="003476DA" w:rsidRPr="00DC2CE6" w:rsidRDefault="003476DA" w:rsidP="00182411">
            <w:pPr>
              <w:pStyle w:val="TableText"/>
              <w:keepLines/>
              <w:jc w:val="center"/>
              <w:rPr>
                <w:szCs w:val="20"/>
              </w:rPr>
            </w:pPr>
            <w:r w:rsidRPr="00DC2CE6">
              <w:rPr>
                <w:szCs w:val="20"/>
              </w:rPr>
              <w:t>$30,923</w:t>
            </w:r>
          </w:p>
        </w:tc>
        <w:tc>
          <w:tcPr>
            <w:tcW w:w="838" w:type="pct"/>
            <w:vAlign w:val="center"/>
          </w:tcPr>
          <w:p w14:paraId="17B52DEA" w14:textId="77777777" w:rsidR="003476DA" w:rsidRPr="00CC7AA8" w:rsidRDefault="00CC7AA8" w:rsidP="00182411">
            <w:pPr>
              <w:pStyle w:val="TableText"/>
              <w:keepLines/>
              <w:jc w:val="center"/>
              <w:rPr>
                <w:szCs w:val="20"/>
                <w:highlight w:val="black"/>
              </w:rPr>
            </w:pPr>
            <w:r>
              <w:rPr>
                <w:noProof/>
                <w:color w:val="000000"/>
                <w:szCs w:val="20"/>
                <w:highlight w:val="black"/>
              </w:rPr>
              <w:t>''''''''''''''''</w:t>
            </w:r>
          </w:p>
        </w:tc>
      </w:tr>
      <w:tr w:rsidR="003476DA" w:rsidRPr="00DC2CE6" w14:paraId="7D449301" w14:textId="77777777" w:rsidTr="0021554F">
        <w:tc>
          <w:tcPr>
            <w:tcW w:w="1529" w:type="pct"/>
            <w:vAlign w:val="center"/>
          </w:tcPr>
          <w:p w14:paraId="0804AD73" w14:textId="77777777" w:rsidR="003476DA" w:rsidRPr="00DC2CE6" w:rsidRDefault="003476DA" w:rsidP="00182411">
            <w:pPr>
              <w:pStyle w:val="TableText"/>
              <w:keepLines/>
              <w:rPr>
                <w:szCs w:val="20"/>
              </w:rPr>
            </w:pPr>
            <w:r w:rsidRPr="00DC2CE6">
              <w:rPr>
                <w:szCs w:val="20"/>
              </w:rPr>
              <w:t>QALYs</w:t>
            </w:r>
          </w:p>
        </w:tc>
        <w:tc>
          <w:tcPr>
            <w:tcW w:w="1359" w:type="pct"/>
            <w:vAlign w:val="center"/>
          </w:tcPr>
          <w:p w14:paraId="367EDC43" w14:textId="77777777" w:rsidR="003476DA" w:rsidRPr="00DC2CE6" w:rsidRDefault="003476DA" w:rsidP="00182411">
            <w:pPr>
              <w:pStyle w:val="TableText"/>
              <w:keepLines/>
              <w:jc w:val="center"/>
              <w:rPr>
                <w:szCs w:val="20"/>
              </w:rPr>
            </w:pPr>
            <w:r w:rsidRPr="00DC2CE6">
              <w:rPr>
                <w:szCs w:val="20"/>
              </w:rPr>
              <w:t>3.4033</w:t>
            </w:r>
          </w:p>
        </w:tc>
        <w:tc>
          <w:tcPr>
            <w:tcW w:w="1274" w:type="pct"/>
            <w:vAlign w:val="center"/>
          </w:tcPr>
          <w:p w14:paraId="3BD4B4C1" w14:textId="77777777" w:rsidR="003476DA" w:rsidRPr="00DC2CE6" w:rsidRDefault="003476DA" w:rsidP="00182411">
            <w:pPr>
              <w:pStyle w:val="TableText"/>
              <w:keepLines/>
              <w:jc w:val="center"/>
              <w:rPr>
                <w:szCs w:val="20"/>
              </w:rPr>
            </w:pPr>
            <w:r w:rsidRPr="00DC2CE6">
              <w:rPr>
                <w:szCs w:val="20"/>
              </w:rPr>
              <w:t>3.2442</w:t>
            </w:r>
          </w:p>
        </w:tc>
        <w:tc>
          <w:tcPr>
            <w:tcW w:w="838" w:type="pct"/>
            <w:vAlign w:val="center"/>
          </w:tcPr>
          <w:p w14:paraId="6A2735B7" w14:textId="77777777" w:rsidR="003476DA" w:rsidRPr="00DC2CE6" w:rsidRDefault="003476DA" w:rsidP="00182411">
            <w:pPr>
              <w:pStyle w:val="TableText"/>
              <w:keepLines/>
              <w:jc w:val="center"/>
              <w:rPr>
                <w:szCs w:val="20"/>
              </w:rPr>
            </w:pPr>
            <w:r w:rsidRPr="00DC2CE6">
              <w:rPr>
                <w:szCs w:val="20"/>
              </w:rPr>
              <w:t>0.1590</w:t>
            </w:r>
          </w:p>
        </w:tc>
      </w:tr>
      <w:tr w:rsidR="003476DA" w:rsidRPr="00DC2CE6" w14:paraId="35588F93" w14:textId="77777777" w:rsidTr="0021554F">
        <w:tc>
          <w:tcPr>
            <w:tcW w:w="4162" w:type="pct"/>
            <w:gridSpan w:val="3"/>
            <w:vAlign w:val="center"/>
          </w:tcPr>
          <w:p w14:paraId="4AC89249" w14:textId="77777777" w:rsidR="003476DA" w:rsidRPr="00DC2CE6" w:rsidRDefault="003476DA" w:rsidP="00182411">
            <w:pPr>
              <w:pStyle w:val="TableText"/>
              <w:keepLines/>
              <w:rPr>
                <w:szCs w:val="20"/>
              </w:rPr>
            </w:pPr>
            <w:r w:rsidRPr="00DC2CE6">
              <w:rPr>
                <w:szCs w:val="20"/>
              </w:rPr>
              <w:t>Incremental cost per QALY gained</w:t>
            </w:r>
          </w:p>
        </w:tc>
        <w:tc>
          <w:tcPr>
            <w:tcW w:w="838" w:type="pct"/>
            <w:vAlign w:val="center"/>
          </w:tcPr>
          <w:p w14:paraId="0BA0DD5A" w14:textId="77777777" w:rsidR="003476DA" w:rsidRPr="00DC2CE6" w:rsidRDefault="00CC7AA8" w:rsidP="00182411">
            <w:pPr>
              <w:pStyle w:val="TableText"/>
              <w:keepLines/>
              <w:jc w:val="center"/>
              <w:rPr>
                <w:szCs w:val="20"/>
              </w:rPr>
            </w:pPr>
            <w:r>
              <w:rPr>
                <w:noProof/>
                <w:color w:val="000000"/>
                <w:szCs w:val="20"/>
                <w:highlight w:val="black"/>
              </w:rPr>
              <w:t>''''''''''''''''</w:t>
            </w:r>
            <w:r w:rsidR="001810F2">
              <w:rPr>
                <w:szCs w:val="20"/>
                <w:vertAlign w:val="superscript"/>
              </w:rPr>
              <w:t>1</w:t>
            </w:r>
          </w:p>
        </w:tc>
      </w:tr>
    </w:tbl>
    <w:p w14:paraId="2188D7FD" w14:textId="77777777" w:rsidR="003476DA" w:rsidRDefault="003476DA" w:rsidP="003476DA">
      <w:pPr>
        <w:pStyle w:val="TableFigureFooter"/>
      </w:pPr>
      <w:r w:rsidRPr="001426EB">
        <w:t>Source: Table</w:t>
      </w:r>
      <w:r>
        <w:t xml:space="preserve"> 3.28, p 208 of the submission; </w:t>
      </w:r>
      <w:r w:rsidRPr="001426EB">
        <w:t>‘Att_10_Jardiance (empagliflozin) HFrEF Economic Evaluation’ spreadsheet provided with the submission</w:t>
      </w:r>
    </w:p>
    <w:p w14:paraId="19D2D9BB" w14:textId="77777777" w:rsidR="003476DA" w:rsidRDefault="003476DA" w:rsidP="003476DA">
      <w:pPr>
        <w:pStyle w:val="TableFigureFooter"/>
      </w:pPr>
      <w:r>
        <w:t>QALY, quality adjusted life year; SC, standard care</w:t>
      </w:r>
    </w:p>
    <w:p w14:paraId="48F7A616" w14:textId="77777777" w:rsidR="002D4FE1" w:rsidRDefault="002D4FE1" w:rsidP="003476DA">
      <w:pPr>
        <w:pStyle w:val="TableFigureFooter"/>
      </w:pPr>
      <w:r w:rsidRPr="002D4FE1">
        <w:rPr>
          <w:vertAlign w:val="superscript"/>
        </w:rPr>
        <w:t>a</w:t>
      </w:r>
      <w:r>
        <w:rPr>
          <w:vertAlign w:val="superscript"/>
        </w:rPr>
        <w:t xml:space="preserve"> </w:t>
      </w:r>
      <w:r>
        <w:t>Corrected</w:t>
      </w:r>
      <w:r w:rsidR="00DC2CE6">
        <w:t xml:space="preserve"> (step 1) </w:t>
      </w:r>
      <w:r>
        <w:t>/stepped out</w:t>
      </w:r>
      <w:r w:rsidR="00DC2CE6">
        <w:t xml:space="preserve"> (steps 3a-c and 4a-b)</w:t>
      </w:r>
      <w:r>
        <w:t xml:space="preserve"> during evaluation. </w:t>
      </w:r>
    </w:p>
    <w:p w14:paraId="5FAB7AF3" w14:textId="77777777" w:rsidR="001810F2" w:rsidRDefault="001810F2" w:rsidP="001810F2">
      <w:pPr>
        <w:pStyle w:val="TableFigureFooter"/>
        <w:spacing w:after="0"/>
        <w:contextualSpacing w:val="0"/>
        <w:rPr>
          <w:i/>
        </w:rPr>
      </w:pPr>
      <w:r w:rsidRPr="009868C4">
        <w:rPr>
          <w:i/>
        </w:rPr>
        <w:t>The redacted values correspond to the following ranges</w:t>
      </w:r>
      <w:r>
        <w:rPr>
          <w:i/>
        </w:rPr>
        <w:t xml:space="preserve">: </w:t>
      </w:r>
    </w:p>
    <w:p w14:paraId="509897C4" w14:textId="77777777" w:rsidR="001810F2" w:rsidRPr="00870C5D" w:rsidRDefault="001810F2" w:rsidP="001810F2">
      <w:pPr>
        <w:pStyle w:val="TableFigureFooter"/>
        <w:spacing w:after="0"/>
        <w:contextualSpacing w:val="0"/>
      </w:pPr>
      <w:r>
        <w:rPr>
          <w:i/>
          <w:vertAlign w:val="superscript"/>
        </w:rPr>
        <w:t>1</w:t>
      </w:r>
      <w:r>
        <w:rPr>
          <w:i/>
        </w:rPr>
        <w:t xml:space="preserve"> </w:t>
      </w:r>
      <w:r w:rsidRPr="001810F2">
        <w:rPr>
          <w:i/>
        </w:rPr>
        <w:t>$5,000 to &lt; $15,000</w:t>
      </w:r>
    </w:p>
    <w:p w14:paraId="09030BBB" w14:textId="77777777" w:rsidR="001810F2" w:rsidRPr="00870C5D" w:rsidRDefault="001810F2" w:rsidP="001810F2">
      <w:pPr>
        <w:pStyle w:val="TableFigureFooter"/>
        <w:spacing w:after="0"/>
        <w:contextualSpacing w:val="0"/>
      </w:pPr>
      <w:r>
        <w:rPr>
          <w:i/>
          <w:vertAlign w:val="superscript"/>
        </w:rPr>
        <w:t>2</w:t>
      </w:r>
      <w:r>
        <w:rPr>
          <w:i/>
        </w:rPr>
        <w:t xml:space="preserve"> </w:t>
      </w:r>
      <w:r w:rsidRPr="001810F2">
        <w:rPr>
          <w:i/>
        </w:rPr>
        <w:t>$355,000 to &lt; $455,000</w:t>
      </w:r>
    </w:p>
    <w:p w14:paraId="54E5AA06" w14:textId="77777777" w:rsidR="001810F2" w:rsidRPr="00870C5D" w:rsidRDefault="001810F2" w:rsidP="001810F2">
      <w:pPr>
        <w:pStyle w:val="TableFigureFooter"/>
        <w:spacing w:after="0"/>
        <w:contextualSpacing w:val="0"/>
      </w:pPr>
      <w:r>
        <w:rPr>
          <w:i/>
          <w:vertAlign w:val="superscript"/>
        </w:rPr>
        <w:t>3</w:t>
      </w:r>
      <w:r>
        <w:rPr>
          <w:i/>
        </w:rPr>
        <w:t xml:space="preserve"> </w:t>
      </w:r>
      <w:r w:rsidRPr="001810F2">
        <w:rPr>
          <w:i/>
        </w:rPr>
        <w:t>$135,000 to &lt; $155,000</w:t>
      </w:r>
    </w:p>
    <w:p w14:paraId="09B87EA7" w14:textId="77777777" w:rsidR="001810F2" w:rsidRPr="00870C5D" w:rsidRDefault="001810F2" w:rsidP="001810F2">
      <w:pPr>
        <w:pStyle w:val="TableFigureFooter"/>
        <w:spacing w:after="0"/>
        <w:contextualSpacing w:val="0"/>
      </w:pPr>
      <w:r>
        <w:rPr>
          <w:i/>
          <w:vertAlign w:val="superscript"/>
        </w:rPr>
        <w:t>4</w:t>
      </w:r>
      <w:r>
        <w:rPr>
          <w:i/>
        </w:rPr>
        <w:t xml:space="preserve"> </w:t>
      </w:r>
      <w:r w:rsidRPr="001810F2">
        <w:rPr>
          <w:i/>
        </w:rPr>
        <w:t>$15,000 to &lt; $25,000</w:t>
      </w:r>
    </w:p>
    <w:p w14:paraId="05DF7150" w14:textId="77777777" w:rsidR="001810F2" w:rsidRPr="002D4FE1" w:rsidRDefault="001810F2" w:rsidP="003476DA">
      <w:pPr>
        <w:pStyle w:val="TableFigureFooter"/>
      </w:pPr>
    </w:p>
    <w:p w14:paraId="680AB6B8" w14:textId="77777777" w:rsidR="003476DA" w:rsidRPr="00D14896" w:rsidRDefault="003476DA" w:rsidP="0012228C">
      <w:pPr>
        <w:pStyle w:val="ExecSumBodyText"/>
      </w:pPr>
      <w:r w:rsidRPr="00D14896">
        <w:t>The extrapolation of outcomes beyond the clinical trial duration, the inclusion of heart failure hospitalisation costs and the inclusion of a disutility associated with heart failure hospitalisation had the largest impacts on the stepped economic evaluation.</w:t>
      </w:r>
    </w:p>
    <w:p w14:paraId="7E109492" w14:textId="77777777" w:rsidR="003476DA" w:rsidRPr="00182411" w:rsidRDefault="003476DA" w:rsidP="001810F2">
      <w:pPr>
        <w:pStyle w:val="ExecSumBodyText"/>
      </w:pPr>
      <w:r w:rsidRPr="00D14896">
        <w:t xml:space="preserve">Based on the modelled economic evaluation, treatment with empagliflozin </w:t>
      </w:r>
      <w:r w:rsidR="00047622">
        <w:t>plus SC</w:t>
      </w:r>
      <w:r w:rsidRPr="00D14896">
        <w:t xml:space="preserve"> </w:t>
      </w:r>
      <w:r w:rsidRPr="00182411">
        <w:t xml:space="preserve">was associated with an incremental cost per QALY gained of </w:t>
      </w:r>
      <w:r w:rsidR="001810F2" w:rsidRPr="001810F2">
        <w:t xml:space="preserve">$5,000 to &lt; $15,000 </w:t>
      </w:r>
      <w:r w:rsidRPr="00182411">
        <w:t>compared to standard care alone for the treatment of patients with HFrEF</w:t>
      </w:r>
      <w:r w:rsidR="00896139">
        <w:t xml:space="preserve"> (this was based on the published price of sacubitril/valsartan, a component of standard of care, which has a Special Pricing Arrangement)</w:t>
      </w:r>
      <w:r w:rsidRPr="00182411">
        <w:t xml:space="preserve">. </w:t>
      </w:r>
    </w:p>
    <w:p w14:paraId="5D209C2C" w14:textId="77777777" w:rsidR="003476DA" w:rsidRPr="00182411" w:rsidRDefault="003476DA" w:rsidP="001810F2">
      <w:pPr>
        <w:pStyle w:val="ExecSumBodyText"/>
      </w:pPr>
      <w:r w:rsidRPr="00182411">
        <w:t xml:space="preserve">Results based on the subgroup of patients not receiving an ARNi as background therapy, and the subgroup of patients receiving an ARNi as background therapy were </w:t>
      </w:r>
      <w:r w:rsidR="001810F2" w:rsidRPr="001810F2">
        <w:t xml:space="preserve">$5,000 to &lt; $15,000 </w:t>
      </w:r>
      <w:r w:rsidRPr="00182411">
        <w:t xml:space="preserve">and </w:t>
      </w:r>
      <w:r w:rsidR="001810F2" w:rsidRPr="001810F2">
        <w:t xml:space="preserve">$5,000 to &lt; $15,000 </w:t>
      </w:r>
      <w:r w:rsidRPr="00182411">
        <w:t>per QALY gained, respectively</w:t>
      </w:r>
      <w:r w:rsidR="00896139">
        <w:t xml:space="preserve"> (again, based on the published price of sacubitril/valsartan)</w:t>
      </w:r>
      <w:r w:rsidRPr="00182411">
        <w:t xml:space="preserve">. </w:t>
      </w:r>
    </w:p>
    <w:p w14:paraId="47143CFE" w14:textId="77777777" w:rsidR="003476DA" w:rsidRPr="00182411" w:rsidRDefault="003476DA" w:rsidP="0012228C">
      <w:pPr>
        <w:pStyle w:val="ExecSumBodyText"/>
      </w:pPr>
      <w:r w:rsidRPr="00182411">
        <w:t>The results of key sensitivity analyses are summarised below. Results were not sensitive to the choice of parametric functions used to inform mortality and treatment discontinuation, or the inclusion of adverse event costs and disutilities.</w:t>
      </w:r>
    </w:p>
    <w:p w14:paraId="6E74C386" w14:textId="77777777" w:rsidR="003476DA" w:rsidRDefault="00B974B3" w:rsidP="003D7335">
      <w:pPr>
        <w:pStyle w:val="TableFigureCaption"/>
      </w:pPr>
      <w:bookmarkStart w:id="46" w:name="_Ref84594432"/>
      <w:r>
        <w:t xml:space="preserve">Table </w:t>
      </w:r>
      <w:r w:rsidR="00915190">
        <w:rPr>
          <w:noProof/>
        </w:rPr>
        <w:t>13</w:t>
      </w:r>
      <w:bookmarkEnd w:id="46"/>
      <w:r w:rsidR="003476DA" w:rsidRPr="001426EB">
        <w:t xml:space="preserve">: </w:t>
      </w:r>
      <w:r w:rsidR="003476DA">
        <w:t>Results of key s</w:t>
      </w:r>
      <w:r w:rsidR="003476DA" w:rsidRPr="001426EB">
        <w:t>ensitivity analyses</w:t>
      </w:r>
    </w:p>
    <w:tbl>
      <w:tblPr>
        <w:tblStyle w:val="TableGrid"/>
        <w:tblW w:w="9017" w:type="dxa"/>
        <w:tblLayout w:type="fixed"/>
        <w:tblCellMar>
          <w:left w:w="28" w:type="dxa"/>
          <w:right w:w="28" w:type="dxa"/>
        </w:tblCellMar>
        <w:tblLook w:val="04A0" w:firstRow="1" w:lastRow="0" w:firstColumn="1" w:lastColumn="0" w:noHBand="0" w:noVBand="1"/>
        <w:tblCaption w:val="Table 13: Results of key sensitivity analyses"/>
      </w:tblPr>
      <w:tblGrid>
        <w:gridCol w:w="5240"/>
        <w:gridCol w:w="1259"/>
        <w:gridCol w:w="1259"/>
        <w:gridCol w:w="1259"/>
      </w:tblGrid>
      <w:tr w:rsidR="003476DA" w:rsidRPr="00DC2CE6" w14:paraId="1CA8F263" w14:textId="77777777" w:rsidTr="003D7335">
        <w:trPr>
          <w:tblHeader/>
        </w:trPr>
        <w:tc>
          <w:tcPr>
            <w:tcW w:w="5240" w:type="dxa"/>
            <w:vAlign w:val="center"/>
          </w:tcPr>
          <w:p w14:paraId="107DD110" w14:textId="77777777" w:rsidR="003476DA" w:rsidRPr="00DC2CE6" w:rsidRDefault="003476DA" w:rsidP="003D7335">
            <w:pPr>
              <w:pStyle w:val="Tableheadingrow"/>
            </w:pPr>
            <w:r w:rsidRPr="00DC2CE6">
              <w:t>Analysis</w:t>
            </w:r>
          </w:p>
        </w:tc>
        <w:tc>
          <w:tcPr>
            <w:tcW w:w="1259" w:type="dxa"/>
            <w:vAlign w:val="center"/>
          </w:tcPr>
          <w:p w14:paraId="45C9FD26" w14:textId="77777777" w:rsidR="003476DA" w:rsidRPr="00DC2CE6" w:rsidRDefault="003476DA" w:rsidP="003D7335">
            <w:pPr>
              <w:pStyle w:val="Tableheadingrow"/>
              <w:jc w:val="center"/>
            </w:pPr>
            <w:r w:rsidRPr="00DC2CE6">
              <w:t>Incremental cost</w:t>
            </w:r>
            <w:r w:rsidR="001810F2">
              <w:t xml:space="preserve"> ($)</w:t>
            </w:r>
          </w:p>
        </w:tc>
        <w:tc>
          <w:tcPr>
            <w:tcW w:w="1259" w:type="dxa"/>
            <w:vAlign w:val="center"/>
          </w:tcPr>
          <w:p w14:paraId="71016654" w14:textId="77777777" w:rsidR="003476DA" w:rsidRPr="00DC2CE6" w:rsidRDefault="003476DA" w:rsidP="003D7335">
            <w:pPr>
              <w:pStyle w:val="Tableheadingrow"/>
              <w:jc w:val="center"/>
            </w:pPr>
            <w:r w:rsidRPr="00DC2CE6">
              <w:t>Incremental QALYs</w:t>
            </w:r>
          </w:p>
        </w:tc>
        <w:tc>
          <w:tcPr>
            <w:tcW w:w="1259" w:type="dxa"/>
            <w:vAlign w:val="center"/>
          </w:tcPr>
          <w:p w14:paraId="5DBFA850" w14:textId="77777777" w:rsidR="003476DA" w:rsidRPr="00DC2CE6" w:rsidRDefault="003476DA" w:rsidP="003D7335">
            <w:pPr>
              <w:pStyle w:val="Tableheadingrow"/>
              <w:jc w:val="center"/>
            </w:pPr>
            <w:r w:rsidRPr="00DC2CE6">
              <w:t>ICER</w:t>
            </w:r>
          </w:p>
        </w:tc>
      </w:tr>
      <w:tr w:rsidR="003476DA" w:rsidRPr="00DC2CE6" w14:paraId="1941E88A" w14:textId="77777777" w:rsidTr="003D7335">
        <w:tc>
          <w:tcPr>
            <w:tcW w:w="5240" w:type="dxa"/>
          </w:tcPr>
          <w:p w14:paraId="186773F8" w14:textId="77777777" w:rsidR="003476DA" w:rsidRPr="00DC2CE6" w:rsidRDefault="003476DA" w:rsidP="003D7335">
            <w:pPr>
              <w:pStyle w:val="Tableheadingrow"/>
            </w:pPr>
            <w:r w:rsidRPr="00DC2CE6">
              <w:t>Base case</w:t>
            </w:r>
          </w:p>
        </w:tc>
        <w:tc>
          <w:tcPr>
            <w:tcW w:w="1259" w:type="dxa"/>
            <w:vAlign w:val="center"/>
          </w:tcPr>
          <w:p w14:paraId="53D8A6D1" w14:textId="77777777" w:rsidR="003476DA" w:rsidRPr="00CC7AA8" w:rsidRDefault="00CC7AA8" w:rsidP="003D7335">
            <w:pPr>
              <w:pStyle w:val="Tableheadingrow"/>
              <w:jc w:val="center"/>
              <w:rPr>
                <w:highlight w:val="black"/>
              </w:rPr>
            </w:pPr>
            <w:r>
              <w:rPr>
                <w:noProof/>
                <w:color w:val="000000"/>
                <w:highlight w:val="black"/>
              </w:rPr>
              <w:t>''''''''''''''</w:t>
            </w:r>
          </w:p>
        </w:tc>
        <w:tc>
          <w:tcPr>
            <w:tcW w:w="1259" w:type="dxa"/>
            <w:vAlign w:val="center"/>
          </w:tcPr>
          <w:p w14:paraId="398482D5" w14:textId="77777777" w:rsidR="003476DA" w:rsidRPr="00DC2CE6" w:rsidRDefault="003476DA" w:rsidP="003D7335">
            <w:pPr>
              <w:pStyle w:val="Tableheadingrow"/>
              <w:jc w:val="center"/>
            </w:pPr>
            <w:r w:rsidRPr="00DC2CE6">
              <w:t>0.1590</w:t>
            </w:r>
          </w:p>
        </w:tc>
        <w:tc>
          <w:tcPr>
            <w:tcW w:w="1259" w:type="dxa"/>
            <w:vAlign w:val="center"/>
          </w:tcPr>
          <w:p w14:paraId="2B9BF63A" w14:textId="77777777" w:rsidR="003476DA" w:rsidRPr="00DC2CE6" w:rsidRDefault="00CC7AA8" w:rsidP="003D7335">
            <w:pPr>
              <w:pStyle w:val="Tableheadingrow"/>
              <w:jc w:val="center"/>
            </w:pPr>
            <w:r>
              <w:rPr>
                <w:noProof/>
                <w:color w:val="000000"/>
                <w:highlight w:val="black"/>
              </w:rPr>
              <w:t>''''''''''''''</w:t>
            </w:r>
            <w:r w:rsidR="001810F2">
              <w:rPr>
                <w:b w:val="0"/>
                <w:bCs/>
                <w:color w:val="000000"/>
                <w:szCs w:val="20"/>
                <w:vertAlign w:val="superscript"/>
              </w:rPr>
              <w:t>1</w:t>
            </w:r>
          </w:p>
        </w:tc>
      </w:tr>
      <w:tr w:rsidR="003476DA" w:rsidRPr="00DC2CE6" w14:paraId="7EFF5F5C" w14:textId="77777777" w:rsidTr="003D7335">
        <w:tc>
          <w:tcPr>
            <w:tcW w:w="9017" w:type="dxa"/>
            <w:gridSpan w:val="4"/>
          </w:tcPr>
          <w:p w14:paraId="1082A4F7" w14:textId="77777777" w:rsidR="003476DA" w:rsidRPr="00DC2CE6" w:rsidRDefault="003476DA" w:rsidP="003D7335">
            <w:pPr>
              <w:pStyle w:val="Tableheadingrow"/>
            </w:pPr>
            <w:r w:rsidRPr="00DC2CE6">
              <w:t>Time horizon (base case 15 years)</w:t>
            </w:r>
          </w:p>
        </w:tc>
      </w:tr>
      <w:tr w:rsidR="003476DA" w:rsidRPr="00DC2CE6" w14:paraId="14B61F1C" w14:textId="77777777" w:rsidTr="003D7335">
        <w:tc>
          <w:tcPr>
            <w:tcW w:w="5240" w:type="dxa"/>
          </w:tcPr>
          <w:p w14:paraId="25FA3F24" w14:textId="77777777" w:rsidR="003476DA" w:rsidRPr="00DC2CE6" w:rsidRDefault="003476DA" w:rsidP="003D7335">
            <w:pPr>
              <w:pStyle w:val="Tableheadingrow"/>
              <w:rPr>
                <w:b w:val="0"/>
                <w:bCs/>
                <w:lang w:val="en-AU"/>
              </w:rPr>
            </w:pPr>
            <w:r w:rsidRPr="00DC2CE6">
              <w:rPr>
                <w:b w:val="0"/>
                <w:bCs/>
                <w:lang w:val="en-AU"/>
              </w:rPr>
              <w:t>- 10 years</w:t>
            </w:r>
          </w:p>
        </w:tc>
        <w:tc>
          <w:tcPr>
            <w:tcW w:w="1259" w:type="dxa"/>
            <w:shd w:val="clear" w:color="000000" w:fill="FFFFFF"/>
            <w:vAlign w:val="center"/>
          </w:tcPr>
          <w:p w14:paraId="0C54FF27" w14:textId="77777777" w:rsidR="003476DA" w:rsidRPr="00CC7AA8" w:rsidRDefault="00CC7AA8" w:rsidP="003D7335">
            <w:pPr>
              <w:pStyle w:val="Tableheadingrow"/>
              <w:jc w:val="center"/>
              <w:rPr>
                <w:b w:val="0"/>
                <w:bCs/>
                <w:highlight w:val="black"/>
                <w:lang w:val="en-AU"/>
              </w:rPr>
            </w:pPr>
            <w:r>
              <w:rPr>
                <w:b w:val="0"/>
                <w:bCs/>
                <w:noProof/>
                <w:color w:val="000000"/>
                <w:szCs w:val="20"/>
                <w:highlight w:val="black"/>
              </w:rPr>
              <w:t>''''''''''''</w:t>
            </w:r>
          </w:p>
        </w:tc>
        <w:tc>
          <w:tcPr>
            <w:tcW w:w="1259" w:type="dxa"/>
            <w:shd w:val="clear" w:color="000000" w:fill="FFFFFF"/>
            <w:vAlign w:val="center"/>
          </w:tcPr>
          <w:p w14:paraId="33CD420D" w14:textId="77777777" w:rsidR="003476DA" w:rsidRPr="001810F2" w:rsidRDefault="003476DA" w:rsidP="001810F2">
            <w:pPr>
              <w:pStyle w:val="Tableheadingrow"/>
              <w:jc w:val="center"/>
              <w:rPr>
                <w:b w:val="0"/>
                <w:bCs/>
                <w:vertAlign w:val="superscript"/>
                <w:lang w:val="en-AU"/>
              </w:rPr>
            </w:pPr>
            <w:r w:rsidRPr="00DC2CE6">
              <w:rPr>
                <w:b w:val="0"/>
                <w:bCs/>
                <w:color w:val="000000"/>
                <w:szCs w:val="20"/>
              </w:rPr>
              <w:t>0.1374</w:t>
            </w:r>
          </w:p>
        </w:tc>
        <w:tc>
          <w:tcPr>
            <w:tcW w:w="1259" w:type="dxa"/>
            <w:shd w:val="clear" w:color="000000" w:fill="FFFFFF"/>
            <w:vAlign w:val="center"/>
          </w:tcPr>
          <w:p w14:paraId="646BC01E" w14:textId="77777777" w:rsidR="003476DA" w:rsidRPr="00CC7AA8" w:rsidRDefault="00CC7AA8" w:rsidP="003D7335">
            <w:pPr>
              <w:pStyle w:val="Tableheadingrow"/>
              <w:jc w:val="center"/>
              <w:rPr>
                <w:b w:val="0"/>
                <w:bCs/>
                <w:lang w:val="en-AU"/>
              </w:rPr>
            </w:pPr>
            <w:r>
              <w:rPr>
                <w:b w:val="0"/>
                <w:bCs/>
                <w:noProof/>
                <w:color w:val="000000"/>
                <w:szCs w:val="20"/>
                <w:highlight w:val="black"/>
              </w:rPr>
              <w:t>''''''''''''''''''</w:t>
            </w:r>
            <w:r w:rsidR="001810F2">
              <w:rPr>
                <w:b w:val="0"/>
                <w:bCs/>
                <w:color w:val="000000"/>
                <w:szCs w:val="20"/>
                <w:vertAlign w:val="superscript"/>
              </w:rPr>
              <w:t>1</w:t>
            </w:r>
          </w:p>
        </w:tc>
      </w:tr>
      <w:tr w:rsidR="003476DA" w:rsidRPr="00DC2CE6" w14:paraId="1B85DF07" w14:textId="77777777" w:rsidTr="003D7335">
        <w:tc>
          <w:tcPr>
            <w:tcW w:w="5240" w:type="dxa"/>
          </w:tcPr>
          <w:p w14:paraId="29D43157" w14:textId="77777777" w:rsidR="003476DA" w:rsidRPr="00DC2CE6" w:rsidRDefault="003476DA" w:rsidP="003D7335">
            <w:pPr>
              <w:pStyle w:val="Tableheadingrow"/>
              <w:rPr>
                <w:b w:val="0"/>
                <w:bCs/>
                <w:lang w:val="en-AU"/>
              </w:rPr>
            </w:pPr>
            <w:r w:rsidRPr="00DC2CE6">
              <w:rPr>
                <w:b w:val="0"/>
                <w:bCs/>
                <w:lang w:val="en-AU"/>
              </w:rPr>
              <w:t>- 20 years</w:t>
            </w:r>
          </w:p>
        </w:tc>
        <w:tc>
          <w:tcPr>
            <w:tcW w:w="1259" w:type="dxa"/>
            <w:shd w:val="clear" w:color="000000" w:fill="FFFFFF"/>
            <w:vAlign w:val="center"/>
          </w:tcPr>
          <w:p w14:paraId="4C75AAF9" w14:textId="77777777" w:rsidR="003476DA" w:rsidRPr="00CC7AA8" w:rsidRDefault="00CC7AA8" w:rsidP="003D7335">
            <w:pPr>
              <w:pStyle w:val="Tableheadingrow"/>
              <w:jc w:val="center"/>
              <w:rPr>
                <w:b w:val="0"/>
                <w:bCs/>
                <w:highlight w:val="black"/>
                <w:lang w:val="en-AU"/>
              </w:rPr>
            </w:pPr>
            <w:r>
              <w:rPr>
                <w:b w:val="0"/>
                <w:bCs/>
                <w:noProof/>
                <w:color w:val="000000"/>
                <w:szCs w:val="20"/>
                <w:highlight w:val="black"/>
              </w:rPr>
              <w:t>''''''''''''''''</w:t>
            </w:r>
          </w:p>
        </w:tc>
        <w:tc>
          <w:tcPr>
            <w:tcW w:w="1259" w:type="dxa"/>
            <w:shd w:val="clear" w:color="000000" w:fill="FFFFFF"/>
            <w:vAlign w:val="center"/>
          </w:tcPr>
          <w:p w14:paraId="592D0087" w14:textId="77777777" w:rsidR="003476DA" w:rsidRPr="00DC2CE6" w:rsidRDefault="003476DA" w:rsidP="003D7335">
            <w:pPr>
              <w:pStyle w:val="Tableheadingrow"/>
              <w:jc w:val="center"/>
              <w:rPr>
                <w:b w:val="0"/>
                <w:bCs/>
                <w:lang w:val="en-AU"/>
              </w:rPr>
            </w:pPr>
            <w:r w:rsidRPr="00DC2CE6">
              <w:rPr>
                <w:b w:val="0"/>
                <w:bCs/>
                <w:color w:val="000000"/>
                <w:szCs w:val="20"/>
              </w:rPr>
              <w:t>0.1667</w:t>
            </w:r>
          </w:p>
        </w:tc>
        <w:tc>
          <w:tcPr>
            <w:tcW w:w="1259" w:type="dxa"/>
            <w:shd w:val="clear" w:color="000000" w:fill="FFFFFF"/>
            <w:vAlign w:val="center"/>
          </w:tcPr>
          <w:p w14:paraId="2E7A0E5D" w14:textId="77777777" w:rsidR="003476DA" w:rsidRPr="00CC7AA8" w:rsidRDefault="00CC7AA8" w:rsidP="003D7335">
            <w:pPr>
              <w:pStyle w:val="Tableheadingrow"/>
              <w:jc w:val="center"/>
              <w:rPr>
                <w:b w:val="0"/>
                <w:bCs/>
                <w:lang w:val="en-AU"/>
              </w:rPr>
            </w:pPr>
            <w:r>
              <w:rPr>
                <w:b w:val="0"/>
                <w:bCs/>
                <w:noProof/>
                <w:color w:val="000000"/>
                <w:szCs w:val="20"/>
                <w:highlight w:val="black"/>
              </w:rPr>
              <w:t>'''''''''''''''''</w:t>
            </w:r>
            <w:r w:rsidR="001810F2">
              <w:rPr>
                <w:b w:val="0"/>
                <w:bCs/>
                <w:color w:val="000000"/>
                <w:szCs w:val="20"/>
                <w:vertAlign w:val="superscript"/>
              </w:rPr>
              <w:t>1</w:t>
            </w:r>
          </w:p>
        </w:tc>
        <w:bookmarkStart w:id="47" w:name="_GoBack"/>
        <w:bookmarkEnd w:id="47"/>
      </w:tr>
      <w:tr w:rsidR="003476DA" w:rsidRPr="00DC2CE6" w14:paraId="4E36F25F" w14:textId="77777777" w:rsidTr="003D7335">
        <w:tc>
          <w:tcPr>
            <w:tcW w:w="9017" w:type="dxa"/>
            <w:gridSpan w:val="4"/>
          </w:tcPr>
          <w:p w14:paraId="79C9CFD4" w14:textId="77777777" w:rsidR="003476DA" w:rsidRPr="00DC2CE6" w:rsidRDefault="003476DA" w:rsidP="003D7335">
            <w:pPr>
              <w:pStyle w:val="Tableheadingrow"/>
              <w:rPr>
                <w:lang w:val="en-AU"/>
              </w:rPr>
            </w:pPr>
            <w:r w:rsidRPr="00DC2CE6">
              <w:rPr>
                <w:lang w:val="en-AU"/>
              </w:rPr>
              <w:t xml:space="preserve">Health states (base </w:t>
            </w:r>
            <w:r w:rsidRPr="00DC2CE6">
              <w:t>case</w:t>
            </w:r>
            <w:r w:rsidRPr="00DC2CE6">
              <w:rPr>
                <w:lang w:val="en-AU"/>
              </w:rPr>
              <w:t xml:space="preserve"> health states based on KCCQ-CSS quartiles; transitions based on EMPEROR-Reduced individual patient data)</w:t>
            </w:r>
          </w:p>
        </w:tc>
      </w:tr>
      <w:tr w:rsidR="003476DA" w:rsidRPr="00DC2CE6" w14:paraId="0A1155AB" w14:textId="77777777" w:rsidTr="003D7335">
        <w:tc>
          <w:tcPr>
            <w:tcW w:w="5240" w:type="dxa"/>
          </w:tcPr>
          <w:p w14:paraId="2CFD182E" w14:textId="77777777" w:rsidR="003476DA" w:rsidRPr="00DC2CE6" w:rsidRDefault="003476DA" w:rsidP="003D7335">
            <w:pPr>
              <w:pStyle w:val="Tableheadingrow"/>
              <w:rPr>
                <w:b w:val="0"/>
                <w:bCs/>
                <w:vertAlign w:val="superscript"/>
                <w:lang w:val="en-AU"/>
              </w:rPr>
            </w:pPr>
            <w:r w:rsidRPr="00DC2CE6">
              <w:rPr>
                <w:b w:val="0"/>
                <w:bCs/>
                <w:lang w:val="en-AU"/>
              </w:rPr>
              <w:t>- empagliflozin transitions set equal to placebo transitions</w:t>
            </w:r>
            <w:r w:rsidR="00DC2CE6" w:rsidRPr="00DC2CE6">
              <w:rPr>
                <w:b w:val="0"/>
                <w:bCs/>
                <w:lang w:val="en-AU"/>
              </w:rPr>
              <w:t xml:space="preserve"> </w:t>
            </w:r>
            <w:r w:rsidR="00DC2CE6" w:rsidRPr="00DC2CE6">
              <w:rPr>
                <w:b w:val="0"/>
                <w:bCs/>
                <w:vertAlign w:val="superscript"/>
                <w:lang w:val="en-AU"/>
              </w:rPr>
              <w:t>a</w:t>
            </w:r>
          </w:p>
        </w:tc>
        <w:tc>
          <w:tcPr>
            <w:tcW w:w="1259" w:type="dxa"/>
          </w:tcPr>
          <w:p w14:paraId="0495653F" w14:textId="77777777" w:rsidR="003476DA" w:rsidRPr="00CC7AA8" w:rsidRDefault="00CC7AA8" w:rsidP="003D7335">
            <w:pPr>
              <w:pStyle w:val="Tableheadingrow"/>
              <w:jc w:val="center"/>
              <w:rPr>
                <w:b w:val="0"/>
                <w:bCs/>
                <w:color w:val="000000"/>
                <w:szCs w:val="20"/>
                <w:highlight w:val="black"/>
              </w:rPr>
            </w:pPr>
            <w:r>
              <w:rPr>
                <w:b w:val="0"/>
                <w:bCs/>
                <w:noProof/>
                <w:color w:val="000000"/>
                <w:szCs w:val="20"/>
                <w:highlight w:val="black"/>
              </w:rPr>
              <w:t>'''''''''''''</w:t>
            </w:r>
          </w:p>
        </w:tc>
        <w:tc>
          <w:tcPr>
            <w:tcW w:w="1259" w:type="dxa"/>
          </w:tcPr>
          <w:p w14:paraId="7259CEC4" w14:textId="77777777" w:rsidR="003476DA" w:rsidRPr="00DC2CE6" w:rsidRDefault="003476DA" w:rsidP="003D7335">
            <w:pPr>
              <w:pStyle w:val="Tableheadingrow"/>
              <w:jc w:val="center"/>
              <w:rPr>
                <w:b w:val="0"/>
                <w:bCs/>
                <w:color w:val="000000"/>
                <w:szCs w:val="20"/>
              </w:rPr>
            </w:pPr>
            <w:r w:rsidRPr="00DC2CE6">
              <w:rPr>
                <w:b w:val="0"/>
                <w:bCs/>
                <w:color w:val="000000"/>
                <w:szCs w:val="20"/>
              </w:rPr>
              <w:t>0.0652</w:t>
            </w:r>
          </w:p>
        </w:tc>
        <w:tc>
          <w:tcPr>
            <w:tcW w:w="1259" w:type="dxa"/>
          </w:tcPr>
          <w:p w14:paraId="7A5E2DD6" w14:textId="77777777" w:rsidR="003476DA" w:rsidRPr="00CC7AA8" w:rsidRDefault="00CC7AA8" w:rsidP="003D7335">
            <w:pPr>
              <w:pStyle w:val="Tableheadingrow"/>
              <w:jc w:val="center"/>
              <w:rPr>
                <w:b w:val="0"/>
                <w:bCs/>
                <w:color w:val="000000"/>
                <w:szCs w:val="20"/>
              </w:rPr>
            </w:pPr>
            <w:r>
              <w:rPr>
                <w:b w:val="0"/>
                <w:bCs/>
                <w:noProof/>
                <w:color w:val="000000"/>
                <w:szCs w:val="20"/>
                <w:highlight w:val="black"/>
              </w:rPr>
              <w:t>''''''''''''''''''</w:t>
            </w:r>
            <w:r w:rsidR="001810F2">
              <w:rPr>
                <w:b w:val="0"/>
                <w:bCs/>
                <w:color w:val="000000"/>
                <w:szCs w:val="20"/>
                <w:vertAlign w:val="superscript"/>
              </w:rPr>
              <w:t>1</w:t>
            </w:r>
          </w:p>
        </w:tc>
      </w:tr>
      <w:tr w:rsidR="003476DA" w:rsidRPr="00DC2CE6" w14:paraId="51B04CFC" w14:textId="77777777" w:rsidTr="003D7335">
        <w:tc>
          <w:tcPr>
            <w:tcW w:w="5240" w:type="dxa"/>
          </w:tcPr>
          <w:p w14:paraId="56103C63" w14:textId="77777777" w:rsidR="003476DA" w:rsidRPr="00DC2CE6" w:rsidRDefault="003476DA" w:rsidP="003D7335">
            <w:pPr>
              <w:pStyle w:val="Tableheadingrow"/>
              <w:rPr>
                <w:b w:val="0"/>
                <w:bCs/>
                <w:lang w:val="en-AU"/>
              </w:rPr>
            </w:pPr>
            <w:r w:rsidRPr="00DC2CE6">
              <w:rPr>
                <w:b w:val="0"/>
                <w:bCs/>
                <w:lang w:val="en-AU"/>
              </w:rPr>
              <w:t xml:space="preserve">- placebo transitions set equal to empagliflozin transitions </w:t>
            </w:r>
            <w:r w:rsidR="00DC2CE6" w:rsidRPr="00DC2CE6">
              <w:rPr>
                <w:b w:val="0"/>
                <w:bCs/>
                <w:vertAlign w:val="superscript"/>
                <w:lang w:val="en-AU"/>
              </w:rPr>
              <w:t>a</w:t>
            </w:r>
          </w:p>
        </w:tc>
        <w:tc>
          <w:tcPr>
            <w:tcW w:w="1259" w:type="dxa"/>
          </w:tcPr>
          <w:p w14:paraId="47E995CE" w14:textId="77777777" w:rsidR="003476DA" w:rsidRPr="00CC7AA8" w:rsidRDefault="00CC7AA8" w:rsidP="003D7335">
            <w:pPr>
              <w:pStyle w:val="Tableheadingrow"/>
              <w:jc w:val="center"/>
              <w:rPr>
                <w:b w:val="0"/>
                <w:bCs/>
                <w:color w:val="000000"/>
                <w:szCs w:val="20"/>
                <w:highlight w:val="black"/>
              </w:rPr>
            </w:pPr>
            <w:r>
              <w:rPr>
                <w:b w:val="0"/>
                <w:bCs/>
                <w:noProof/>
                <w:color w:val="000000"/>
                <w:szCs w:val="20"/>
                <w:highlight w:val="black"/>
              </w:rPr>
              <w:t>'''''''''''''</w:t>
            </w:r>
          </w:p>
        </w:tc>
        <w:tc>
          <w:tcPr>
            <w:tcW w:w="1259" w:type="dxa"/>
          </w:tcPr>
          <w:p w14:paraId="6724D2A1" w14:textId="77777777" w:rsidR="003476DA" w:rsidRPr="00DC2CE6" w:rsidRDefault="003476DA" w:rsidP="003D7335">
            <w:pPr>
              <w:pStyle w:val="Tableheadingrow"/>
              <w:jc w:val="center"/>
              <w:rPr>
                <w:b w:val="0"/>
                <w:bCs/>
                <w:color w:val="000000"/>
                <w:szCs w:val="20"/>
              </w:rPr>
            </w:pPr>
            <w:r w:rsidRPr="00DC2CE6">
              <w:rPr>
                <w:b w:val="0"/>
                <w:bCs/>
                <w:color w:val="000000"/>
                <w:szCs w:val="20"/>
              </w:rPr>
              <w:t>0.0654</w:t>
            </w:r>
          </w:p>
        </w:tc>
        <w:tc>
          <w:tcPr>
            <w:tcW w:w="1259" w:type="dxa"/>
          </w:tcPr>
          <w:p w14:paraId="0AB15FAE" w14:textId="77777777" w:rsidR="003476DA" w:rsidRPr="00CC7AA8" w:rsidRDefault="00CC7AA8" w:rsidP="003D7335">
            <w:pPr>
              <w:pStyle w:val="Tableheadingrow"/>
              <w:jc w:val="center"/>
              <w:rPr>
                <w:b w:val="0"/>
                <w:bCs/>
                <w:color w:val="000000"/>
                <w:szCs w:val="20"/>
              </w:rPr>
            </w:pPr>
            <w:r>
              <w:rPr>
                <w:b w:val="0"/>
                <w:bCs/>
                <w:noProof/>
                <w:color w:val="000000"/>
                <w:szCs w:val="20"/>
                <w:highlight w:val="black"/>
              </w:rPr>
              <w:t>'''''''''''''''''</w:t>
            </w:r>
            <w:r w:rsidR="001810F2">
              <w:rPr>
                <w:b w:val="0"/>
                <w:bCs/>
                <w:color w:val="000000"/>
                <w:szCs w:val="20"/>
                <w:vertAlign w:val="superscript"/>
              </w:rPr>
              <w:t>1</w:t>
            </w:r>
          </w:p>
        </w:tc>
      </w:tr>
      <w:tr w:rsidR="003476DA" w:rsidRPr="00DC2CE6" w14:paraId="192A3697" w14:textId="77777777" w:rsidTr="003D7335">
        <w:tc>
          <w:tcPr>
            <w:tcW w:w="5240" w:type="dxa"/>
          </w:tcPr>
          <w:p w14:paraId="738630EB" w14:textId="77777777" w:rsidR="003476DA" w:rsidRPr="00DC2CE6" w:rsidRDefault="003476DA" w:rsidP="003D7335">
            <w:pPr>
              <w:pStyle w:val="Tableheadingrow"/>
              <w:rPr>
                <w:b w:val="0"/>
                <w:bCs/>
                <w:lang w:val="en-AU"/>
              </w:rPr>
            </w:pPr>
            <w:r w:rsidRPr="00DC2CE6">
              <w:rPr>
                <w:b w:val="0"/>
                <w:bCs/>
                <w:lang w:val="en-AU"/>
              </w:rPr>
              <w:t>- health states based on NYHA class</w:t>
            </w:r>
          </w:p>
        </w:tc>
        <w:tc>
          <w:tcPr>
            <w:tcW w:w="1259" w:type="dxa"/>
          </w:tcPr>
          <w:p w14:paraId="7E0F8B3F" w14:textId="77777777" w:rsidR="003476DA" w:rsidRPr="00CC7AA8" w:rsidRDefault="00CC7AA8" w:rsidP="003D7335">
            <w:pPr>
              <w:pStyle w:val="Tableheadingrow"/>
              <w:jc w:val="center"/>
              <w:rPr>
                <w:b w:val="0"/>
                <w:bCs/>
                <w:color w:val="000000"/>
                <w:szCs w:val="20"/>
                <w:highlight w:val="black"/>
              </w:rPr>
            </w:pPr>
            <w:r>
              <w:rPr>
                <w:b w:val="0"/>
                <w:bCs/>
                <w:noProof/>
                <w:color w:val="000000"/>
                <w:szCs w:val="20"/>
                <w:highlight w:val="black"/>
              </w:rPr>
              <w:t>'''''''''''''''</w:t>
            </w:r>
          </w:p>
        </w:tc>
        <w:tc>
          <w:tcPr>
            <w:tcW w:w="1259" w:type="dxa"/>
          </w:tcPr>
          <w:p w14:paraId="355DF509" w14:textId="77777777" w:rsidR="003476DA" w:rsidRPr="00DC2CE6" w:rsidRDefault="003476DA" w:rsidP="003D7335">
            <w:pPr>
              <w:pStyle w:val="Tableheadingrow"/>
              <w:jc w:val="center"/>
              <w:rPr>
                <w:b w:val="0"/>
                <w:bCs/>
                <w:color w:val="000000"/>
                <w:szCs w:val="20"/>
              </w:rPr>
            </w:pPr>
            <w:r w:rsidRPr="00DC2CE6">
              <w:rPr>
                <w:b w:val="0"/>
                <w:bCs/>
                <w:color w:val="000000"/>
                <w:szCs w:val="20"/>
              </w:rPr>
              <w:t>0.0847</w:t>
            </w:r>
          </w:p>
        </w:tc>
        <w:tc>
          <w:tcPr>
            <w:tcW w:w="1259" w:type="dxa"/>
          </w:tcPr>
          <w:p w14:paraId="708E2B90" w14:textId="77777777" w:rsidR="003476DA" w:rsidRPr="00CC7AA8" w:rsidRDefault="00CC7AA8" w:rsidP="003D7335">
            <w:pPr>
              <w:pStyle w:val="Tableheadingrow"/>
              <w:jc w:val="center"/>
              <w:rPr>
                <w:b w:val="0"/>
                <w:bCs/>
                <w:color w:val="000000"/>
                <w:szCs w:val="20"/>
              </w:rPr>
            </w:pPr>
            <w:r>
              <w:rPr>
                <w:b w:val="0"/>
                <w:bCs/>
                <w:noProof/>
                <w:color w:val="000000"/>
                <w:szCs w:val="20"/>
                <w:highlight w:val="black"/>
              </w:rPr>
              <w:t>''''''''''''''''''''</w:t>
            </w:r>
            <w:r w:rsidR="001810F2">
              <w:rPr>
                <w:b w:val="0"/>
                <w:bCs/>
                <w:color w:val="000000"/>
                <w:szCs w:val="20"/>
                <w:vertAlign w:val="superscript"/>
              </w:rPr>
              <w:t>1</w:t>
            </w:r>
          </w:p>
        </w:tc>
      </w:tr>
      <w:tr w:rsidR="003476DA" w:rsidRPr="00DC2CE6" w14:paraId="6CC26907" w14:textId="77777777" w:rsidTr="003D7335">
        <w:tc>
          <w:tcPr>
            <w:tcW w:w="9017" w:type="dxa"/>
            <w:gridSpan w:val="4"/>
          </w:tcPr>
          <w:p w14:paraId="037CFB54" w14:textId="77777777" w:rsidR="003476DA" w:rsidRPr="00DC2CE6" w:rsidRDefault="003476DA" w:rsidP="003D7335">
            <w:pPr>
              <w:pStyle w:val="Tableheadingrow"/>
              <w:rPr>
                <w:b w:val="0"/>
                <w:bCs/>
                <w:lang w:val="en-AU"/>
              </w:rPr>
            </w:pPr>
            <w:r w:rsidRPr="00DC2CE6">
              <w:rPr>
                <w:lang w:val="en-AU"/>
              </w:rPr>
              <w:t xml:space="preserve">Heart failure hospitalisation rate (base case derived using Poisson model fitted to EMPEROR-Reduced data; monthly </w:t>
            </w:r>
            <w:r w:rsidRPr="00DC2CE6">
              <w:t>probabilities</w:t>
            </w:r>
            <w:r w:rsidRPr="00DC2CE6">
              <w:rPr>
                <w:lang w:val="en-AU"/>
              </w:rPr>
              <w:t xml:space="preserve"> vary by KCCQ-CSS state and treatment)</w:t>
            </w:r>
          </w:p>
        </w:tc>
      </w:tr>
      <w:tr w:rsidR="003476DA" w:rsidRPr="00DC2CE6" w14:paraId="4D618F2D" w14:textId="77777777" w:rsidTr="003D7335">
        <w:tc>
          <w:tcPr>
            <w:tcW w:w="5240" w:type="dxa"/>
          </w:tcPr>
          <w:p w14:paraId="7944357D" w14:textId="77777777" w:rsidR="003476DA" w:rsidRPr="00DC2CE6" w:rsidRDefault="003476DA" w:rsidP="003D7335">
            <w:pPr>
              <w:pStyle w:val="TableText"/>
            </w:pPr>
            <w:r w:rsidRPr="00DC2CE6">
              <w:t>Halve incremental difference between empagliflozin and placebo</w:t>
            </w:r>
            <w:r w:rsidR="00DC2CE6" w:rsidRPr="00DC2CE6">
              <w:t xml:space="preserve"> </w:t>
            </w:r>
            <w:r w:rsidR="00DC2CE6" w:rsidRPr="00DC2CE6">
              <w:rPr>
                <w:b/>
                <w:bCs w:val="0"/>
                <w:vertAlign w:val="superscript"/>
              </w:rPr>
              <w:t>a</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48C4F7AB" w14:textId="77777777" w:rsidR="003476DA" w:rsidRPr="00CC7AA8" w:rsidRDefault="00CC7AA8" w:rsidP="003D7335">
            <w:pPr>
              <w:pStyle w:val="Tableheadingrow"/>
              <w:jc w:val="center"/>
              <w:rPr>
                <w:b w:val="0"/>
                <w:bCs/>
                <w:color w:val="000000"/>
                <w:szCs w:val="20"/>
                <w:highlight w:val="black"/>
              </w:rPr>
            </w:pPr>
            <w:r>
              <w:rPr>
                <w:b w:val="0"/>
                <w:bCs/>
                <w:noProof/>
                <w:color w:val="000000"/>
                <w:szCs w:val="20"/>
                <w:highlight w:val="black"/>
              </w:rPr>
              <w:t>''''''''''''''''</w:t>
            </w:r>
          </w:p>
        </w:tc>
        <w:tc>
          <w:tcPr>
            <w:tcW w:w="1259" w:type="dxa"/>
            <w:tcBorders>
              <w:top w:val="single" w:sz="4" w:space="0" w:color="auto"/>
              <w:left w:val="single" w:sz="4" w:space="0" w:color="auto"/>
              <w:bottom w:val="single" w:sz="4" w:space="0" w:color="auto"/>
              <w:right w:val="single" w:sz="4" w:space="0" w:color="auto"/>
            </w:tcBorders>
            <w:shd w:val="clear" w:color="000000" w:fill="FFFFFF"/>
            <w:vAlign w:val="center"/>
          </w:tcPr>
          <w:p w14:paraId="475E2D51" w14:textId="77777777" w:rsidR="003476DA" w:rsidRPr="00DC2CE6" w:rsidRDefault="003476DA" w:rsidP="003D7335">
            <w:pPr>
              <w:pStyle w:val="Tableheadingrow"/>
              <w:jc w:val="center"/>
              <w:rPr>
                <w:b w:val="0"/>
                <w:bCs/>
                <w:color w:val="000000"/>
                <w:szCs w:val="20"/>
              </w:rPr>
            </w:pPr>
            <w:r w:rsidRPr="00DC2CE6">
              <w:rPr>
                <w:b w:val="0"/>
                <w:bCs/>
                <w:color w:val="000000"/>
                <w:szCs w:val="20"/>
              </w:rPr>
              <w:t>0.1391</w:t>
            </w:r>
          </w:p>
        </w:tc>
        <w:tc>
          <w:tcPr>
            <w:tcW w:w="1259" w:type="dxa"/>
            <w:tcBorders>
              <w:top w:val="single" w:sz="4" w:space="0" w:color="auto"/>
              <w:left w:val="single" w:sz="4" w:space="0" w:color="auto"/>
              <w:bottom w:val="single" w:sz="4" w:space="0" w:color="auto"/>
              <w:right w:val="single" w:sz="4" w:space="0" w:color="auto"/>
            </w:tcBorders>
            <w:shd w:val="clear" w:color="000000" w:fill="FFFFFF"/>
            <w:vAlign w:val="center"/>
          </w:tcPr>
          <w:p w14:paraId="02FD603C" w14:textId="77777777" w:rsidR="003476DA" w:rsidRPr="00DC2CE6" w:rsidRDefault="00CC7AA8" w:rsidP="003D7335">
            <w:pPr>
              <w:pStyle w:val="Tableheadingrow"/>
              <w:jc w:val="center"/>
              <w:rPr>
                <w:b w:val="0"/>
                <w:bCs/>
                <w:color w:val="000000"/>
                <w:szCs w:val="20"/>
              </w:rPr>
            </w:pPr>
            <w:r>
              <w:rPr>
                <w:b w:val="0"/>
                <w:bCs/>
                <w:noProof/>
                <w:color w:val="000000"/>
                <w:szCs w:val="20"/>
                <w:highlight w:val="black"/>
              </w:rPr>
              <w:t>'''''''''''''''''</w:t>
            </w:r>
            <w:r w:rsidR="001810F2">
              <w:rPr>
                <w:b w:val="0"/>
                <w:bCs/>
                <w:color w:val="000000"/>
                <w:szCs w:val="20"/>
                <w:vertAlign w:val="superscript"/>
              </w:rPr>
              <w:t>1</w:t>
            </w:r>
          </w:p>
        </w:tc>
      </w:tr>
      <w:tr w:rsidR="003476DA" w:rsidRPr="00DC2CE6" w14:paraId="5136CCE6" w14:textId="77777777" w:rsidTr="003D7335">
        <w:tc>
          <w:tcPr>
            <w:tcW w:w="9017" w:type="dxa"/>
            <w:gridSpan w:val="4"/>
          </w:tcPr>
          <w:p w14:paraId="32BE7FBA" w14:textId="77777777" w:rsidR="003476DA" w:rsidRPr="00DC2CE6" w:rsidRDefault="003476DA" w:rsidP="003D7335">
            <w:pPr>
              <w:pStyle w:val="Tableheadingrow"/>
              <w:rPr>
                <w:lang w:val="en-AU"/>
              </w:rPr>
            </w:pPr>
            <w:r w:rsidRPr="00DC2CE6">
              <w:rPr>
                <w:lang w:val="en-AU"/>
              </w:rPr>
              <w:t>Disease management costs (base case KCCQ-CSS quartile 4 $48.21/cycle; quartiles 1-3 $67.58/cycle)</w:t>
            </w:r>
          </w:p>
        </w:tc>
      </w:tr>
      <w:tr w:rsidR="003476DA" w:rsidRPr="00DC2CE6" w14:paraId="44B3E473" w14:textId="77777777" w:rsidTr="003D7335">
        <w:tc>
          <w:tcPr>
            <w:tcW w:w="5240" w:type="dxa"/>
          </w:tcPr>
          <w:p w14:paraId="3E5F7496" w14:textId="77777777" w:rsidR="003476DA" w:rsidRPr="00DC2CE6" w:rsidRDefault="003476DA" w:rsidP="003D7335">
            <w:pPr>
              <w:pStyle w:val="TableText"/>
            </w:pPr>
            <w:r w:rsidRPr="00DC2CE6">
              <w:t>- increase by 50%</w:t>
            </w:r>
            <w:r w:rsidR="00DC2CE6" w:rsidRPr="00DC2CE6">
              <w:t xml:space="preserve"> </w:t>
            </w:r>
            <w:r w:rsidR="00DC2CE6" w:rsidRPr="00DC2CE6">
              <w:rPr>
                <w:b/>
                <w:bCs w:val="0"/>
                <w:vertAlign w:val="superscript"/>
              </w:rPr>
              <w:t>a</w:t>
            </w:r>
          </w:p>
        </w:tc>
        <w:tc>
          <w:tcPr>
            <w:tcW w:w="1259" w:type="dxa"/>
            <w:shd w:val="clear" w:color="000000" w:fill="FFFFFF"/>
            <w:vAlign w:val="center"/>
          </w:tcPr>
          <w:p w14:paraId="6F0880F2" w14:textId="77777777" w:rsidR="003476DA" w:rsidRPr="00CC7AA8" w:rsidRDefault="00CC7AA8" w:rsidP="003D7335">
            <w:pPr>
              <w:pStyle w:val="Tableheadingrow"/>
              <w:jc w:val="center"/>
              <w:rPr>
                <w:b w:val="0"/>
                <w:bCs/>
                <w:highlight w:val="black"/>
                <w:lang w:val="en-AU"/>
              </w:rPr>
            </w:pPr>
            <w:r>
              <w:rPr>
                <w:b w:val="0"/>
                <w:bCs/>
                <w:noProof/>
                <w:color w:val="000000"/>
                <w:szCs w:val="20"/>
                <w:highlight w:val="black"/>
              </w:rPr>
              <w:t>'''''''''''''''''</w:t>
            </w:r>
          </w:p>
        </w:tc>
        <w:tc>
          <w:tcPr>
            <w:tcW w:w="1259" w:type="dxa"/>
            <w:shd w:val="clear" w:color="000000" w:fill="FFFFFF"/>
            <w:vAlign w:val="center"/>
          </w:tcPr>
          <w:p w14:paraId="3447B7AE" w14:textId="77777777" w:rsidR="003476DA" w:rsidRPr="00DC2CE6" w:rsidRDefault="003476DA" w:rsidP="003D7335">
            <w:pPr>
              <w:pStyle w:val="Tableheadingrow"/>
              <w:jc w:val="center"/>
              <w:rPr>
                <w:b w:val="0"/>
                <w:bCs/>
                <w:lang w:val="en-AU"/>
              </w:rPr>
            </w:pPr>
            <w:r w:rsidRPr="00DC2CE6">
              <w:rPr>
                <w:b w:val="0"/>
                <w:bCs/>
                <w:color w:val="000000"/>
                <w:szCs w:val="20"/>
              </w:rPr>
              <w:t>0.1590</w:t>
            </w:r>
          </w:p>
        </w:tc>
        <w:tc>
          <w:tcPr>
            <w:tcW w:w="1259" w:type="dxa"/>
            <w:shd w:val="clear" w:color="000000" w:fill="FFFFFF"/>
            <w:vAlign w:val="center"/>
          </w:tcPr>
          <w:p w14:paraId="3E5E5A1D" w14:textId="77777777" w:rsidR="003476DA" w:rsidRPr="00CC7AA8" w:rsidRDefault="00CC7AA8" w:rsidP="003D7335">
            <w:pPr>
              <w:pStyle w:val="Tableheadingrow"/>
              <w:jc w:val="center"/>
              <w:rPr>
                <w:b w:val="0"/>
                <w:bCs/>
                <w:lang w:val="en-AU"/>
              </w:rPr>
            </w:pPr>
            <w:r>
              <w:rPr>
                <w:b w:val="0"/>
                <w:bCs/>
                <w:noProof/>
                <w:color w:val="000000"/>
                <w:szCs w:val="20"/>
                <w:highlight w:val="black"/>
              </w:rPr>
              <w:t>''''''''''''''''</w:t>
            </w:r>
            <w:r w:rsidR="001810F2">
              <w:rPr>
                <w:b w:val="0"/>
                <w:bCs/>
                <w:color w:val="000000"/>
                <w:szCs w:val="20"/>
                <w:vertAlign w:val="superscript"/>
              </w:rPr>
              <w:t>1</w:t>
            </w:r>
          </w:p>
        </w:tc>
      </w:tr>
      <w:tr w:rsidR="003476DA" w:rsidRPr="00DC2CE6" w14:paraId="754324C8" w14:textId="77777777" w:rsidTr="003D7335">
        <w:tc>
          <w:tcPr>
            <w:tcW w:w="5240" w:type="dxa"/>
          </w:tcPr>
          <w:p w14:paraId="444FE86B" w14:textId="77777777" w:rsidR="003476DA" w:rsidRPr="00DC2CE6" w:rsidRDefault="003476DA" w:rsidP="003D7335">
            <w:pPr>
              <w:pStyle w:val="TableText"/>
            </w:pPr>
            <w:r w:rsidRPr="00DC2CE6">
              <w:t>- decrease by 50%</w:t>
            </w:r>
            <w:r w:rsidR="00DC2CE6" w:rsidRPr="00DC2CE6">
              <w:t xml:space="preserve"> </w:t>
            </w:r>
            <w:r w:rsidR="00DC2CE6" w:rsidRPr="00DC2CE6">
              <w:rPr>
                <w:b/>
                <w:bCs w:val="0"/>
                <w:vertAlign w:val="superscript"/>
              </w:rPr>
              <w:t>a</w:t>
            </w:r>
          </w:p>
        </w:tc>
        <w:tc>
          <w:tcPr>
            <w:tcW w:w="1259" w:type="dxa"/>
            <w:shd w:val="clear" w:color="000000" w:fill="FFFFFF"/>
            <w:vAlign w:val="center"/>
          </w:tcPr>
          <w:p w14:paraId="48942624" w14:textId="77777777" w:rsidR="003476DA" w:rsidRPr="00CC7AA8" w:rsidRDefault="00CC7AA8" w:rsidP="003D7335">
            <w:pPr>
              <w:pStyle w:val="Tableheadingrow"/>
              <w:jc w:val="center"/>
              <w:rPr>
                <w:b w:val="0"/>
                <w:bCs/>
                <w:highlight w:val="black"/>
                <w:lang w:val="en-AU"/>
              </w:rPr>
            </w:pPr>
            <w:r>
              <w:rPr>
                <w:b w:val="0"/>
                <w:bCs/>
                <w:noProof/>
                <w:color w:val="000000"/>
                <w:szCs w:val="20"/>
                <w:highlight w:val="black"/>
              </w:rPr>
              <w:t>'''''''''''''''</w:t>
            </w:r>
          </w:p>
        </w:tc>
        <w:tc>
          <w:tcPr>
            <w:tcW w:w="1259" w:type="dxa"/>
            <w:shd w:val="clear" w:color="000000" w:fill="FFFFFF"/>
            <w:vAlign w:val="center"/>
          </w:tcPr>
          <w:p w14:paraId="768801AD" w14:textId="77777777" w:rsidR="003476DA" w:rsidRPr="00DC2CE6" w:rsidRDefault="003476DA" w:rsidP="003D7335">
            <w:pPr>
              <w:pStyle w:val="Tableheadingrow"/>
              <w:jc w:val="center"/>
              <w:rPr>
                <w:b w:val="0"/>
                <w:bCs/>
                <w:lang w:val="en-AU"/>
              </w:rPr>
            </w:pPr>
            <w:r w:rsidRPr="00DC2CE6">
              <w:rPr>
                <w:b w:val="0"/>
                <w:bCs/>
                <w:color w:val="000000"/>
                <w:szCs w:val="20"/>
              </w:rPr>
              <w:t>0.1590</w:t>
            </w:r>
          </w:p>
        </w:tc>
        <w:tc>
          <w:tcPr>
            <w:tcW w:w="1259" w:type="dxa"/>
            <w:shd w:val="clear" w:color="000000" w:fill="FFFFFF"/>
            <w:vAlign w:val="center"/>
          </w:tcPr>
          <w:p w14:paraId="5AB53871" w14:textId="77777777" w:rsidR="003476DA" w:rsidRPr="00CC7AA8" w:rsidRDefault="00CC7AA8" w:rsidP="003D7335">
            <w:pPr>
              <w:pStyle w:val="Tableheadingrow"/>
              <w:jc w:val="center"/>
              <w:rPr>
                <w:b w:val="0"/>
                <w:bCs/>
                <w:lang w:val="en-AU"/>
              </w:rPr>
            </w:pPr>
            <w:r>
              <w:rPr>
                <w:b w:val="0"/>
                <w:bCs/>
                <w:noProof/>
                <w:color w:val="000000"/>
                <w:szCs w:val="20"/>
                <w:highlight w:val="black"/>
              </w:rPr>
              <w:t>'''''''''''''''</w:t>
            </w:r>
            <w:r w:rsidR="001810F2">
              <w:rPr>
                <w:b w:val="0"/>
                <w:bCs/>
                <w:color w:val="000000"/>
                <w:szCs w:val="20"/>
                <w:vertAlign w:val="superscript"/>
              </w:rPr>
              <w:t>1</w:t>
            </w:r>
          </w:p>
        </w:tc>
      </w:tr>
      <w:tr w:rsidR="003476DA" w:rsidRPr="00DC2CE6" w14:paraId="5B3B365A" w14:textId="77777777" w:rsidTr="003D7335">
        <w:tc>
          <w:tcPr>
            <w:tcW w:w="9017" w:type="dxa"/>
            <w:gridSpan w:val="4"/>
          </w:tcPr>
          <w:p w14:paraId="2BE715C7" w14:textId="77777777" w:rsidR="003476DA" w:rsidRPr="00DC2CE6" w:rsidRDefault="003476DA" w:rsidP="003D7335">
            <w:pPr>
              <w:pStyle w:val="Tableheadingrow"/>
              <w:rPr>
                <w:color w:val="000000"/>
                <w:szCs w:val="20"/>
              </w:rPr>
            </w:pPr>
            <w:r w:rsidRPr="00DC2CE6">
              <w:rPr>
                <w:lang w:val="en-AU"/>
              </w:rPr>
              <w:t>Heart failure hospitalisation costs (base case $7,906 per event)</w:t>
            </w:r>
          </w:p>
        </w:tc>
      </w:tr>
      <w:tr w:rsidR="003476DA" w:rsidRPr="00DC2CE6" w14:paraId="7593F8EC" w14:textId="77777777" w:rsidTr="003D7335">
        <w:tc>
          <w:tcPr>
            <w:tcW w:w="5240" w:type="dxa"/>
          </w:tcPr>
          <w:p w14:paraId="09A10A58" w14:textId="77777777" w:rsidR="003476DA" w:rsidRPr="00DC2CE6" w:rsidRDefault="003476DA" w:rsidP="003D7335">
            <w:pPr>
              <w:pStyle w:val="TableText"/>
            </w:pPr>
            <w:r w:rsidRPr="00DC2CE6">
              <w:t>- increase by 50%</w:t>
            </w:r>
            <w:r w:rsidR="00DC2CE6" w:rsidRPr="00DC2CE6">
              <w:t xml:space="preserve"> </w:t>
            </w:r>
            <w:r w:rsidR="00DC2CE6" w:rsidRPr="00DC2CE6">
              <w:rPr>
                <w:b/>
                <w:bCs w:val="0"/>
                <w:vertAlign w:val="superscript"/>
              </w:rPr>
              <w:t>a</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021677D0" w14:textId="77777777" w:rsidR="003476DA" w:rsidRPr="00CC7AA8" w:rsidRDefault="00CC7AA8" w:rsidP="003D7335">
            <w:pPr>
              <w:pStyle w:val="Tableheadingrow"/>
              <w:jc w:val="center"/>
              <w:rPr>
                <w:b w:val="0"/>
                <w:bCs/>
                <w:color w:val="000000"/>
                <w:szCs w:val="20"/>
                <w:highlight w:val="black"/>
              </w:rPr>
            </w:pPr>
            <w:r>
              <w:rPr>
                <w:b w:val="0"/>
                <w:bCs/>
                <w:noProof/>
                <w:color w:val="000000"/>
                <w:szCs w:val="20"/>
                <w:highlight w:val="black"/>
              </w:rPr>
              <w:t>''''''''''''''''</w:t>
            </w:r>
          </w:p>
        </w:tc>
        <w:tc>
          <w:tcPr>
            <w:tcW w:w="1259" w:type="dxa"/>
            <w:tcBorders>
              <w:top w:val="single" w:sz="4" w:space="0" w:color="auto"/>
              <w:left w:val="single" w:sz="4" w:space="0" w:color="auto"/>
              <w:bottom w:val="single" w:sz="4" w:space="0" w:color="auto"/>
              <w:right w:val="single" w:sz="4" w:space="0" w:color="auto"/>
            </w:tcBorders>
            <w:shd w:val="clear" w:color="000000" w:fill="FFFFFF"/>
            <w:vAlign w:val="center"/>
          </w:tcPr>
          <w:p w14:paraId="32FF0FA0" w14:textId="77777777" w:rsidR="003476DA" w:rsidRPr="00DC2CE6" w:rsidRDefault="003476DA" w:rsidP="003D7335">
            <w:pPr>
              <w:pStyle w:val="Tableheadingrow"/>
              <w:jc w:val="center"/>
              <w:rPr>
                <w:b w:val="0"/>
                <w:bCs/>
                <w:color w:val="000000"/>
                <w:szCs w:val="20"/>
              </w:rPr>
            </w:pPr>
            <w:r w:rsidRPr="00DC2CE6">
              <w:rPr>
                <w:b w:val="0"/>
                <w:bCs/>
                <w:color w:val="000000"/>
                <w:szCs w:val="20"/>
              </w:rPr>
              <w:t>0.1590</w:t>
            </w:r>
          </w:p>
        </w:tc>
        <w:tc>
          <w:tcPr>
            <w:tcW w:w="1259" w:type="dxa"/>
            <w:tcBorders>
              <w:top w:val="single" w:sz="4" w:space="0" w:color="auto"/>
              <w:left w:val="single" w:sz="4" w:space="0" w:color="auto"/>
              <w:bottom w:val="single" w:sz="4" w:space="0" w:color="auto"/>
              <w:right w:val="single" w:sz="4" w:space="0" w:color="auto"/>
            </w:tcBorders>
            <w:shd w:val="clear" w:color="000000" w:fill="FFFFFF"/>
            <w:vAlign w:val="center"/>
          </w:tcPr>
          <w:p w14:paraId="7E073548" w14:textId="77777777" w:rsidR="003476DA" w:rsidRPr="00CC7AA8" w:rsidRDefault="00CC7AA8" w:rsidP="003D7335">
            <w:pPr>
              <w:pStyle w:val="Tableheadingrow"/>
              <w:jc w:val="center"/>
              <w:rPr>
                <w:b w:val="0"/>
                <w:bCs/>
                <w:color w:val="000000"/>
                <w:szCs w:val="20"/>
              </w:rPr>
            </w:pPr>
            <w:r>
              <w:rPr>
                <w:b w:val="0"/>
                <w:bCs/>
                <w:noProof/>
                <w:color w:val="000000"/>
                <w:szCs w:val="20"/>
                <w:highlight w:val="black"/>
              </w:rPr>
              <w:t>''''''''''''''''''</w:t>
            </w:r>
            <w:r w:rsidR="001810F2">
              <w:rPr>
                <w:b w:val="0"/>
                <w:bCs/>
                <w:color w:val="000000"/>
                <w:szCs w:val="20"/>
                <w:vertAlign w:val="superscript"/>
              </w:rPr>
              <w:t>1</w:t>
            </w:r>
          </w:p>
        </w:tc>
      </w:tr>
      <w:tr w:rsidR="003476DA" w:rsidRPr="00DC2CE6" w14:paraId="7BF2E5C3" w14:textId="77777777" w:rsidTr="003D7335">
        <w:tc>
          <w:tcPr>
            <w:tcW w:w="5240" w:type="dxa"/>
          </w:tcPr>
          <w:p w14:paraId="48C179FC" w14:textId="77777777" w:rsidR="003476DA" w:rsidRPr="00DC2CE6" w:rsidRDefault="003476DA" w:rsidP="003D7335">
            <w:pPr>
              <w:pStyle w:val="TableText"/>
            </w:pPr>
            <w:r w:rsidRPr="00DC2CE6">
              <w:t>- decrease by 50%</w:t>
            </w:r>
            <w:r w:rsidR="00DC2CE6" w:rsidRPr="00DC2CE6">
              <w:t xml:space="preserve"> </w:t>
            </w:r>
            <w:r w:rsidR="00DC2CE6" w:rsidRPr="00DC2CE6">
              <w:rPr>
                <w:b/>
                <w:bCs w:val="0"/>
                <w:vertAlign w:val="superscript"/>
              </w:rPr>
              <w:t>a</w:t>
            </w:r>
          </w:p>
        </w:tc>
        <w:tc>
          <w:tcPr>
            <w:tcW w:w="1259" w:type="dxa"/>
            <w:tcBorders>
              <w:top w:val="single" w:sz="4" w:space="0" w:color="auto"/>
              <w:left w:val="nil"/>
              <w:bottom w:val="single" w:sz="4" w:space="0" w:color="auto"/>
              <w:right w:val="single" w:sz="4" w:space="0" w:color="auto"/>
            </w:tcBorders>
            <w:shd w:val="clear" w:color="000000" w:fill="FFFFFF"/>
            <w:vAlign w:val="center"/>
          </w:tcPr>
          <w:p w14:paraId="417182F3" w14:textId="77777777" w:rsidR="003476DA" w:rsidRPr="00CC7AA8" w:rsidRDefault="00CC7AA8" w:rsidP="003D7335">
            <w:pPr>
              <w:pStyle w:val="Tableheadingrow"/>
              <w:jc w:val="center"/>
              <w:rPr>
                <w:b w:val="0"/>
                <w:bCs/>
                <w:color w:val="000000"/>
                <w:szCs w:val="20"/>
                <w:highlight w:val="black"/>
              </w:rPr>
            </w:pPr>
            <w:r>
              <w:rPr>
                <w:b w:val="0"/>
                <w:bCs/>
                <w:noProof/>
                <w:color w:val="000000"/>
                <w:szCs w:val="20"/>
                <w:highlight w:val="black"/>
              </w:rPr>
              <w:t>'''''''''''</w:t>
            </w:r>
          </w:p>
        </w:tc>
        <w:tc>
          <w:tcPr>
            <w:tcW w:w="1259" w:type="dxa"/>
            <w:tcBorders>
              <w:top w:val="single" w:sz="4" w:space="0" w:color="auto"/>
              <w:left w:val="single" w:sz="4" w:space="0" w:color="auto"/>
              <w:bottom w:val="single" w:sz="4" w:space="0" w:color="auto"/>
              <w:right w:val="single" w:sz="4" w:space="0" w:color="auto"/>
            </w:tcBorders>
            <w:shd w:val="clear" w:color="000000" w:fill="FFFFFF"/>
            <w:vAlign w:val="center"/>
          </w:tcPr>
          <w:p w14:paraId="3AB98C47" w14:textId="77777777" w:rsidR="003476DA" w:rsidRPr="00DC2CE6" w:rsidRDefault="003476DA" w:rsidP="003D7335">
            <w:pPr>
              <w:pStyle w:val="Tableheadingrow"/>
              <w:jc w:val="center"/>
              <w:rPr>
                <w:b w:val="0"/>
                <w:bCs/>
                <w:color w:val="000000"/>
                <w:szCs w:val="20"/>
              </w:rPr>
            </w:pPr>
            <w:r w:rsidRPr="00DC2CE6">
              <w:rPr>
                <w:b w:val="0"/>
                <w:bCs/>
                <w:color w:val="000000"/>
                <w:szCs w:val="20"/>
              </w:rPr>
              <w:t>0.1590</w:t>
            </w:r>
          </w:p>
        </w:tc>
        <w:tc>
          <w:tcPr>
            <w:tcW w:w="1259" w:type="dxa"/>
            <w:tcBorders>
              <w:top w:val="single" w:sz="4" w:space="0" w:color="auto"/>
              <w:left w:val="single" w:sz="4" w:space="0" w:color="auto"/>
              <w:bottom w:val="single" w:sz="4" w:space="0" w:color="auto"/>
              <w:right w:val="single" w:sz="4" w:space="0" w:color="auto"/>
            </w:tcBorders>
            <w:shd w:val="clear" w:color="000000" w:fill="FFFFFF"/>
            <w:vAlign w:val="center"/>
          </w:tcPr>
          <w:p w14:paraId="7B475E20" w14:textId="77777777" w:rsidR="003476DA" w:rsidRPr="00CC7AA8" w:rsidRDefault="00CC7AA8" w:rsidP="003D7335">
            <w:pPr>
              <w:pStyle w:val="Tableheadingrow"/>
              <w:jc w:val="center"/>
              <w:rPr>
                <w:b w:val="0"/>
                <w:bCs/>
                <w:color w:val="000000"/>
                <w:szCs w:val="20"/>
              </w:rPr>
            </w:pPr>
            <w:r>
              <w:rPr>
                <w:b w:val="0"/>
                <w:bCs/>
                <w:noProof/>
                <w:color w:val="000000"/>
                <w:szCs w:val="20"/>
                <w:highlight w:val="black"/>
              </w:rPr>
              <w:t>''''''''''''''''</w:t>
            </w:r>
            <w:r w:rsidR="001810F2">
              <w:rPr>
                <w:b w:val="0"/>
                <w:bCs/>
                <w:color w:val="000000"/>
                <w:szCs w:val="20"/>
                <w:vertAlign w:val="superscript"/>
              </w:rPr>
              <w:t>2</w:t>
            </w:r>
          </w:p>
        </w:tc>
      </w:tr>
      <w:tr w:rsidR="003476DA" w:rsidRPr="00DC2CE6" w14:paraId="3B0717BF" w14:textId="77777777" w:rsidTr="003D7335">
        <w:tc>
          <w:tcPr>
            <w:tcW w:w="9017" w:type="dxa"/>
            <w:gridSpan w:val="4"/>
          </w:tcPr>
          <w:p w14:paraId="306558A9" w14:textId="77777777" w:rsidR="003476DA" w:rsidRPr="00DC2CE6" w:rsidRDefault="003476DA" w:rsidP="003D7335">
            <w:pPr>
              <w:pStyle w:val="Tableheadingrow"/>
              <w:rPr>
                <w:lang w:val="en-AU"/>
              </w:rPr>
            </w:pPr>
            <w:r w:rsidRPr="00DC2CE6">
              <w:rPr>
                <w:lang w:val="en-AU"/>
              </w:rPr>
              <w:t>CV death costs (base case $9,150 applied to all CV deaths)</w:t>
            </w:r>
          </w:p>
        </w:tc>
      </w:tr>
      <w:tr w:rsidR="003476DA" w:rsidRPr="00DC2CE6" w14:paraId="65327264" w14:textId="77777777" w:rsidTr="003D7335">
        <w:tc>
          <w:tcPr>
            <w:tcW w:w="5240" w:type="dxa"/>
          </w:tcPr>
          <w:p w14:paraId="1A26D7C0" w14:textId="77777777" w:rsidR="003476DA" w:rsidRPr="00DC2CE6" w:rsidRDefault="003476DA" w:rsidP="003D7335">
            <w:pPr>
              <w:pStyle w:val="Tableheadingrow"/>
              <w:rPr>
                <w:b w:val="0"/>
                <w:bCs/>
                <w:lang w:val="en-AU"/>
              </w:rPr>
            </w:pPr>
            <w:r w:rsidRPr="00DC2CE6">
              <w:rPr>
                <w:b w:val="0"/>
                <w:bCs/>
                <w:lang w:val="en-AU"/>
              </w:rPr>
              <w:t>- CV death costs applied to 50% of CV deaths</w:t>
            </w:r>
          </w:p>
        </w:tc>
        <w:tc>
          <w:tcPr>
            <w:tcW w:w="1259" w:type="dxa"/>
            <w:shd w:val="clear" w:color="000000" w:fill="FFFFFF"/>
            <w:vAlign w:val="center"/>
          </w:tcPr>
          <w:p w14:paraId="5F2FA0AA" w14:textId="77777777" w:rsidR="003476DA" w:rsidRPr="00CC7AA8" w:rsidRDefault="00CC7AA8" w:rsidP="003D7335">
            <w:pPr>
              <w:pStyle w:val="Tableheadingrow"/>
              <w:jc w:val="center"/>
              <w:rPr>
                <w:b w:val="0"/>
                <w:bCs/>
                <w:highlight w:val="black"/>
                <w:lang w:val="en-AU"/>
              </w:rPr>
            </w:pPr>
            <w:r>
              <w:rPr>
                <w:b w:val="0"/>
                <w:bCs/>
                <w:noProof/>
                <w:color w:val="000000"/>
                <w:szCs w:val="20"/>
                <w:highlight w:val="black"/>
              </w:rPr>
              <w:t>''''''''''''''''</w:t>
            </w:r>
          </w:p>
        </w:tc>
        <w:tc>
          <w:tcPr>
            <w:tcW w:w="1259" w:type="dxa"/>
            <w:shd w:val="clear" w:color="000000" w:fill="FFFFFF"/>
            <w:vAlign w:val="center"/>
          </w:tcPr>
          <w:p w14:paraId="41337146" w14:textId="77777777" w:rsidR="003476DA" w:rsidRPr="00DC2CE6" w:rsidRDefault="003476DA" w:rsidP="003D7335">
            <w:pPr>
              <w:pStyle w:val="Tableheadingrow"/>
              <w:jc w:val="center"/>
              <w:rPr>
                <w:b w:val="0"/>
                <w:bCs/>
                <w:lang w:val="en-AU"/>
              </w:rPr>
            </w:pPr>
            <w:r w:rsidRPr="00DC2CE6">
              <w:rPr>
                <w:b w:val="0"/>
                <w:bCs/>
                <w:color w:val="000000"/>
                <w:szCs w:val="20"/>
              </w:rPr>
              <w:t>0.1590</w:t>
            </w:r>
          </w:p>
        </w:tc>
        <w:tc>
          <w:tcPr>
            <w:tcW w:w="1259" w:type="dxa"/>
            <w:shd w:val="clear" w:color="000000" w:fill="FFFFFF"/>
            <w:vAlign w:val="center"/>
          </w:tcPr>
          <w:p w14:paraId="6D8D6A43" w14:textId="77777777" w:rsidR="003476DA" w:rsidRPr="00CC7AA8" w:rsidRDefault="00CC7AA8" w:rsidP="003D7335">
            <w:pPr>
              <w:pStyle w:val="Tableheadingrow"/>
              <w:jc w:val="center"/>
              <w:rPr>
                <w:b w:val="0"/>
                <w:bCs/>
                <w:lang w:val="en-AU"/>
              </w:rPr>
            </w:pPr>
            <w:r>
              <w:rPr>
                <w:b w:val="0"/>
                <w:bCs/>
                <w:noProof/>
                <w:color w:val="000000"/>
                <w:szCs w:val="20"/>
                <w:highlight w:val="black"/>
              </w:rPr>
              <w:t>''''''''''''''''</w:t>
            </w:r>
            <w:r w:rsidR="001810F2">
              <w:rPr>
                <w:b w:val="0"/>
                <w:bCs/>
                <w:color w:val="000000"/>
                <w:szCs w:val="20"/>
                <w:vertAlign w:val="superscript"/>
              </w:rPr>
              <w:t>1</w:t>
            </w:r>
          </w:p>
        </w:tc>
      </w:tr>
      <w:tr w:rsidR="003476DA" w:rsidRPr="00DC2CE6" w14:paraId="57B09E14" w14:textId="77777777" w:rsidTr="003D7335">
        <w:tc>
          <w:tcPr>
            <w:tcW w:w="5240" w:type="dxa"/>
          </w:tcPr>
          <w:p w14:paraId="5B5B4F74" w14:textId="77777777" w:rsidR="003476DA" w:rsidRPr="00DC2CE6" w:rsidRDefault="003476DA" w:rsidP="003D7335">
            <w:pPr>
              <w:pStyle w:val="Tableheadingrow"/>
              <w:rPr>
                <w:b w:val="0"/>
                <w:bCs/>
                <w:lang w:val="en-AU"/>
              </w:rPr>
            </w:pPr>
            <w:r w:rsidRPr="00DC2CE6">
              <w:rPr>
                <w:b w:val="0"/>
                <w:bCs/>
                <w:lang w:val="en-AU"/>
              </w:rPr>
              <w:t>- No CV death costs</w:t>
            </w:r>
          </w:p>
        </w:tc>
        <w:tc>
          <w:tcPr>
            <w:tcW w:w="1259" w:type="dxa"/>
            <w:shd w:val="clear" w:color="000000" w:fill="FFFFFF"/>
            <w:vAlign w:val="center"/>
          </w:tcPr>
          <w:p w14:paraId="5903E8E9" w14:textId="77777777" w:rsidR="003476DA" w:rsidRPr="00CC7AA8" w:rsidRDefault="00CC7AA8" w:rsidP="003D7335">
            <w:pPr>
              <w:pStyle w:val="Tableheadingrow"/>
              <w:jc w:val="center"/>
              <w:rPr>
                <w:b w:val="0"/>
                <w:bCs/>
                <w:highlight w:val="black"/>
                <w:lang w:val="en-AU"/>
              </w:rPr>
            </w:pPr>
            <w:r>
              <w:rPr>
                <w:b w:val="0"/>
                <w:bCs/>
                <w:noProof/>
                <w:color w:val="000000"/>
                <w:szCs w:val="20"/>
                <w:highlight w:val="black"/>
              </w:rPr>
              <w:t>'''''''''''''''</w:t>
            </w:r>
          </w:p>
        </w:tc>
        <w:tc>
          <w:tcPr>
            <w:tcW w:w="1259" w:type="dxa"/>
            <w:shd w:val="clear" w:color="000000" w:fill="FFFFFF"/>
            <w:vAlign w:val="center"/>
          </w:tcPr>
          <w:p w14:paraId="060B0F56" w14:textId="77777777" w:rsidR="003476DA" w:rsidRPr="00DC2CE6" w:rsidRDefault="003476DA" w:rsidP="003D7335">
            <w:pPr>
              <w:pStyle w:val="Tableheadingrow"/>
              <w:jc w:val="center"/>
              <w:rPr>
                <w:b w:val="0"/>
                <w:bCs/>
                <w:lang w:val="en-AU"/>
              </w:rPr>
            </w:pPr>
            <w:r w:rsidRPr="00DC2CE6">
              <w:rPr>
                <w:b w:val="0"/>
                <w:bCs/>
                <w:color w:val="000000"/>
                <w:szCs w:val="20"/>
              </w:rPr>
              <w:t>0.1590</w:t>
            </w:r>
          </w:p>
        </w:tc>
        <w:tc>
          <w:tcPr>
            <w:tcW w:w="1259" w:type="dxa"/>
            <w:shd w:val="clear" w:color="000000" w:fill="FFFFFF"/>
            <w:vAlign w:val="center"/>
          </w:tcPr>
          <w:p w14:paraId="7157FDCD" w14:textId="77777777" w:rsidR="003476DA" w:rsidRPr="00CC7AA8" w:rsidRDefault="00CC7AA8" w:rsidP="003D7335">
            <w:pPr>
              <w:pStyle w:val="Tableheadingrow"/>
              <w:jc w:val="center"/>
              <w:rPr>
                <w:b w:val="0"/>
                <w:bCs/>
                <w:lang w:val="en-AU"/>
              </w:rPr>
            </w:pPr>
            <w:r>
              <w:rPr>
                <w:b w:val="0"/>
                <w:bCs/>
                <w:noProof/>
                <w:color w:val="000000"/>
                <w:szCs w:val="20"/>
                <w:highlight w:val="black"/>
              </w:rPr>
              <w:t>''''''''''''''''</w:t>
            </w:r>
            <w:r w:rsidR="001810F2">
              <w:rPr>
                <w:b w:val="0"/>
                <w:bCs/>
                <w:color w:val="000000"/>
                <w:szCs w:val="20"/>
                <w:vertAlign w:val="superscript"/>
              </w:rPr>
              <w:t>1</w:t>
            </w:r>
          </w:p>
        </w:tc>
      </w:tr>
      <w:tr w:rsidR="003476DA" w:rsidRPr="00DC2CE6" w14:paraId="6AC23BD3" w14:textId="77777777" w:rsidTr="003D7335">
        <w:tc>
          <w:tcPr>
            <w:tcW w:w="9017" w:type="dxa"/>
            <w:gridSpan w:val="4"/>
          </w:tcPr>
          <w:p w14:paraId="2DAD41CE" w14:textId="77777777" w:rsidR="003476DA" w:rsidRPr="00DC2CE6" w:rsidRDefault="003476DA" w:rsidP="003D7335">
            <w:pPr>
              <w:pStyle w:val="Tableheadingrow"/>
              <w:rPr>
                <w:lang w:val="en-AU"/>
              </w:rPr>
            </w:pPr>
            <w:r w:rsidRPr="00DC2CE6">
              <w:rPr>
                <w:lang w:val="en-AU"/>
              </w:rPr>
              <w:t>Health state utilities (base case estimates from EMPEROR-Reduced, with general population utility correction)</w:t>
            </w:r>
          </w:p>
        </w:tc>
      </w:tr>
      <w:tr w:rsidR="003476DA" w:rsidRPr="00DC2CE6" w14:paraId="00F62772" w14:textId="77777777" w:rsidTr="003D7335">
        <w:tc>
          <w:tcPr>
            <w:tcW w:w="5240" w:type="dxa"/>
          </w:tcPr>
          <w:p w14:paraId="387DEC23" w14:textId="77777777" w:rsidR="003476DA" w:rsidRPr="00DC2CE6" w:rsidRDefault="003476DA" w:rsidP="003D7335">
            <w:pPr>
              <w:pStyle w:val="Tableheadingrow"/>
              <w:rPr>
                <w:b w:val="0"/>
                <w:bCs/>
                <w:lang w:val="en-AU"/>
              </w:rPr>
            </w:pPr>
            <w:r w:rsidRPr="00DC2CE6">
              <w:rPr>
                <w:b w:val="0"/>
                <w:bCs/>
                <w:lang w:val="en-AU"/>
              </w:rPr>
              <w:t>- EMPEROR-Reduced estimates, no general population correction</w:t>
            </w:r>
          </w:p>
        </w:tc>
        <w:tc>
          <w:tcPr>
            <w:tcW w:w="1259" w:type="dxa"/>
            <w:shd w:val="clear" w:color="000000" w:fill="FFFFFF"/>
            <w:vAlign w:val="center"/>
          </w:tcPr>
          <w:p w14:paraId="51D8D66D" w14:textId="77777777" w:rsidR="003476DA" w:rsidRPr="00CC7AA8" w:rsidRDefault="00CC7AA8" w:rsidP="003D7335">
            <w:pPr>
              <w:pStyle w:val="Tableheadingrow"/>
              <w:jc w:val="center"/>
              <w:rPr>
                <w:b w:val="0"/>
                <w:bCs/>
                <w:highlight w:val="black"/>
                <w:lang w:val="en-AU"/>
              </w:rPr>
            </w:pPr>
            <w:r>
              <w:rPr>
                <w:b w:val="0"/>
                <w:bCs/>
                <w:noProof/>
                <w:color w:val="000000"/>
                <w:szCs w:val="20"/>
                <w:highlight w:val="black"/>
              </w:rPr>
              <w:t>'''''''''''''''</w:t>
            </w:r>
          </w:p>
        </w:tc>
        <w:tc>
          <w:tcPr>
            <w:tcW w:w="1259" w:type="dxa"/>
            <w:shd w:val="clear" w:color="000000" w:fill="FFFFFF"/>
            <w:vAlign w:val="center"/>
          </w:tcPr>
          <w:p w14:paraId="06A6FA07" w14:textId="77777777" w:rsidR="003476DA" w:rsidRPr="00DC2CE6" w:rsidRDefault="003476DA" w:rsidP="003D7335">
            <w:pPr>
              <w:pStyle w:val="Tableheadingrow"/>
              <w:jc w:val="center"/>
              <w:rPr>
                <w:b w:val="0"/>
                <w:bCs/>
                <w:lang w:val="en-AU"/>
              </w:rPr>
            </w:pPr>
            <w:r w:rsidRPr="00DC2CE6">
              <w:rPr>
                <w:b w:val="0"/>
                <w:bCs/>
                <w:color w:val="000000"/>
                <w:szCs w:val="20"/>
              </w:rPr>
              <w:t>0.1700</w:t>
            </w:r>
          </w:p>
        </w:tc>
        <w:tc>
          <w:tcPr>
            <w:tcW w:w="1259" w:type="dxa"/>
            <w:shd w:val="clear" w:color="000000" w:fill="FFFFFF"/>
            <w:vAlign w:val="center"/>
          </w:tcPr>
          <w:p w14:paraId="4ED29DA2" w14:textId="77777777" w:rsidR="003476DA" w:rsidRPr="00CC7AA8" w:rsidRDefault="00CC7AA8" w:rsidP="003D7335">
            <w:pPr>
              <w:pStyle w:val="Tableheadingrow"/>
              <w:jc w:val="center"/>
              <w:rPr>
                <w:b w:val="0"/>
                <w:bCs/>
                <w:lang w:val="en-AU"/>
              </w:rPr>
            </w:pPr>
            <w:r>
              <w:rPr>
                <w:b w:val="0"/>
                <w:bCs/>
                <w:noProof/>
                <w:color w:val="000000"/>
                <w:szCs w:val="20"/>
                <w:highlight w:val="black"/>
              </w:rPr>
              <w:t>'''''''''''''''''</w:t>
            </w:r>
            <w:r w:rsidR="00A12F27">
              <w:rPr>
                <w:b w:val="0"/>
                <w:bCs/>
                <w:color w:val="000000"/>
                <w:szCs w:val="20"/>
                <w:vertAlign w:val="superscript"/>
              </w:rPr>
              <w:t>1</w:t>
            </w:r>
          </w:p>
        </w:tc>
      </w:tr>
      <w:tr w:rsidR="003476DA" w:rsidRPr="00DC2CE6" w14:paraId="17D5AFAD" w14:textId="77777777" w:rsidTr="003D7335">
        <w:tc>
          <w:tcPr>
            <w:tcW w:w="5240" w:type="dxa"/>
          </w:tcPr>
          <w:p w14:paraId="7E5400D9" w14:textId="77777777" w:rsidR="003476DA" w:rsidRPr="00DC2CE6" w:rsidRDefault="003476DA" w:rsidP="003D7335">
            <w:pPr>
              <w:pStyle w:val="Tableheadingrow"/>
              <w:rPr>
                <w:b w:val="0"/>
                <w:bCs/>
                <w:lang w:val="en-AU"/>
              </w:rPr>
            </w:pPr>
            <w:r w:rsidRPr="00DC2CE6">
              <w:rPr>
                <w:b w:val="0"/>
                <w:bCs/>
                <w:lang w:val="en-AU"/>
              </w:rPr>
              <w:t>- NICE dapagliflozin estimates (general population correction)</w:t>
            </w:r>
          </w:p>
        </w:tc>
        <w:tc>
          <w:tcPr>
            <w:tcW w:w="1259" w:type="dxa"/>
            <w:shd w:val="clear" w:color="000000" w:fill="FFFFFF"/>
            <w:vAlign w:val="center"/>
          </w:tcPr>
          <w:p w14:paraId="77B18D20" w14:textId="77777777" w:rsidR="003476DA" w:rsidRPr="00CC7AA8" w:rsidRDefault="00CC7AA8" w:rsidP="003D7335">
            <w:pPr>
              <w:pStyle w:val="Tableheadingrow"/>
              <w:jc w:val="center"/>
              <w:rPr>
                <w:b w:val="0"/>
                <w:bCs/>
                <w:highlight w:val="black"/>
                <w:lang w:val="en-AU"/>
              </w:rPr>
            </w:pPr>
            <w:r>
              <w:rPr>
                <w:b w:val="0"/>
                <w:bCs/>
                <w:noProof/>
                <w:color w:val="000000"/>
                <w:szCs w:val="20"/>
                <w:highlight w:val="black"/>
              </w:rPr>
              <w:t>''''''''''''''''</w:t>
            </w:r>
          </w:p>
        </w:tc>
        <w:tc>
          <w:tcPr>
            <w:tcW w:w="1259" w:type="dxa"/>
            <w:shd w:val="clear" w:color="000000" w:fill="FFFFFF"/>
            <w:vAlign w:val="center"/>
          </w:tcPr>
          <w:p w14:paraId="717FF996" w14:textId="77777777" w:rsidR="003476DA" w:rsidRPr="00DC2CE6" w:rsidRDefault="003476DA" w:rsidP="003D7335">
            <w:pPr>
              <w:pStyle w:val="Tableheadingrow"/>
              <w:jc w:val="center"/>
              <w:rPr>
                <w:b w:val="0"/>
                <w:bCs/>
                <w:lang w:val="en-AU"/>
              </w:rPr>
            </w:pPr>
            <w:r w:rsidRPr="00DC2CE6">
              <w:rPr>
                <w:b w:val="0"/>
                <w:bCs/>
                <w:color w:val="000000"/>
                <w:szCs w:val="20"/>
              </w:rPr>
              <w:t>0.1576</w:t>
            </w:r>
          </w:p>
        </w:tc>
        <w:tc>
          <w:tcPr>
            <w:tcW w:w="1259" w:type="dxa"/>
            <w:shd w:val="clear" w:color="000000" w:fill="FFFFFF"/>
            <w:vAlign w:val="center"/>
          </w:tcPr>
          <w:p w14:paraId="5596DE29" w14:textId="77777777" w:rsidR="003476DA" w:rsidRPr="00CC7AA8" w:rsidRDefault="00CC7AA8" w:rsidP="003D7335">
            <w:pPr>
              <w:pStyle w:val="Tableheadingrow"/>
              <w:jc w:val="center"/>
              <w:rPr>
                <w:b w:val="0"/>
                <w:bCs/>
                <w:lang w:val="en-AU"/>
              </w:rPr>
            </w:pPr>
            <w:r>
              <w:rPr>
                <w:b w:val="0"/>
                <w:bCs/>
                <w:noProof/>
                <w:color w:val="000000"/>
                <w:szCs w:val="20"/>
                <w:highlight w:val="black"/>
              </w:rPr>
              <w:t>'''''''''''''''</w:t>
            </w:r>
            <w:r w:rsidR="00A12F27">
              <w:rPr>
                <w:b w:val="0"/>
                <w:bCs/>
                <w:color w:val="000000"/>
                <w:szCs w:val="20"/>
                <w:vertAlign w:val="superscript"/>
              </w:rPr>
              <w:t>1</w:t>
            </w:r>
          </w:p>
        </w:tc>
      </w:tr>
      <w:tr w:rsidR="003476DA" w:rsidRPr="00DC2CE6" w14:paraId="3F801948" w14:textId="77777777" w:rsidTr="003D7335">
        <w:tc>
          <w:tcPr>
            <w:tcW w:w="5240" w:type="dxa"/>
          </w:tcPr>
          <w:p w14:paraId="7BC13F15" w14:textId="77777777" w:rsidR="003476DA" w:rsidRPr="00DC2CE6" w:rsidRDefault="003476DA" w:rsidP="003D7335">
            <w:pPr>
              <w:pStyle w:val="Tableheadingrow"/>
              <w:rPr>
                <w:b w:val="0"/>
                <w:bCs/>
                <w:lang w:val="en-AU"/>
              </w:rPr>
            </w:pPr>
            <w:r w:rsidRPr="00DC2CE6">
              <w:rPr>
                <w:b w:val="0"/>
                <w:bCs/>
                <w:lang w:val="en-AU"/>
              </w:rPr>
              <w:t>- NICE dapagliflozin estimates (no general population correction)</w:t>
            </w:r>
          </w:p>
        </w:tc>
        <w:tc>
          <w:tcPr>
            <w:tcW w:w="1259" w:type="dxa"/>
            <w:shd w:val="clear" w:color="000000" w:fill="FFFFFF"/>
            <w:vAlign w:val="center"/>
          </w:tcPr>
          <w:p w14:paraId="3F9E1485" w14:textId="77777777" w:rsidR="003476DA" w:rsidRPr="00CC7AA8" w:rsidRDefault="00CC7AA8" w:rsidP="003D7335">
            <w:pPr>
              <w:pStyle w:val="Tableheadingrow"/>
              <w:jc w:val="center"/>
              <w:rPr>
                <w:b w:val="0"/>
                <w:bCs/>
                <w:highlight w:val="black"/>
                <w:lang w:val="en-AU"/>
              </w:rPr>
            </w:pPr>
            <w:r>
              <w:rPr>
                <w:b w:val="0"/>
                <w:bCs/>
                <w:noProof/>
                <w:color w:val="000000"/>
                <w:szCs w:val="20"/>
                <w:highlight w:val="black"/>
              </w:rPr>
              <w:t>'''''''''''''''</w:t>
            </w:r>
          </w:p>
        </w:tc>
        <w:tc>
          <w:tcPr>
            <w:tcW w:w="1259" w:type="dxa"/>
            <w:shd w:val="clear" w:color="000000" w:fill="FFFFFF"/>
            <w:vAlign w:val="center"/>
          </w:tcPr>
          <w:p w14:paraId="2E8610F4" w14:textId="77777777" w:rsidR="003476DA" w:rsidRPr="00DC2CE6" w:rsidRDefault="003476DA" w:rsidP="003D7335">
            <w:pPr>
              <w:pStyle w:val="Tableheadingrow"/>
              <w:jc w:val="center"/>
              <w:rPr>
                <w:b w:val="0"/>
                <w:bCs/>
                <w:lang w:val="en-AU"/>
              </w:rPr>
            </w:pPr>
            <w:r w:rsidRPr="00DC2CE6">
              <w:rPr>
                <w:b w:val="0"/>
                <w:bCs/>
                <w:color w:val="000000"/>
                <w:szCs w:val="20"/>
              </w:rPr>
              <w:t>0.1653</w:t>
            </w:r>
          </w:p>
        </w:tc>
        <w:tc>
          <w:tcPr>
            <w:tcW w:w="1259" w:type="dxa"/>
            <w:shd w:val="clear" w:color="000000" w:fill="FFFFFF"/>
            <w:vAlign w:val="center"/>
          </w:tcPr>
          <w:p w14:paraId="684523ED" w14:textId="77777777" w:rsidR="003476DA" w:rsidRPr="00CC7AA8" w:rsidRDefault="00CC7AA8" w:rsidP="003D7335">
            <w:pPr>
              <w:pStyle w:val="Tableheadingrow"/>
              <w:jc w:val="center"/>
              <w:rPr>
                <w:b w:val="0"/>
                <w:bCs/>
                <w:lang w:val="en-AU"/>
              </w:rPr>
            </w:pPr>
            <w:r>
              <w:rPr>
                <w:b w:val="0"/>
                <w:bCs/>
                <w:noProof/>
                <w:color w:val="000000"/>
                <w:szCs w:val="20"/>
                <w:highlight w:val="black"/>
              </w:rPr>
              <w:t>'''''''''''''''''</w:t>
            </w:r>
            <w:r w:rsidR="00A12F27">
              <w:rPr>
                <w:b w:val="0"/>
                <w:bCs/>
                <w:color w:val="000000"/>
                <w:szCs w:val="20"/>
                <w:vertAlign w:val="superscript"/>
              </w:rPr>
              <w:t>1</w:t>
            </w:r>
          </w:p>
        </w:tc>
      </w:tr>
      <w:tr w:rsidR="003476DA" w:rsidRPr="00DC2CE6" w14:paraId="0BDE2AF9" w14:textId="77777777" w:rsidTr="003D7335">
        <w:tc>
          <w:tcPr>
            <w:tcW w:w="9017" w:type="dxa"/>
            <w:gridSpan w:val="4"/>
          </w:tcPr>
          <w:p w14:paraId="3056C55C" w14:textId="77777777" w:rsidR="003476DA" w:rsidRPr="00DC2CE6" w:rsidRDefault="003476DA" w:rsidP="003D7335">
            <w:pPr>
              <w:pStyle w:val="Tableheadingrow"/>
              <w:rPr>
                <w:lang w:val="en-AU"/>
              </w:rPr>
            </w:pPr>
            <w:r w:rsidRPr="00DC2CE6">
              <w:rPr>
                <w:lang w:val="en-AU"/>
              </w:rPr>
              <w:t>Heart failure hospitalisation QALY loss (base case 0.24591, incorrectly applied as 0.2143)</w:t>
            </w:r>
          </w:p>
        </w:tc>
      </w:tr>
      <w:tr w:rsidR="003476DA" w:rsidRPr="00DC2CE6" w14:paraId="7F7522A1" w14:textId="77777777" w:rsidTr="003D7335">
        <w:tc>
          <w:tcPr>
            <w:tcW w:w="5240" w:type="dxa"/>
          </w:tcPr>
          <w:p w14:paraId="6523500C" w14:textId="77777777" w:rsidR="003476DA" w:rsidRPr="00DC2CE6" w:rsidRDefault="003476DA" w:rsidP="003D7335">
            <w:pPr>
              <w:pStyle w:val="TableText"/>
            </w:pPr>
            <w:r w:rsidRPr="00DC2CE6">
              <w:t>- correcting error in referencing cells (QALY loss 0.2492)</w:t>
            </w:r>
            <w:r w:rsidR="00DC2CE6" w:rsidRPr="00DC2CE6">
              <w:t xml:space="preserve"> </w:t>
            </w:r>
            <w:r w:rsidR="00DC2CE6" w:rsidRPr="00DC2CE6">
              <w:rPr>
                <w:b/>
                <w:bCs w:val="0"/>
                <w:vertAlign w:val="superscript"/>
              </w:rPr>
              <w:t>a</w:t>
            </w:r>
          </w:p>
        </w:tc>
        <w:tc>
          <w:tcPr>
            <w:tcW w:w="1259" w:type="dxa"/>
            <w:shd w:val="clear" w:color="000000" w:fill="FFFFFF"/>
            <w:vAlign w:val="center"/>
          </w:tcPr>
          <w:p w14:paraId="16C2C20A" w14:textId="77777777" w:rsidR="003476DA" w:rsidRPr="00CC7AA8" w:rsidRDefault="00CC7AA8" w:rsidP="003D7335">
            <w:pPr>
              <w:pStyle w:val="Tableheadingrow"/>
              <w:jc w:val="center"/>
              <w:rPr>
                <w:b w:val="0"/>
                <w:bCs/>
                <w:highlight w:val="black"/>
                <w:lang w:val="en-AU"/>
              </w:rPr>
            </w:pPr>
            <w:r>
              <w:rPr>
                <w:b w:val="0"/>
                <w:bCs/>
                <w:noProof/>
                <w:color w:val="000000"/>
                <w:szCs w:val="20"/>
                <w:highlight w:val="black"/>
              </w:rPr>
              <w:t>''''''''''''''''</w:t>
            </w:r>
          </w:p>
        </w:tc>
        <w:tc>
          <w:tcPr>
            <w:tcW w:w="1259" w:type="dxa"/>
            <w:shd w:val="clear" w:color="000000" w:fill="FFFFFF"/>
            <w:vAlign w:val="center"/>
          </w:tcPr>
          <w:p w14:paraId="489ABFC4" w14:textId="77777777" w:rsidR="003476DA" w:rsidRPr="00DC2CE6" w:rsidRDefault="003476DA" w:rsidP="003D7335">
            <w:pPr>
              <w:pStyle w:val="Tableheadingrow"/>
              <w:jc w:val="center"/>
              <w:rPr>
                <w:b w:val="0"/>
                <w:bCs/>
                <w:lang w:val="en-AU"/>
              </w:rPr>
            </w:pPr>
            <w:r w:rsidRPr="00DC2CE6">
              <w:rPr>
                <w:b w:val="0"/>
                <w:bCs/>
                <w:color w:val="000000"/>
                <w:szCs w:val="20"/>
              </w:rPr>
              <w:t>0.1651</w:t>
            </w:r>
          </w:p>
        </w:tc>
        <w:tc>
          <w:tcPr>
            <w:tcW w:w="1259" w:type="dxa"/>
            <w:shd w:val="clear" w:color="000000" w:fill="FFFFFF"/>
            <w:vAlign w:val="center"/>
          </w:tcPr>
          <w:p w14:paraId="73BB9CA4" w14:textId="77777777" w:rsidR="003476DA" w:rsidRPr="00CC7AA8" w:rsidRDefault="00CC7AA8" w:rsidP="003D7335">
            <w:pPr>
              <w:pStyle w:val="Tableheadingrow"/>
              <w:jc w:val="center"/>
              <w:rPr>
                <w:b w:val="0"/>
                <w:bCs/>
                <w:lang w:val="en-AU"/>
              </w:rPr>
            </w:pPr>
            <w:r>
              <w:rPr>
                <w:b w:val="0"/>
                <w:bCs/>
                <w:noProof/>
                <w:color w:val="000000"/>
                <w:szCs w:val="20"/>
                <w:highlight w:val="black"/>
              </w:rPr>
              <w:t>'''''''''''''''</w:t>
            </w:r>
            <w:r w:rsidR="00A12F27">
              <w:rPr>
                <w:b w:val="0"/>
                <w:bCs/>
                <w:color w:val="000000"/>
                <w:szCs w:val="20"/>
                <w:vertAlign w:val="superscript"/>
              </w:rPr>
              <w:t>1</w:t>
            </w:r>
          </w:p>
        </w:tc>
      </w:tr>
      <w:tr w:rsidR="003476DA" w:rsidRPr="00DC2CE6" w14:paraId="26D93580" w14:textId="77777777" w:rsidTr="003D7335">
        <w:tc>
          <w:tcPr>
            <w:tcW w:w="5240" w:type="dxa"/>
          </w:tcPr>
          <w:p w14:paraId="4BBE7FC9" w14:textId="77777777" w:rsidR="003476DA" w:rsidRPr="00DC2CE6" w:rsidRDefault="003476DA" w:rsidP="003D7335">
            <w:pPr>
              <w:pStyle w:val="TableText"/>
            </w:pPr>
            <w:r w:rsidRPr="00DC2CE6">
              <w:t>- alternative estimate (QALY loss 0.0205)</w:t>
            </w:r>
            <w:r w:rsidR="00DC2CE6" w:rsidRPr="00DC2CE6">
              <w:rPr>
                <w:b/>
                <w:bCs w:val="0"/>
                <w:vertAlign w:val="superscript"/>
              </w:rPr>
              <w:t xml:space="preserve"> a</w:t>
            </w:r>
          </w:p>
        </w:tc>
        <w:tc>
          <w:tcPr>
            <w:tcW w:w="1259" w:type="dxa"/>
            <w:shd w:val="clear" w:color="000000" w:fill="FFFFFF"/>
            <w:vAlign w:val="center"/>
          </w:tcPr>
          <w:p w14:paraId="66392140" w14:textId="77777777" w:rsidR="003476DA" w:rsidRPr="00CC7AA8" w:rsidRDefault="00CC7AA8" w:rsidP="003D7335">
            <w:pPr>
              <w:pStyle w:val="Tableheadingrow"/>
              <w:jc w:val="center"/>
              <w:rPr>
                <w:b w:val="0"/>
                <w:bCs/>
                <w:highlight w:val="black"/>
                <w:lang w:val="en-AU"/>
              </w:rPr>
            </w:pPr>
            <w:r>
              <w:rPr>
                <w:b w:val="0"/>
                <w:bCs/>
                <w:noProof/>
                <w:color w:val="000000"/>
                <w:szCs w:val="20"/>
                <w:highlight w:val="black"/>
              </w:rPr>
              <w:t>'''''''''''''''</w:t>
            </w:r>
          </w:p>
        </w:tc>
        <w:tc>
          <w:tcPr>
            <w:tcW w:w="1259" w:type="dxa"/>
            <w:shd w:val="clear" w:color="000000" w:fill="FFFFFF"/>
            <w:vAlign w:val="center"/>
          </w:tcPr>
          <w:p w14:paraId="38BD8F48" w14:textId="77777777" w:rsidR="003476DA" w:rsidRPr="00DC2CE6" w:rsidRDefault="003476DA" w:rsidP="003D7335">
            <w:pPr>
              <w:pStyle w:val="Tableheadingrow"/>
              <w:jc w:val="center"/>
              <w:rPr>
                <w:b w:val="0"/>
                <w:bCs/>
                <w:lang w:val="en-AU"/>
              </w:rPr>
            </w:pPr>
            <w:r w:rsidRPr="00DC2CE6">
              <w:rPr>
                <w:b w:val="0"/>
                <w:bCs/>
                <w:color w:val="000000"/>
                <w:szCs w:val="20"/>
              </w:rPr>
              <w:t>0.1220</w:t>
            </w:r>
          </w:p>
        </w:tc>
        <w:tc>
          <w:tcPr>
            <w:tcW w:w="1259" w:type="dxa"/>
            <w:shd w:val="clear" w:color="000000" w:fill="FFFFFF"/>
            <w:vAlign w:val="center"/>
          </w:tcPr>
          <w:p w14:paraId="5B2EA0BC" w14:textId="77777777" w:rsidR="003476DA" w:rsidRPr="00CC7AA8" w:rsidRDefault="00CC7AA8" w:rsidP="003D7335">
            <w:pPr>
              <w:pStyle w:val="Tableheadingrow"/>
              <w:jc w:val="center"/>
              <w:rPr>
                <w:b w:val="0"/>
                <w:bCs/>
                <w:lang w:val="en-AU"/>
              </w:rPr>
            </w:pPr>
            <w:r>
              <w:rPr>
                <w:b w:val="0"/>
                <w:bCs/>
                <w:noProof/>
                <w:color w:val="000000"/>
                <w:szCs w:val="20"/>
                <w:highlight w:val="black"/>
              </w:rPr>
              <w:t>''''''''''''''''</w:t>
            </w:r>
            <w:r w:rsidR="00A12F27">
              <w:rPr>
                <w:b w:val="0"/>
                <w:bCs/>
                <w:color w:val="000000"/>
                <w:szCs w:val="20"/>
                <w:vertAlign w:val="superscript"/>
              </w:rPr>
              <w:t>1</w:t>
            </w:r>
          </w:p>
        </w:tc>
      </w:tr>
      <w:tr w:rsidR="003476DA" w:rsidRPr="00DC2CE6" w14:paraId="71A05F28" w14:textId="77777777" w:rsidTr="003D7335">
        <w:tc>
          <w:tcPr>
            <w:tcW w:w="5240" w:type="dxa"/>
          </w:tcPr>
          <w:p w14:paraId="75E623DF" w14:textId="77777777" w:rsidR="003476DA" w:rsidRPr="00DC2CE6" w:rsidRDefault="003476DA" w:rsidP="003D7335">
            <w:pPr>
              <w:pStyle w:val="TableText"/>
            </w:pPr>
            <w:r w:rsidRPr="00DC2CE6">
              <w:t>- 50% reduction (QALY loss 0.1230)</w:t>
            </w:r>
            <w:r w:rsidR="00DC2CE6" w:rsidRPr="00DC2CE6">
              <w:rPr>
                <w:b/>
                <w:bCs w:val="0"/>
                <w:vertAlign w:val="superscript"/>
              </w:rPr>
              <w:t xml:space="preserve"> a</w:t>
            </w:r>
          </w:p>
        </w:tc>
        <w:tc>
          <w:tcPr>
            <w:tcW w:w="1259" w:type="dxa"/>
            <w:vAlign w:val="center"/>
          </w:tcPr>
          <w:p w14:paraId="18FB20F1" w14:textId="77777777" w:rsidR="003476DA" w:rsidRPr="00CC7AA8" w:rsidRDefault="00CC7AA8" w:rsidP="003D7335">
            <w:pPr>
              <w:pStyle w:val="Tableheadingrow"/>
              <w:jc w:val="center"/>
              <w:rPr>
                <w:b w:val="0"/>
                <w:bCs/>
                <w:highlight w:val="black"/>
                <w:lang w:val="en-AU"/>
              </w:rPr>
            </w:pPr>
            <w:r>
              <w:rPr>
                <w:b w:val="0"/>
                <w:bCs/>
                <w:noProof/>
                <w:color w:val="000000"/>
                <w:szCs w:val="20"/>
                <w:highlight w:val="black"/>
              </w:rPr>
              <w:t>'''''''''''''''</w:t>
            </w:r>
          </w:p>
        </w:tc>
        <w:tc>
          <w:tcPr>
            <w:tcW w:w="1259" w:type="dxa"/>
            <w:vAlign w:val="center"/>
          </w:tcPr>
          <w:p w14:paraId="752B8BFF" w14:textId="77777777" w:rsidR="003476DA" w:rsidRPr="00DC2CE6" w:rsidRDefault="003476DA" w:rsidP="003D7335">
            <w:pPr>
              <w:pStyle w:val="Tableheadingrow"/>
              <w:jc w:val="center"/>
              <w:rPr>
                <w:b w:val="0"/>
                <w:bCs/>
                <w:lang w:val="en-AU"/>
              </w:rPr>
            </w:pPr>
            <w:r w:rsidRPr="00DC2CE6">
              <w:rPr>
                <w:b w:val="0"/>
                <w:bCs/>
                <w:color w:val="000000"/>
                <w:szCs w:val="20"/>
              </w:rPr>
              <w:t>0.1416</w:t>
            </w:r>
          </w:p>
        </w:tc>
        <w:tc>
          <w:tcPr>
            <w:tcW w:w="1259" w:type="dxa"/>
            <w:vAlign w:val="center"/>
          </w:tcPr>
          <w:p w14:paraId="22A6BCA9" w14:textId="77777777" w:rsidR="003476DA" w:rsidRPr="00CC7AA8" w:rsidRDefault="00CC7AA8" w:rsidP="003D7335">
            <w:pPr>
              <w:pStyle w:val="Tableheadingrow"/>
              <w:jc w:val="center"/>
              <w:rPr>
                <w:b w:val="0"/>
                <w:bCs/>
                <w:lang w:val="en-AU"/>
              </w:rPr>
            </w:pPr>
            <w:r>
              <w:rPr>
                <w:b w:val="0"/>
                <w:bCs/>
                <w:noProof/>
                <w:color w:val="000000"/>
                <w:szCs w:val="20"/>
                <w:highlight w:val="black"/>
              </w:rPr>
              <w:t>'''''''''''''''''</w:t>
            </w:r>
            <w:r w:rsidR="00A12F27">
              <w:rPr>
                <w:b w:val="0"/>
                <w:bCs/>
                <w:color w:val="000000"/>
                <w:szCs w:val="20"/>
                <w:vertAlign w:val="superscript"/>
              </w:rPr>
              <w:t>1</w:t>
            </w:r>
          </w:p>
        </w:tc>
      </w:tr>
      <w:tr w:rsidR="003476DA" w:rsidRPr="00DC2CE6" w14:paraId="2651EE84" w14:textId="77777777" w:rsidTr="003D7335">
        <w:tc>
          <w:tcPr>
            <w:tcW w:w="5240" w:type="dxa"/>
          </w:tcPr>
          <w:p w14:paraId="306F717A" w14:textId="77777777" w:rsidR="003476DA" w:rsidRPr="00DC2CE6" w:rsidRDefault="003476DA" w:rsidP="003D7335">
            <w:pPr>
              <w:pStyle w:val="TableText"/>
            </w:pPr>
            <w:r w:rsidRPr="00DC2CE6">
              <w:t>- 75% reduction (QALY loss 0.0615)</w:t>
            </w:r>
            <w:r w:rsidR="00DC2CE6" w:rsidRPr="00DC2CE6">
              <w:t xml:space="preserve"> </w:t>
            </w:r>
            <w:r w:rsidR="00DC2CE6" w:rsidRPr="00DC2CE6">
              <w:rPr>
                <w:b/>
                <w:bCs w:val="0"/>
                <w:vertAlign w:val="superscript"/>
              </w:rPr>
              <w:t>a</w:t>
            </w:r>
          </w:p>
        </w:tc>
        <w:tc>
          <w:tcPr>
            <w:tcW w:w="1259" w:type="dxa"/>
            <w:shd w:val="clear" w:color="000000" w:fill="FFFFFF"/>
            <w:vAlign w:val="center"/>
          </w:tcPr>
          <w:p w14:paraId="3E61172F" w14:textId="77777777" w:rsidR="003476DA" w:rsidRPr="00CC7AA8" w:rsidRDefault="00CC7AA8" w:rsidP="003D7335">
            <w:pPr>
              <w:pStyle w:val="Tableheadingrow"/>
              <w:jc w:val="center"/>
              <w:rPr>
                <w:b w:val="0"/>
                <w:bCs/>
                <w:highlight w:val="black"/>
                <w:lang w:val="en-AU"/>
              </w:rPr>
            </w:pPr>
            <w:r>
              <w:rPr>
                <w:b w:val="0"/>
                <w:bCs/>
                <w:noProof/>
                <w:color w:val="000000"/>
                <w:szCs w:val="20"/>
                <w:highlight w:val="black"/>
              </w:rPr>
              <w:t>'''''''''''''''</w:t>
            </w:r>
          </w:p>
        </w:tc>
        <w:tc>
          <w:tcPr>
            <w:tcW w:w="1259" w:type="dxa"/>
            <w:shd w:val="clear" w:color="000000" w:fill="FFFFFF"/>
            <w:vAlign w:val="center"/>
          </w:tcPr>
          <w:p w14:paraId="2DC332F4" w14:textId="77777777" w:rsidR="003476DA" w:rsidRPr="00DC2CE6" w:rsidRDefault="003476DA" w:rsidP="003D7335">
            <w:pPr>
              <w:pStyle w:val="Tableheadingrow"/>
              <w:jc w:val="center"/>
              <w:rPr>
                <w:b w:val="0"/>
                <w:bCs/>
                <w:lang w:val="en-AU"/>
              </w:rPr>
            </w:pPr>
            <w:r w:rsidRPr="00DC2CE6">
              <w:rPr>
                <w:b w:val="0"/>
                <w:bCs/>
                <w:color w:val="000000"/>
                <w:szCs w:val="20"/>
              </w:rPr>
              <w:t>0.1298</w:t>
            </w:r>
          </w:p>
        </w:tc>
        <w:tc>
          <w:tcPr>
            <w:tcW w:w="1259" w:type="dxa"/>
            <w:shd w:val="clear" w:color="000000" w:fill="FFFFFF"/>
            <w:vAlign w:val="center"/>
          </w:tcPr>
          <w:p w14:paraId="34867C0E" w14:textId="77777777" w:rsidR="003476DA" w:rsidRPr="00CC7AA8" w:rsidRDefault="00CC7AA8" w:rsidP="003D7335">
            <w:pPr>
              <w:pStyle w:val="Tableheadingrow"/>
              <w:jc w:val="center"/>
              <w:rPr>
                <w:b w:val="0"/>
                <w:bCs/>
                <w:lang w:val="en-AU"/>
              </w:rPr>
            </w:pPr>
            <w:r>
              <w:rPr>
                <w:b w:val="0"/>
                <w:bCs/>
                <w:noProof/>
                <w:color w:val="000000"/>
                <w:szCs w:val="20"/>
                <w:highlight w:val="black"/>
              </w:rPr>
              <w:t>'''''''''''''''</w:t>
            </w:r>
            <w:r w:rsidR="00A12F27">
              <w:rPr>
                <w:b w:val="0"/>
                <w:bCs/>
                <w:color w:val="000000"/>
                <w:szCs w:val="20"/>
                <w:vertAlign w:val="superscript"/>
              </w:rPr>
              <w:t>1</w:t>
            </w:r>
          </w:p>
        </w:tc>
      </w:tr>
      <w:tr w:rsidR="003D7335" w:rsidRPr="00DC2CE6" w14:paraId="730117E6" w14:textId="77777777" w:rsidTr="003D7335">
        <w:tc>
          <w:tcPr>
            <w:tcW w:w="9017" w:type="dxa"/>
            <w:gridSpan w:val="4"/>
            <w:tcBorders>
              <w:top w:val="single" w:sz="4" w:space="0" w:color="auto"/>
              <w:left w:val="single" w:sz="4" w:space="0" w:color="auto"/>
              <w:bottom w:val="single" w:sz="4" w:space="0" w:color="auto"/>
              <w:right w:val="single" w:sz="4" w:space="0" w:color="auto"/>
            </w:tcBorders>
            <w:hideMark/>
          </w:tcPr>
          <w:p w14:paraId="30381818" w14:textId="77777777" w:rsidR="003D7335" w:rsidRPr="00DC2CE6" w:rsidRDefault="003D7335" w:rsidP="003D7335">
            <w:pPr>
              <w:pStyle w:val="Tableheadingrow"/>
              <w:rPr>
                <w:lang w:val="en-AU"/>
              </w:rPr>
            </w:pPr>
            <w:r w:rsidRPr="00DC2CE6">
              <w:rPr>
                <w:lang w:val="en-AU"/>
              </w:rPr>
              <w:t>Discount rate (base case 5% for costs and benefits)</w:t>
            </w:r>
          </w:p>
        </w:tc>
      </w:tr>
      <w:tr w:rsidR="003D7335" w:rsidRPr="00DC2CE6" w14:paraId="04B89BE5" w14:textId="77777777" w:rsidTr="003D7335">
        <w:tc>
          <w:tcPr>
            <w:tcW w:w="5240" w:type="dxa"/>
            <w:tcBorders>
              <w:top w:val="single" w:sz="4" w:space="0" w:color="auto"/>
              <w:left w:val="single" w:sz="4" w:space="0" w:color="auto"/>
              <w:bottom w:val="single" w:sz="4" w:space="0" w:color="auto"/>
              <w:right w:val="single" w:sz="4" w:space="0" w:color="auto"/>
            </w:tcBorders>
            <w:hideMark/>
          </w:tcPr>
          <w:p w14:paraId="0BFEC1D4" w14:textId="77777777" w:rsidR="003D7335" w:rsidRPr="00DC2CE6" w:rsidRDefault="003D7335" w:rsidP="003D7335">
            <w:pPr>
              <w:pStyle w:val="Tableheadingrow"/>
              <w:rPr>
                <w:b w:val="0"/>
                <w:bCs/>
                <w:lang w:val="en-AU"/>
              </w:rPr>
            </w:pPr>
            <w:r w:rsidRPr="00DC2CE6">
              <w:rPr>
                <w:b w:val="0"/>
                <w:bCs/>
                <w:lang w:val="en-AU"/>
              </w:rPr>
              <w:t>- 0%</w:t>
            </w: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5E8B73" w14:textId="77777777" w:rsidR="003D7335" w:rsidRPr="00CC7AA8" w:rsidRDefault="00CC7AA8" w:rsidP="003D7335">
            <w:pPr>
              <w:pStyle w:val="Tableheadingrow"/>
              <w:jc w:val="center"/>
              <w:rPr>
                <w:b w:val="0"/>
                <w:bCs/>
                <w:highlight w:val="black"/>
                <w:lang w:val="en-AU"/>
              </w:rPr>
            </w:pPr>
            <w:r>
              <w:rPr>
                <w:b w:val="0"/>
                <w:bCs/>
                <w:noProof/>
                <w:color w:val="000000"/>
                <w:szCs w:val="20"/>
                <w:highlight w:val="black"/>
              </w:rPr>
              <w:t>''''''''''''''''</w:t>
            </w: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18A5C7" w14:textId="77777777" w:rsidR="003D7335" w:rsidRPr="00DC2CE6" w:rsidRDefault="003D7335" w:rsidP="003D7335">
            <w:pPr>
              <w:pStyle w:val="Tableheadingrow"/>
              <w:jc w:val="center"/>
              <w:rPr>
                <w:b w:val="0"/>
                <w:bCs/>
                <w:lang w:val="en-AU"/>
              </w:rPr>
            </w:pPr>
            <w:r w:rsidRPr="00DC2CE6">
              <w:rPr>
                <w:b w:val="0"/>
                <w:bCs/>
                <w:color w:val="000000"/>
                <w:szCs w:val="20"/>
              </w:rPr>
              <w:t>0.2083</w:t>
            </w: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9C8574" w14:textId="77777777" w:rsidR="003D7335" w:rsidRPr="00CC7AA8" w:rsidRDefault="00CC7AA8" w:rsidP="003D7335">
            <w:pPr>
              <w:pStyle w:val="Tableheadingrow"/>
              <w:jc w:val="center"/>
              <w:rPr>
                <w:b w:val="0"/>
                <w:bCs/>
                <w:lang w:val="en-AU"/>
              </w:rPr>
            </w:pPr>
            <w:r>
              <w:rPr>
                <w:b w:val="0"/>
                <w:bCs/>
                <w:noProof/>
                <w:color w:val="000000"/>
                <w:szCs w:val="20"/>
                <w:highlight w:val="black"/>
              </w:rPr>
              <w:t>''''''''''''''''''</w:t>
            </w:r>
            <w:r w:rsidR="00A12F27">
              <w:rPr>
                <w:b w:val="0"/>
                <w:bCs/>
                <w:color w:val="000000"/>
                <w:szCs w:val="20"/>
                <w:vertAlign w:val="superscript"/>
              </w:rPr>
              <w:t>1</w:t>
            </w:r>
          </w:p>
        </w:tc>
      </w:tr>
      <w:tr w:rsidR="003D7335" w:rsidRPr="00DC2CE6" w14:paraId="26187E7F" w14:textId="77777777" w:rsidTr="003D7335">
        <w:tc>
          <w:tcPr>
            <w:tcW w:w="5240" w:type="dxa"/>
            <w:tcBorders>
              <w:top w:val="single" w:sz="4" w:space="0" w:color="auto"/>
              <w:left w:val="single" w:sz="4" w:space="0" w:color="auto"/>
              <w:bottom w:val="single" w:sz="4" w:space="0" w:color="auto"/>
              <w:right w:val="single" w:sz="4" w:space="0" w:color="auto"/>
            </w:tcBorders>
            <w:hideMark/>
          </w:tcPr>
          <w:p w14:paraId="39415145" w14:textId="77777777" w:rsidR="003D7335" w:rsidRPr="00DC2CE6" w:rsidRDefault="003D7335" w:rsidP="003D7335">
            <w:pPr>
              <w:pStyle w:val="Tableheadingrow"/>
              <w:rPr>
                <w:b w:val="0"/>
                <w:bCs/>
                <w:lang w:val="en-AU"/>
              </w:rPr>
            </w:pPr>
            <w:r w:rsidRPr="00DC2CE6">
              <w:rPr>
                <w:b w:val="0"/>
                <w:bCs/>
                <w:lang w:val="en-AU"/>
              </w:rPr>
              <w:t>- 3.5%</w:t>
            </w: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D79CEF" w14:textId="77777777" w:rsidR="003D7335" w:rsidRPr="00CC7AA8" w:rsidRDefault="00CC7AA8" w:rsidP="003D7335">
            <w:pPr>
              <w:pStyle w:val="Tableheadingrow"/>
              <w:jc w:val="center"/>
              <w:rPr>
                <w:b w:val="0"/>
                <w:bCs/>
                <w:highlight w:val="black"/>
                <w:lang w:val="en-AU"/>
              </w:rPr>
            </w:pPr>
            <w:r>
              <w:rPr>
                <w:b w:val="0"/>
                <w:bCs/>
                <w:noProof/>
                <w:color w:val="000000"/>
                <w:szCs w:val="20"/>
                <w:highlight w:val="black"/>
              </w:rPr>
              <w:t>''''''''''''''''</w:t>
            </w: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C40A1" w14:textId="77777777" w:rsidR="003D7335" w:rsidRPr="00DC2CE6" w:rsidRDefault="003D7335" w:rsidP="003D7335">
            <w:pPr>
              <w:pStyle w:val="Tableheadingrow"/>
              <w:jc w:val="center"/>
              <w:rPr>
                <w:b w:val="0"/>
                <w:bCs/>
                <w:lang w:val="en-AU"/>
              </w:rPr>
            </w:pPr>
            <w:r w:rsidRPr="00DC2CE6">
              <w:rPr>
                <w:b w:val="0"/>
                <w:bCs/>
                <w:color w:val="000000"/>
                <w:szCs w:val="20"/>
              </w:rPr>
              <w:t>0.1716</w:t>
            </w:r>
          </w:p>
        </w:tc>
        <w:tc>
          <w:tcPr>
            <w:tcW w:w="12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386F74" w14:textId="77777777" w:rsidR="003D7335" w:rsidRPr="00CC7AA8" w:rsidRDefault="00CC7AA8" w:rsidP="003D7335">
            <w:pPr>
              <w:pStyle w:val="Tableheadingrow"/>
              <w:jc w:val="center"/>
              <w:rPr>
                <w:b w:val="0"/>
                <w:bCs/>
                <w:lang w:val="en-AU"/>
              </w:rPr>
            </w:pPr>
            <w:r>
              <w:rPr>
                <w:b w:val="0"/>
                <w:bCs/>
                <w:noProof/>
                <w:color w:val="000000"/>
                <w:szCs w:val="20"/>
                <w:highlight w:val="black"/>
              </w:rPr>
              <w:t>''''''''''''''''</w:t>
            </w:r>
            <w:r w:rsidR="00A12F27">
              <w:rPr>
                <w:b w:val="0"/>
                <w:bCs/>
                <w:color w:val="000000"/>
                <w:szCs w:val="20"/>
                <w:vertAlign w:val="superscript"/>
              </w:rPr>
              <w:t>1</w:t>
            </w:r>
          </w:p>
        </w:tc>
      </w:tr>
    </w:tbl>
    <w:p w14:paraId="14B9A14F" w14:textId="77777777" w:rsidR="003476DA" w:rsidRDefault="003476DA" w:rsidP="003D7335">
      <w:pPr>
        <w:pStyle w:val="TableFigureFooter"/>
        <w:keepNext/>
      </w:pPr>
      <w:r w:rsidRPr="001426EB">
        <w:t>Source: Table</w:t>
      </w:r>
      <w:r>
        <w:t xml:space="preserve"> 3.31, pp212-213 </w:t>
      </w:r>
      <w:r w:rsidRPr="001426EB">
        <w:t>of the submission</w:t>
      </w:r>
      <w:r>
        <w:t xml:space="preserve">; </w:t>
      </w:r>
      <w:r w:rsidRPr="001426EB">
        <w:t>‘Att_10_Jardiance (empagliflozin) HFrEF Economic Evaluation’ spreadsheet provided with the submission</w:t>
      </w:r>
    </w:p>
    <w:p w14:paraId="306E1F01" w14:textId="77777777" w:rsidR="003476DA" w:rsidRDefault="003476DA" w:rsidP="003D7335">
      <w:pPr>
        <w:pStyle w:val="TableFigureFooter"/>
        <w:keepNext/>
        <w:rPr>
          <w:szCs w:val="18"/>
        </w:rPr>
      </w:pPr>
      <w:r>
        <w:t xml:space="preserve">CV, cardiovascular; ICER, </w:t>
      </w:r>
      <w:r w:rsidRPr="00D86211">
        <w:rPr>
          <w:szCs w:val="18"/>
        </w:rPr>
        <w:t>incremental cost-effectiveness ratio</w:t>
      </w:r>
      <w:r>
        <w:t xml:space="preserve">; KCCQ, </w:t>
      </w:r>
      <w:r w:rsidRPr="001426EB">
        <w:t>Kansas City Cardiomyopathy Questionnaire Clinical Summary Score</w:t>
      </w:r>
      <w:r>
        <w:t xml:space="preserve">; NYHA, </w:t>
      </w:r>
      <w:r w:rsidRPr="00D86211">
        <w:rPr>
          <w:szCs w:val="18"/>
        </w:rPr>
        <w:t>New York Heart Association</w:t>
      </w:r>
      <w:r>
        <w:t xml:space="preserve">; QALY, </w:t>
      </w:r>
      <w:r w:rsidRPr="00D86211">
        <w:rPr>
          <w:szCs w:val="18"/>
        </w:rPr>
        <w:t>quality adjusted life year</w:t>
      </w:r>
    </w:p>
    <w:p w14:paraId="0BA831E6" w14:textId="77777777" w:rsidR="00DC2CE6" w:rsidRDefault="00DC2CE6" w:rsidP="003D7335">
      <w:pPr>
        <w:pStyle w:val="TableFigureFooter"/>
        <w:keepNext/>
      </w:pPr>
      <w:r w:rsidRPr="00DC2CE6">
        <w:rPr>
          <w:b/>
          <w:bCs/>
          <w:vertAlign w:val="superscript"/>
        </w:rPr>
        <w:t>a</w:t>
      </w:r>
      <w:r>
        <w:rPr>
          <w:b/>
          <w:bCs/>
          <w:vertAlign w:val="superscript"/>
        </w:rPr>
        <w:t xml:space="preserve"> </w:t>
      </w:r>
      <w:r>
        <w:t>Analyses conducted during evaluation.</w:t>
      </w:r>
    </w:p>
    <w:p w14:paraId="4E8EF170" w14:textId="77777777" w:rsidR="001810F2" w:rsidRDefault="001810F2" w:rsidP="001810F2">
      <w:pPr>
        <w:pStyle w:val="TableFigureFooter"/>
        <w:spacing w:after="0"/>
        <w:contextualSpacing w:val="0"/>
        <w:rPr>
          <w:i/>
        </w:rPr>
      </w:pPr>
      <w:r w:rsidRPr="009868C4">
        <w:rPr>
          <w:i/>
        </w:rPr>
        <w:t>The redacted values correspond to the following ranges</w:t>
      </w:r>
      <w:r>
        <w:rPr>
          <w:i/>
        </w:rPr>
        <w:t xml:space="preserve">: </w:t>
      </w:r>
    </w:p>
    <w:p w14:paraId="5CD127F5" w14:textId="77777777" w:rsidR="001810F2" w:rsidRPr="00870C5D" w:rsidRDefault="001810F2" w:rsidP="001810F2">
      <w:pPr>
        <w:pStyle w:val="TableFigureFooter"/>
        <w:spacing w:after="0"/>
        <w:contextualSpacing w:val="0"/>
      </w:pPr>
      <w:r>
        <w:rPr>
          <w:i/>
          <w:vertAlign w:val="superscript"/>
        </w:rPr>
        <w:t>1</w:t>
      </w:r>
      <w:r>
        <w:rPr>
          <w:i/>
        </w:rPr>
        <w:t xml:space="preserve"> </w:t>
      </w:r>
      <w:r w:rsidRPr="001810F2">
        <w:rPr>
          <w:i/>
        </w:rPr>
        <w:t>$5,000 to &lt; $15,000</w:t>
      </w:r>
    </w:p>
    <w:p w14:paraId="5EF6CCC6" w14:textId="77777777" w:rsidR="001810F2" w:rsidRPr="00870C5D" w:rsidRDefault="001810F2" w:rsidP="001810F2">
      <w:pPr>
        <w:pStyle w:val="TableFigureFooter"/>
        <w:spacing w:after="0"/>
        <w:contextualSpacing w:val="0"/>
      </w:pPr>
      <w:r>
        <w:rPr>
          <w:i/>
          <w:vertAlign w:val="superscript"/>
        </w:rPr>
        <w:t>2</w:t>
      </w:r>
      <w:r>
        <w:rPr>
          <w:i/>
        </w:rPr>
        <w:t xml:space="preserve"> </w:t>
      </w:r>
      <w:r w:rsidRPr="001810F2">
        <w:rPr>
          <w:i/>
        </w:rPr>
        <w:t>$0 to &lt; $5,000</w:t>
      </w:r>
    </w:p>
    <w:p w14:paraId="3D1AC1EA" w14:textId="77777777" w:rsidR="001810F2" w:rsidRPr="00DC2CE6" w:rsidRDefault="001810F2" w:rsidP="003D7335">
      <w:pPr>
        <w:pStyle w:val="TableFigureFooter"/>
        <w:keepNext/>
        <w:rPr>
          <w:szCs w:val="18"/>
        </w:rPr>
      </w:pPr>
    </w:p>
    <w:p w14:paraId="468DFCC2" w14:textId="77777777" w:rsidR="003476DA" w:rsidRPr="00D14896" w:rsidRDefault="003476DA" w:rsidP="0012228C">
      <w:pPr>
        <w:pStyle w:val="ExecSumBodyText"/>
      </w:pPr>
      <w:r w:rsidRPr="00D14896">
        <w:t xml:space="preserve">The impact of no survival benefit associated with empagliflozin treatment (consistent with clinical evidence) could not be tested during the evaluation. This was due to the model structure that was based on KCCQ-CSS health states with mortality estimates derived from separately modelled survival curves. </w:t>
      </w:r>
      <w:r w:rsidR="00DC2CE6" w:rsidRPr="00565789">
        <w:t>The PSCR stated that the impact of no survival benefit associated with empagliflozin could be tested in the model by removing the treatment term in the all-cause and CV mortality equations</w:t>
      </w:r>
      <w:r w:rsidR="001552B3">
        <w:t>;</w:t>
      </w:r>
      <w:r w:rsidR="00DC2CE6" w:rsidRPr="00565789">
        <w:t xml:space="preserve"> however, this </w:t>
      </w:r>
      <w:r w:rsidR="00314CEC">
        <w:t xml:space="preserve">would </w:t>
      </w:r>
      <w:r w:rsidR="00DC2CE6" w:rsidRPr="00565789">
        <w:t>still generate a survival advantage for empagliflozin given different survival curves are generated for each KCCQ-CSS health state, and the model generates differences between treatment arms in KCCQ-CSS health state membership.</w:t>
      </w:r>
    </w:p>
    <w:p w14:paraId="502674A5" w14:textId="77777777" w:rsidR="003476DA" w:rsidRPr="00D14896" w:rsidRDefault="003476DA" w:rsidP="0012228C">
      <w:pPr>
        <w:pStyle w:val="ExecSumBodyText"/>
      </w:pPr>
      <w:r w:rsidRPr="00D14896">
        <w:t>The results were most sensitive to the heart failure hospitalisation rate, differences between treatment arms in KCCQ-CSS health state transitions, the use of NYHA health states and transitions, the QALY loss associated with heart failure hospitalisation, and heart failure hospitalisation costs. The submission claimed that the results of the NYHA class sensitivity analysis should be viewed in the context of the ‘bluntness’ of physician-based NYHA assessment, given it is more subjective and less sensitive to changes in patient functioning and well-being than patient-reported KCCQ-CSS.</w:t>
      </w:r>
    </w:p>
    <w:p w14:paraId="6E55B36F" w14:textId="77777777" w:rsidR="003476DA" w:rsidRPr="001426EB" w:rsidRDefault="003476DA" w:rsidP="003476DA">
      <w:pPr>
        <w:pStyle w:val="3-SubsectionHeading"/>
      </w:pPr>
      <w:bookmarkStart w:id="48" w:name="_Toc22898858"/>
      <w:bookmarkStart w:id="49" w:name="_Toc82553844"/>
      <w:r w:rsidRPr="001426EB">
        <w:t>Drug cost/patient/year</w:t>
      </w:r>
      <w:bookmarkEnd w:id="48"/>
      <w:bookmarkEnd w:id="49"/>
    </w:p>
    <w:p w14:paraId="68D18CD4" w14:textId="77777777" w:rsidR="003476DA" w:rsidRPr="001F4EB7" w:rsidRDefault="003476DA" w:rsidP="00A12F27">
      <w:pPr>
        <w:pStyle w:val="ExecSumBodyText"/>
      </w:pPr>
      <w:r>
        <w:t xml:space="preserve">The empagliflozin drug cost per patient per year </w:t>
      </w:r>
      <w:r w:rsidR="003D7335">
        <w:t>was</w:t>
      </w:r>
      <w:r>
        <w:t xml:space="preserve"> $</w:t>
      </w:r>
      <w:r w:rsidRPr="00BE7EBA">
        <w:t>731.72</w:t>
      </w:r>
      <w:r>
        <w:t>, based on 12.175 scripts per patient per year, assuming 100% adherence.</w:t>
      </w:r>
      <w:r w:rsidRPr="001F4EB7">
        <w:t xml:space="preserve"> </w:t>
      </w:r>
      <w:r w:rsidRPr="00D14896">
        <w:rPr>
          <w:iCs/>
        </w:rPr>
        <w:t xml:space="preserve">The estimated drug costs differed between the economic analysis and the financial estimates due to differences in assumptions relating to treatment adherence and treatment persistence. </w:t>
      </w:r>
    </w:p>
    <w:p w14:paraId="4A14833F" w14:textId="77777777" w:rsidR="003476DA" w:rsidRPr="007E45CF" w:rsidRDefault="003476DA" w:rsidP="0012228C">
      <w:pPr>
        <w:pStyle w:val="ExecSumBodyText"/>
      </w:pPr>
      <w:r w:rsidRPr="007E45CF">
        <w:t xml:space="preserve">The </w:t>
      </w:r>
      <w:r w:rsidR="009A4CEA">
        <w:t xml:space="preserve">cost of </w:t>
      </w:r>
      <w:r w:rsidR="004E51C5">
        <w:t>empagliflozin</w:t>
      </w:r>
      <w:r w:rsidR="009A4CEA">
        <w:t xml:space="preserve"> in the </w:t>
      </w:r>
      <w:r w:rsidRPr="007E45CF">
        <w:t>economic analysis include</w:t>
      </w:r>
      <w:r w:rsidR="009A4CEA">
        <w:t>s</w:t>
      </w:r>
      <w:r w:rsidRPr="007E45CF">
        <w:t xml:space="preserve"> estimates of the costs of standard care ($1,671.72 per </w:t>
      </w:r>
      <w:r w:rsidRPr="003D7335">
        <w:t>year), however</w:t>
      </w:r>
      <w:r w:rsidRPr="007E45CF">
        <w:t>, these costs were not included in the financial estimates.</w:t>
      </w:r>
    </w:p>
    <w:p w14:paraId="0FFBE6C0" w14:textId="77777777" w:rsidR="003476DA" w:rsidRDefault="00B974B3" w:rsidP="003B10F4">
      <w:pPr>
        <w:pStyle w:val="TableFigureCaption"/>
      </w:pPr>
      <w:r>
        <w:t xml:space="preserve">Table </w:t>
      </w:r>
      <w:r w:rsidR="00915190">
        <w:rPr>
          <w:noProof/>
        </w:rPr>
        <w:t>14</w:t>
      </w:r>
      <w:r w:rsidR="003476DA">
        <w:t>: Drug cost per patient per year for empagliflozin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Table 14: Drug cost per patient per year for empagliflozin"/>
      </w:tblPr>
      <w:tblGrid>
        <w:gridCol w:w="2255"/>
        <w:gridCol w:w="2254"/>
        <w:gridCol w:w="2254"/>
        <w:gridCol w:w="2254"/>
      </w:tblGrid>
      <w:tr w:rsidR="003476DA" w14:paraId="3C8008EF" w14:textId="77777777" w:rsidTr="0021554F">
        <w:trPr>
          <w:cantSplit/>
          <w:tblHeader/>
          <w:jc w:val="center"/>
        </w:trPr>
        <w:tc>
          <w:tcPr>
            <w:tcW w:w="1250" w:type="pct"/>
            <w:tcMar>
              <w:top w:w="0" w:type="dxa"/>
              <w:left w:w="28" w:type="dxa"/>
              <w:bottom w:w="0" w:type="dxa"/>
              <w:right w:w="28" w:type="dxa"/>
            </w:tcMar>
            <w:vAlign w:val="center"/>
          </w:tcPr>
          <w:p w14:paraId="4DD00594" w14:textId="77777777" w:rsidR="003476DA" w:rsidRDefault="003476DA" w:rsidP="0021554F">
            <w:pPr>
              <w:pStyle w:val="Tableheadingrow"/>
              <w:jc w:val="center"/>
            </w:pPr>
          </w:p>
        </w:tc>
        <w:tc>
          <w:tcPr>
            <w:tcW w:w="1250" w:type="pct"/>
            <w:tcMar>
              <w:top w:w="0" w:type="dxa"/>
              <w:left w:w="28" w:type="dxa"/>
              <w:bottom w:w="0" w:type="dxa"/>
              <w:right w:w="28" w:type="dxa"/>
            </w:tcMar>
            <w:vAlign w:val="center"/>
            <w:hideMark/>
          </w:tcPr>
          <w:p w14:paraId="4072D096" w14:textId="77777777" w:rsidR="003476DA" w:rsidRDefault="003476DA" w:rsidP="0021554F">
            <w:pPr>
              <w:pStyle w:val="Tableheadingrow"/>
              <w:jc w:val="center"/>
            </w:pPr>
            <w:r>
              <w:t>EMPEROR-Reduced trial</w:t>
            </w:r>
          </w:p>
        </w:tc>
        <w:tc>
          <w:tcPr>
            <w:tcW w:w="1250" w:type="pct"/>
            <w:tcMar>
              <w:top w:w="0" w:type="dxa"/>
              <w:left w:w="28" w:type="dxa"/>
              <w:bottom w:w="0" w:type="dxa"/>
              <w:right w:w="28" w:type="dxa"/>
            </w:tcMar>
            <w:vAlign w:val="center"/>
            <w:hideMark/>
          </w:tcPr>
          <w:p w14:paraId="0FB8F1D2" w14:textId="77777777" w:rsidR="003476DA" w:rsidRDefault="003476DA" w:rsidP="0021554F">
            <w:pPr>
              <w:pStyle w:val="Tableheadingrow"/>
              <w:jc w:val="center"/>
            </w:pPr>
            <w:r>
              <w:t>Economic model</w:t>
            </w:r>
          </w:p>
        </w:tc>
        <w:tc>
          <w:tcPr>
            <w:tcW w:w="1250" w:type="pct"/>
            <w:tcMar>
              <w:top w:w="0" w:type="dxa"/>
              <w:left w:w="28" w:type="dxa"/>
              <w:bottom w:w="0" w:type="dxa"/>
              <w:right w:w="28" w:type="dxa"/>
            </w:tcMar>
            <w:vAlign w:val="center"/>
            <w:hideMark/>
          </w:tcPr>
          <w:p w14:paraId="4521CB46" w14:textId="77777777" w:rsidR="003476DA" w:rsidRDefault="003476DA" w:rsidP="0021554F">
            <w:pPr>
              <w:pStyle w:val="Tableheadingrow"/>
              <w:jc w:val="center"/>
            </w:pPr>
            <w:r>
              <w:t>Financial estimates</w:t>
            </w:r>
          </w:p>
        </w:tc>
      </w:tr>
      <w:tr w:rsidR="003476DA" w14:paraId="4116B98A" w14:textId="77777777" w:rsidTr="0021554F">
        <w:trPr>
          <w:cantSplit/>
          <w:jc w:val="center"/>
        </w:trPr>
        <w:tc>
          <w:tcPr>
            <w:tcW w:w="1250" w:type="pct"/>
            <w:tcMar>
              <w:top w:w="0" w:type="dxa"/>
              <w:left w:w="28" w:type="dxa"/>
              <w:bottom w:w="0" w:type="dxa"/>
              <w:right w:w="28" w:type="dxa"/>
            </w:tcMar>
            <w:vAlign w:val="center"/>
            <w:hideMark/>
          </w:tcPr>
          <w:p w14:paraId="16E37DC3" w14:textId="77777777" w:rsidR="003476DA" w:rsidRDefault="003476DA" w:rsidP="0021554F">
            <w:pPr>
              <w:pStyle w:val="TableText"/>
              <w:rPr>
                <w:lang w:val="en-US"/>
              </w:rPr>
            </w:pPr>
            <w:r>
              <w:rPr>
                <w:lang w:val="en-US"/>
              </w:rPr>
              <w:t>Daily dose</w:t>
            </w:r>
          </w:p>
        </w:tc>
        <w:tc>
          <w:tcPr>
            <w:tcW w:w="1250" w:type="pct"/>
            <w:tcMar>
              <w:top w:w="0" w:type="dxa"/>
              <w:left w:w="28" w:type="dxa"/>
              <w:bottom w:w="0" w:type="dxa"/>
              <w:right w:w="28" w:type="dxa"/>
            </w:tcMar>
            <w:vAlign w:val="center"/>
            <w:hideMark/>
          </w:tcPr>
          <w:p w14:paraId="305C5983" w14:textId="77777777" w:rsidR="003476DA" w:rsidRDefault="003476DA" w:rsidP="0021554F">
            <w:pPr>
              <w:pStyle w:val="TableText"/>
              <w:jc w:val="center"/>
              <w:rPr>
                <w:lang w:val="en-US"/>
              </w:rPr>
            </w:pPr>
            <w:r>
              <w:rPr>
                <w:lang w:val="en-US"/>
              </w:rPr>
              <w:t>10 mg daily</w:t>
            </w:r>
          </w:p>
        </w:tc>
        <w:tc>
          <w:tcPr>
            <w:tcW w:w="1250" w:type="pct"/>
            <w:tcMar>
              <w:top w:w="0" w:type="dxa"/>
              <w:left w:w="28" w:type="dxa"/>
              <w:bottom w:w="0" w:type="dxa"/>
              <w:right w:w="28" w:type="dxa"/>
            </w:tcMar>
            <w:vAlign w:val="center"/>
            <w:hideMark/>
          </w:tcPr>
          <w:p w14:paraId="61E2CEDB" w14:textId="77777777" w:rsidR="003476DA" w:rsidRDefault="003476DA" w:rsidP="0021554F">
            <w:pPr>
              <w:pStyle w:val="TableText"/>
              <w:jc w:val="center"/>
              <w:rPr>
                <w:lang w:val="en-US"/>
              </w:rPr>
            </w:pPr>
            <w:r>
              <w:rPr>
                <w:lang w:val="en-US"/>
              </w:rPr>
              <w:t>10 mg daily</w:t>
            </w:r>
          </w:p>
        </w:tc>
        <w:tc>
          <w:tcPr>
            <w:tcW w:w="1250" w:type="pct"/>
            <w:tcMar>
              <w:top w:w="0" w:type="dxa"/>
              <w:left w:w="28" w:type="dxa"/>
              <w:bottom w:w="0" w:type="dxa"/>
              <w:right w:w="28" w:type="dxa"/>
            </w:tcMar>
            <w:vAlign w:val="center"/>
            <w:hideMark/>
          </w:tcPr>
          <w:p w14:paraId="55268059" w14:textId="77777777" w:rsidR="003476DA" w:rsidRDefault="003476DA" w:rsidP="0021554F">
            <w:pPr>
              <w:pStyle w:val="TableText"/>
              <w:jc w:val="center"/>
              <w:rPr>
                <w:lang w:val="en-US"/>
              </w:rPr>
            </w:pPr>
            <w:r>
              <w:rPr>
                <w:lang w:val="en-US"/>
              </w:rPr>
              <w:t>10 mg daily</w:t>
            </w:r>
          </w:p>
        </w:tc>
      </w:tr>
      <w:tr w:rsidR="003476DA" w14:paraId="0C94090C" w14:textId="77777777" w:rsidTr="0021554F">
        <w:trPr>
          <w:cantSplit/>
          <w:jc w:val="center"/>
        </w:trPr>
        <w:tc>
          <w:tcPr>
            <w:tcW w:w="1250" w:type="pct"/>
            <w:tcMar>
              <w:top w:w="0" w:type="dxa"/>
              <w:left w:w="28" w:type="dxa"/>
              <w:bottom w:w="0" w:type="dxa"/>
              <w:right w:w="28" w:type="dxa"/>
            </w:tcMar>
            <w:vAlign w:val="center"/>
            <w:hideMark/>
          </w:tcPr>
          <w:p w14:paraId="1FD8A97E" w14:textId="77777777" w:rsidR="003476DA" w:rsidRDefault="003476DA" w:rsidP="0021554F">
            <w:pPr>
              <w:pStyle w:val="TableText"/>
              <w:rPr>
                <w:lang w:val="en-US"/>
              </w:rPr>
            </w:pPr>
            <w:r>
              <w:rPr>
                <w:lang w:val="en-US"/>
              </w:rPr>
              <w:t>Cost per pack of 30 tablets (proposed DPMQ)</w:t>
            </w:r>
          </w:p>
        </w:tc>
        <w:tc>
          <w:tcPr>
            <w:tcW w:w="1250" w:type="pct"/>
            <w:tcMar>
              <w:top w:w="0" w:type="dxa"/>
              <w:left w:w="28" w:type="dxa"/>
              <w:bottom w:w="0" w:type="dxa"/>
              <w:right w:w="28" w:type="dxa"/>
            </w:tcMar>
            <w:vAlign w:val="center"/>
            <w:hideMark/>
          </w:tcPr>
          <w:p w14:paraId="55EB0FC1" w14:textId="77777777" w:rsidR="003476DA" w:rsidRDefault="003476DA" w:rsidP="0021554F">
            <w:pPr>
              <w:pStyle w:val="TableText"/>
              <w:jc w:val="center"/>
              <w:rPr>
                <w:lang w:val="en-US"/>
              </w:rPr>
            </w:pPr>
            <w:r>
              <w:rPr>
                <w:lang w:val="en-US"/>
              </w:rPr>
              <w:t>-</w:t>
            </w:r>
          </w:p>
        </w:tc>
        <w:tc>
          <w:tcPr>
            <w:tcW w:w="1250" w:type="pct"/>
            <w:tcMar>
              <w:top w:w="0" w:type="dxa"/>
              <w:left w:w="28" w:type="dxa"/>
              <w:bottom w:w="0" w:type="dxa"/>
              <w:right w:w="28" w:type="dxa"/>
            </w:tcMar>
            <w:vAlign w:val="center"/>
          </w:tcPr>
          <w:p w14:paraId="35C835CE" w14:textId="77777777" w:rsidR="003476DA" w:rsidRDefault="003476DA" w:rsidP="0021554F">
            <w:pPr>
              <w:pStyle w:val="TableText"/>
              <w:jc w:val="center"/>
              <w:rPr>
                <w:lang w:val="en-US"/>
              </w:rPr>
            </w:pPr>
            <w:r>
              <w:rPr>
                <w:lang w:val="en-US"/>
              </w:rPr>
              <w:t>$60.10</w:t>
            </w:r>
            <w:r w:rsidRPr="0034406C">
              <w:rPr>
                <w:vertAlign w:val="superscript"/>
                <w:lang w:val="en-US"/>
              </w:rPr>
              <w:t>a</w:t>
            </w:r>
          </w:p>
        </w:tc>
        <w:tc>
          <w:tcPr>
            <w:tcW w:w="1250" w:type="pct"/>
            <w:tcMar>
              <w:top w:w="0" w:type="dxa"/>
              <w:left w:w="28" w:type="dxa"/>
              <w:bottom w:w="0" w:type="dxa"/>
              <w:right w:w="28" w:type="dxa"/>
            </w:tcMar>
            <w:vAlign w:val="center"/>
          </w:tcPr>
          <w:p w14:paraId="5CC4FFBE" w14:textId="77777777" w:rsidR="003476DA" w:rsidRDefault="003476DA" w:rsidP="0021554F">
            <w:pPr>
              <w:pStyle w:val="TableText"/>
              <w:jc w:val="center"/>
              <w:rPr>
                <w:lang w:val="en-US"/>
              </w:rPr>
            </w:pPr>
            <w:r>
              <w:rPr>
                <w:lang w:val="en-US"/>
              </w:rPr>
              <w:t>$60.10</w:t>
            </w:r>
            <w:r>
              <w:rPr>
                <w:vertAlign w:val="superscript"/>
                <w:lang w:val="en-US"/>
              </w:rPr>
              <w:t>a</w:t>
            </w:r>
          </w:p>
        </w:tc>
      </w:tr>
      <w:tr w:rsidR="003476DA" w14:paraId="4A5DC6BA" w14:textId="77777777" w:rsidTr="0021554F">
        <w:trPr>
          <w:cantSplit/>
          <w:jc w:val="center"/>
        </w:trPr>
        <w:tc>
          <w:tcPr>
            <w:tcW w:w="1250" w:type="pct"/>
            <w:tcMar>
              <w:top w:w="0" w:type="dxa"/>
              <w:left w:w="28" w:type="dxa"/>
              <w:bottom w:w="0" w:type="dxa"/>
              <w:right w:w="28" w:type="dxa"/>
            </w:tcMar>
            <w:vAlign w:val="center"/>
          </w:tcPr>
          <w:p w14:paraId="262BCFDA" w14:textId="77777777" w:rsidR="003476DA" w:rsidRDefault="003476DA" w:rsidP="0021554F">
            <w:pPr>
              <w:pStyle w:val="TableText"/>
              <w:rPr>
                <w:lang w:val="en-US"/>
              </w:rPr>
            </w:pPr>
            <w:r>
              <w:rPr>
                <w:lang w:val="en-US"/>
              </w:rPr>
              <w:t>Adherence</w:t>
            </w:r>
          </w:p>
        </w:tc>
        <w:tc>
          <w:tcPr>
            <w:tcW w:w="1250" w:type="pct"/>
            <w:tcMar>
              <w:top w:w="0" w:type="dxa"/>
              <w:left w:w="28" w:type="dxa"/>
              <w:bottom w:w="0" w:type="dxa"/>
              <w:right w:w="28" w:type="dxa"/>
            </w:tcMar>
            <w:vAlign w:val="center"/>
          </w:tcPr>
          <w:p w14:paraId="79D1A466" w14:textId="77777777" w:rsidR="003476DA" w:rsidRDefault="00A81BD5" w:rsidP="00A12F27">
            <w:pPr>
              <w:pStyle w:val="TableText"/>
              <w:jc w:val="center"/>
              <w:rPr>
                <w:lang w:val="en-US"/>
              </w:rPr>
            </w:pPr>
            <w:r>
              <w:rPr>
                <w:lang w:val="en-US"/>
              </w:rPr>
              <w:t>95.1%</w:t>
            </w:r>
            <w:r>
              <w:rPr>
                <w:vertAlign w:val="superscript"/>
                <w:lang w:val="en-US"/>
              </w:rPr>
              <w:t>b</w:t>
            </w:r>
          </w:p>
        </w:tc>
        <w:tc>
          <w:tcPr>
            <w:tcW w:w="1250" w:type="pct"/>
            <w:tcMar>
              <w:top w:w="0" w:type="dxa"/>
              <w:left w:w="28" w:type="dxa"/>
              <w:bottom w:w="0" w:type="dxa"/>
              <w:right w:w="28" w:type="dxa"/>
            </w:tcMar>
            <w:vAlign w:val="center"/>
          </w:tcPr>
          <w:p w14:paraId="7A9CE4D2" w14:textId="77777777" w:rsidR="003476DA" w:rsidRPr="00C22F16" w:rsidRDefault="003476DA" w:rsidP="0021554F">
            <w:pPr>
              <w:pStyle w:val="TableText"/>
              <w:jc w:val="center"/>
              <w:rPr>
                <w:lang w:val="en-US"/>
              </w:rPr>
            </w:pPr>
            <w:r>
              <w:rPr>
                <w:lang w:val="en-US"/>
              </w:rPr>
              <w:t>100%</w:t>
            </w:r>
          </w:p>
        </w:tc>
        <w:tc>
          <w:tcPr>
            <w:tcW w:w="1250" w:type="pct"/>
            <w:tcMar>
              <w:top w:w="0" w:type="dxa"/>
              <w:left w:w="28" w:type="dxa"/>
              <w:bottom w:w="0" w:type="dxa"/>
              <w:right w:w="28" w:type="dxa"/>
            </w:tcMar>
            <w:vAlign w:val="center"/>
          </w:tcPr>
          <w:p w14:paraId="70035195" w14:textId="77777777" w:rsidR="003476DA" w:rsidRPr="00A45330" w:rsidRDefault="003476DA" w:rsidP="0021554F">
            <w:pPr>
              <w:pStyle w:val="TableText"/>
              <w:jc w:val="center"/>
              <w:rPr>
                <w:vertAlign w:val="superscript"/>
                <w:lang w:val="en-US"/>
              </w:rPr>
            </w:pPr>
            <w:r>
              <w:rPr>
                <w:lang w:val="en-US"/>
              </w:rPr>
              <w:t>95.1%</w:t>
            </w:r>
            <w:r w:rsidR="00A45330">
              <w:rPr>
                <w:vertAlign w:val="superscript"/>
                <w:lang w:val="en-US"/>
              </w:rPr>
              <w:t>b</w:t>
            </w:r>
          </w:p>
        </w:tc>
      </w:tr>
      <w:tr w:rsidR="003476DA" w14:paraId="704C0553" w14:textId="77777777" w:rsidTr="0021554F">
        <w:trPr>
          <w:cantSplit/>
          <w:jc w:val="center"/>
        </w:trPr>
        <w:tc>
          <w:tcPr>
            <w:tcW w:w="1250" w:type="pct"/>
            <w:tcMar>
              <w:top w:w="0" w:type="dxa"/>
              <w:left w:w="28" w:type="dxa"/>
              <w:bottom w:w="0" w:type="dxa"/>
              <w:right w:w="28" w:type="dxa"/>
            </w:tcMar>
            <w:vAlign w:val="center"/>
            <w:hideMark/>
          </w:tcPr>
          <w:p w14:paraId="0A9DA251" w14:textId="77777777" w:rsidR="003476DA" w:rsidRDefault="003476DA" w:rsidP="0021554F">
            <w:pPr>
              <w:pStyle w:val="TableText"/>
              <w:rPr>
                <w:lang w:val="en-US"/>
              </w:rPr>
            </w:pPr>
            <w:r>
              <w:rPr>
                <w:lang w:val="en-US"/>
              </w:rPr>
              <w:t>Number of scripts per year</w:t>
            </w:r>
          </w:p>
        </w:tc>
        <w:tc>
          <w:tcPr>
            <w:tcW w:w="1250" w:type="pct"/>
            <w:tcMar>
              <w:top w:w="0" w:type="dxa"/>
              <w:left w:w="28" w:type="dxa"/>
              <w:bottom w:w="0" w:type="dxa"/>
              <w:right w:w="28" w:type="dxa"/>
            </w:tcMar>
            <w:vAlign w:val="center"/>
            <w:hideMark/>
          </w:tcPr>
          <w:p w14:paraId="5C68C19C" w14:textId="77777777" w:rsidR="003476DA" w:rsidRDefault="003476DA" w:rsidP="0021554F">
            <w:pPr>
              <w:pStyle w:val="TableText"/>
              <w:jc w:val="center"/>
              <w:rPr>
                <w:lang w:val="en-US"/>
              </w:rPr>
            </w:pPr>
            <w:r>
              <w:rPr>
                <w:lang w:val="en-US"/>
              </w:rPr>
              <w:t>-</w:t>
            </w:r>
          </w:p>
        </w:tc>
        <w:tc>
          <w:tcPr>
            <w:tcW w:w="1250" w:type="pct"/>
            <w:tcMar>
              <w:top w:w="0" w:type="dxa"/>
              <w:left w:w="28" w:type="dxa"/>
              <w:bottom w:w="0" w:type="dxa"/>
              <w:right w:w="28" w:type="dxa"/>
            </w:tcMar>
            <w:vAlign w:val="center"/>
            <w:hideMark/>
          </w:tcPr>
          <w:p w14:paraId="39D862C0" w14:textId="77777777" w:rsidR="003476DA" w:rsidRDefault="003476DA" w:rsidP="0021554F">
            <w:pPr>
              <w:pStyle w:val="TableText"/>
              <w:jc w:val="center"/>
              <w:rPr>
                <w:lang w:val="en-US"/>
              </w:rPr>
            </w:pPr>
            <w:r w:rsidRPr="00BE7EBA">
              <w:rPr>
                <w:lang w:val="en-US"/>
              </w:rPr>
              <w:t>12.175</w:t>
            </w:r>
            <w:r w:rsidRPr="002B3777">
              <w:rPr>
                <w:lang w:val="en-US"/>
              </w:rPr>
              <w:t xml:space="preserve"> </w:t>
            </w:r>
            <w:r>
              <w:rPr>
                <w:lang w:val="en-US"/>
              </w:rPr>
              <w:t>(=</w:t>
            </w:r>
            <w:r w:rsidRPr="00BE7EBA">
              <w:rPr>
                <w:lang w:val="en-US"/>
              </w:rPr>
              <w:t>365.25/30</w:t>
            </w:r>
            <w:r>
              <w:rPr>
                <w:lang w:val="en-US"/>
              </w:rPr>
              <w:t xml:space="preserve"> × 100%)</w:t>
            </w:r>
          </w:p>
        </w:tc>
        <w:tc>
          <w:tcPr>
            <w:tcW w:w="1250" w:type="pct"/>
            <w:tcMar>
              <w:top w:w="0" w:type="dxa"/>
              <w:left w:w="28" w:type="dxa"/>
              <w:bottom w:w="0" w:type="dxa"/>
              <w:right w:w="28" w:type="dxa"/>
            </w:tcMar>
            <w:vAlign w:val="center"/>
            <w:hideMark/>
          </w:tcPr>
          <w:p w14:paraId="3D513ADD" w14:textId="77777777" w:rsidR="003476DA" w:rsidRDefault="003476DA" w:rsidP="0021554F">
            <w:pPr>
              <w:pStyle w:val="TableText"/>
              <w:jc w:val="center"/>
              <w:rPr>
                <w:lang w:val="en-US"/>
              </w:rPr>
            </w:pPr>
            <w:r w:rsidRPr="00BE7EBA">
              <w:rPr>
                <w:lang w:val="en-US"/>
              </w:rPr>
              <w:t>11.578</w:t>
            </w:r>
            <w:r w:rsidRPr="002B3777">
              <w:rPr>
                <w:lang w:val="en-US"/>
              </w:rPr>
              <w:t xml:space="preserve"> </w:t>
            </w:r>
            <w:r>
              <w:rPr>
                <w:lang w:val="en-US"/>
              </w:rPr>
              <w:t>(=</w:t>
            </w:r>
            <w:r w:rsidRPr="00BE7EBA">
              <w:rPr>
                <w:lang w:val="en-US"/>
              </w:rPr>
              <w:t>365.25/30</w:t>
            </w:r>
            <w:r>
              <w:rPr>
                <w:lang w:val="en-US"/>
              </w:rPr>
              <w:t xml:space="preserve"> × 95.1%)</w:t>
            </w:r>
          </w:p>
        </w:tc>
      </w:tr>
      <w:tr w:rsidR="003476DA" w14:paraId="19F8BB1A" w14:textId="77777777" w:rsidTr="0021554F">
        <w:trPr>
          <w:cantSplit/>
          <w:jc w:val="center"/>
        </w:trPr>
        <w:tc>
          <w:tcPr>
            <w:tcW w:w="1250" w:type="pct"/>
            <w:tcMar>
              <w:top w:w="0" w:type="dxa"/>
              <w:left w:w="28" w:type="dxa"/>
              <w:bottom w:w="0" w:type="dxa"/>
              <w:right w:w="28" w:type="dxa"/>
            </w:tcMar>
            <w:vAlign w:val="center"/>
            <w:hideMark/>
          </w:tcPr>
          <w:p w14:paraId="2F754793" w14:textId="77777777" w:rsidR="003476DA" w:rsidRDefault="003476DA" w:rsidP="0021554F">
            <w:pPr>
              <w:pStyle w:val="TableText"/>
              <w:rPr>
                <w:lang w:val="en-US"/>
              </w:rPr>
            </w:pPr>
            <w:r>
              <w:rPr>
                <w:lang w:val="en-US"/>
              </w:rPr>
              <w:t>Cost per year</w:t>
            </w:r>
          </w:p>
        </w:tc>
        <w:tc>
          <w:tcPr>
            <w:tcW w:w="1250" w:type="pct"/>
            <w:tcMar>
              <w:top w:w="0" w:type="dxa"/>
              <w:left w:w="28" w:type="dxa"/>
              <w:bottom w:w="0" w:type="dxa"/>
              <w:right w:w="28" w:type="dxa"/>
            </w:tcMar>
            <w:vAlign w:val="center"/>
            <w:hideMark/>
          </w:tcPr>
          <w:p w14:paraId="4147A726" w14:textId="77777777" w:rsidR="003476DA" w:rsidRDefault="003476DA" w:rsidP="0021554F">
            <w:pPr>
              <w:pStyle w:val="TableText"/>
              <w:jc w:val="center"/>
              <w:rPr>
                <w:lang w:val="en-US"/>
              </w:rPr>
            </w:pPr>
            <w:r>
              <w:rPr>
                <w:lang w:val="en-US"/>
              </w:rPr>
              <w:t>-</w:t>
            </w:r>
          </w:p>
        </w:tc>
        <w:tc>
          <w:tcPr>
            <w:tcW w:w="1250" w:type="pct"/>
            <w:tcMar>
              <w:top w:w="0" w:type="dxa"/>
              <w:left w:w="28" w:type="dxa"/>
              <w:bottom w:w="0" w:type="dxa"/>
              <w:right w:w="28" w:type="dxa"/>
            </w:tcMar>
            <w:vAlign w:val="center"/>
            <w:hideMark/>
          </w:tcPr>
          <w:p w14:paraId="74E420FD" w14:textId="77777777" w:rsidR="003476DA" w:rsidRDefault="003476DA" w:rsidP="0021554F">
            <w:pPr>
              <w:pStyle w:val="TableText"/>
              <w:jc w:val="center"/>
              <w:rPr>
                <w:lang w:val="en-US"/>
              </w:rPr>
            </w:pPr>
            <w:r w:rsidRPr="002D6172">
              <w:rPr>
                <w:lang w:val="en-US"/>
              </w:rPr>
              <w:t>$</w:t>
            </w:r>
            <w:r w:rsidRPr="00BE7EBA">
              <w:rPr>
                <w:lang w:val="en-US"/>
              </w:rPr>
              <w:t>731.72</w:t>
            </w:r>
          </w:p>
        </w:tc>
        <w:tc>
          <w:tcPr>
            <w:tcW w:w="1250" w:type="pct"/>
            <w:tcMar>
              <w:top w:w="0" w:type="dxa"/>
              <w:left w:w="28" w:type="dxa"/>
              <w:bottom w:w="0" w:type="dxa"/>
              <w:right w:w="28" w:type="dxa"/>
            </w:tcMar>
            <w:vAlign w:val="center"/>
            <w:hideMark/>
          </w:tcPr>
          <w:p w14:paraId="6ED26EFC" w14:textId="77777777" w:rsidR="003476DA" w:rsidRDefault="003476DA" w:rsidP="0021554F">
            <w:pPr>
              <w:pStyle w:val="TableText"/>
              <w:jc w:val="center"/>
              <w:rPr>
                <w:lang w:val="en-US"/>
              </w:rPr>
            </w:pPr>
            <w:r>
              <w:rPr>
                <w:lang w:val="en-US"/>
              </w:rPr>
              <w:t>$</w:t>
            </w:r>
            <w:r w:rsidRPr="00BE7EBA">
              <w:rPr>
                <w:lang w:val="en-US"/>
              </w:rPr>
              <w:t>695.86</w:t>
            </w:r>
          </w:p>
        </w:tc>
      </w:tr>
      <w:tr w:rsidR="003476DA" w14:paraId="558CA39A" w14:textId="77777777" w:rsidTr="0021554F">
        <w:trPr>
          <w:cantSplit/>
          <w:trHeight w:val="1389"/>
          <w:jc w:val="center"/>
        </w:trPr>
        <w:tc>
          <w:tcPr>
            <w:tcW w:w="1250" w:type="pct"/>
            <w:tcMar>
              <w:top w:w="0" w:type="dxa"/>
              <w:left w:w="28" w:type="dxa"/>
              <w:bottom w:w="0" w:type="dxa"/>
              <w:right w:w="28" w:type="dxa"/>
            </w:tcMar>
            <w:vAlign w:val="center"/>
          </w:tcPr>
          <w:p w14:paraId="762E8A2A" w14:textId="77777777" w:rsidR="003476DA" w:rsidRDefault="003476DA" w:rsidP="0021554F">
            <w:pPr>
              <w:pStyle w:val="TableText"/>
              <w:rPr>
                <w:lang w:val="en-US"/>
              </w:rPr>
            </w:pPr>
            <w:r>
              <w:rPr>
                <w:lang w:val="en-US"/>
              </w:rPr>
              <w:t>Proportion of patients on treatment (persistence)</w:t>
            </w:r>
          </w:p>
        </w:tc>
        <w:tc>
          <w:tcPr>
            <w:tcW w:w="1250" w:type="pct"/>
            <w:tcMar>
              <w:top w:w="0" w:type="dxa"/>
              <w:left w:w="28" w:type="dxa"/>
              <w:bottom w:w="0" w:type="dxa"/>
              <w:right w:w="28" w:type="dxa"/>
            </w:tcMar>
            <w:vAlign w:val="center"/>
          </w:tcPr>
          <w:p w14:paraId="72777686" w14:textId="77777777" w:rsidR="003476DA" w:rsidRDefault="003476DA" w:rsidP="00A45330">
            <w:pPr>
              <w:pStyle w:val="TableText"/>
              <w:jc w:val="center"/>
              <w:rPr>
                <w:lang w:val="en-US"/>
              </w:rPr>
            </w:pPr>
            <w:r>
              <w:rPr>
                <w:lang w:val="en-US"/>
              </w:rPr>
              <w:t xml:space="preserve">At a median follow-up of 16 months, </w:t>
            </w:r>
            <w:r w:rsidR="00A45330">
              <w:rPr>
                <w:lang w:val="en-US"/>
              </w:rPr>
              <w:t>73.3</w:t>
            </w:r>
            <w:r>
              <w:rPr>
                <w:lang w:val="en-US"/>
              </w:rPr>
              <w:t>% of patients in the empagliflozin arm remained on treatment.</w:t>
            </w:r>
          </w:p>
        </w:tc>
        <w:tc>
          <w:tcPr>
            <w:tcW w:w="1250" w:type="pct"/>
            <w:tcMar>
              <w:top w:w="0" w:type="dxa"/>
              <w:left w:w="28" w:type="dxa"/>
              <w:bottom w:w="0" w:type="dxa"/>
              <w:right w:w="28" w:type="dxa"/>
            </w:tcMar>
          </w:tcPr>
          <w:p w14:paraId="6C0AE9E3" w14:textId="77777777" w:rsidR="003476DA" w:rsidRDefault="003476DA" w:rsidP="0021554F">
            <w:pPr>
              <w:pStyle w:val="TableText"/>
              <w:jc w:val="center"/>
              <w:rPr>
                <w:lang w:val="en-US"/>
              </w:rPr>
            </w:pPr>
            <w:r>
              <w:rPr>
                <w:lang w:val="en-US"/>
              </w:rPr>
              <w:t>Year 1: 87.6%</w:t>
            </w:r>
            <w:r w:rsidR="00A45330">
              <w:rPr>
                <w:vertAlign w:val="superscript"/>
                <w:lang w:val="en-US"/>
              </w:rPr>
              <w:t>c</w:t>
            </w:r>
          </w:p>
          <w:p w14:paraId="79BBA95D" w14:textId="77777777" w:rsidR="003476DA" w:rsidRDefault="003476DA" w:rsidP="0021554F">
            <w:pPr>
              <w:pStyle w:val="TableText"/>
              <w:jc w:val="center"/>
              <w:rPr>
                <w:lang w:val="en-US"/>
              </w:rPr>
            </w:pPr>
            <w:r>
              <w:rPr>
                <w:lang w:val="en-US"/>
              </w:rPr>
              <w:t>Year 2: 77.4%</w:t>
            </w:r>
          </w:p>
          <w:p w14:paraId="2F5D5763" w14:textId="77777777" w:rsidR="003476DA" w:rsidRDefault="003476DA" w:rsidP="0021554F">
            <w:pPr>
              <w:pStyle w:val="TableText"/>
              <w:jc w:val="center"/>
              <w:rPr>
                <w:lang w:val="en-US"/>
              </w:rPr>
            </w:pPr>
            <w:r>
              <w:rPr>
                <w:lang w:val="en-US"/>
              </w:rPr>
              <w:t>Year 3: 68.8%</w:t>
            </w:r>
          </w:p>
          <w:p w14:paraId="2AEE3B85" w14:textId="77777777" w:rsidR="003476DA" w:rsidRDefault="003476DA" w:rsidP="0021554F">
            <w:pPr>
              <w:pStyle w:val="TableText"/>
              <w:jc w:val="center"/>
              <w:rPr>
                <w:lang w:val="en-US"/>
              </w:rPr>
            </w:pPr>
            <w:r>
              <w:rPr>
                <w:lang w:val="en-US"/>
              </w:rPr>
              <w:t>Year 4: 61.3%</w:t>
            </w:r>
          </w:p>
          <w:p w14:paraId="106E2CE5" w14:textId="77777777" w:rsidR="003476DA" w:rsidRDefault="003476DA" w:rsidP="0021554F">
            <w:pPr>
              <w:pStyle w:val="TableText"/>
              <w:jc w:val="center"/>
              <w:rPr>
                <w:lang w:val="en-US"/>
              </w:rPr>
            </w:pPr>
            <w:r>
              <w:rPr>
                <w:lang w:val="en-US"/>
              </w:rPr>
              <w:t>Year 5: 54.7%</w:t>
            </w:r>
          </w:p>
          <w:p w14:paraId="6DBCFCEB" w14:textId="77777777" w:rsidR="003476DA" w:rsidRPr="00E17205" w:rsidRDefault="003476DA" w:rsidP="0021554F">
            <w:pPr>
              <w:pStyle w:val="TableText"/>
              <w:jc w:val="center"/>
              <w:rPr>
                <w:lang w:val="en-US"/>
              </w:rPr>
            </w:pPr>
            <w:r>
              <w:rPr>
                <w:lang w:val="en-US"/>
              </w:rPr>
              <w:t>Year 6: 49.0%</w:t>
            </w:r>
          </w:p>
        </w:tc>
        <w:tc>
          <w:tcPr>
            <w:tcW w:w="1250" w:type="pct"/>
            <w:tcMar>
              <w:top w:w="0" w:type="dxa"/>
              <w:left w:w="28" w:type="dxa"/>
              <w:bottom w:w="0" w:type="dxa"/>
              <w:right w:w="28" w:type="dxa"/>
            </w:tcMar>
            <w:vAlign w:val="center"/>
          </w:tcPr>
          <w:p w14:paraId="063FB843" w14:textId="77777777" w:rsidR="003476DA" w:rsidRDefault="003476DA" w:rsidP="0021554F">
            <w:pPr>
              <w:pStyle w:val="TableText"/>
              <w:jc w:val="center"/>
              <w:rPr>
                <w:lang w:val="en-US"/>
              </w:rPr>
            </w:pPr>
            <w:r>
              <w:rPr>
                <w:lang w:val="en-US"/>
              </w:rPr>
              <w:t>100%</w:t>
            </w:r>
          </w:p>
        </w:tc>
      </w:tr>
    </w:tbl>
    <w:p w14:paraId="0F6D2CCE" w14:textId="77777777" w:rsidR="003476DA" w:rsidRDefault="003476DA" w:rsidP="003476DA">
      <w:pPr>
        <w:pStyle w:val="TableFigureFooter"/>
      </w:pPr>
      <w:r>
        <w:t xml:space="preserve">Source: Table 2.4, p54 of the submission; </w:t>
      </w:r>
      <w:r w:rsidRPr="001426EB">
        <w:t>‘Att_10_Jardiance (empagliflozin) HFrEF Economic Evaluation’ spreadsheet provided with the submission</w:t>
      </w:r>
      <w:r>
        <w:t>; ‘Att_13_Jardiance (empagliflozin) HFrEF - UCM_final’ spreadsheet provided with the submission</w:t>
      </w:r>
    </w:p>
    <w:p w14:paraId="6A5C96DA" w14:textId="77777777" w:rsidR="003476DA" w:rsidRDefault="003476DA" w:rsidP="003476DA">
      <w:pPr>
        <w:pStyle w:val="TableFigureFooter"/>
      </w:pPr>
      <w:r>
        <w:t>DPMQ, dispensed price for maximum quantity.</w:t>
      </w:r>
    </w:p>
    <w:p w14:paraId="7D1415FD" w14:textId="77777777" w:rsidR="003476DA" w:rsidRPr="00536FE4" w:rsidRDefault="003476DA" w:rsidP="003476DA">
      <w:pPr>
        <w:pStyle w:val="TableFigureFooter"/>
        <w:rPr>
          <w:iCs/>
        </w:rPr>
      </w:pPr>
      <w:r w:rsidRPr="00536FE4">
        <w:rPr>
          <w:iCs/>
          <w:vertAlign w:val="superscript"/>
        </w:rPr>
        <w:t>a</w:t>
      </w:r>
      <w:r w:rsidR="004B1FF1" w:rsidRPr="00536FE4">
        <w:rPr>
          <w:iCs/>
          <w:vertAlign w:val="superscript"/>
        </w:rPr>
        <w:t xml:space="preserve"> </w:t>
      </w:r>
      <w:r w:rsidRPr="00536FE4">
        <w:rPr>
          <w:iCs/>
        </w:rPr>
        <w:t xml:space="preserve">DPMQ for empagliflozin </w:t>
      </w:r>
      <w:r w:rsidR="003D7335" w:rsidRPr="00536FE4">
        <w:rPr>
          <w:iCs/>
        </w:rPr>
        <w:t>was</w:t>
      </w:r>
      <w:r w:rsidRPr="00536FE4">
        <w:rPr>
          <w:iCs/>
        </w:rPr>
        <w:t xml:space="preserve"> updated </w:t>
      </w:r>
      <w:r w:rsidR="003D7335" w:rsidRPr="00536FE4">
        <w:rPr>
          <w:iCs/>
        </w:rPr>
        <w:t xml:space="preserve">by the evaluation </w:t>
      </w:r>
      <w:r w:rsidRPr="00536FE4">
        <w:rPr>
          <w:iCs/>
        </w:rPr>
        <w:t>to account for July 2021 changes in PBS fees and mark-ups</w:t>
      </w:r>
    </w:p>
    <w:p w14:paraId="069C813A" w14:textId="77777777" w:rsidR="00A45330" w:rsidRPr="00536FE4" w:rsidRDefault="00A45330" w:rsidP="003476DA">
      <w:pPr>
        <w:pStyle w:val="TableFigureFooter"/>
        <w:rPr>
          <w:iCs/>
        </w:rPr>
      </w:pPr>
      <w:r w:rsidRPr="00536FE4">
        <w:rPr>
          <w:iCs/>
          <w:vertAlign w:val="superscript"/>
        </w:rPr>
        <w:t>b</w:t>
      </w:r>
      <w:r w:rsidRPr="00536FE4">
        <w:rPr>
          <w:iCs/>
        </w:rPr>
        <w:t xml:space="preserve"> Derived from a post</w:t>
      </w:r>
      <w:r w:rsidR="003D7335" w:rsidRPr="00536FE4">
        <w:rPr>
          <w:iCs/>
        </w:rPr>
        <w:t xml:space="preserve"> </w:t>
      </w:r>
      <w:r w:rsidRPr="00536FE4">
        <w:rPr>
          <w:iCs/>
        </w:rPr>
        <w:t>hoc analysis of the EMPEROR-Reduced trial (Attachment 6 of the submission)</w:t>
      </w:r>
    </w:p>
    <w:p w14:paraId="3D163A5A" w14:textId="77777777" w:rsidR="00A12F27" w:rsidRPr="00536FE4" w:rsidRDefault="00A45330" w:rsidP="003476DA">
      <w:pPr>
        <w:pStyle w:val="TableFigureFooter"/>
        <w:rPr>
          <w:iCs/>
        </w:rPr>
      </w:pPr>
      <w:r w:rsidRPr="00536FE4">
        <w:rPr>
          <w:iCs/>
          <w:vertAlign w:val="superscript"/>
        </w:rPr>
        <w:t>c</w:t>
      </w:r>
      <w:r w:rsidRPr="00536FE4">
        <w:rPr>
          <w:iCs/>
        </w:rPr>
        <w:t xml:space="preserve"> Estimates </w:t>
      </w:r>
      <w:r w:rsidR="003476DA" w:rsidRPr="00536FE4">
        <w:rPr>
          <w:iCs/>
        </w:rPr>
        <w:t>based on the proportion of surviving patients on treatment</w:t>
      </w:r>
    </w:p>
    <w:p w14:paraId="18C975F3" w14:textId="77777777" w:rsidR="00B60939" w:rsidRPr="00C9624D" w:rsidRDefault="00B60939" w:rsidP="002B05A1">
      <w:pPr>
        <w:pStyle w:val="3-SubsectionHeading"/>
      </w:pPr>
      <w:bookmarkStart w:id="50" w:name="_Toc22897647"/>
      <w:bookmarkStart w:id="51" w:name="_Toc82553845"/>
      <w:r w:rsidRPr="00C9624D">
        <w:t>Estimated PBS usage &amp; financial implications</w:t>
      </w:r>
      <w:bookmarkEnd w:id="50"/>
      <w:bookmarkEnd w:id="51"/>
    </w:p>
    <w:p w14:paraId="03BEAA4C" w14:textId="77777777" w:rsidR="00164B03" w:rsidRPr="00164B03" w:rsidRDefault="00C25D9C" w:rsidP="0012228C">
      <w:pPr>
        <w:pStyle w:val="ExecSumBodyText"/>
        <w:rPr>
          <w:color w:val="0066FF"/>
        </w:rPr>
      </w:pPr>
      <w:r w:rsidRPr="00A843E8">
        <w:t xml:space="preserve">This </w:t>
      </w:r>
      <w:r w:rsidRPr="00C537E3">
        <w:t xml:space="preserve">submission </w:t>
      </w:r>
      <w:r w:rsidR="00D14896">
        <w:t>was not</w:t>
      </w:r>
      <w:r w:rsidR="00D23D11" w:rsidRPr="00C537E3">
        <w:t xml:space="preserve"> </w:t>
      </w:r>
      <w:r w:rsidRPr="00C537E3">
        <w:t>considered by DUSC</w:t>
      </w:r>
      <w:r w:rsidRPr="00C537E3">
        <w:rPr>
          <w:color w:val="0070C0"/>
        </w:rPr>
        <w:t>.</w:t>
      </w:r>
      <w:r w:rsidR="00BC591F" w:rsidRPr="00C537E3">
        <w:rPr>
          <w:color w:val="0070C0"/>
        </w:rPr>
        <w:t xml:space="preserve"> </w:t>
      </w:r>
      <w:r w:rsidR="00164B03" w:rsidRPr="00C537E3">
        <w:t>The submission presented an epidemiological approach to estimate</w:t>
      </w:r>
      <w:r w:rsidR="00164B03" w:rsidRPr="007A65F6">
        <w:t xml:space="preserve"> the utilisation and financial impacts assoc</w:t>
      </w:r>
      <w:r w:rsidR="00164B03">
        <w:t>iated with the PBS listing of emp</w:t>
      </w:r>
      <w:r w:rsidR="00164B03" w:rsidRPr="007A65F6">
        <w:t xml:space="preserve">agliflozin for the treatment of </w:t>
      </w:r>
      <w:r w:rsidR="00164B03" w:rsidRPr="00D13DC8">
        <w:t>HFrEF</w:t>
      </w:r>
      <w:r w:rsidR="00164B03">
        <w:t xml:space="preserve"> over 6 years. </w:t>
      </w:r>
    </w:p>
    <w:p w14:paraId="4497CFDE" w14:textId="77777777" w:rsidR="00414A3A" w:rsidRPr="00B667E4" w:rsidRDefault="00164B03" w:rsidP="0012228C">
      <w:pPr>
        <w:pStyle w:val="ExecSumBodyText"/>
        <w:rPr>
          <w:color w:val="0066FF"/>
        </w:rPr>
      </w:pPr>
      <w:r>
        <w:t xml:space="preserve">The submission noted that the PBAC </w:t>
      </w:r>
      <w:r w:rsidR="00536FE4">
        <w:t xml:space="preserve">had </w:t>
      </w:r>
      <w:r>
        <w:t xml:space="preserve">considered a submission for dapagliflozin for HFrEF at the November 2020 PBAC meeting, </w:t>
      </w:r>
      <w:r w:rsidR="00414A3A">
        <w:t>using an</w:t>
      </w:r>
      <w:r>
        <w:t xml:space="preserve"> </w:t>
      </w:r>
      <w:r w:rsidRPr="004A36A8">
        <w:t xml:space="preserve">epidemiological </w:t>
      </w:r>
      <w:r w:rsidR="00414A3A">
        <w:t xml:space="preserve">approach </w:t>
      </w:r>
      <w:r>
        <w:t>to estimate the predicted use and financial implications associated with the PBS listing of an SGLT2i</w:t>
      </w:r>
      <w:r w:rsidRPr="004A36A8">
        <w:t xml:space="preserve"> </w:t>
      </w:r>
      <w:r w:rsidR="00414A3A">
        <w:t xml:space="preserve">for the treatment of HFrEF. </w:t>
      </w:r>
      <w:r w:rsidRPr="004A36A8">
        <w:t>The</w:t>
      </w:r>
      <w:r>
        <w:t>refore,</w:t>
      </w:r>
      <w:r w:rsidRPr="004A36A8">
        <w:t xml:space="preserve"> </w:t>
      </w:r>
      <w:r>
        <w:t>the submission</w:t>
      </w:r>
      <w:r w:rsidRPr="004A36A8">
        <w:t xml:space="preserve"> </w:t>
      </w:r>
      <w:r>
        <w:t>included estimates</w:t>
      </w:r>
      <w:r w:rsidRPr="004A36A8">
        <w:t xml:space="preserve"> derived from the </w:t>
      </w:r>
      <w:r w:rsidR="001447C1">
        <w:t>November 2020 d</w:t>
      </w:r>
      <w:r w:rsidRPr="004A36A8">
        <w:t xml:space="preserve">apagliflozin </w:t>
      </w:r>
      <w:r w:rsidR="001447C1">
        <w:t>PSD</w:t>
      </w:r>
      <w:r>
        <w:t>,</w:t>
      </w:r>
      <w:r w:rsidRPr="004A36A8">
        <w:t xml:space="preserve"> adjusted to account for comments </w:t>
      </w:r>
      <w:r>
        <w:t>by</w:t>
      </w:r>
      <w:r w:rsidRPr="004A36A8">
        <w:t xml:space="preserve"> the </w:t>
      </w:r>
      <w:r>
        <w:t>PBAC</w:t>
      </w:r>
      <w:r w:rsidRPr="004A36A8">
        <w:t xml:space="preserve"> and the DUSC. </w:t>
      </w:r>
    </w:p>
    <w:p w14:paraId="0F0E6293" w14:textId="77777777" w:rsidR="004A19D6" w:rsidRPr="00565789" w:rsidRDefault="004A19D6" w:rsidP="0012228C">
      <w:pPr>
        <w:pStyle w:val="ExecSumBodyText"/>
        <w:rPr>
          <w:color w:val="0066FF"/>
        </w:rPr>
      </w:pPr>
      <w:bookmarkStart w:id="52" w:name="_Hlk84597972"/>
      <w:r w:rsidRPr="00565789">
        <w:t>Dapagliflozin for HFrEF was subsequently considered by the PBAC at the July 2021 meeting</w:t>
      </w:r>
      <w:r w:rsidR="00587E71" w:rsidRPr="00565789">
        <w:t xml:space="preserve"> (deferred), and the September 2021 meeting (recommended)</w:t>
      </w:r>
      <w:r w:rsidRPr="00565789">
        <w:t xml:space="preserve">. The PBAC considered that the listing </w:t>
      </w:r>
      <w:r w:rsidR="009A4CEA" w:rsidRPr="00565789">
        <w:t xml:space="preserve">of </w:t>
      </w:r>
      <w:r w:rsidR="004E51C5" w:rsidRPr="00565789">
        <w:t>dapagliflozin</w:t>
      </w:r>
      <w:r w:rsidR="009A4CEA" w:rsidRPr="00565789">
        <w:t xml:space="preserve"> </w:t>
      </w:r>
      <w:r w:rsidRPr="00565789">
        <w:t>would be cost</w:t>
      </w:r>
      <w:r w:rsidR="001447C1" w:rsidRPr="00565789">
        <w:t>-</w:t>
      </w:r>
      <w:r w:rsidRPr="00565789">
        <w:t xml:space="preserve">effective at the price proposed in the </w:t>
      </w:r>
      <w:r w:rsidR="00587E71" w:rsidRPr="00565789">
        <w:t xml:space="preserve">July 2021 </w:t>
      </w:r>
      <w:r w:rsidRPr="00565789">
        <w:t xml:space="preserve">pre-PBAC response, </w:t>
      </w:r>
      <w:r w:rsidR="00587E71" w:rsidRPr="00565789">
        <w:t xml:space="preserve">and that the estimates were broadly reasonable, and would be an appropriate basis for </w:t>
      </w:r>
      <w:bookmarkStart w:id="53" w:name="_Hlk87431275"/>
      <w:r w:rsidR="00587E71" w:rsidRPr="00565789">
        <w:t xml:space="preserve">a Risk Sharing Arrangement (RSA) for this indication </w:t>
      </w:r>
      <w:r w:rsidRPr="00565789">
        <w:t xml:space="preserve">(PBAC Outcomes, </w:t>
      </w:r>
      <w:r w:rsidR="00587E71" w:rsidRPr="00565789">
        <w:t xml:space="preserve">September </w:t>
      </w:r>
      <w:r w:rsidRPr="00565789">
        <w:t xml:space="preserve">2021 </w:t>
      </w:r>
      <w:r w:rsidR="00587E71" w:rsidRPr="00565789">
        <w:t xml:space="preserve">Intracycle </w:t>
      </w:r>
      <w:r w:rsidRPr="00565789">
        <w:t>meeting).</w:t>
      </w:r>
      <w:r w:rsidR="00587E71" w:rsidRPr="00565789">
        <w:t xml:space="preserve"> </w:t>
      </w:r>
      <w:bookmarkEnd w:id="53"/>
    </w:p>
    <w:bookmarkEnd w:id="52"/>
    <w:p w14:paraId="35E85C99" w14:textId="77777777" w:rsidR="00B667E4" w:rsidRDefault="00B667E4" w:rsidP="0012228C">
      <w:pPr>
        <w:pStyle w:val="ExecSumBodyText"/>
        <w:rPr>
          <w:color w:val="0066FF"/>
        </w:rPr>
      </w:pPr>
      <w:r>
        <w:t xml:space="preserve">The </w:t>
      </w:r>
      <w:r w:rsidR="00314CEC">
        <w:t xml:space="preserve">empagliflozin </w:t>
      </w:r>
      <w:r>
        <w:t>submission also commissioned a 10% PBS longitudinal sample analysis (scaled up to 100%),</w:t>
      </w:r>
      <w:r w:rsidR="00B04881">
        <w:t xml:space="preserve"> </w:t>
      </w:r>
      <w:r>
        <w:t xml:space="preserve">to estimate the proportions of patients with heart failure treated with heart failure medicines, and the proportions of heart failure patients likely to be treated with </w:t>
      </w:r>
      <w:r w:rsidR="001447C1">
        <w:t xml:space="preserve">an </w:t>
      </w:r>
      <w:r>
        <w:t>SGLT2i prior to being treated for heart failure.</w:t>
      </w:r>
    </w:p>
    <w:p w14:paraId="2E352017" w14:textId="77777777" w:rsidR="00E42F73" w:rsidRPr="009B134B" w:rsidRDefault="00B974B3" w:rsidP="0054012B">
      <w:pPr>
        <w:pStyle w:val="TableFigureCaption"/>
        <w:keepLines/>
      </w:pPr>
      <w:r>
        <w:t xml:space="preserve">Table </w:t>
      </w:r>
      <w:r w:rsidR="00915190">
        <w:rPr>
          <w:noProof/>
        </w:rPr>
        <w:t>15</w:t>
      </w:r>
      <w:r w:rsidR="00E42F73" w:rsidRPr="009B134B">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5: Key inputs for financial estimates"/>
      </w:tblPr>
      <w:tblGrid>
        <w:gridCol w:w="1713"/>
        <w:gridCol w:w="3668"/>
        <w:gridCol w:w="3636"/>
      </w:tblGrid>
      <w:tr w:rsidR="00E42F73" w:rsidRPr="009B134B" w14:paraId="56DAB0AB" w14:textId="77777777" w:rsidTr="0044687F">
        <w:trPr>
          <w:tblHeader/>
        </w:trPr>
        <w:tc>
          <w:tcPr>
            <w:tcW w:w="950" w:type="pct"/>
            <w:shd w:val="clear" w:color="auto" w:fill="auto"/>
            <w:vAlign w:val="center"/>
          </w:tcPr>
          <w:p w14:paraId="471CE946" w14:textId="77777777" w:rsidR="00E42F73" w:rsidRPr="009B134B" w:rsidRDefault="004658B5" w:rsidP="0054012B">
            <w:pPr>
              <w:pStyle w:val="Tableheadingrow"/>
              <w:keepLines/>
            </w:pPr>
            <w:r w:rsidRPr="009B134B">
              <w:t>Parameter</w:t>
            </w:r>
          </w:p>
        </w:tc>
        <w:tc>
          <w:tcPr>
            <w:tcW w:w="2034" w:type="pct"/>
            <w:shd w:val="clear" w:color="auto" w:fill="auto"/>
            <w:vAlign w:val="center"/>
          </w:tcPr>
          <w:p w14:paraId="3B2DF0E1" w14:textId="77777777" w:rsidR="00E42F73" w:rsidRPr="009B134B" w:rsidRDefault="004658B5" w:rsidP="0054012B">
            <w:pPr>
              <w:pStyle w:val="Tableheadingrow"/>
              <w:keepLines/>
            </w:pPr>
            <w:r w:rsidRPr="009B134B">
              <w:t>Value applied and source</w:t>
            </w:r>
          </w:p>
        </w:tc>
        <w:tc>
          <w:tcPr>
            <w:tcW w:w="2016" w:type="pct"/>
            <w:shd w:val="clear" w:color="auto" w:fill="auto"/>
            <w:vAlign w:val="center"/>
          </w:tcPr>
          <w:p w14:paraId="6C7EC865" w14:textId="77777777" w:rsidR="00E42F73" w:rsidRPr="009B134B" w:rsidRDefault="004658B5" w:rsidP="0054012B">
            <w:pPr>
              <w:pStyle w:val="Tableheadingrow"/>
              <w:keepLines/>
            </w:pPr>
            <w:r w:rsidRPr="009B134B">
              <w:t>Comment</w:t>
            </w:r>
          </w:p>
        </w:tc>
      </w:tr>
      <w:tr w:rsidR="00E42F73" w:rsidRPr="00E2771E" w14:paraId="4B1BF3B5" w14:textId="77777777" w:rsidTr="0044687F">
        <w:tc>
          <w:tcPr>
            <w:tcW w:w="950" w:type="pct"/>
            <w:shd w:val="clear" w:color="auto" w:fill="auto"/>
            <w:vAlign w:val="center"/>
          </w:tcPr>
          <w:p w14:paraId="1EB87234" w14:textId="77777777" w:rsidR="00E42F73" w:rsidRPr="009B134B" w:rsidRDefault="00B316BC" w:rsidP="0054012B">
            <w:pPr>
              <w:pStyle w:val="TableText"/>
              <w:keepLines/>
            </w:pPr>
            <w:r w:rsidRPr="009B134B">
              <w:t>Prevalence of heart failure</w:t>
            </w:r>
            <w:r w:rsidR="0044687F" w:rsidRPr="009B134B">
              <w:t xml:space="preserve">, </w:t>
            </w:r>
            <w:r w:rsidRPr="009B134B">
              <w:t>Australia</w:t>
            </w:r>
          </w:p>
        </w:tc>
        <w:tc>
          <w:tcPr>
            <w:tcW w:w="2034" w:type="pct"/>
            <w:shd w:val="clear" w:color="auto" w:fill="auto"/>
            <w:vAlign w:val="center"/>
          </w:tcPr>
          <w:p w14:paraId="250205D1" w14:textId="77777777" w:rsidR="00E42F73" w:rsidRPr="009B134B" w:rsidRDefault="0044687F" w:rsidP="0054012B">
            <w:pPr>
              <w:pStyle w:val="TableText"/>
              <w:keepLines/>
              <w:rPr>
                <w:lang w:val="en-US"/>
              </w:rPr>
            </w:pPr>
            <w:r w:rsidRPr="009B134B">
              <w:t>2.199 per 100 persons, reported by Liew et al., 2020 (SHAPE study)</w:t>
            </w:r>
          </w:p>
        </w:tc>
        <w:tc>
          <w:tcPr>
            <w:tcW w:w="2016" w:type="pct"/>
            <w:shd w:val="clear" w:color="auto" w:fill="auto"/>
            <w:vAlign w:val="center"/>
          </w:tcPr>
          <w:p w14:paraId="59A5DCFE" w14:textId="77777777" w:rsidR="00E42F73" w:rsidRPr="00E2771E" w:rsidRDefault="0044687F" w:rsidP="0054012B">
            <w:pPr>
              <w:pStyle w:val="TableText"/>
              <w:keepLines/>
              <w:rPr>
                <w:lang w:val="en-US"/>
              </w:rPr>
            </w:pPr>
            <w:r w:rsidRPr="00D14896">
              <w:rPr>
                <w:rFonts w:cstheme="minorHAnsi"/>
                <w:bCs w:val="0"/>
                <w:szCs w:val="20"/>
              </w:rPr>
              <w:t xml:space="preserve">Based on DUSC comments (para 6.60, </w:t>
            </w:r>
            <w:r w:rsidR="001447C1">
              <w:rPr>
                <w:rFonts w:cstheme="minorHAnsi"/>
                <w:bCs w:val="0"/>
                <w:szCs w:val="20"/>
              </w:rPr>
              <w:t>d</w:t>
            </w:r>
            <w:r w:rsidRPr="00D14896">
              <w:rPr>
                <w:rFonts w:cstheme="minorHAnsi"/>
                <w:bCs w:val="0"/>
                <w:szCs w:val="20"/>
              </w:rPr>
              <w:t>apagliflozin PSD, November 2020 PBAC meeting). This may be reasonable</w:t>
            </w:r>
            <w:r w:rsidR="000066B0" w:rsidRPr="00D14896">
              <w:rPr>
                <w:rFonts w:cstheme="minorHAnsi"/>
                <w:bCs w:val="0"/>
                <w:szCs w:val="20"/>
              </w:rPr>
              <w:t>.</w:t>
            </w:r>
          </w:p>
        </w:tc>
      </w:tr>
      <w:tr w:rsidR="00A05C32" w:rsidRPr="00D14896" w14:paraId="69801620" w14:textId="77777777" w:rsidTr="0044687F">
        <w:tc>
          <w:tcPr>
            <w:tcW w:w="950" w:type="pct"/>
            <w:shd w:val="clear" w:color="auto" w:fill="auto"/>
            <w:vAlign w:val="center"/>
          </w:tcPr>
          <w:p w14:paraId="0A615520" w14:textId="77777777" w:rsidR="00A05C32" w:rsidRPr="00D14896" w:rsidRDefault="0044687F" w:rsidP="0054012B">
            <w:pPr>
              <w:pStyle w:val="TableText"/>
              <w:keepLines/>
              <w:rPr>
                <w:lang w:val="en-US"/>
              </w:rPr>
            </w:pPr>
            <w:r w:rsidRPr="00D14896">
              <w:t>Proportion of patients with LVEF ≤40%</w:t>
            </w:r>
          </w:p>
        </w:tc>
        <w:tc>
          <w:tcPr>
            <w:tcW w:w="2034" w:type="pct"/>
            <w:shd w:val="clear" w:color="auto" w:fill="auto"/>
            <w:vAlign w:val="center"/>
          </w:tcPr>
          <w:p w14:paraId="530B7574" w14:textId="77777777" w:rsidR="00A05C32" w:rsidRPr="00D14896" w:rsidRDefault="0044687F" w:rsidP="0054012B">
            <w:pPr>
              <w:pStyle w:val="TableText"/>
              <w:keepLines/>
              <w:rPr>
                <w:lang w:val="en-US"/>
              </w:rPr>
            </w:pPr>
            <w:r w:rsidRPr="00D14896">
              <w:t>60%. Midpoint of the proportions reported in the SHAPE (62%) and SNAPSHOT-HF (58%). studies</w:t>
            </w:r>
          </w:p>
        </w:tc>
        <w:tc>
          <w:tcPr>
            <w:tcW w:w="2016" w:type="pct"/>
            <w:shd w:val="clear" w:color="auto" w:fill="auto"/>
            <w:vAlign w:val="center"/>
          </w:tcPr>
          <w:p w14:paraId="79A5D242" w14:textId="77777777" w:rsidR="00A05C32" w:rsidRPr="00D14896" w:rsidRDefault="0044687F" w:rsidP="0054012B">
            <w:pPr>
              <w:pStyle w:val="TableText"/>
              <w:keepLines/>
              <w:rPr>
                <w:lang w:val="en-US"/>
              </w:rPr>
            </w:pPr>
            <w:r w:rsidRPr="00D14896">
              <w:rPr>
                <w:rFonts w:cstheme="minorHAnsi"/>
                <w:bCs w:val="0"/>
                <w:szCs w:val="20"/>
              </w:rPr>
              <w:t xml:space="preserve">Based on DUSC comments (para 6.60, </w:t>
            </w:r>
            <w:r w:rsidR="001447C1">
              <w:rPr>
                <w:rFonts w:cstheme="minorHAnsi"/>
                <w:bCs w:val="0"/>
                <w:szCs w:val="20"/>
              </w:rPr>
              <w:t>d</w:t>
            </w:r>
            <w:r w:rsidRPr="00D14896">
              <w:rPr>
                <w:rFonts w:cstheme="minorHAnsi"/>
                <w:bCs w:val="0"/>
                <w:szCs w:val="20"/>
              </w:rPr>
              <w:t xml:space="preserve">apagliflozin PSD, November 2020 PBAC meeting). </w:t>
            </w:r>
          </w:p>
        </w:tc>
      </w:tr>
      <w:tr w:rsidR="0044687F" w:rsidRPr="00D14896" w14:paraId="383ED6F4" w14:textId="77777777" w:rsidTr="0044687F">
        <w:tc>
          <w:tcPr>
            <w:tcW w:w="950" w:type="pct"/>
            <w:shd w:val="clear" w:color="auto" w:fill="auto"/>
            <w:vAlign w:val="center"/>
          </w:tcPr>
          <w:p w14:paraId="71DDB60B" w14:textId="77777777" w:rsidR="0044687F" w:rsidRPr="00D14896" w:rsidRDefault="0044687F" w:rsidP="0054012B">
            <w:pPr>
              <w:pStyle w:val="TableText"/>
              <w:keepLines/>
              <w:rPr>
                <w:lang w:val="en-US"/>
              </w:rPr>
            </w:pPr>
            <w:r w:rsidRPr="00D14896">
              <w:t>Proportion of patients with NYHA class II-IV</w:t>
            </w:r>
          </w:p>
        </w:tc>
        <w:tc>
          <w:tcPr>
            <w:tcW w:w="2034" w:type="pct"/>
            <w:shd w:val="clear" w:color="auto" w:fill="auto"/>
            <w:vAlign w:val="center"/>
          </w:tcPr>
          <w:p w14:paraId="619DBDD4" w14:textId="77777777" w:rsidR="0044687F" w:rsidRPr="00D14896" w:rsidRDefault="0044687F" w:rsidP="0054012B">
            <w:pPr>
              <w:pStyle w:val="TableText"/>
              <w:keepLines/>
              <w:rPr>
                <w:lang w:val="en-US"/>
              </w:rPr>
            </w:pPr>
            <w:r w:rsidRPr="00D14896">
              <w:t>95%. Proportion of NYHA Class II-IV heart failure from the</w:t>
            </w:r>
            <w:r w:rsidR="00B04881" w:rsidRPr="00D14896">
              <w:t xml:space="preserve"> </w:t>
            </w:r>
            <w:r w:rsidRPr="00D14896">
              <w:t>July 2016 Sacubitril/ valsartan submission</w:t>
            </w:r>
          </w:p>
        </w:tc>
        <w:tc>
          <w:tcPr>
            <w:tcW w:w="2016" w:type="pct"/>
            <w:shd w:val="clear" w:color="auto" w:fill="auto"/>
            <w:vAlign w:val="center"/>
          </w:tcPr>
          <w:p w14:paraId="7B885557" w14:textId="77777777" w:rsidR="0044687F" w:rsidRPr="00D14896" w:rsidRDefault="0044687F" w:rsidP="0054012B">
            <w:pPr>
              <w:pStyle w:val="TableText"/>
              <w:keepLines/>
              <w:rPr>
                <w:lang w:val="en-US"/>
              </w:rPr>
            </w:pPr>
            <w:r w:rsidRPr="00D14896">
              <w:rPr>
                <w:rFonts w:cstheme="minorHAnsi"/>
                <w:bCs w:val="0"/>
                <w:szCs w:val="20"/>
              </w:rPr>
              <w:t xml:space="preserve">Based on the dapagliflozin November 2020 submission (para 6.57, </w:t>
            </w:r>
            <w:r w:rsidR="001447C1">
              <w:rPr>
                <w:rFonts w:cstheme="minorHAnsi"/>
                <w:bCs w:val="0"/>
                <w:szCs w:val="20"/>
              </w:rPr>
              <w:t>d</w:t>
            </w:r>
            <w:r w:rsidRPr="00D14896">
              <w:rPr>
                <w:rFonts w:cstheme="minorHAnsi"/>
                <w:bCs w:val="0"/>
                <w:szCs w:val="20"/>
              </w:rPr>
              <w:t>apagliflozin PSD, November 2020 PBAC meeting). This may be reasonable</w:t>
            </w:r>
            <w:r w:rsidR="000066B0" w:rsidRPr="00D14896">
              <w:rPr>
                <w:rFonts w:cstheme="minorHAnsi"/>
                <w:bCs w:val="0"/>
                <w:szCs w:val="20"/>
              </w:rPr>
              <w:t>.</w:t>
            </w:r>
          </w:p>
        </w:tc>
      </w:tr>
      <w:tr w:rsidR="0044687F" w:rsidRPr="00D14896" w14:paraId="2FA4FA51" w14:textId="77777777" w:rsidTr="0044687F">
        <w:tc>
          <w:tcPr>
            <w:tcW w:w="950" w:type="pct"/>
            <w:shd w:val="clear" w:color="auto" w:fill="auto"/>
            <w:vAlign w:val="center"/>
          </w:tcPr>
          <w:p w14:paraId="5DC91B4A" w14:textId="77777777" w:rsidR="0044687F" w:rsidRPr="00D14896" w:rsidRDefault="0044687F" w:rsidP="0054012B">
            <w:pPr>
              <w:pStyle w:val="TableText"/>
              <w:keepLines/>
              <w:rPr>
                <w:lang w:val="en-US"/>
              </w:rPr>
            </w:pPr>
            <w:r w:rsidRPr="00D14896">
              <w:t>Proportion of heart failure patients treated with standard care</w:t>
            </w:r>
          </w:p>
        </w:tc>
        <w:tc>
          <w:tcPr>
            <w:tcW w:w="2034" w:type="pct"/>
            <w:shd w:val="clear" w:color="auto" w:fill="auto"/>
            <w:vAlign w:val="center"/>
          </w:tcPr>
          <w:p w14:paraId="0728DF1F" w14:textId="77777777" w:rsidR="0044687F" w:rsidRPr="00D14896" w:rsidRDefault="0044687F" w:rsidP="0054012B">
            <w:pPr>
              <w:pStyle w:val="TableText"/>
              <w:keepLines/>
              <w:rPr>
                <w:lang w:val="en-US"/>
              </w:rPr>
            </w:pPr>
            <w:r w:rsidRPr="00D14896">
              <w:t>86.5%. Based on 2018-2019 (financial year) data from the 10% PBS longitudinal sample analysis</w:t>
            </w:r>
          </w:p>
        </w:tc>
        <w:tc>
          <w:tcPr>
            <w:tcW w:w="2016" w:type="pct"/>
            <w:shd w:val="clear" w:color="auto" w:fill="auto"/>
            <w:vAlign w:val="center"/>
          </w:tcPr>
          <w:p w14:paraId="460457B1" w14:textId="77777777" w:rsidR="0044687F" w:rsidRPr="00D14896" w:rsidRDefault="00FA6C55" w:rsidP="0054012B">
            <w:pPr>
              <w:pStyle w:val="TableText"/>
              <w:keepLines/>
              <w:rPr>
                <w:lang w:val="en-US"/>
              </w:rPr>
            </w:pPr>
            <w:r w:rsidRPr="00D14896">
              <w:rPr>
                <w:rFonts w:cstheme="minorHAnsi"/>
                <w:bCs w:val="0"/>
                <w:szCs w:val="20"/>
              </w:rPr>
              <w:t xml:space="preserve">This estimate was considered uncertain. </w:t>
            </w:r>
            <w:r w:rsidR="00EA548D" w:rsidRPr="00D14896">
              <w:t>Averaging the monthly 10% sample data from July 2018 to August 2020 increased the estimated proportion to 90.1%.</w:t>
            </w:r>
          </w:p>
        </w:tc>
      </w:tr>
      <w:tr w:rsidR="0044687F" w:rsidRPr="00D14896" w14:paraId="74A79207" w14:textId="77777777" w:rsidTr="0044687F">
        <w:tc>
          <w:tcPr>
            <w:tcW w:w="950" w:type="pct"/>
            <w:shd w:val="clear" w:color="auto" w:fill="auto"/>
            <w:vAlign w:val="center"/>
          </w:tcPr>
          <w:p w14:paraId="6723C72C" w14:textId="77777777" w:rsidR="0044687F" w:rsidRPr="00D14896" w:rsidRDefault="0044687F" w:rsidP="0054012B">
            <w:pPr>
              <w:pStyle w:val="TableText"/>
              <w:keepLines/>
              <w:rPr>
                <w:lang w:val="en-US"/>
              </w:rPr>
            </w:pPr>
            <w:r w:rsidRPr="00D14896">
              <w:t>Proportion of patients treated with standard care who have T2D</w:t>
            </w:r>
          </w:p>
        </w:tc>
        <w:tc>
          <w:tcPr>
            <w:tcW w:w="2034" w:type="pct"/>
            <w:shd w:val="clear" w:color="auto" w:fill="auto"/>
            <w:vAlign w:val="center"/>
          </w:tcPr>
          <w:p w14:paraId="629CC357" w14:textId="77777777" w:rsidR="0044687F" w:rsidRPr="00D14896" w:rsidRDefault="0044687F" w:rsidP="0054012B">
            <w:pPr>
              <w:pStyle w:val="TableText"/>
              <w:keepLines/>
              <w:rPr>
                <w:lang w:val="en-US"/>
              </w:rPr>
            </w:pPr>
            <w:r w:rsidRPr="00D14896">
              <w:t>33.3%. Based on 2015-2020 data from the 10% PBS longitudinal sample analysis</w:t>
            </w:r>
          </w:p>
        </w:tc>
        <w:tc>
          <w:tcPr>
            <w:tcW w:w="2016" w:type="pct"/>
            <w:shd w:val="clear" w:color="auto" w:fill="auto"/>
            <w:vAlign w:val="center"/>
          </w:tcPr>
          <w:p w14:paraId="32FED113" w14:textId="77777777" w:rsidR="0044687F" w:rsidRPr="00FF28F6" w:rsidRDefault="0044687F" w:rsidP="0054012B">
            <w:pPr>
              <w:pStyle w:val="TableText"/>
              <w:keepLines/>
              <w:rPr>
                <w:i/>
                <w:iCs/>
                <w:lang w:val="en-US"/>
              </w:rPr>
            </w:pPr>
            <w:r w:rsidRPr="00D14896">
              <w:rPr>
                <w:rFonts w:cstheme="minorHAnsi"/>
                <w:bCs w:val="0"/>
                <w:szCs w:val="20"/>
              </w:rPr>
              <w:t>Based on patients receiving one or more dispensed T2D medicines. May include patients no</w:t>
            </w:r>
            <w:r w:rsidR="00182CF5" w:rsidRPr="00D14896">
              <w:rPr>
                <w:rFonts w:cstheme="minorHAnsi"/>
                <w:bCs w:val="0"/>
                <w:szCs w:val="20"/>
              </w:rPr>
              <w:t>t</w:t>
            </w:r>
            <w:r w:rsidRPr="00D14896">
              <w:rPr>
                <w:rFonts w:cstheme="minorHAnsi"/>
                <w:bCs w:val="0"/>
                <w:szCs w:val="20"/>
              </w:rPr>
              <w:t xml:space="preserve"> continuing treatment. </w:t>
            </w:r>
            <w:r w:rsidR="00FF28F6" w:rsidRPr="00565789">
              <w:rPr>
                <w:rFonts w:cstheme="minorHAnsi"/>
                <w:bCs w:val="0"/>
                <w:iCs/>
                <w:szCs w:val="20"/>
              </w:rPr>
              <w:t xml:space="preserve">The PSCR </w:t>
            </w:r>
            <w:r w:rsidR="009A4CEA" w:rsidRPr="00565789">
              <w:rPr>
                <w:rFonts w:cstheme="minorHAnsi"/>
                <w:bCs w:val="0"/>
                <w:iCs/>
                <w:szCs w:val="20"/>
              </w:rPr>
              <w:t>argued that</w:t>
            </w:r>
            <w:r w:rsidR="00FF28F6" w:rsidRPr="00565789">
              <w:rPr>
                <w:rFonts w:cstheme="minorHAnsi"/>
                <w:bCs w:val="0"/>
                <w:iCs/>
                <w:szCs w:val="20"/>
              </w:rPr>
              <w:t xml:space="preserve"> patients who discontinue due to clinical issues are likely to switch therapy rather than cease treatment entirely. It also </w:t>
            </w:r>
            <w:r w:rsidR="009A4CEA" w:rsidRPr="00565789">
              <w:rPr>
                <w:rFonts w:cstheme="minorHAnsi"/>
                <w:bCs w:val="0"/>
                <w:iCs/>
                <w:szCs w:val="20"/>
              </w:rPr>
              <w:t>argu</w:t>
            </w:r>
            <w:r w:rsidR="00FF28F6" w:rsidRPr="00565789">
              <w:rPr>
                <w:rFonts w:cstheme="minorHAnsi"/>
                <w:bCs w:val="0"/>
                <w:iCs/>
                <w:szCs w:val="20"/>
              </w:rPr>
              <w:t>ed the estimate was reasonable in the context of a multimorbid population with a high prevalence of cardiometabolic disease.</w:t>
            </w:r>
          </w:p>
        </w:tc>
      </w:tr>
      <w:tr w:rsidR="00E06130" w:rsidRPr="00D14896" w14:paraId="267FA02E" w14:textId="77777777" w:rsidTr="0044687F">
        <w:tc>
          <w:tcPr>
            <w:tcW w:w="950" w:type="pct"/>
            <w:shd w:val="clear" w:color="auto" w:fill="auto"/>
            <w:vAlign w:val="center"/>
          </w:tcPr>
          <w:p w14:paraId="5B9A055C" w14:textId="77777777" w:rsidR="00E06130" w:rsidRPr="00D14896" w:rsidRDefault="00E06130" w:rsidP="0054012B">
            <w:pPr>
              <w:pStyle w:val="TableText"/>
              <w:keepLines/>
              <w:rPr>
                <w:lang w:val="en-US"/>
              </w:rPr>
            </w:pPr>
            <w:r w:rsidRPr="00D14896">
              <w:t xml:space="preserve">Proportion of T2D and HFrEF treated with SGLT2i </w:t>
            </w:r>
          </w:p>
        </w:tc>
        <w:tc>
          <w:tcPr>
            <w:tcW w:w="2034" w:type="pct"/>
            <w:shd w:val="clear" w:color="auto" w:fill="auto"/>
            <w:vAlign w:val="center"/>
          </w:tcPr>
          <w:p w14:paraId="3ECC8D23" w14:textId="77777777" w:rsidR="00E06130" w:rsidRPr="00D14896" w:rsidRDefault="00E06130" w:rsidP="0054012B">
            <w:pPr>
              <w:keepNext/>
              <w:keepLines/>
              <w:rPr>
                <w:rFonts w:ascii="Arial Narrow" w:hAnsi="Arial Narrow" w:cstheme="minorHAnsi"/>
                <w:bCs/>
                <w:sz w:val="20"/>
                <w:szCs w:val="20"/>
              </w:rPr>
            </w:pPr>
            <w:r w:rsidRPr="00D14896">
              <w:rPr>
                <w:rFonts w:ascii="Arial Narrow" w:hAnsi="Arial Narrow" w:cstheme="minorHAnsi"/>
                <w:bCs/>
                <w:sz w:val="20"/>
                <w:szCs w:val="20"/>
              </w:rPr>
              <w:t>10.6-13.5% over 6 years. Based on moving averages forecast derived from Jan 2014-Aug</w:t>
            </w:r>
            <w:r w:rsidR="001447C1">
              <w:rPr>
                <w:rFonts w:ascii="Arial Narrow" w:hAnsi="Arial Narrow" w:cstheme="minorHAnsi"/>
                <w:bCs/>
                <w:sz w:val="20"/>
                <w:szCs w:val="20"/>
              </w:rPr>
              <w:t> </w:t>
            </w:r>
            <w:r w:rsidRPr="00D14896">
              <w:rPr>
                <w:rFonts w:ascii="Arial Narrow" w:hAnsi="Arial Narrow" w:cstheme="minorHAnsi"/>
                <w:bCs/>
                <w:sz w:val="20"/>
                <w:szCs w:val="20"/>
              </w:rPr>
              <w:t>2020 in the 10% PBS longitudinal sample analysis</w:t>
            </w:r>
          </w:p>
        </w:tc>
        <w:tc>
          <w:tcPr>
            <w:tcW w:w="2016" w:type="pct"/>
            <w:shd w:val="clear" w:color="auto" w:fill="auto"/>
            <w:vAlign w:val="center"/>
          </w:tcPr>
          <w:p w14:paraId="484F5513" w14:textId="77777777" w:rsidR="00E06130" w:rsidRPr="00D14896" w:rsidRDefault="009A7E8B" w:rsidP="0054012B">
            <w:pPr>
              <w:pStyle w:val="TableText"/>
              <w:keepLines/>
              <w:rPr>
                <w:lang w:val="en-US"/>
              </w:rPr>
            </w:pPr>
            <w:r w:rsidRPr="00D14896">
              <w:t>Given use of SGLT2i in T2D may be impacted by heart failure trial outcomes, the estimate is uncertain</w:t>
            </w:r>
            <w:r w:rsidR="00FF28F6">
              <w:t>.</w:t>
            </w:r>
          </w:p>
        </w:tc>
      </w:tr>
      <w:tr w:rsidR="004658B5" w:rsidRPr="00E2771E" w14:paraId="55F90611" w14:textId="77777777" w:rsidTr="0044687F">
        <w:tc>
          <w:tcPr>
            <w:tcW w:w="950" w:type="pct"/>
            <w:shd w:val="clear" w:color="auto" w:fill="auto"/>
            <w:vAlign w:val="center"/>
          </w:tcPr>
          <w:p w14:paraId="0930DC3B" w14:textId="77777777" w:rsidR="004658B5" w:rsidRPr="00E2771E" w:rsidRDefault="00E06130" w:rsidP="0054012B">
            <w:pPr>
              <w:pStyle w:val="TableText"/>
              <w:keepLines/>
              <w:rPr>
                <w:lang w:val="en-US"/>
              </w:rPr>
            </w:pPr>
            <w:r w:rsidRPr="00AC73F0">
              <w:t>I</w:t>
            </w:r>
            <w:r>
              <w:t>mpact factor for i</w:t>
            </w:r>
            <w:r w:rsidRPr="00AC73F0">
              <w:t>n</w:t>
            </w:r>
            <w:r>
              <w:t>crease in use of SGLT2i for T2D</w:t>
            </w:r>
            <w:r w:rsidRPr="00AC73F0">
              <w:t xml:space="preserve"> </w:t>
            </w:r>
            <w:r w:rsidR="00FF28F6" w:rsidRPr="00FF28F6">
              <w:t>to account for increased prescribing of empagliflozin related to favourable cardiovascular outcomes in recent clinical trials</w:t>
            </w:r>
          </w:p>
        </w:tc>
        <w:tc>
          <w:tcPr>
            <w:tcW w:w="2034" w:type="pct"/>
            <w:shd w:val="clear" w:color="auto" w:fill="auto"/>
            <w:vAlign w:val="center"/>
          </w:tcPr>
          <w:p w14:paraId="327D7CE8" w14:textId="77777777" w:rsidR="004658B5" w:rsidRPr="00E2771E" w:rsidRDefault="00CC7AA8" w:rsidP="0054012B">
            <w:pPr>
              <w:pStyle w:val="TableText"/>
              <w:keepLines/>
              <w:rPr>
                <w:lang w:val="en-US"/>
              </w:rPr>
            </w:pPr>
            <w:r>
              <w:rPr>
                <w:noProof/>
                <w:color w:val="000000"/>
                <w:highlight w:val="black"/>
                <w:lang w:val="en-US"/>
              </w:rPr>
              <w:t>''''</w:t>
            </w:r>
            <w:r w:rsidR="00E06130">
              <w:rPr>
                <w:lang w:val="en-US"/>
              </w:rPr>
              <w:t>-</w:t>
            </w:r>
            <w:r>
              <w:rPr>
                <w:noProof/>
                <w:color w:val="000000"/>
                <w:highlight w:val="black"/>
                <w:lang w:val="en-US"/>
              </w:rPr>
              <w:t>'''''''</w:t>
            </w:r>
            <w:r w:rsidR="00E06130">
              <w:rPr>
                <w:lang w:val="en-US"/>
              </w:rPr>
              <w:t>% over 6 years. Assumed</w:t>
            </w:r>
          </w:p>
        </w:tc>
        <w:tc>
          <w:tcPr>
            <w:tcW w:w="2016" w:type="pct"/>
            <w:shd w:val="clear" w:color="auto" w:fill="auto"/>
            <w:vAlign w:val="center"/>
          </w:tcPr>
          <w:p w14:paraId="132D8FF9" w14:textId="77777777" w:rsidR="004658B5" w:rsidRPr="00E2771E" w:rsidRDefault="00E06130" w:rsidP="0054012B">
            <w:pPr>
              <w:pStyle w:val="TableText"/>
              <w:keepLines/>
              <w:rPr>
                <w:lang w:val="en-US"/>
              </w:rPr>
            </w:pPr>
            <w:r w:rsidRPr="00D14896">
              <w:t xml:space="preserve">The DUSC considered that SGLT2i uptake may increase due to known cardiovascular benefits (para 6.60, </w:t>
            </w:r>
            <w:r w:rsidR="001447C1">
              <w:t>d</w:t>
            </w:r>
            <w:r w:rsidRPr="00D14896">
              <w:t>apagliflozin, PSD, November 2020 PBAC meeting)</w:t>
            </w:r>
            <w:r w:rsidR="00414A3A" w:rsidRPr="00D14896">
              <w:t xml:space="preserve">. This </w:t>
            </w:r>
            <w:r w:rsidR="00B7548D">
              <w:t>submission included</w:t>
            </w:r>
            <w:r w:rsidR="00414A3A" w:rsidRPr="00D14896">
              <w:t xml:space="preserve"> an additional assumed uptake factor</w:t>
            </w:r>
            <w:r w:rsidR="000066B0" w:rsidRPr="00D14896">
              <w:t>.</w:t>
            </w:r>
          </w:p>
        </w:tc>
      </w:tr>
      <w:tr w:rsidR="004658B5" w:rsidRPr="00D14896" w14:paraId="743A015A" w14:textId="77777777" w:rsidTr="0044687F">
        <w:tc>
          <w:tcPr>
            <w:tcW w:w="950" w:type="pct"/>
            <w:shd w:val="clear" w:color="auto" w:fill="auto"/>
            <w:vAlign w:val="center"/>
          </w:tcPr>
          <w:p w14:paraId="4D6AA65F" w14:textId="77777777" w:rsidR="004658B5" w:rsidRPr="00D14896" w:rsidRDefault="00E06130" w:rsidP="0054012B">
            <w:pPr>
              <w:pStyle w:val="TableText"/>
              <w:keepLines/>
              <w:rPr>
                <w:lang w:val="en-US"/>
              </w:rPr>
            </w:pPr>
            <w:r w:rsidRPr="00D14896">
              <w:t>Uptake of SGLT2i for HFrEF</w:t>
            </w:r>
          </w:p>
        </w:tc>
        <w:tc>
          <w:tcPr>
            <w:tcW w:w="2034" w:type="pct"/>
            <w:shd w:val="clear" w:color="auto" w:fill="auto"/>
            <w:vAlign w:val="center"/>
          </w:tcPr>
          <w:p w14:paraId="0F7D6F72" w14:textId="77777777" w:rsidR="004658B5" w:rsidRPr="00D14896" w:rsidRDefault="00CC7AA8" w:rsidP="0054012B">
            <w:pPr>
              <w:pStyle w:val="TableText"/>
              <w:keepLines/>
              <w:rPr>
                <w:lang w:val="en-US"/>
              </w:rPr>
            </w:pPr>
            <w:r>
              <w:rPr>
                <w:noProof/>
                <w:color w:val="000000"/>
                <w:highlight w:val="black"/>
                <w:lang w:val="en-US"/>
              </w:rPr>
              <w:t>'''''</w:t>
            </w:r>
            <w:r w:rsidR="00E06130" w:rsidRPr="00D14896">
              <w:rPr>
                <w:lang w:val="en-US"/>
              </w:rPr>
              <w:t>-</w:t>
            </w:r>
            <w:r>
              <w:rPr>
                <w:noProof/>
                <w:color w:val="000000"/>
                <w:highlight w:val="black"/>
                <w:lang w:val="en-US"/>
              </w:rPr>
              <w:t>'''''</w:t>
            </w:r>
            <w:r w:rsidR="00E06130" w:rsidRPr="00D14896">
              <w:rPr>
                <w:lang w:val="en-US"/>
              </w:rPr>
              <w:t>% over 6 years. Assumed</w:t>
            </w:r>
          </w:p>
        </w:tc>
        <w:tc>
          <w:tcPr>
            <w:tcW w:w="2016" w:type="pct"/>
            <w:shd w:val="clear" w:color="auto" w:fill="auto"/>
            <w:vAlign w:val="center"/>
          </w:tcPr>
          <w:p w14:paraId="5A290F3A" w14:textId="77777777" w:rsidR="004658B5" w:rsidRPr="00D14896" w:rsidRDefault="00E06130" w:rsidP="0054012B">
            <w:pPr>
              <w:pStyle w:val="TableText"/>
              <w:keepLines/>
              <w:rPr>
                <w:lang w:val="en-US"/>
              </w:rPr>
            </w:pPr>
            <w:r w:rsidRPr="00D14896">
              <w:t xml:space="preserve">Estimated uptake </w:t>
            </w:r>
            <w:r w:rsidR="001447C1">
              <w:t>was</w:t>
            </w:r>
            <w:r w:rsidR="001447C1" w:rsidRPr="00D14896">
              <w:t xml:space="preserve"> </w:t>
            </w:r>
            <w:r w:rsidRPr="00D14896">
              <w:t>substantially higher than estimated for dapagliflozin in the November 2020 submission (5-42%)</w:t>
            </w:r>
            <w:r w:rsidR="00781C13" w:rsidRPr="00D14896">
              <w:t>.</w:t>
            </w:r>
          </w:p>
        </w:tc>
      </w:tr>
      <w:tr w:rsidR="00E06130" w:rsidRPr="00D14896" w14:paraId="135EEBC5" w14:textId="77777777" w:rsidTr="0044687F">
        <w:tc>
          <w:tcPr>
            <w:tcW w:w="950" w:type="pct"/>
            <w:shd w:val="clear" w:color="auto" w:fill="auto"/>
            <w:vAlign w:val="center"/>
          </w:tcPr>
          <w:p w14:paraId="7052DF5D" w14:textId="77777777" w:rsidR="00E06130" w:rsidRPr="00D14896" w:rsidRDefault="00E06130" w:rsidP="0054012B">
            <w:pPr>
              <w:pStyle w:val="TableText"/>
              <w:keepLines/>
            </w:pPr>
            <w:r w:rsidRPr="00D14896">
              <w:t xml:space="preserve">Empagliflozin adherence </w:t>
            </w:r>
          </w:p>
        </w:tc>
        <w:tc>
          <w:tcPr>
            <w:tcW w:w="2034" w:type="pct"/>
            <w:shd w:val="clear" w:color="auto" w:fill="auto"/>
            <w:vAlign w:val="center"/>
          </w:tcPr>
          <w:p w14:paraId="364FF4C9" w14:textId="77777777" w:rsidR="00E06130" w:rsidRPr="00D14896" w:rsidRDefault="00E06130" w:rsidP="0054012B">
            <w:pPr>
              <w:pStyle w:val="TableText"/>
              <w:keepLines/>
              <w:rPr>
                <w:lang w:val="en-US"/>
              </w:rPr>
            </w:pPr>
            <w:r w:rsidRPr="00D14896">
              <w:rPr>
                <w:szCs w:val="20"/>
              </w:rPr>
              <w:t xml:space="preserve">95.1%. </w:t>
            </w:r>
            <w:r w:rsidRPr="00D14896">
              <w:t xml:space="preserve">Based on </w:t>
            </w:r>
            <w:r w:rsidRPr="00565789">
              <w:rPr>
                <w:iCs/>
              </w:rPr>
              <w:t>post</w:t>
            </w:r>
            <w:r w:rsidR="001447C1" w:rsidRPr="00565789">
              <w:rPr>
                <w:iCs/>
              </w:rPr>
              <w:t xml:space="preserve"> </w:t>
            </w:r>
            <w:r w:rsidRPr="00565789">
              <w:rPr>
                <w:iCs/>
              </w:rPr>
              <w:t>hoc</w:t>
            </w:r>
            <w:r w:rsidRPr="00D14896">
              <w:t xml:space="preserve"> descriptive analysis of the EMPEROR-Reduced trial. Used to calculate 11.58 scripts per patient per year.</w:t>
            </w:r>
          </w:p>
        </w:tc>
        <w:tc>
          <w:tcPr>
            <w:tcW w:w="2016" w:type="pct"/>
            <w:shd w:val="clear" w:color="auto" w:fill="auto"/>
            <w:vAlign w:val="center"/>
          </w:tcPr>
          <w:p w14:paraId="346EA28E" w14:textId="77777777" w:rsidR="00E06130" w:rsidRPr="00D14896" w:rsidRDefault="00781C13" w:rsidP="0054012B">
            <w:pPr>
              <w:pStyle w:val="TableText"/>
              <w:keepLines/>
            </w:pPr>
            <w:r w:rsidRPr="00D14896">
              <w:t xml:space="preserve">The </w:t>
            </w:r>
            <w:r w:rsidRPr="00565789">
              <w:rPr>
                <w:iCs/>
              </w:rPr>
              <w:t>p</w:t>
            </w:r>
            <w:r w:rsidR="00E06130" w:rsidRPr="00565789">
              <w:rPr>
                <w:iCs/>
              </w:rPr>
              <w:t>ost</w:t>
            </w:r>
            <w:r w:rsidR="001447C1" w:rsidRPr="00565789">
              <w:rPr>
                <w:iCs/>
              </w:rPr>
              <w:t xml:space="preserve"> </w:t>
            </w:r>
            <w:r w:rsidR="00E06130" w:rsidRPr="00565789">
              <w:rPr>
                <w:iCs/>
              </w:rPr>
              <w:t>hoc</w:t>
            </w:r>
            <w:r w:rsidR="00E06130" w:rsidRPr="00D14896">
              <w:t xml:space="preserve"> analysis could not be evaluated. Given trial adherence may not be realised in clinical practice, adherence is most likely overestimated</w:t>
            </w:r>
            <w:r w:rsidRPr="00D14896">
              <w:t>.</w:t>
            </w:r>
          </w:p>
        </w:tc>
      </w:tr>
    </w:tbl>
    <w:p w14:paraId="3B87914D" w14:textId="77777777" w:rsidR="009A7E8B" w:rsidRDefault="009A7E8B" w:rsidP="0054012B">
      <w:pPr>
        <w:pStyle w:val="TableFigureFooter"/>
        <w:keepNext/>
        <w:keepLines/>
      </w:pPr>
      <w:r>
        <w:t>Source: Table 4.1, pp215-216 of the submission</w:t>
      </w:r>
    </w:p>
    <w:p w14:paraId="5ADDFB4E" w14:textId="77777777" w:rsidR="00E42F73" w:rsidRPr="007925DF" w:rsidRDefault="009A7E8B" w:rsidP="0054012B">
      <w:pPr>
        <w:pStyle w:val="TableFigureFooter"/>
        <w:keepNext/>
        <w:keepLines/>
      </w:pPr>
      <w:r>
        <w:t>LVEF,</w:t>
      </w:r>
      <w:r w:rsidRPr="004C3073">
        <w:t xml:space="preserve"> left ventricular ejection fraction; PSD</w:t>
      </w:r>
      <w:r>
        <w:t>,</w:t>
      </w:r>
      <w:r w:rsidRPr="004C3073">
        <w:t xml:space="preserve"> public summary document; NYHA</w:t>
      </w:r>
      <w:r>
        <w:t>,</w:t>
      </w:r>
      <w:r w:rsidRPr="004C3073">
        <w:t xml:space="preserve"> </w:t>
      </w:r>
      <w:r>
        <w:t>New York Heart Association; T2D,</w:t>
      </w:r>
      <w:r w:rsidRPr="004C3073">
        <w:t xml:space="preserve"> type 2 diabetes; HFrEF</w:t>
      </w:r>
      <w:r>
        <w:t>,</w:t>
      </w:r>
      <w:r w:rsidRPr="004C3073">
        <w:t xml:space="preserve"> Heart failure with reduced ejection fraction; SGLT2i</w:t>
      </w:r>
      <w:r>
        <w:t>,</w:t>
      </w:r>
      <w:r w:rsidRPr="004C3073">
        <w:t xml:space="preserve"> sodium gluc</w:t>
      </w:r>
      <w:r>
        <w:t>ose co-transporter 2 inhibitor</w:t>
      </w:r>
    </w:p>
    <w:p w14:paraId="10FED25B" w14:textId="77777777" w:rsidR="00B505C8" w:rsidRPr="00B505C8" w:rsidRDefault="009A7E8B" w:rsidP="0012228C">
      <w:pPr>
        <w:pStyle w:val="ExecSumBodyText"/>
        <w:rPr>
          <w:color w:val="0066FF"/>
        </w:rPr>
      </w:pPr>
      <w:r>
        <w:t xml:space="preserve">The table below summarises </w:t>
      </w:r>
      <w:r w:rsidRPr="009976FF">
        <w:t xml:space="preserve">the estimated net cost to the PBS/RPBS of listing </w:t>
      </w:r>
      <w:r>
        <w:t>empagliflozin for HFrEF</w:t>
      </w:r>
      <w:r w:rsidR="00B667E4">
        <w:t xml:space="preserve">, with the requested DPMQ of $60.04 updated to include the </w:t>
      </w:r>
      <w:r w:rsidR="001447C1">
        <w:t>July</w:t>
      </w:r>
      <w:r w:rsidR="00B667E4">
        <w:t xml:space="preserve"> 2021 fee increases (DPMQ of $60.10).</w:t>
      </w:r>
    </w:p>
    <w:p w14:paraId="1AD89992" w14:textId="77777777" w:rsidR="00C25D9C" w:rsidRDefault="00B974B3" w:rsidP="003B10F4">
      <w:pPr>
        <w:pStyle w:val="TableFigureCaption"/>
      </w:pPr>
      <w:r>
        <w:t xml:space="preserve">Table </w:t>
      </w:r>
      <w:r w:rsidR="00915190">
        <w:rPr>
          <w:noProof/>
        </w:rPr>
        <w:t>16</w:t>
      </w:r>
      <w:r w:rsidR="002A2F50" w:rsidRPr="00606FBA">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6: Estimated use and financial implications"/>
      </w:tblPr>
      <w:tblGrid>
        <w:gridCol w:w="270"/>
        <w:gridCol w:w="2278"/>
        <w:gridCol w:w="1078"/>
        <w:gridCol w:w="1078"/>
        <w:gridCol w:w="1078"/>
        <w:gridCol w:w="1078"/>
        <w:gridCol w:w="1078"/>
        <w:gridCol w:w="1079"/>
      </w:tblGrid>
      <w:tr w:rsidR="005F581C" w:rsidRPr="00E97CCC" w14:paraId="177F1DAC" w14:textId="77777777" w:rsidTr="0021554F">
        <w:trPr>
          <w:tblHeader/>
        </w:trPr>
        <w:tc>
          <w:tcPr>
            <w:tcW w:w="2547" w:type="dxa"/>
            <w:gridSpan w:val="2"/>
            <w:shd w:val="clear" w:color="auto" w:fill="auto"/>
            <w:noWrap/>
            <w:vAlign w:val="center"/>
            <w:hideMark/>
          </w:tcPr>
          <w:p w14:paraId="02882579" w14:textId="77777777" w:rsidR="005F581C" w:rsidRPr="00343AB4" w:rsidRDefault="005F581C" w:rsidP="001C4008">
            <w:pPr>
              <w:pStyle w:val="TableText"/>
              <w:rPr>
                <w:b/>
              </w:rPr>
            </w:pPr>
            <w:r w:rsidRPr="00343AB4">
              <w:rPr>
                <w:b/>
              </w:rPr>
              <w:t>Estimated populations</w:t>
            </w:r>
          </w:p>
        </w:tc>
        <w:tc>
          <w:tcPr>
            <w:tcW w:w="1078" w:type="dxa"/>
            <w:shd w:val="clear" w:color="auto" w:fill="auto"/>
            <w:noWrap/>
            <w:vAlign w:val="center"/>
            <w:hideMark/>
          </w:tcPr>
          <w:p w14:paraId="3C12459C" w14:textId="77777777" w:rsidR="005F581C" w:rsidRPr="00914368" w:rsidRDefault="001447C1" w:rsidP="001C4008">
            <w:pPr>
              <w:pStyle w:val="TableText"/>
              <w:jc w:val="center"/>
              <w:rPr>
                <w:b/>
              </w:rPr>
            </w:pPr>
            <w:r>
              <w:rPr>
                <w:b/>
              </w:rPr>
              <w:t>Year 1</w:t>
            </w:r>
          </w:p>
        </w:tc>
        <w:tc>
          <w:tcPr>
            <w:tcW w:w="1078" w:type="dxa"/>
            <w:shd w:val="clear" w:color="auto" w:fill="auto"/>
            <w:noWrap/>
            <w:vAlign w:val="center"/>
            <w:hideMark/>
          </w:tcPr>
          <w:p w14:paraId="2405436C" w14:textId="77777777" w:rsidR="005F581C" w:rsidRPr="00914368" w:rsidRDefault="001447C1" w:rsidP="001C4008">
            <w:pPr>
              <w:pStyle w:val="TableText"/>
              <w:jc w:val="center"/>
              <w:rPr>
                <w:b/>
              </w:rPr>
            </w:pPr>
            <w:r>
              <w:rPr>
                <w:b/>
              </w:rPr>
              <w:t>Year 2</w:t>
            </w:r>
          </w:p>
        </w:tc>
        <w:tc>
          <w:tcPr>
            <w:tcW w:w="1078" w:type="dxa"/>
            <w:shd w:val="clear" w:color="auto" w:fill="auto"/>
            <w:noWrap/>
            <w:vAlign w:val="center"/>
            <w:hideMark/>
          </w:tcPr>
          <w:p w14:paraId="78F8573B" w14:textId="77777777" w:rsidR="005F581C" w:rsidRPr="00914368" w:rsidRDefault="001447C1" w:rsidP="001C4008">
            <w:pPr>
              <w:pStyle w:val="TableText"/>
              <w:jc w:val="center"/>
              <w:rPr>
                <w:b/>
              </w:rPr>
            </w:pPr>
            <w:r>
              <w:rPr>
                <w:b/>
              </w:rPr>
              <w:t>Year 3</w:t>
            </w:r>
          </w:p>
        </w:tc>
        <w:tc>
          <w:tcPr>
            <w:tcW w:w="1078" w:type="dxa"/>
            <w:shd w:val="clear" w:color="auto" w:fill="auto"/>
            <w:noWrap/>
            <w:vAlign w:val="center"/>
            <w:hideMark/>
          </w:tcPr>
          <w:p w14:paraId="6A3759D5" w14:textId="77777777" w:rsidR="005F581C" w:rsidRPr="00914368" w:rsidRDefault="001447C1" w:rsidP="001C4008">
            <w:pPr>
              <w:pStyle w:val="TableText"/>
              <w:jc w:val="center"/>
              <w:rPr>
                <w:b/>
              </w:rPr>
            </w:pPr>
            <w:r>
              <w:rPr>
                <w:b/>
              </w:rPr>
              <w:t>Year 4</w:t>
            </w:r>
          </w:p>
        </w:tc>
        <w:tc>
          <w:tcPr>
            <w:tcW w:w="1078" w:type="dxa"/>
            <w:shd w:val="clear" w:color="auto" w:fill="auto"/>
            <w:noWrap/>
            <w:vAlign w:val="center"/>
            <w:hideMark/>
          </w:tcPr>
          <w:p w14:paraId="687E33B1" w14:textId="77777777" w:rsidR="005F581C" w:rsidRPr="00914368" w:rsidRDefault="001447C1" w:rsidP="001C4008">
            <w:pPr>
              <w:pStyle w:val="TableText"/>
              <w:jc w:val="center"/>
              <w:rPr>
                <w:b/>
              </w:rPr>
            </w:pPr>
            <w:r>
              <w:rPr>
                <w:b/>
              </w:rPr>
              <w:t>Year 5</w:t>
            </w:r>
          </w:p>
        </w:tc>
        <w:tc>
          <w:tcPr>
            <w:tcW w:w="1079" w:type="dxa"/>
            <w:shd w:val="clear" w:color="auto" w:fill="auto"/>
            <w:noWrap/>
            <w:vAlign w:val="center"/>
            <w:hideMark/>
          </w:tcPr>
          <w:p w14:paraId="4C91FC0B" w14:textId="77777777" w:rsidR="005F581C" w:rsidRPr="00914368" w:rsidRDefault="001447C1" w:rsidP="001C4008">
            <w:pPr>
              <w:pStyle w:val="TableText"/>
              <w:jc w:val="center"/>
              <w:rPr>
                <w:b/>
              </w:rPr>
            </w:pPr>
            <w:r>
              <w:rPr>
                <w:b/>
              </w:rPr>
              <w:t>Year 6</w:t>
            </w:r>
          </w:p>
        </w:tc>
      </w:tr>
      <w:tr w:rsidR="005F581C" w:rsidRPr="00E97CCC" w14:paraId="47DA8198" w14:textId="77777777" w:rsidTr="0021554F">
        <w:tc>
          <w:tcPr>
            <w:tcW w:w="269" w:type="dxa"/>
            <w:shd w:val="clear" w:color="auto" w:fill="auto"/>
            <w:noWrap/>
            <w:vAlign w:val="center"/>
          </w:tcPr>
          <w:p w14:paraId="02A203A3" w14:textId="77777777" w:rsidR="005F581C" w:rsidRPr="00E97CCC" w:rsidRDefault="005F581C" w:rsidP="001C4008">
            <w:pPr>
              <w:pStyle w:val="TableText"/>
              <w:jc w:val="center"/>
            </w:pPr>
            <w:r>
              <w:t>A</w:t>
            </w:r>
          </w:p>
        </w:tc>
        <w:tc>
          <w:tcPr>
            <w:tcW w:w="2278" w:type="dxa"/>
            <w:shd w:val="clear" w:color="auto" w:fill="auto"/>
            <w:vAlign w:val="center"/>
          </w:tcPr>
          <w:p w14:paraId="1C7247E1" w14:textId="77777777" w:rsidR="005F581C" w:rsidRPr="00E97CCC" w:rsidRDefault="005F581C" w:rsidP="001C4008">
            <w:pPr>
              <w:pStyle w:val="TableText"/>
            </w:pPr>
            <w:r>
              <w:t>Australian adults</w:t>
            </w:r>
          </w:p>
        </w:tc>
        <w:tc>
          <w:tcPr>
            <w:tcW w:w="1078" w:type="dxa"/>
            <w:shd w:val="clear" w:color="auto" w:fill="auto"/>
            <w:noWrap/>
            <w:vAlign w:val="center"/>
            <w:hideMark/>
          </w:tcPr>
          <w:p w14:paraId="673C370A" w14:textId="77777777" w:rsidR="005F581C" w:rsidRPr="00E97CCC" w:rsidRDefault="005F581C" w:rsidP="001C4008">
            <w:pPr>
              <w:pStyle w:val="TableText"/>
              <w:jc w:val="center"/>
            </w:pPr>
            <w:r w:rsidRPr="00E97CCC">
              <w:t>20,757,917</w:t>
            </w:r>
          </w:p>
        </w:tc>
        <w:tc>
          <w:tcPr>
            <w:tcW w:w="1078" w:type="dxa"/>
            <w:shd w:val="clear" w:color="auto" w:fill="auto"/>
            <w:noWrap/>
            <w:vAlign w:val="center"/>
            <w:hideMark/>
          </w:tcPr>
          <w:p w14:paraId="0C18633C" w14:textId="77777777" w:rsidR="005F581C" w:rsidRPr="00E97CCC" w:rsidRDefault="005F581C" w:rsidP="001C4008">
            <w:pPr>
              <w:pStyle w:val="TableText"/>
              <w:jc w:val="center"/>
            </w:pPr>
            <w:r w:rsidRPr="00E97CCC">
              <w:t>21,082,471</w:t>
            </w:r>
          </w:p>
        </w:tc>
        <w:tc>
          <w:tcPr>
            <w:tcW w:w="1078" w:type="dxa"/>
            <w:shd w:val="clear" w:color="auto" w:fill="auto"/>
            <w:noWrap/>
            <w:vAlign w:val="center"/>
            <w:hideMark/>
          </w:tcPr>
          <w:p w14:paraId="1EA3BE27" w14:textId="77777777" w:rsidR="005F581C" w:rsidRPr="00E97CCC" w:rsidRDefault="005F581C" w:rsidP="001C4008">
            <w:pPr>
              <w:pStyle w:val="TableText"/>
              <w:jc w:val="center"/>
            </w:pPr>
            <w:r w:rsidRPr="00E97CCC">
              <w:t>21,411,852</w:t>
            </w:r>
          </w:p>
        </w:tc>
        <w:tc>
          <w:tcPr>
            <w:tcW w:w="1078" w:type="dxa"/>
            <w:shd w:val="clear" w:color="auto" w:fill="auto"/>
            <w:noWrap/>
            <w:vAlign w:val="center"/>
            <w:hideMark/>
          </w:tcPr>
          <w:p w14:paraId="0AC2B158" w14:textId="77777777" w:rsidR="005F581C" w:rsidRPr="00E97CCC" w:rsidRDefault="005F581C" w:rsidP="001C4008">
            <w:pPr>
              <w:pStyle w:val="TableText"/>
              <w:jc w:val="center"/>
            </w:pPr>
            <w:r w:rsidRPr="00E97CCC">
              <w:t>21,744,502</w:t>
            </w:r>
          </w:p>
        </w:tc>
        <w:tc>
          <w:tcPr>
            <w:tcW w:w="1078" w:type="dxa"/>
            <w:shd w:val="clear" w:color="auto" w:fill="auto"/>
            <w:noWrap/>
            <w:vAlign w:val="center"/>
            <w:hideMark/>
          </w:tcPr>
          <w:p w14:paraId="6A1A21E8" w14:textId="77777777" w:rsidR="005F581C" w:rsidRPr="00E97CCC" w:rsidRDefault="005F581C" w:rsidP="001C4008">
            <w:pPr>
              <w:pStyle w:val="TableText"/>
              <w:jc w:val="center"/>
            </w:pPr>
            <w:r w:rsidRPr="00E97CCC">
              <w:t>22,073,220</w:t>
            </w:r>
          </w:p>
        </w:tc>
        <w:tc>
          <w:tcPr>
            <w:tcW w:w="1079" w:type="dxa"/>
            <w:shd w:val="clear" w:color="auto" w:fill="auto"/>
            <w:noWrap/>
            <w:vAlign w:val="center"/>
            <w:hideMark/>
          </w:tcPr>
          <w:p w14:paraId="0793B02E" w14:textId="77777777" w:rsidR="005F581C" w:rsidRPr="00E97CCC" w:rsidRDefault="005F581C" w:rsidP="001C4008">
            <w:pPr>
              <w:pStyle w:val="TableText"/>
              <w:jc w:val="center"/>
            </w:pPr>
            <w:r w:rsidRPr="00E97CCC">
              <w:t>22,393,101</w:t>
            </w:r>
          </w:p>
        </w:tc>
      </w:tr>
      <w:tr w:rsidR="005F581C" w:rsidRPr="00E97CCC" w14:paraId="5F310A47" w14:textId="77777777" w:rsidTr="0021554F">
        <w:tc>
          <w:tcPr>
            <w:tcW w:w="269" w:type="dxa"/>
            <w:shd w:val="clear" w:color="auto" w:fill="auto"/>
            <w:noWrap/>
            <w:vAlign w:val="center"/>
          </w:tcPr>
          <w:p w14:paraId="24AA767E" w14:textId="77777777" w:rsidR="005F581C" w:rsidRPr="00E97CCC" w:rsidRDefault="005F581C" w:rsidP="001C4008">
            <w:pPr>
              <w:pStyle w:val="TableText"/>
              <w:jc w:val="center"/>
            </w:pPr>
            <w:r>
              <w:t>B</w:t>
            </w:r>
          </w:p>
        </w:tc>
        <w:tc>
          <w:tcPr>
            <w:tcW w:w="2278" w:type="dxa"/>
            <w:shd w:val="clear" w:color="auto" w:fill="auto"/>
            <w:vAlign w:val="center"/>
          </w:tcPr>
          <w:p w14:paraId="3A90842F" w14:textId="77777777" w:rsidR="005F581C" w:rsidRPr="00E97CCC" w:rsidRDefault="005F581C" w:rsidP="001C4008">
            <w:pPr>
              <w:pStyle w:val="TableText"/>
            </w:pPr>
            <w:r>
              <w:t>Adults with HF (A×2.199%)</w:t>
            </w:r>
          </w:p>
        </w:tc>
        <w:tc>
          <w:tcPr>
            <w:tcW w:w="1078" w:type="dxa"/>
            <w:shd w:val="clear" w:color="auto" w:fill="auto"/>
            <w:noWrap/>
            <w:vAlign w:val="center"/>
            <w:hideMark/>
          </w:tcPr>
          <w:p w14:paraId="552BD2B1" w14:textId="77777777" w:rsidR="005F581C" w:rsidRPr="00E97CCC" w:rsidRDefault="005F581C" w:rsidP="001C4008">
            <w:pPr>
              <w:pStyle w:val="TableText"/>
              <w:jc w:val="center"/>
            </w:pPr>
            <w:r w:rsidRPr="00E97CCC">
              <w:t>456,467</w:t>
            </w:r>
          </w:p>
        </w:tc>
        <w:tc>
          <w:tcPr>
            <w:tcW w:w="1078" w:type="dxa"/>
            <w:shd w:val="clear" w:color="auto" w:fill="auto"/>
            <w:noWrap/>
            <w:vAlign w:val="center"/>
            <w:hideMark/>
          </w:tcPr>
          <w:p w14:paraId="0D3EC56B" w14:textId="77777777" w:rsidR="005F581C" w:rsidRPr="00E97CCC" w:rsidRDefault="005F581C" w:rsidP="001C4008">
            <w:pPr>
              <w:pStyle w:val="TableText"/>
              <w:jc w:val="center"/>
            </w:pPr>
            <w:r w:rsidRPr="00E97CCC">
              <w:t>463,604</w:t>
            </w:r>
          </w:p>
        </w:tc>
        <w:tc>
          <w:tcPr>
            <w:tcW w:w="1078" w:type="dxa"/>
            <w:shd w:val="clear" w:color="auto" w:fill="auto"/>
            <w:noWrap/>
            <w:vAlign w:val="center"/>
            <w:hideMark/>
          </w:tcPr>
          <w:p w14:paraId="3C2849AD" w14:textId="77777777" w:rsidR="005F581C" w:rsidRPr="00E97CCC" w:rsidRDefault="005F581C" w:rsidP="001C4008">
            <w:pPr>
              <w:pStyle w:val="TableText"/>
              <w:jc w:val="center"/>
            </w:pPr>
            <w:r w:rsidRPr="00E97CCC">
              <w:t>470,847</w:t>
            </w:r>
          </w:p>
        </w:tc>
        <w:tc>
          <w:tcPr>
            <w:tcW w:w="1078" w:type="dxa"/>
            <w:shd w:val="clear" w:color="auto" w:fill="auto"/>
            <w:noWrap/>
            <w:vAlign w:val="center"/>
            <w:hideMark/>
          </w:tcPr>
          <w:p w14:paraId="709F4757" w14:textId="77777777" w:rsidR="005F581C" w:rsidRPr="00E97CCC" w:rsidRDefault="005F581C" w:rsidP="001C4008">
            <w:pPr>
              <w:pStyle w:val="TableText"/>
              <w:jc w:val="center"/>
            </w:pPr>
            <w:r w:rsidRPr="00E97CCC">
              <w:t>478,162</w:t>
            </w:r>
          </w:p>
        </w:tc>
        <w:tc>
          <w:tcPr>
            <w:tcW w:w="1078" w:type="dxa"/>
            <w:shd w:val="clear" w:color="auto" w:fill="auto"/>
            <w:noWrap/>
            <w:vAlign w:val="center"/>
            <w:hideMark/>
          </w:tcPr>
          <w:p w14:paraId="2980B81D" w14:textId="77777777" w:rsidR="005F581C" w:rsidRPr="00E97CCC" w:rsidRDefault="005F581C" w:rsidP="001C4008">
            <w:pPr>
              <w:pStyle w:val="TableText"/>
              <w:jc w:val="center"/>
            </w:pPr>
            <w:r w:rsidRPr="00E97CCC">
              <w:t>485,390</w:t>
            </w:r>
          </w:p>
        </w:tc>
        <w:tc>
          <w:tcPr>
            <w:tcW w:w="1079" w:type="dxa"/>
            <w:shd w:val="clear" w:color="auto" w:fill="auto"/>
            <w:noWrap/>
            <w:vAlign w:val="center"/>
            <w:hideMark/>
          </w:tcPr>
          <w:p w14:paraId="4A23EC67" w14:textId="77777777" w:rsidR="005F581C" w:rsidRPr="00E97CCC" w:rsidRDefault="005F581C" w:rsidP="001C4008">
            <w:pPr>
              <w:pStyle w:val="TableText"/>
              <w:jc w:val="center"/>
            </w:pPr>
            <w:r w:rsidRPr="00E97CCC">
              <w:t>492,424</w:t>
            </w:r>
          </w:p>
        </w:tc>
      </w:tr>
      <w:tr w:rsidR="005F581C" w:rsidRPr="00E97CCC" w14:paraId="040999C2" w14:textId="77777777" w:rsidTr="0021554F">
        <w:tc>
          <w:tcPr>
            <w:tcW w:w="269" w:type="dxa"/>
            <w:tcBorders>
              <w:bottom w:val="single" w:sz="4" w:space="0" w:color="auto"/>
            </w:tcBorders>
            <w:shd w:val="clear" w:color="auto" w:fill="auto"/>
            <w:noWrap/>
            <w:vAlign w:val="center"/>
          </w:tcPr>
          <w:p w14:paraId="77641DFB" w14:textId="77777777" w:rsidR="005F581C" w:rsidRPr="00E97CCC" w:rsidRDefault="005F581C" w:rsidP="001C4008">
            <w:pPr>
              <w:pStyle w:val="TableText"/>
              <w:jc w:val="center"/>
            </w:pPr>
            <w:r>
              <w:t>C</w:t>
            </w:r>
          </w:p>
        </w:tc>
        <w:tc>
          <w:tcPr>
            <w:tcW w:w="2278" w:type="dxa"/>
            <w:tcBorders>
              <w:bottom w:val="single" w:sz="4" w:space="0" w:color="auto"/>
            </w:tcBorders>
            <w:shd w:val="clear" w:color="auto" w:fill="auto"/>
            <w:vAlign w:val="center"/>
          </w:tcPr>
          <w:p w14:paraId="56DF1E5E" w14:textId="77777777" w:rsidR="005F581C" w:rsidRPr="00E97CCC" w:rsidRDefault="005F581C" w:rsidP="001C4008">
            <w:pPr>
              <w:pStyle w:val="TableText"/>
            </w:pPr>
            <w:r>
              <w:t>LVEF ≤40% (B×60</w:t>
            </w:r>
            <w:r w:rsidRPr="00E97CCC">
              <w:t>%</w:t>
            </w:r>
            <w:r>
              <w:t>)</w:t>
            </w:r>
          </w:p>
        </w:tc>
        <w:tc>
          <w:tcPr>
            <w:tcW w:w="1078" w:type="dxa"/>
            <w:tcBorders>
              <w:bottom w:val="single" w:sz="4" w:space="0" w:color="auto"/>
            </w:tcBorders>
            <w:shd w:val="clear" w:color="auto" w:fill="auto"/>
            <w:noWrap/>
            <w:vAlign w:val="center"/>
            <w:hideMark/>
          </w:tcPr>
          <w:p w14:paraId="489CE379" w14:textId="77777777" w:rsidR="005F581C" w:rsidRPr="00E97CCC" w:rsidRDefault="005F581C" w:rsidP="001C4008">
            <w:pPr>
              <w:pStyle w:val="TableText"/>
              <w:jc w:val="center"/>
            </w:pPr>
            <w:r w:rsidRPr="00E97CCC">
              <w:t>273,880</w:t>
            </w:r>
          </w:p>
        </w:tc>
        <w:tc>
          <w:tcPr>
            <w:tcW w:w="1078" w:type="dxa"/>
            <w:tcBorders>
              <w:bottom w:val="single" w:sz="4" w:space="0" w:color="auto"/>
            </w:tcBorders>
            <w:shd w:val="clear" w:color="auto" w:fill="auto"/>
            <w:noWrap/>
            <w:vAlign w:val="center"/>
            <w:hideMark/>
          </w:tcPr>
          <w:p w14:paraId="45CF854E" w14:textId="77777777" w:rsidR="005F581C" w:rsidRPr="00E97CCC" w:rsidRDefault="005F581C" w:rsidP="001C4008">
            <w:pPr>
              <w:pStyle w:val="TableText"/>
              <w:jc w:val="center"/>
            </w:pPr>
            <w:r w:rsidRPr="00E97CCC">
              <w:t>278,162</w:t>
            </w:r>
          </w:p>
        </w:tc>
        <w:tc>
          <w:tcPr>
            <w:tcW w:w="1078" w:type="dxa"/>
            <w:tcBorders>
              <w:bottom w:val="single" w:sz="4" w:space="0" w:color="auto"/>
            </w:tcBorders>
            <w:shd w:val="clear" w:color="auto" w:fill="auto"/>
            <w:noWrap/>
            <w:vAlign w:val="center"/>
            <w:hideMark/>
          </w:tcPr>
          <w:p w14:paraId="4539CDD6" w14:textId="77777777" w:rsidR="005F581C" w:rsidRPr="00E97CCC" w:rsidRDefault="005F581C" w:rsidP="001C4008">
            <w:pPr>
              <w:pStyle w:val="TableText"/>
              <w:jc w:val="center"/>
            </w:pPr>
            <w:r w:rsidRPr="00E97CCC">
              <w:t>282,508</w:t>
            </w:r>
          </w:p>
        </w:tc>
        <w:tc>
          <w:tcPr>
            <w:tcW w:w="1078" w:type="dxa"/>
            <w:tcBorders>
              <w:bottom w:val="single" w:sz="4" w:space="0" w:color="auto"/>
            </w:tcBorders>
            <w:shd w:val="clear" w:color="auto" w:fill="auto"/>
            <w:noWrap/>
            <w:vAlign w:val="center"/>
            <w:hideMark/>
          </w:tcPr>
          <w:p w14:paraId="559A760A" w14:textId="77777777" w:rsidR="005F581C" w:rsidRPr="00E97CCC" w:rsidRDefault="005F581C" w:rsidP="001C4008">
            <w:pPr>
              <w:pStyle w:val="TableText"/>
              <w:jc w:val="center"/>
            </w:pPr>
            <w:r w:rsidRPr="00E97CCC">
              <w:t>286,897</w:t>
            </w:r>
          </w:p>
        </w:tc>
        <w:tc>
          <w:tcPr>
            <w:tcW w:w="1078" w:type="dxa"/>
            <w:tcBorders>
              <w:bottom w:val="single" w:sz="4" w:space="0" w:color="auto"/>
            </w:tcBorders>
            <w:shd w:val="clear" w:color="auto" w:fill="auto"/>
            <w:noWrap/>
            <w:vAlign w:val="center"/>
            <w:hideMark/>
          </w:tcPr>
          <w:p w14:paraId="21AF3BAC" w14:textId="77777777" w:rsidR="005F581C" w:rsidRPr="00E97CCC" w:rsidRDefault="005F581C" w:rsidP="001C4008">
            <w:pPr>
              <w:pStyle w:val="TableText"/>
              <w:jc w:val="center"/>
            </w:pPr>
            <w:r w:rsidRPr="00E97CCC">
              <w:t>291,234</w:t>
            </w:r>
          </w:p>
        </w:tc>
        <w:tc>
          <w:tcPr>
            <w:tcW w:w="1079" w:type="dxa"/>
            <w:tcBorders>
              <w:bottom w:val="single" w:sz="4" w:space="0" w:color="auto"/>
            </w:tcBorders>
            <w:shd w:val="clear" w:color="auto" w:fill="auto"/>
            <w:noWrap/>
            <w:vAlign w:val="center"/>
            <w:hideMark/>
          </w:tcPr>
          <w:p w14:paraId="5A90E763" w14:textId="77777777" w:rsidR="005F581C" w:rsidRPr="00E97CCC" w:rsidRDefault="005F581C" w:rsidP="001C4008">
            <w:pPr>
              <w:pStyle w:val="TableText"/>
              <w:jc w:val="center"/>
            </w:pPr>
            <w:r w:rsidRPr="00E97CCC">
              <w:t>295,455</w:t>
            </w:r>
          </w:p>
        </w:tc>
      </w:tr>
      <w:tr w:rsidR="005F581C" w:rsidRPr="00E97CCC" w14:paraId="0FB0CBB4" w14:textId="77777777" w:rsidTr="0021554F">
        <w:tc>
          <w:tcPr>
            <w:tcW w:w="269" w:type="dxa"/>
            <w:tcBorders>
              <w:bottom w:val="single" w:sz="4" w:space="0" w:color="auto"/>
            </w:tcBorders>
            <w:shd w:val="clear" w:color="auto" w:fill="auto"/>
            <w:noWrap/>
            <w:vAlign w:val="center"/>
          </w:tcPr>
          <w:p w14:paraId="7F5C6451" w14:textId="77777777" w:rsidR="005F581C" w:rsidRPr="00E97CCC" w:rsidRDefault="005F581C" w:rsidP="001C4008">
            <w:pPr>
              <w:pStyle w:val="TableText"/>
              <w:jc w:val="center"/>
            </w:pPr>
            <w:r>
              <w:t>D</w:t>
            </w:r>
          </w:p>
        </w:tc>
        <w:tc>
          <w:tcPr>
            <w:tcW w:w="2278" w:type="dxa"/>
            <w:tcBorders>
              <w:bottom w:val="single" w:sz="4" w:space="0" w:color="auto"/>
            </w:tcBorders>
            <w:shd w:val="clear" w:color="auto" w:fill="auto"/>
            <w:vAlign w:val="center"/>
          </w:tcPr>
          <w:p w14:paraId="16816426" w14:textId="77777777" w:rsidR="005F581C" w:rsidRPr="00E97CCC" w:rsidRDefault="005F581C" w:rsidP="001C4008">
            <w:pPr>
              <w:pStyle w:val="TableText"/>
            </w:pPr>
            <w:r>
              <w:t>NYHA class II-IV (C×95</w:t>
            </w:r>
            <w:r w:rsidRPr="00E97CCC">
              <w:t>%</w:t>
            </w:r>
            <w:r>
              <w:t>)</w:t>
            </w:r>
          </w:p>
        </w:tc>
        <w:tc>
          <w:tcPr>
            <w:tcW w:w="1078" w:type="dxa"/>
            <w:tcBorders>
              <w:bottom w:val="single" w:sz="4" w:space="0" w:color="auto"/>
            </w:tcBorders>
            <w:shd w:val="clear" w:color="auto" w:fill="auto"/>
            <w:noWrap/>
            <w:vAlign w:val="center"/>
            <w:hideMark/>
          </w:tcPr>
          <w:p w14:paraId="7CEBCEDB" w14:textId="77777777" w:rsidR="005F581C" w:rsidRPr="00E97CCC" w:rsidRDefault="005F581C" w:rsidP="001C4008">
            <w:pPr>
              <w:pStyle w:val="TableText"/>
              <w:jc w:val="center"/>
            </w:pPr>
            <w:r w:rsidRPr="00E97CCC">
              <w:t>260,186</w:t>
            </w:r>
          </w:p>
        </w:tc>
        <w:tc>
          <w:tcPr>
            <w:tcW w:w="1078" w:type="dxa"/>
            <w:tcBorders>
              <w:bottom w:val="single" w:sz="4" w:space="0" w:color="auto"/>
            </w:tcBorders>
            <w:shd w:val="clear" w:color="auto" w:fill="auto"/>
            <w:noWrap/>
            <w:vAlign w:val="center"/>
            <w:hideMark/>
          </w:tcPr>
          <w:p w14:paraId="7D6BAB94" w14:textId="77777777" w:rsidR="005F581C" w:rsidRPr="00E97CCC" w:rsidRDefault="005F581C" w:rsidP="001C4008">
            <w:pPr>
              <w:pStyle w:val="TableText"/>
              <w:jc w:val="center"/>
            </w:pPr>
            <w:r w:rsidRPr="00E97CCC">
              <w:t>264,254</w:t>
            </w:r>
          </w:p>
        </w:tc>
        <w:tc>
          <w:tcPr>
            <w:tcW w:w="1078" w:type="dxa"/>
            <w:tcBorders>
              <w:bottom w:val="single" w:sz="4" w:space="0" w:color="auto"/>
            </w:tcBorders>
            <w:shd w:val="clear" w:color="auto" w:fill="auto"/>
            <w:noWrap/>
            <w:vAlign w:val="center"/>
            <w:hideMark/>
          </w:tcPr>
          <w:p w14:paraId="26A24F11" w14:textId="77777777" w:rsidR="005F581C" w:rsidRPr="00E97CCC" w:rsidRDefault="005F581C" w:rsidP="001C4008">
            <w:pPr>
              <w:pStyle w:val="TableText"/>
              <w:jc w:val="center"/>
            </w:pPr>
            <w:r w:rsidRPr="00E97CCC">
              <w:t>268,383</w:t>
            </w:r>
          </w:p>
        </w:tc>
        <w:tc>
          <w:tcPr>
            <w:tcW w:w="1078" w:type="dxa"/>
            <w:tcBorders>
              <w:bottom w:val="single" w:sz="4" w:space="0" w:color="auto"/>
            </w:tcBorders>
            <w:shd w:val="clear" w:color="auto" w:fill="auto"/>
            <w:noWrap/>
            <w:vAlign w:val="center"/>
            <w:hideMark/>
          </w:tcPr>
          <w:p w14:paraId="3BC01438" w14:textId="77777777" w:rsidR="005F581C" w:rsidRPr="00E97CCC" w:rsidRDefault="005F581C" w:rsidP="001C4008">
            <w:pPr>
              <w:pStyle w:val="TableText"/>
              <w:jc w:val="center"/>
            </w:pPr>
            <w:r w:rsidRPr="00E97CCC">
              <w:t>272,552</w:t>
            </w:r>
          </w:p>
        </w:tc>
        <w:tc>
          <w:tcPr>
            <w:tcW w:w="1078" w:type="dxa"/>
            <w:tcBorders>
              <w:bottom w:val="single" w:sz="4" w:space="0" w:color="auto"/>
            </w:tcBorders>
            <w:shd w:val="clear" w:color="auto" w:fill="auto"/>
            <w:noWrap/>
            <w:vAlign w:val="center"/>
            <w:hideMark/>
          </w:tcPr>
          <w:p w14:paraId="52D48867" w14:textId="77777777" w:rsidR="005F581C" w:rsidRPr="00E97CCC" w:rsidRDefault="005F581C" w:rsidP="001C4008">
            <w:pPr>
              <w:pStyle w:val="TableText"/>
              <w:jc w:val="center"/>
            </w:pPr>
            <w:r w:rsidRPr="00E97CCC">
              <w:t>276,672</w:t>
            </w:r>
          </w:p>
        </w:tc>
        <w:tc>
          <w:tcPr>
            <w:tcW w:w="1079" w:type="dxa"/>
            <w:tcBorders>
              <w:bottom w:val="single" w:sz="4" w:space="0" w:color="auto"/>
            </w:tcBorders>
            <w:shd w:val="clear" w:color="auto" w:fill="auto"/>
            <w:noWrap/>
            <w:vAlign w:val="center"/>
            <w:hideMark/>
          </w:tcPr>
          <w:p w14:paraId="3E81AC03" w14:textId="77777777" w:rsidR="005F581C" w:rsidRPr="00E97CCC" w:rsidRDefault="005F581C" w:rsidP="001C4008">
            <w:pPr>
              <w:pStyle w:val="TableText"/>
              <w:jc w:val="center"/>
            </w:pPr>
            <w:r w:rsidRPr="00E97CCC">
              <w:t>280,682</w:t>
            </w:r>
          </w:p>
        </w:tc>
      </w:tr>
      <w:tr w:rsidR="005F581C" w:rsidRPr="00E97CCC" w14:paraId="503C4E7A" w14:textId="77777777" w:rsidTr="0021554F">
        <w:tc>
          <w:tcPr>
            <w:tcW w:w="269" w:type="dxa"/>
            <w:tcBorders>
              <w:bottom w:val="single" w:sz="4" w:space="0" w:color="auto"/>
            </w:tcBorders>
            <w:shd w:val="clear" w:color="auto" w:fill="auto"/>
            <w:noWrap/>
            <w:vAlign w:val="center"/>
          </w:tcPr>
          <w:p w14:paraId="0C837F5A" w14:textId="77777777" w:rsidR="005F581C" w:rsidRPr="00D67229" w:rsidRDefault="005F581C" w:rsidP="001C4008">
            <w:pPr>
              <w:pStyle w:val="TableText"/>
              <w:jc w:val="center"/>
            </w:pPr>
            <w:r w:rsidRPr="00D67229">
              <w:t>E</w:t>
            </w:r>
          </w:p>
        </w:tc>
        <w:tc>
          <w:tcPr>
            <w:tcW w:w="2278" w:type="dxa"/>
            <w:tcBorders>
              <w:bottom w:val="single" w:sz="4" w:space="0" w:color="auto"/>
            </w:tcBorders>
            <w:shd w:val="clear" w:color="auto" w:fill="auto"/>
            <w:vAlign w:val="center"/>
          </w:tcPr>
          <w:p w14:paraId="2BB953B2" w14:textId="77777777" w:rsidR="005F581C" w:rsidRPr="00F11A64" w:rsidRDefault="005F581C" w:rsidP="00F11A64">
            <w:pPr>
              <w:pStyle w:val="TableText"/>
              <w:rPr>
                <w:vertAlign w:val="superscript"/>
              </w:rPr>
            </w:pPr>
            <w:r>
              <w:t>Eligible o</w:t>
            </w:r>
            <w:r w:rsidRPr="00D67229">
              <w:t>n standard care (D×86.5%)</w:t>
            </w:r>
          </w:p>
        </w:tc>
        <w:tc>
          <w:tcPr>
            <w:tcW w:w="1078" w:type="dxa"/>
            <w:tcBorders>
              <w:bottom w:val="single" w:sz="4" w:space="0" w:color="auto"/>
            </w:tcBorders>
            <w:shd w:val="clear" w:color="auto" w:fill="auto"/>
            <w:noWrap/>
            <w:vAlign w:val="center"/>
            <w:hideMark/>
          </w:tcPr>
          <w:p w14:paraId="7FCCAFBF" w14:textId="77777777" w:rsidR="005F581C" w:rsidRPr="00D67229" w:rsidRDefault="005F581C" w:rsidP="001C4008">
            <w:pPr>
              <w:pStyle w:val="TableText"/>
              <w:jc w:val="center"/>
            </w:pPr>
            <w:r w:rsidRPr="00D67229">
              <w:t>225,118</w:t>
            </w:r>
          </w:p>
        </w:tc>
        <w:tc>
          <w:tcPr>
            <w:tcW w:w="1078" w:type="dxa"/>
            <w:tcBorders>
              <w:bottom w:val="single" w:sz="4" w:space="0" w:color="auto"/>
            </w:tcBorders>
            <w:shd w:val="clear" w:color="auto" w:fill="auto"/>
            <w:noWrap/>
            <w:vAlign w:val="center"/>
            <w:hideMark/>
          </w:tcPr>
          <w:p w14:paraId="6A7F3BA7" w14:textId="77777777" w:rsidR="005F581C" w:rsidRPr="00D67229" w:rsidRDefault="005F581C" w:rsidP="001C4008">
            <w:pPr>
              <w:pStyle w:val="TableText"/>
              <w:jc w:val="center"/>
            </w:pPr>
            <w:r w:rsidRPr="00D67229">
              <w:t>228,638</w:t>
            </w:r>
          </w:p>
        </w:tc>
        <w:tc>
          <w:tcPr>
            <w:tcW w:w="1078" w:type="dxa"/>
            <w:tcBorders>
              <w:bottom w:val="single" w:sz="4" w:space="0" w:color="auto"/>
            </w:tcBorders>
            <w:shd w:val="clear" w:color="auto" w:fill="auto"/>
            <w:noWrap/>
            <w:vAlign w:val="center"/>
            <w:hideMark/>
          </w:tcPr>
          <w:p w14:paraId="2E206CE1" w14:textId="77777777" w:rsidR="005F581C" w:rsidRPr="00D67229" w:rsidRDefault="005F581C" w:rsidP="001C4008">
            <w:pPr>
              <w:pStyle w:val="TableText"/>
              <w:jc w:val="center"/>
            </w:pPr>
            <w:r w:rsidRPr="00D67229">
              <w:t>232,210</w:t>
            </w:r>
          </w:p>
        </w:tc>
        <w:tc>
          <w:tcPr>
            <w:tcW w:w="1078" w:type="dxa"/>
            <w:tcBorders>
              <w:bottom w:val="single" w:sz="4" w:space="0" w:color="auto"/>
            </w:tcBorders>
            <w:shd w:val="clear" w:color="auto" w:fill="auto"/>
            <w:noWrap/>
            <w:vAlign w:val="center"/>
            <w:hideMark/>
          </w:tcPr>
          <w:p w14:paraId="2CFDCD34" w14:textId="77777777" w:rsidR="005F581C" w:rsidRPr="00D67229" w:rsidRDefault="005F581C" w:rsidP="001C4008">
            <w:pPr>
              <w:pStyle w:val="TableText"/>
              <w:jc w:val="center"/>
            </w:pPr>
            <w:r w:rsidRPr="00D67229">
              <w:t>235,817</w:t>
            </w:r>
          </w:p>
        </w:tc>
        <w:tc>
          <w:tcPr>
            <w:tcW w:w="1078" w:type="dxa"/>
            <w:tcBorders>
              <w:bottom w:val="single" w:sz="4" w:space="0" w:color="auto"/>
            </w:tcBorders>
            <w:shd w:val="clear" w:color="auto" w:fill="auto"/>
            <w:noWrap/>
            <w:vAlign w:val="center"/>
            <w:hideMark/>
          </w:tcPr>
          <w:p w14:paraId="1FB61916" w14:textId="77777777" w:rsidR="005F581C" w:rsidRPr="00D67229" w:rsidRDefault="005F581C" w:rsidP="001C4008">
            <w:pPr>
              <w:pStyle w:val="TableText"/>
              <w:jc w:val="center"/>
            </w:pPr>
            <w:r w:rsidRPr="00D67229">
              <w:t>239,382</w:t>
            </w:r>
          </w:p>
        </w:tc>
        <w:tc>
          <w:tcPr>
            <w:tcW w:w="1079" w:type="dxa"/>
            <w:tcBorders>
              <w:bottom w:val="single" w:sz="4" w:space="0" w:color="auto"/>
            </w:tcBorders>
            <w:shd w:val="clear" w:color="auto" w:fill="auto"/>
            <w:noWrap/>
            <w:vAlign w:val="center"/>
            <w:hideMark/>
          </w:tcPr>
          <w:p w14:paraId="27ED28A0" w14:textId="77777777" w:rsidR="005F581C" w:rsidRPr="00D67229" w:rsidRDefault="005F581C" w:rsidP="001C4008">
            <w:pPr>
              <w:pStyle w:val="TableText"/>
              <w:jc w:val="center"/>
            </w:pPr>
            <w:r w:rsidRPr="00D67229">
              <w:t>242,851</w:t>
            </w:r>
          </w:p>
        </w:tc>
      </w:tr>
      <w:tr w:rsidR="005F581C" w:rsidRPr="00E97CCC" w14:paraId="67831EB5" w14:textId="77777777" w:rsidTr="0021554F">
        <w:tc>
          <w:tcPr>
            <w:tcW w:w="269" w:type="dxa"/>
            <w:tcBorders>
              <w:top w:val="single" w:sz="4" w:space="0" w:color="auto"/>
            </w:tcBorders>
            <w:shd w:val="clear" w:color="auto" w:fill="auto"/>
            <w:noWrap/>
            <w:vAlign w:val="center"/>
          </w:tcPr>
          <w:p w14:paraId="349B7BAF" w14:textId="77777777" w:rsidR="005F581C" w:rsidRPr="00E97CCC" w:rsidRDefault="005F581C" w:rsidP="001C4008">
            <w:pPr>
              <w:pStyle w:val="TableText"/>
              <w:jc w:val="center"/>
            </w:pPr>
            <w:r>
              <w:t>F</w:t>
            </w:r>
          </w:p>
        </w:tc>
        <w:tc>
          <w:tcPr>
            <w:tcW w:w="2278" w:type="dxa"/>
            <w:tcBorders>
              <w:top w:val="single" w:sz="4" w:space="0" w:color="auto"/>
            </w:tcBorders>
            <w:shd w:val="clear" w:color="auto" w:fill="auto"/>
            <w:vAlign w:val="center"/>
          </w:tcPr>
          <w:p w14:paraId="4BE4A87D" w14:textId="77777777" w:rsidR="005F581C" w:rsidRPr="00E97CCC" w:rsidRDefault="005F581C" w:rsidP="001C4008">
            <w:pPr>
              <w:pStyle w:val="TableText"/>
            </w:pPr>
            <w:r>
              <w:t>HF patients without T2D (E×</w:t>
            </w:r>
            <w:r w:rsidRPr="00E97CCC">
              <w:t>66.7%</w:t>
            </w:r>
            <w:r>
              <w:t>)</w:t>
            </w:r>
          </w:p>
        </w:tc>
        <w:tc>
          <w:tcPr>
            <w:tcW w:w="1078" w:type="dxa"/>
            <w:tcBorders>
              <w:top w:val="single" w:sz="4" w:space="0" w:color="auto"/>
            </w:tcBorders>
            <w:shd w:val="clear" w:color="auto" w:fill="auto"/>
            <w:noWrap/>
            <w:vAlign w:val="center"/>
            <w:hideMark/>
          </w:tcPr>
          <w:p w14:paraId="1E209AEE" w14:textId="77777777" w:rsidR="005F581C" w:rsidRPr="00E97CCC" w:rsidRDefault="005F581C" w:rsidP="001C4008">
            <w:pPr>
              <w:pStyle w:val="TableText"/>
              <w:jc w:val="center"/>
            </w:pPr>
            <w:r w:rsidRPr="00E97CCC">
              <w:t>150,079</w:t>
            </w:r>
          </w:p>
        </w:tc>
        <w:tc>
          <w:tcPr>
            <w:tcW w:w="1078" w:type="dxa"/>
            <w:tcBorders>
              <w:top w:val="single" w:sz="4" w:space="0" w:color="auto"/>
            </w:tcBorders>
            <w:shd w:val="clear" w:color="auto" w:fill="auto"/>
            <w:noWrap/>
            <w:vAlign w:val="center"/>
            <w:hideMark/>
          </w:tcPr>
          <w:p w14:paraId="63E455EE" w14:textId="77777777" w:rsidR="005F581C" w:rsidRPr="00E97CCC" w:rsidRDefault="005F581C" w:rsidP="001C4008">
            <w:pPr>
              <w:pStyle w:val="TableText"/>
              <w:jc w:val="center"/>
            </w:pPr>
            <w:r w:rsidRPr="00E97CCC">
              <w:t>152,425</w:t>
            </w:r>
          </w:p>
        </w:tc>
        <w:tc>
          <w:tcPr>
            <w:tcW w:w="1078" w:type="dxa"/>
            <w:tcBorders>
              <w:top w:val="single" w:sz="4" w:space="0" w:color="auto"/>
            </w:tcBorders>
            <w:shd w:val="clear" w:color="auto" w:fill="auto"/>
            <w:noWrap/>
            <w:vAlign w:val="center"/>
            <w:hideMark/>
          </w:tcPr>
          <w:p w14:paraId="49C17183" w14:textId="77777777" w:rsidR="005F581C" w:rsidRPr="00E97CCC" w:rsidRDefault="005F581C" w:rsidP="001C4008">
            <w:pPr>
              <w:pStyle w:val="TableText"/>
              <w:jc w:val="center"/>
            </w:pPr>
            <w:r w:rsidRPr="00E97CCC">
              <w:t>154,807</w:t>
            </w:r>
          </w:p>
        </w:tc>
        <w:tc>
          <w:tcPr>
            <w:tcW w:w="1078" w:type="dxa"/>
            <w:tcBorders>
              <w:top w:val="single" w:sz="4" w:space="0" w:color="auto"/>
            </w:tcBorders>
            <w:shd w:val="clear" w:color="auto" w:fill="auto"/>
            <w:noWrap/>
            <w:vAlign w:val="center"/>
            <w:hideMark/>
          </w:tcPr>
          <w:p w14:paraId="1D2C9791" w14:textId="77777777" w:rsidR="005F581C" w:rsidRPr="00E97CCC" w:rsidRDefault="005F581C" w:rsidP="001C4008">
            <w:pPr>
              <w:pStyle w:val="TableText"/>
              <w:jc w:val="center"/>
            </w:pPr>
            <w:r w:rsidRPr="00E97CCC">
              <w:t>157,212</w:t>
            </w:r>
          </w:p>
        </w:tc>
        <w:tc>
          <w:tcPr>
            <w:tcW w:w="1078" w:type="dxa"/>
            <w:tcBorders>
              <w:top w:val="single" w:sz="4" w:space="0" w:color="auto"/>
            </w:tcBorders>
            <w:shd w:val="clear" w:color="auto" w:fill="auto"/>
            <w:noWrap/>
            <w:vAlign w:val="center"/>
            <w:hideMark/>
          </w:tcPr>
          <w:p w14:paraId="52BF5B82" w14:textId="77777777" w:rsidR="005F581C" w:rsidRPr="00E97CCC" w:rsidRDefault="005F581C" w:rsidP="001C4008">
            <w:pPr>
              <w:pStyle w:val="TableText"/>
              <w:jc w:val="center"/>
            </w:pPr>
            <w:r w:rsidRPr="00E97CCC">
              <w:t>159,588</w:t>
            </w:r>
          </w:p>
        </w:tc>
        <w:tc>
          <w:tcPr>
            <w:tcW w:w="1079" w:type="dxa"/>
            <w:tcBorders>
              <w:top w:val="single" w:sz="4" w:space="0" w:color="auto"/>
            </w:tcBorders>
            <w:shd w:val="clear" w:color="auto" w:fill="auto"/>
            <w:noWrap/>
            <w:vAlign w:val="center"/>
            <w:hideMark/>
          </w:tcPr>
          <w:p w14:paraId="12266F28" w14:textId="77777777" w:rsidR="005F581C" w:rsidRPr="00E97CCC" w:rsidRDefault="005F581C" w:rsidP="001C4008">
            <w:pPr>
              <w:pStyle w:val="TableText"/>
              <w:jc w:val="center"/>
            </w:pPr>
            <w:r w:rsidRPr="00E97CCC">
              <w:t>161,901</w:t>
            </w:r>
          </w:p>
        </w:tc>
      </w:tr>
      <w:tr w:rsidR="005F581C" w:rsidRPr="00E97CCC" w14:paraId="7A25EDB7" w14:textId="77777777" w:rsidTr="0021554F">
        <w:tc>
          <w:tcPr>
            <w:tcW w:w="269" w:type="dxa"/>
            <w:tcBorders>
              <w:top w:val="single" w:sz="4" w:space="0" w:color="auto"/>
            </w:tcBorders>
            <w:shd w:val="clear" w:color="auto" w:fill="auto"/>
            <w:noWrap/>
            <w:vAlign w:val="center"/>
          </w:tcPr>
          <w:p w14:paraId="2C3DE30B" w14:textId="77777777" w:rsidR="005F581C" w:rsidRDefault="005F581C" w:rsidP="001C4008">
            <w:pPr>
              <w:pStyle w:val="TableText"/>
              <w:jc w:val="center"/>
            </w:pPr>
            <w:r>
              <w:t>G</w:t>
            </w:r>
          </w:p>
        </w:tc>
        <w:tc>
          <w:tcPr>
            <w:tcW w:w="2278" w:type="dxa"/>
            <w:tcBorders>
              <w:top w:val="single" w:sz="4" w:space="0" w:color="auto"/>
            </w:tcBorders>
            <w:shd w:val="clear" w:color="auto" w:fill="auto"/>
            <w:vAlign w:val="center"/>
          </w:tcPr>
          <w:p w14:paraId="5D3BD5F1" w14:textId="77777777" w:rsidR="005F581C" w:rsidRDefault="005F581C" w:rsidP="001C4008">
            <w:pPr>
              <w:pStyle w:val="TableText"/>
            </w:pPr>
            <w:r>
              <w:t>HF patients with T2D not treated with SGLT2i</w:t>
            </w:r>
            <w:r w:rsidRPr="005F581C">
              <w:rPr>
                <w:vertAlign w:val="superscript"/>
              </w:rPr>
              <w:t>a</w:t>
            </w:r>
          </w:p>
        </w:tc>
        <w:tc>
          <w:tcPr>
            <w:tcW w:w="1078" w:type="dxa"/>
            <w:tcBorders>
              <w:top w:val="single" w:sz="4" w:space="0" w:color="auto"/>
            </w:tcBorders>
            <w:shd w:val="clear" w:color="auto" w:fill="auto"/>
            <w:noWrap/>
            <w:vAlign w:val="center"/>
          </w:tcPr>
          <w:p w14:paraId="5B8B5A30" w14:textId="77777777" w:rsidR="005F581C" w:rsidRPr="00E97CCC" w:rsidRDefault="005F581C" w:rsidP="001C4008">
            <w:pPr>
              <w:pStyle w:val="TableText"/>
              <w:jc w:val="center"/>
            </w:pPr>
            <w:r w:rsidRPr="00AA0BA9">
              <w:t>66,710</w:t>
            </w:r>
          </w:p>
        </w:tc>
        <w:tc>
          <w:tcPr>
            <w:tcW w:w="1078" w:type="dxa"/>
            <w:tcBorders>
              <w:top w:val="single" w:sz="4" w:space="0" w:color="auto"/>
            </w:tcBorders>
            <w:shd w:val="clear" w:color="auto" w:fill="auto"/>
            <w:noWrap/>
            <w:vAlign w:val="center"/>
          </w:tcPr>
          <w:p w14:paraId="0C0FC2E6" w14:textId="77777777" w:rsidR="005F581C" w:rsidRPr="00E97CCC" w:rsidRDefault="005F581C" w:rsidP="001C4008">
            <w:pPr>
              <w:pStyle w:val="TableText"/>
              <w:jc w:val="center"/>
            </w:pPr>
            <w:r w:rsidRPr="00AA0BA9">
              <w:t>66,752</w:t>
            </w:r>
          </w:p>
        </w:tc>
        <w:tc>
          <w:tcPr>
            <w:tcW w:w="1078" w:type="dxa"/>
            <w:tcBorders>
              <w:top w:val="single" w:sz="4" w:space="0" w:color="auto"/>
            </w:tcBorders>
            <w:shd w:val="clear" w:color="auto" w:fill="auto"/>
            <w:noWrap/>
            <w:vAlign w:val="center"/>
          </w:tcPr>
          <w:p w14:paraId="53B4B4C4" w14:textId="77777777" w:rsidR="005F581C" w:rsidRPr="00E97CCC" w:rsidRDefault="005F581C" w:rsidP="001C4008">
            <w:pPr>
              <w:pStyle w:val="TableText"/>
              <w:jc w:val="center"/>
            </w:pPr>
            <w:r w:rsidRPr="00AA0BA9">
              <w:t>66,785</w:t>
            </w:r>
          </w:p>
        </w:tc>
        <w:tc>
          <w:tcPr>
            <w:tcW w:w="1078" w:type="dxa"/>
            <w:tcBorders>
              <w:top w:val="single" w:sz="4" w:space="0" w:color="auto"/>
            </w:tcBorders>
            <w:shd w:val="clear" w:color="auto" w:fill="auto"/>
            <w:noWrap/>
            <w:vAlign w:val="center"/>
          </w:tcPr>
          <w:p w14:paraId="56879A6B" w14:textId="77777777" w:rsidR="005F581C" w:rsidRPr="00E97CCC" w:rsidRDefault="005F581C" w:rsidP="001C4008">
            <w:pPr>
              <w:pStyle w:val="TableText"/>
              <w:jc w:val="center"/>
            </w:pPr>
            <w:r w:rsidRPr="00AA0BA9">
              <w:t>66,802</w:t>
            </w:r>
          </w:p>
        </w:tc>
        <w:tc>
          <w:tcPr>
            <w:tcW w:w="1078" w:type="dxa"/>
            <w:tcBorders>
              <w:top w:val="single" w:sz="4" w:space="0" w:color="auto"/>
            </w:tcBorders>
            <w:shd w:val="clear" w:color="auto" w:fill="auto"/>
            <w:noWrap/>
            <w:vAlign w:val="center"/>
          </w:tcPr>
          <w:p w14:paraId="2B3BE532" w14:textId="77777777" w:rsidR="005F581C" w:rsidRPr="00E97CCC" w:rsidRDefault="005F581C" w:rsidP="001C4008">
            <w:pPr>
              <w:pStyle w:val="TableText"/>
              <w:jc w:val="center"/>
            </w:pPr>
            <w:r w:rsidRPr="00AA0BA9">
              <w:t>66,782</w:t>
            </w:r>
          </w:p>
        </w:tc>
        <w:tc>
          <w:tcPr>
            <w:tcW w:w="1079" w:type="dxa"/>
            <w:tcBorders>
              <w:top w:val="single" w:sz="4" w:space="0" w:color="auto"/>
            </w:tcBorders>
            <w:shd w:val="clear" w:color="auto" w:fill="auto"/>
            <w:noWrap/>
            <w:vAlign w:val="center"/>
          </w:tcPr>
          <w:p w14:paraId="33D47F57" w14:textId="77777777" w:rsidR="005F581C" w:rsidRPr="00E97CCC" w:rsidRDefault="005F581C" w:rsidP="001C4008">
            <w:pPr>
              <w:pStyle w:val="TableText"/>
              <w:jc w:val="center"/>
            </w:pPr>
            <w:r w:rsidRPr="00AA0BA9">
              <w:t>66,161</w:t>
            </w:r>
          </w:p>
        </w:tc>
      </w:tr>
      <w:tr w:rsidR="005F581C" w:rsidRPr="00E97CCC" w14:paraId="2B939575" w14:textId="77777777" w:rsidTr="0021554F">
        <w:tc>
          <w:tcPr>
            <w:tcW w:w="269" w:type="dxa"/>
            <w:tcBorders>
              <w:top w:val="single" w:sz="4" w:space="0" w:color="auto"/>
            </w:tcBorders>
            <w:shd w:val="clear" w:color="auto" w:fill="auto"/>
            <w:noWrap/>
            <w:vAlign w:val="center"/>
          </w:tcPr>
          <w:p w14:paraId="1C1D7FC4" w14:textId="77777777" w:rsidR="005F581C" w:rsidRDefault="005F581C" w:rsidP="001C4008">
            <w:pPr>
              <w:pStyle w:val="TableText"/>
              <w:jc w:val="center"/>
            </w:pPr>
            <w:r>
              <w:t>H</w:t>
            </w:r>
          </w:p>
        </w:tc>
        <w:tc>
          <w:tcPr>
            <w:tcW w:w="2278" w:type="dxa"/>
            <w:tcBorders>
              <w:top w:val="single" w:sz="4" w:space="0" w:color="auto"/>
            </w:tcBorders>
            <w:shd w:val="clear" w:color="auto" w:fill="auto"/>
            <w:vAlign w:val="center"/>
          </w:tcPr>
          <w:p w14:paraId="32BB4677" w14:textId="77777777" w:rsidR="005F581C" w:rsidRDefault="005F581C" w:rsidP="001C4008">
            <w:pPr>
              <w:pStyle w:val="TableText"/>
            </w:pPr>
            <w:r>
              <w:t>Prevalent patients (F+G)</w:t>
            </w:r>
          </w:p>
        </w:tc>
        <w:tc>
          <w:tcPr>
            <w:tcW w:w="1078" w:type="dxa"/>
            <w:tcBorders>
              <w:top w:val="single" w:sz="4" w:space="0" w:color="auto"/>
            </w:tcBorders>
            <w:shd w:val="clear" w:color="auto" w:fill="auto"/>
            <w:noWrap/>
            <w:vAlign w:val="center"/>
          </w:tcPr>
          <w:p w14:paraId="558B08EA" w14:textId="77777777" w:rsidR="005F581C" w:rsidRPr="00AA0BA9" w:rsidRDefault="005F581C" w:rsidP="001C4008">
            <w:pPr>
              <w:pStyle w:val="TableText"/>
              <w:jc w:val="center"/>
            </w:pPr>
            <w:r w:rsidRPr="004278C5">
              <w:t>216,788</w:t>
            </w:r>
          </w:p>
        </w:tc>
        <w:tc>
          <w:tcPr>
            <w:tcW w:w="1078" w:type="dxa"/>
            <w:tcBorders>
              <w:top w:val="single" w:sz="4" w:space="0" w:color="auto"/>
            </w:tcBorders>
            <w:shd w:val="clear" w:color="auto" w:fill="auto"/>
            <w:noWrap/>
            <w:vAlign w:val="center"/>
          </w:tcPr>
          <w:p w14:paraId="51E1D000" w14:textId="77777777" w:rsidR="005F581C" w:rsidRPr="00AA0BA9" w:rsidRDefault="005F581C" w:rsidP="001C4008">
            <w:pPr>
              <w:pStyle w:val="TableText"/>
              <w:jc w:val="center"/>
            </w:pPr>
            <w:r w:rsidRPr="004278C5">
              <w:t>219,177</w:t>
            </w:r>
          </w:p>
        </w:tc>
        <w:tc>
          <w:tcPr>
            <w:tcW w:w="1078" w:type="dxa"/>
            <w:tcBorders>
              <w:top w:val="single" w:sz="4" w:space="0" w:color="auto"/>
            </w:tcBorders>
            <w:shd w:val="clear" w:color="auto" w:fill="auto"/>
            <w:noWrap/>
            <w:vAlign w:val="center"/>
          </w:tcPr>
          <w:p w14:paraId="5EF5656B" w14:textId="77777777" w:rsidR="005F581C" w:rsidRPr="00AA0BA9" w:rsidRDefault="005F581C" w:rsidP="001C4008">
            <w:pPr>
              <w:pStyle w:val="TableText"/>
              <w:jc w:val="center"/>
            </w:pPr>
            <w:r w:rsidRPr="004278C5">
              <w:t>221,591</w:t>
            </w:r>
          </w:p>
        </w:tc>
        <w:tc>
          <w:tcPr>
            <w:tcW w:w="1078" w:type="dxa"/>
            <w:tcBorders>
              <w:top w:val="single" w:sz="4" w:space="0" w:color="auto"/>
            </w:tcBorders>
            <w:shd w:val="clear" w:color="auto" w:fill="auto"/>
            <w:noWrap/>
            <w:vAlign w:val="center"/>
          </w:tcPr>
          <w:p w14:paraId="07409669" w14:textId="77777777" w:rsidR="005F581C" w:rsidRPr="00AA0BA9" w:rsidRDefault="005F581C" w:rsidP="001C4008">
            <w:pPr>
              <w:pStyle w:val="TableText"/>
              <w:jc w:val="center"/>
            </w:pPr>
            <w:r w:rsidRPr="004278C5">
              <w:t>224,014</w:t>
            </w:r>
          </w:p>
        </w:tc>
        <w:tc>
          <w:tcPr>
            <w:tcW w:w="1078" w:type="dxa"/>
            <w:tcBorders>
              <w:top w:val="single" w:sz="4" w:space="0" w:color="auto"/>
            </w:tcBorders>
            <w:shd w:val="clear" w:color="auto" w:fill="auto"/>
            <w:noWrap/>
            <w:vAlign w:val="center"/>
          </w:tcPr>
          <w:p w14:paraId="53D6FA22" w14:textId="77777777" w:rsidR="005F581C" w:rsidRPr="00AA0BA9" w:rsidRDefault="005F581C" w:rsidP="001C4008">
            <w:pPr>
              <w:pStyle w:val="TableText"/>
              <w:jc w:val="center"/>
            </w:pPr>
            <w:r w:rsidRPr="004278C5">
              <w:t>226,370</w:t>
            </w:r>
          </w:p>
        </w:tc>
        <w:tc>
          <w:tcPr>
            <w:tcW w:w="1079" w:type="dxa"/>
            <w:tcBorders>
              <w:top w:val="single" w:sz="4" w:space="0" w:color="auto"/>
            </w:tcBorders>
            <w:shd w:val="clear" w:color="auto" w:fill="auto"/>
            <w:noWrap/>
            <w:vAlign w:val="center"/>
          </w:tcPr>
          <w:p w14:paraId="7946C8D5" w14:textId="77777777" w:rsidR="005F581C" w:rsidRPr="00AA0BA9" w:rsidRDefault="005F581C" w:rsidP="001C4008">
            <w:pPr>
              <w:pStyle w:val="TableText"/>
              <w:jc w:val="center"/>
            </w:pPr>
            <w:r w:rsidRPr="004278C5">
              <w:t>228,062</w:t>
            </w:r>
          </w:p>
        </w:tc>
      </w:tr>
      <w:tr w:rsidR="005F581C" w:rsidRPr="00E97CCC" w14:paraId="4CB82498" w14:textId="77777777" w:rsidTr="0021554F">
        <w:tc>
          <w:tcPr>
            <w:tcW w:w="269" w:type="dxa"/>
            <w:tcBorders>
              <w:top w:val="single" w:sz="4" w:space="0" w:color="auto"/>
            </w:tcBorders>
            <w:shd w:val="clear" w:color="auto" w:fill="auto"/>
            <w:noWrap/>
            <w:vAlign w:val="center"/>
          </w:tcPr>
          <w:p w14:paraId="57D96991" w14:textId="77777777" w:rsidR="005F581C" w:rsidRDefault="005F581C" w:rsidP="001C4008">
            <w:pPr>
              <w:pStyle w:val="TableText"/>
              <w:jc w:val="center"/>
            </w:pPr>
            <w:r>
              <w:t>I</w:t>
            </w:r>
          </w:p>
        </w:tc>
        <w:tc>
          <w:tcPr>
            <w:tcW w:w="2278" w:type="dxa"/>
            <w:tcBorders>
              <w:top w:val="single" w:sz="4" w:space="0" w:color="auto"/>
            </w:tcBorders>
            <w:shd w:val="clear" w:color="auto" w:fill="auto"/>
            <w:vAlign w:val="center"/>
          </w:tcPr>
          <w:p w14:paraId="4AB3C521" w14:textId="77777777" w:rsidR="005F581C" w:rsidRDefault="005F581C" w:rsidP="001C4008">
            <w:pPr>
              <w:pStyle w:val="TableText"/>
            </w:pPr>
            <w:r w:rsidRPr="006D48E1">
              <w:t>Uptake rate</w:t>
            </w:r>
            <w:r w:rsidR="00A12F27">
              <w:t xml:space="preserve"> (%)</w:t>
            </w:r>
          </w:p>
        </w:tc>
        <w:tc>
          <w:tcPr>
            <w:tcW w:w="1078" w:type="dxa"/>
            <w:tcBorders>
              <w:top w:val="single" w:sz="4" w:space="0" w:color="auto"/>
            </w:tcBorders>
            <w:shd w:val="clear" w:color="auto" w:fill="auto"/>
            <w:noWrap/>
            <w:vAlign w:val="center"/>
          </w:tcPr>
          <w:p w14:paraId="6D9E5A94" w14:textId="77777777" w:rsidR="005F581C" w:rsidRPr="00CC7AA8" w:rsidRDefault="00CC7AA8" w:rsidP="001C4008">
            <w:pPr>
              <w:pStyle w:val="TableText"/>
              <w:jc w:val="center"/>
              <w:rPr>
                <w:highlight w:val="black"/>
              </w:rPr>
            </w:pPr>
            <w:r>
              <w:rPr>
                <w:noProof/>
                <w:color w:val="000000"/>
                <w:highlight w:val="black"/>
              </w:rPr>
              <w:t>'''''''''''</w:t>
            </w:r>
          </w:p>
        </w:tc>
        <w:tc>
          <w:tcPr>
            <w:tcW w:w="1078" w:type="dxa"/>
            <w:tcBorders>
              <w:top w:val="single" w:sz="4" w:space="0" w:color="auto"/>
            </w:tcBorders>
            <w:shd w:val="clear" w:color="auto" w:fill="auto"/>
            <w:noWrap/>
            <w:vAlign w:val="center"/>
          </w:tcPr>
          <w:p w14:paraId="6F05C691" w14:textId="77777777" w:rsidR="005F581C" w:rsidRPr="00CC7AA8" w:rsidRDefault="00CC7AA8" w:rsidP="001C4008">
            <w:pPr>
              <w:pStyle w:val="TableText"/>
              <w:jc w:val="center"/>
              <w:rPr>
                <w:highlight w:val="black"/>
              </w:rPr>
            </w:pPr>
            <w:r>
              <w:rPr>
                <w:noProof/>
                <w:color w:val="000000"/>
                <w:highlight w:val="black"/>
              </w:rPr>
              <w:t>''''''''''</w:t>
            </w:r>
          </w:p>
        </w:tc>
        <w:tc>
          <w:tcPr>
            <w:tcW w:w="1078" w:type="dxa"/>
            <w:tcBorders>
              <w:top w:val="single" w:sz="4" w:space="0" w:color="auto"/>
            </w:tcBorders>
            <w:shd w:val="clear" w:color="auto" w:fill="auto"/>
            <w:noWrap/>
            <w:vAlign w:val="center"/>
          </w:tcPr>
          <w:p w14:paraId="4B9F8A9B" w14:textId="77777777" w:rsidR="005F581C" w:rsidRPr="00CC7AA8" w:rsidRDefault="00CC7AA8" w:rsidP="001C4008">
            <w:pPr>
              <w:pStyle w:val="TableText"/>
              <w:jc w:val="center"/>
              <w:rPr>
                <w:highlight w:val="black"/>
              </w:rPr>
            </w:pPr>
            <w:r>
              <w:rPr>
                <w:noProof/>
                <w:color w:val="000000"/>
                <w:highlight w:val="black"/>
              </w:rPr>
              <w:t>'''''''''''</w:t>
            </w:r>
          </w:p>
        </w:tc>
        <w:tc>
          <w:tcPr>
            <w:tcW w:w="1078" w:type="dxa"/>
            <w:tcBorders>
              <w:top w:val="single" w:sz="4" w:space="0" w:color="auto"/>
            </w:tcBorders>
            <w:shd w:val="clear" w:color="auto" w:fill="auto"/>
            <w:noWrap/>
            <w:vAlign w:val="center"/>
          </w:tcPr>
          <w:p w14:paraId="429545BC" w14:textId="77777777" w:rsidR="005F581C" w:rsidRPr="00CC7AA8" w:rsidRDefault="00CC7AA8" w:rsidP="001C4008">
            <w:pPr>
              <w:pStyle w:val="TableText"/>
              <w:jc w:val="center"/>
              <w:rPr>
                <w:highlight w:val="black"/>
              </w:rPr>
            </w:pPr>
            <w:r>
              <w:rPr>
                <w:noProof/>
                <w:color w:val="000000"/>
                <w:highlight w:val="black"/>
              </w:rPr>
              <w:t>''''''''''</w:t>
            </w:r>
          </w:p>
        </w:tc>
        <w:tc>
          <w:tcPr>
            <w:tcW w:w="1078" w:type="dxa"/>
            <w:tcBorders>
              <w:top w:val="single" w:sz="4" w:space="0" w:color="auto"/>
            </w:tcBorders>
            <w:shd w:val="clear" w:color="auto" w:fill="auto"/>
            <w:noWrap/>
            <w:vAlign w:val="center"/>
          </w:tcPr>
          <w:p w14:paraId="73A10693" w14:textId="77777777" w:rsidR="005F581C" w:rsidRPr="00CC7AA8" w:rsidRDefault="00CC7AA8" w:rsidP="001C4008">
            <w:pPr>
              <w:pStyle w:val="TableText"/>
              <w:jc w:val="center"/>
              <w:rPr>
                <w:highlight w:val="black"/>
              </w:rPr>
            </w:pPr>
            <w:r>
              <w:rPr>
                <w:noProof/>
                <w:color w:val="000000"/>
                <w:highlight w:val="black"/>
              </w:rPr>
              <w:t>'''''''''''</w:t>
            </w:r>
          </w:p>
        </w:tc>
        <w:tc>
          <w:tcPr>
            <w:tcW w:w="1079" w:type="dxa"/>
            <w:tcBorders>
              <w:top w:val="single" w:sz="4" w:space="0" w:color="auto"/>
            </w:tcBorders>
            <w:shd w:val="clear" w:color="auto" w:fill="auto"/>
            <w:noWrap/>
            <w:vAlign w:val="center"/>
          </w:tcPr>
          <w:p w14:paraId="038627F9" w14:textId="77777777" w:rsidR="005F581C" w:rsidRPr="00CC7AA8" w:rsidRDefault="00CC7AA8" w:rsidP="001C4008">
            <w:pPr>
              <w:pStyle w:val="TableText"/>
              <w:jc w:val="center"/>
              <w:rPr>
                <w:highlight w:val="black"/>
              </w:rPr>
            </w:pPr>
            <w:r>
              <w:rPr>
                <w:noProof/>
                <w:color w:val="000000"/>
                <w:highlight w:val="black"/>
              </w:rPr>
              <w:t>''''''''''</w:t>
            </w:r>
          </w:p>
        </w:tc>
      </w:tr>
      <w:tr w:rsidR="005F581C" w:rsidRPr="00E97CCC" w14:paraId="19F3EDC5" w14:textId="77777777" w:rsidTr="0021554F">
        <w:tc>
          <w:tcPr>
            <w:tcW w:w="269" w:type="dxa"/>
            <w:tcBorders>
              <w:top w:val="single" w:sz="4" w:space="0" w:color="auto"/>
            </w:tcBorders>
            <w:shd w:val="clear" w:color="auto" w:fill="auto"/>
            <w:noWrap/>
            <w:vAlign w:val="center"/>
          </w:tcPr>
          <w:p w14:paraId="4F60AA58" w14:textId="77777777" w:rsidR="005F581C" w:rsidRDefault="005F581C" w:rsidP="001C4008">
            <w:pPr>
              <w:pStyle w:val="TableText"/>
              <w:jc w:val="center"/>
            </w:pPr>
            <w:r>
              <w:t>J</w:t>
            </w:r>
          </w:p>
        </w:tc>
        <w:tc>
          <w:tcPr>
            <w:tcW w:w="2278" w:type="dxa"/>
            <w:tcBorders>
              <w:top w:val="single" w:sz="4" w:space="0" w:color="auto"/>
            </w:tcBorders>
            <w:shd w:val="clear" w:color="auto" w:fill="auto"/>
            <w:vAlign w:val="center"/>
          </w:tcPr>
          <w:p w14:paraId="4A73C49D" w14:textId="77777777" w:rsidR="005F581C" w:rsidRDefault="005F581C" w:rsidP="001C4008">
            <w:pPr>
              <w:pStyle w:val="TableText"/>
            </w:pPr>
            <w:r>
              <w:t>Empagliflozin patients (H×I)</w:t>
            </w:r>
          </w:p>
        </w:tc>
        <w:tc>
          <w:tcPr>
            <w:tcW w:w="1078" w:type="dxa"/>
            <w:tcBorders>
              <w:top w:val="single" w:sz="4" w:space="0" w:color="auto"/>
            </w:tcBorders>
            <w:shd w:val="clear" w:color="auto" w:fill="auto"/>
            <w:noWrap/>
            <w:vAlign w:val="center"/>
          </w:tcPr>
          <w:p w14:paraId="564AA249" w14:textId="77777777" w:rsidR="005F581C" w:rsidRPr="00CC7AA8" w:rsidRDefault="00CC7AA8" w:rsidP="001C4008">
            <w:pPr>
              <w:pStyle w:val="TableText"/>
              <w:jc w:val="center"/>
            </w:pPr>
            <w:r>
              <w:rPr>
                <w:noProof/>
                <w:color w:val="000000"/>
                <w:highlight w:val="black"/>
              </w:rPr>
              <w:t xml:space="preserve">''''''''''''''' </w:t>
            </w:r>
            <w:r w:rsidR="00F11A64">
              <w:rPr>
                <w:vertAlign w:val="superscript"/>
              </w:rPr>
              <w:t>1</w:t>
            </w:r>
          </w:p>
        </w:tc>
        <w:tc>
          <w:tcPr>
            <w:tcW w:w="1078" w:type="dxa"/>
            <w:tcBorders>
              <w:top w:val="single" w:sz="4" w:space="0" w:color="auto"/>
            </w:tcBorders>
            <w:shd w:val="clear" w:color="auto" w:fill="auto"/>
            <w:noWrap/>
            <w:vAlign w:val="center"/>
          </w:tcPr>
          <w:p w14:paraId="0840AFE7" w14:textId="77777777" w:rsidR="005F581C" w:rsidRPr="00CC7AA8" w:rsidRDefault="00CC7AA8" w:rsidP="001C4008">
            <w:pPr>
              <w:pStyle w:val="TableText"/>
              <w:jc w:val="center"/>
            </w:pPr>
            <w:r>
              <w:rPr>
                <w:noProof/>
                <w:color w:val="000000"/>
                <w:highlight w:val="black"/>
              </w:rPr>
              <w:t xml:space="preserve">''''''''''''''' </w:t>
            </w:r>
            <w:r w:rsidR="00F11A64">
              <w:rPr>
                <w:vertAlign w:val="superscript"/>
              </w:rPr>
              <w:t>2</w:t>
            </w:r>
          </w:p>
        </w:tc>
        <w:tc>
          <w:tcPr>
            <w:tcW w:w="1078" w:type="dxa"/>
            <w:tcBorders>
              <w:top w:val="single" w:sz="4" w:space="0" w:color="auto"/>
            </w:tcBorders>
            <w:shd w:val="clear" w:color="auto" w:fill="auto"/>
            <w:noWrap/>
            <w:vAlign w:val="center"/>
          </w:tcPr>
          <w:p w14:paraId="34A8DB2E" w14:textId="77777777" w:rsidR="005F581C" w:rsidRPr="00CC7AA8" w:rsidRDefault="00CC7AA8" w:rsidP="001C4008">
            <w:pPr>
              <w:pStyle w:val="TableText"/>
              <w:jc w:val="center"/>
            </w:pPr>
            <w:r>
              <w:rPr>
                <w:noProof/>
                <w:color w:val="000000"/>
                <w:highlight w:val="black"/>
              </w:rPr>
              <w:t xml:space="preserve">'''''''''''''''''' </w:t>
            </w:r>
            <w:r w:rsidR="00F11A64">
              <w:rPr>
                <w:vertAlign w:val="superscript"/>
              </w:rPr>
              <w:t>3</w:t>
            </w:r>
          </w:p>
        </w:tc>
        <w:tc>
          <w:tcPr>
            <w:tcW w:w="1078" w:type="dxa"/>
            <w:tcBorders>
              <w:top w:val="single" w:sz="4" w:space="0" w:color="auto"/>
            </w:tcBorders>
            <w:shd w:val="clear" w:color="auto" w:fill="auto"/>
            <w:noWrap/>
            <w:vAlign w:val="center"/>
          </w:tcPr>
          <w:p w14:paraId="4CED3845" w14:textId="77777777" w:rsidR="005F581C" w:rsidRPr="00CC7AA8" w:rsidRDefault="00CC7AA8" w:rsidP="001C4008">
            <w:pPr>
              <w:pStyle w:val="TableText"/>
              <w:jc w:val="center"/>
            </w:pPr>
            <w:r>
              <w:rPr>
                <w:noProof/>
                <w:color w:val="000000"/>
                <w:highlight w:val="black"/>
              </w:rPr>
              <w:t xml:space="preserve">'''''''''''''''''' </w:t>
            </w:r>
            <w:r w:rsidR="00F11A64">
              <w:rPr>
                <w:vertAlign w:val="superscript"/>
              </w:rPr>
              <w:t>3</w:t>
            </w:r>
          </w:p>
        </w:tc>
        <w:tc>
          <w:tcPr>
            <w:tcW w:w="1078" w:type="dxa"/>
            <w:tcBorders>
              <w:top w:val="single" w:sz="4" w:space="0" w:color="auto"/>
            </w:tcBorders>
            <w:shd w:val="clear" w:color="auto" w:fill="auto"/>
            <w:noWrap/>
            <w:vAlign w:val="center"/>
          </w:tcPr>
          <w:p w14:paraId="439490A0" w14:textId="77777777" w:rsidR="005F581C" w:rsidRPr="00CC7AA8" w:rsidRDefault="00CC7AA8" w:rsidP="001C4008">
            <w:pPr>
              <w:pStyle w:val="TableText"/>
              <w:jc w:val="center"/>
            </w:pPr>
            <w:r>
              <w:rPr>
                <w:noProof/>
                <w:color w:val="000000"/>
                <w:highlight w:val="black"/>
              </w:rPr>
              <w:t xml:space="preserve">'''''''''''''''''''' </w:t>
            </w:r>
            <w:r w:rsidR="00F11A64">
              <w:rPr>
                <w:vertAlign w:val="superscript"/>
              </w:rPr>
              <w:t>3</w:t>
            </w:r>
          </w:p>
        </w:tc>
        <w:tc>
          <w:tcPr>
            <w:tcW w:w="1079" w:type="dxa"/>
            <w:tcBorders>
              <w:top w:val="single" w:sz="4" w:space="0" w:color="auto"/>
            </w:tcBorders>
            <w:shd w:val="clear" w:color="auto" w:fill="auto"/>
            <w:noWrap/>
            <w:vAlign w:val="center"/>
          </w:tcPr>
          <w:p w14:paraId="357D10A2" w14:textId="77777777" w:rsidR="005F581C" w:rsidRPr="00CC7AA8" w:rsidRDefault="00CC7AA8" w:rsidP="001C4008">
            <w:pPr>
              <w:pStyle w:val="TableText"/>
              <w:jc w:val="center"/>
            </w:pPr>
            <w:r>
              <w:rPr>
                <w:noProof/>
                <w:color w:val="000000"/>
                <w:highlight w:val="black"/>
              </w:rPr>
              <w:t xml:space="preserve">''''''''''''''''''''' </w:t>
            </w:r>
            <w:r w:rsidR="00F11A64">
              <w:rPr>
                <w:vertAlign w:val="superscript"/>
              </w:rPr>
              <w:t>4</w:t>
            </w:r>
          </w:p>
        </w:tc>
      </w:tr>
      <w:tr w:rsidR="005F581C" w:rsidRPr="00E97CCC" w14:paraId="034F1CC4" w14:textId="77777777" w:rsidTr="0021554F">
        <w:tc>
          <w:tcPr>
            <w:tcW w:w="269" w:type="dxa"/>
            <w:tcBorders>
              <w:top w:val="single" w:sz="4" w:space="0" w:color="auto"/>
            </w:tcBorders>
            <w:shd w:val="clear" w:color="auto" w:fill="auto"/>
            <w:noWrap/>
            <w:vAlign w:val="center"/>
          </w:tcPr>
          <w:p w14:paraId="3DF56D04" w14:textId="77777777" w:rsidR="005F581C" w:rsidRDefault="005F581C" w:rsidP="001C4008">
            <w:pPr>
              <w:pStyle w:val="TableText"/>
              <w:jc w:val="center"/>
            </w:pPr>
            <w:r>
              <w:t>K</w:t>
            </w:r>
          </w:p>
        </w:tc>
        <w:tc>
          <w:tcPr>
            <w:tcW w:w="2278" w:type="dxa"/>
            <w:tcBorders>
              <w:top w:val="single" w:sz="4" w:space="0" w:color="auto"/>
            </w:tcBorders>
            <w:shd w:val="clear" w:color="auto" w:fill="auto"/>
            <w:vAlign w:val="center"/>
          </w:tcPr>
          <w:p w14:paraId="0B64131D" w14:textId="77777777" w:rsidR="005F581C" w:rsidRDefault="005F581C" w:rsidP="00EA105E">
            <w:pPr>
              <w:pStyle w:val="TableText"/>
            </w:pPr>
            <w:r>
              <w:t>Total scripts PBS/RPBS (J×</w:t>
            </w:r>
            <w:r w:rsidRPr="00EA105E">
              <w:t>11.58</w:t>
            </w:r>
            <w:r>
              <w:t>/patient/year)</w:t>
            </w:r>
          </w:p>
        </w:tc>
        <w:tc>
          <w:tcPr>
            <w:tcW w:w="1078" w:type="dxa"/>
            <w:shd w:val="clear" w:color="auto" w:fill="auto"/>
            <w:noWrap/>
            <w:vAlign w:val="center"/>
          </w:tcPr>
          <w:p w14:paraId="193DFF27" w14:textId="77777777" w:rsidR="005F581C" w:rsidRPr="00CC7AA8" w:rsidRDefault="00CC7AA8" w:rsidP="001C4008">
            <w:pPr>
              <w:pStyle w:val="TableText"/>
              <w:jc w:val="center"/>
            </w:pPr>
            <w:r>
              <w:rPr>
                <w:noProof/>
                <w:color w:val="000000"/>
                <w:highlight w:val="black"/>
              </w:rPr>
              <w:t>'''''''''''''''''''</w:t>
            </w:r>
            <w:r w:rsidR="00F11A64">
              <w:rPr>
                <w:vertAlign w:val="superscript"/>
              </w:rPr>
              <w:t>5</w:t>
            </w:r>
          </w:p>
        </w:tc>
        <w:tc>
          <w:tcPr>
            <w:tcW w:w="1078" w:type="dxa"/>
            <w:shd w:val="clear" w:color="auto" w:fill="auto"/>
            <w:noWrap/>
            <w:vAlign w:val="center"/>
          </w:tcPr>
          <w:p w14:paraId="7A7236CF" w14:textId="77777777" w:rsidR="005F581C" w:rsidRPr="00CC7AA8" w:rsidRDefault="00CC7AA8" w:rsidP="001C4008">
            <w:pPr>
              <w:pStyle w:val="TableText"/>
              <w:jc w:val="center"/>
            </w:pPr>
            <w:r>
              <w:rPr>
                <w:noProof/>
                <w:color w:val="000000"/>
                <w:highlight w:val="black"/>
              </w:rPr>
              <w:t>'''''''''''''''''''</w:t>
            </w:r>
            <w:r w:rsidR="00F11A64">
              <w:rPr>
                <w:vertAlign w:val="superscript"/>
              </w:rPr>
              <w:t>6</w:t>
            </w:r>
          </w:p>
        </w:tc>
        <w:tc>
          <w:tcPr>
            <w:tcW w:w="1078" w:type="dxa"/>
            <w:shd w:val="clear" w:color="auto" w:fill="auto"/>
            <w:noWrap/>
            <w:vAlign w:val="center"/>
          </w:tcPr>
          <w:p w14:paraId="0AAD9385" w14:textId="77777777" w:rsidR="005F581C" w:rsidRPr="00CC7AA8" w:rsidRDefault="00CC7AA8" w:rsidP="001C4008">
            <w:pPr>
              <w:pStyle w:val="TableText"/>
              <w:jc w:val="center"/>
            </w:pPr>
            <w:r>
              <w:rPr>
                <w:noProof/>
                <w:color w:val="000000"/>
                <w:highlight w:val="black"/>
              </w:rPr>
              <w:t>''''''''''''''''''''''</w:t>
            </w:r>
            <w:r w:rsidR="00F11A64">
              <w:rPr>
                <w:vertAlign w:val="superscript"/>
              </w:rPr>
              <w:t>7</w:t>
            </w:r>
          </w:p>
        </w:tc>
        <w:tc>
          <w:tcPr>
            <w:tcW w:w="1078" w:type="dxa"/>
            <w:shd w:val="clear" w:color="auto" w:fill="auto"/>
            <w:noWrap/>
            <w:vAlign w:val="center"/>
          </w:tcPr>
          <w:p w14:paraId="40011395" w14:textId="77777777" w:rsidR="005F581C" w:rsidRPr="00CC7AA8" w:rsidRDefault="00CC7AA8" w:rsidP="001C4008">
            <w:pPr>
              <w:pStyle w:val="TableText"/>
              <w:jc w:val="center"/>
            </w:pPr>
            <w:r>
              <w:rPr>
                <w:noProof/>
                <w:color w:val="000000"/>
                <w:highlight w:val="black"/>
              </w:rPr>
              <w:t>''''''''''''''''''''''</w:t>
            </w:r>
            <w:r w:rsidR="00F11A64">
              <w:rPr>
                <w:vertAlign w:val="superscript"/>
              </w:rPr>
              <w:t>7</w:t>
            </w:r>
          </w:p>
        </w:tc>
        <w:tc>
          <w:tcPr>
            <w:tcW w:w="1078" w:type="dxa"/>
            <w:shd w:val="clear" w:color="auto" w:fill="auto"/>
            <w:noWrap/>
            <w:vAlign w:val="center"/>
          </w:tcPr>
          <w:p w14:paraId="045912CD" w14:textId="77777777" w:rsidR="005F581C" w:rsidRPr="00CC7AA8" w:rsidRDefault="00CC7AA8" w:rsidP="001C4008">
            <w:pPr>
              <w:pStyle w:val="TableText"/>
              <w:jc w:val="center"/>
            </w:pPr>
            <w:r>
              <w:rPr>
                <w:noProof/>
                <w:color w:val="000000"/>
                <w:highlight w:val="black"/>
              </w:rPr>
              <w:t>''''''''''''''''''''''''</w:t>
            </w:r>
            <w:r w:rsidR="00F11A64">
              <w:rPr>
                <w:vertAlign w:val="superscript"/>
              </w:rPr>
              <w:t>8</w:t>
            </w:r>
          </w:p>
        </w:tc>
        <w:tc>
          <w:tcPr>
            <w:tcW w:w="1079" w:type="dxa"/>
            <w:noWrap/>
            <w:vAlign w:val="center"/>
          </w:tcPr>
          <w:p w14:paraId="6832E384" w14:textId="77777777" w:rsidR="005F581C" w:rsidRPr="00CC7AA8" w:rsidRDefault="00CC7AA8" w:rsidP="001C4008">
            <w:pPr>
              <w:pStyle w:val="TableText"/>
              <w:jc w:val="center"/>
            </w:pPr>
            <w:r>
              <w:rPr>
                <w:noProof/>
                <w:color w:val="000000"/>
                <w:highlight w:val="black"/>
              </w:rPr>
              <w:t>'''''''''''''''''''''''''</w:t>
            </w:r>
            <w:r w:rsidR="00F11A64">
              <w:rPr>
                <w:vertAlign w:val="superscript"/>
              </w:rPr>
              <w:t>8</w:t>
            </w:r>
          </w:p>
        </w:tc>
      </w:tr>
      <w:tr w:rsidR="005F581C" w:rsidRPr="00E97CCC" w14:paraId="7B2C8111" w14:textId="77777777" w:rsidTr="0021554F">
        <w:tc>
          <w:tcPr>
            <w:tcW w:w="269" w:type="dxa"/>
            <w:tcBorders>
              <w:top w:val="single" w:sz="4" w:space="0" w:color="auto"/>
            </w:tcBorders>
            <w:shd w:val="clear" w:color="auto" w:fill="auto"/>
            <w:noWrap/>
            <w:vAlign w:val="center"/>
          </w:tcPr>
          <w:p w14:paraId="0D0F4E91" w14:textId="77777777" w:rsidR="005F581C" w:rsidRDefault="005F581C" w:rsidP="001C4008">
            <w:pPr>
              <w:pStyle w:val="TableText"/>
              <w:jc w:val="center"/>
            </w:pPr>
            <w:r>
              <w:t>L</w:t>
            </w:r>
          </w:p>
        </w:tc>
        <w:tc>
          <w:tcPr>
            <w:tcW w:w="2278" w:type="dxa"/>
            <w:tcBorders>
              <w:top w:val="single" w:sz="4" w:space="0" w:color="auto"/>
            </w:tcBorders>
            <w:shd w:val="clear" w:color="auto" w:fill="auto"/>
            <w:vAlign w:val="center"/>
          </w:tcPr>
          <w:p w14:paraId="1F45CF78" w14:textId="77777777" w:rsidR="005F581C" w:rsidRDefault="005F581C" w:rsidP="001C4008">
            <w:pPr>
              <w:pStyle w:val="TableText"/>
            </w:pPr>
            <w:r w:rsidRPr="00DD0ED0">
              <w:rPr>
                <w:szCs w:val="20"/>
              </w:rPr>
              <w:t xml:space="preserve">PBS/RPBS cost </w:t>
            </w:r>
            <w:r>
              <w:rPr>
                <w:szCs w:val="20"/>
              </w:rPr>
              <w:t>(K×$60.10)</w:t>
            </w:r>
          </w:p>
        </w:tc>
        <w:tc>
          <w:tcPr>
            <w:tcW w:w="1078" w:type="dxa"/>
            <w:shd w:val="clear" w:color="auto" w:fill="auto"/>
            <w:noWrap/>
            <w:vAlign w:val="center"/>
          </w:tcPr>
          <w:p w14:paraId="5435014E" w14:textId="77777777" w:rsidR="005F581C" w:rsidRPr="00CC7AA8" w:rsidRDefault="00CC7AA8" w:rsidP="001C4008">
            <w:pPr>
              <w:pStyle w:val="TableText"/>
              <w:jc w:val="center"/>
              <w:rPr>
                <w:iCs/>
              </w:rPr>
            </w:pPr>
            <w:r>
              <w:rPr>
                <w:iCs/>
                <w:noProof/>
                <w:color w:val="000000"/>
                <w:szCs w:val="20"/>
                <w:highlight w:val="black"/>
              </w:rPr>
              <w:t>'''''''''''''''''''''''''''''</w:t>
            </w:r>
            <w:r w:rsidR="00F11A64">
              <w:rPr>
                <w:vertAlign w:val="superscript"/>
              </w:rPr>
              <w:t>9</w:t>
            </w:r>
          </w:p>
        </w:tc>
        <w:tc>
          <w:tcPr>
            <w:tcW w:w="1078" w:type="dxa"/>
            <w:shd w:val="clear" w:color="auto" w:fill="auto"/>
            <w:noWrap/>
            <w:vAlign w:val="center"/>
          </w:tcPr>
          <w:p w14:paraId="107FEC50" w14:textId="77777777" w:rsidR="005F581C" w:rsidRPr="00CC7AA8" w:rsidRDefault="00CC7AA8" w:rsidP="001C4008">
            <w:pPr>
              <w:pStyle w:val="TableText"/>
              <w:jc w:val="center"/>
              <w:rPr>
                <w:iCs/>
              </w:rPr>
            </w:pPr>
            <w:r>
              <w:rPr>
                <w:iCs/>
                <w:noProof/>
                <w:color w:val="000000"/>
                <w:szCs w:val="20"/>
                <w:highlight w:val="black"/>
              </w:rPr>
              <w:t>''''''''''''''''''''''''''</w:t>
            </w:r>
            <w:r w:rsidR="00F11A64">
              <w:rPr>
                <w:vertAlign w:val="superscript"/>
              </w:rPr>
              <w:t>10</w:t>
            </w:r>
          </w:p>
        </w:tc>
        <w:tc>
          <w:tcPr>
            <w:tcW w:w="1078" w:type="dxa"/>
            <w:shd w:val="clear" w:color="auto" w:fill="auto"/>
            <w:noWrap/>
            <w:vAlign w:val="center"/>
          </w:tcPr>
          <w:p w14:paraId="16996220" w14:textId="77777777" w:rsidR="005F581C" w:rsidRPr="00CC7AA8" w:rsidRDefault="00CC7AA8" w:rsidP="001C4008">
            <w:pPr>
              <w:pStyle w:val="TableText"/>
              <w:jc w:val="center"/>
              <w:rPr>
                <w:iCs/>
              </w:rPr>
            </w:pPr>
            <w:r>
              <w:rPr>
                <w:iCs/>
                <w:noProof/>
                <w:color w:val="000000"/>
                <w:szCs w:val="20"/>
                <w:highlight w:val="black"/>
              </w:rPr>
              <w:t>''''''''''''''''''''''''''''</w:t>
            </w:r>
            <w:r w:rsidR="00F11A64">
              <w:rPr>
                <w:vertAlign w:val="superscript"/>
              </w:rPr>
              <w:t>11</w:t>
            </w:r>
          </w:p>
        </w:tc>
        <w:tc>
          <w:tcPr>
            <w:tcW w:w="1078" w:type="dxa"/>
            <w:shd w:val="clear" w:color="auto" w:fill="auto"/>
            <w:noWrap/>
            <w:vAlign w:val="center"/>
          </w:tcPr>
          <w:p w14:paraId="15562DC9" w14:textId="77777777" w:rsidR="005F581C" w:rsidRPr="00CC7AA8" w:rsidRDefault="00CC7AA8" w:rsidP="001C4008">
            <w:pPr>
              <w:pStyle w:val="TableText"/>
              <w:jc w:val="center"/>
              <w:rPr>
                <w:iCs/>
              </w:rPr>
            </w:pPr>
            <w:r>
              <w:rPr>
                <w:iCs/>
                <w:noProof/>
                <w:color w:val="000000"/>
                <w:szCs w:val="20"/>
                <w:highlight w:val="black"/>
              </w:rPr>
              <w:t>'''''''''''''''''''''''''''</w:t>
            </w:r>
            <w:r w:rsidR="00F11A64">
              <w:rPr>
                <w:vertAlign w:val="superscript"/>
              </w:rPr>
              <w:t>12</w:t>
            </w:r>
          </w:p>
        </w:tc>
        <w:tc>
          <w:tcPr>
            <w:tcW w:w="1078" w:type="dxa"/>
            <w:shd w:val="clear" w:color="auto" w:fill="auto"/>
            <w:noWrap/>
            <w:vAlign w:val="center"/>
          </w:tcPr>
          <w:p w14:paraId="2627286D" w14:textId="77777777" w:rsidR="005F581C" w:rsidRPr="00CC7AA8" w:rsidRDefault="00CC7AA8" w:rsidP="001C4008">
            <w:pPr>
              <w:pStyle w:val="TableText"/>
              <w:jc w:val="center"/>
              <w:rPr>
                <w:iCs/>
              </w:rPr>
            </w:pPr>
            <w:r>
              <w:rPr>
                <w:iCs/>
                <w:noProof/>
                <w:color w:val="000000"/>
                <w:szCs w:val="20"/>
                <w:highlight w:val="black"/>
              </w:rPr>
              <w:t>'''''''''''''''''''''''''''</w:t>
            </w:r>
            <w:r w:rsidR="00F11A64">
              <w:rPr>
                <w:vertAlign w:val="superscript"/>
              </w:rPr>
              <w:t>12</w:t>
            </w:r>
          </w:p>
        </w:tc>
        <w:tc>
          <w:tcPr>
            <w:tcW w:w="1079" w:type="dxa"/>
            <w:noWrap/>
            <w:vAlign w:val="center"/>
          </w:tcPr>
          <w:p w14:paraId="47469E1C" w14:textId="77777777" w:rsidR="005F581C" w:rsidRPr="00CC7AA8" w:rsidRDefault="00CC7AA8" w:rsidP="001C4008">
            <w:pPr>
              <w:pStyle w:val="TableText"/>
              <w:jc w:val="center"/>
              <w:rPr>
                <w:iCs/>
              </w:rPr>
            </w:pPr>
            <w:r>
              <w:rPr>
                <w:iCs/>
                <w:noProof/>
                <w:color w:val="000000"/>
                <w:szCs w:val="20"/>
                <w:highlight w:val="black"/>
              </w:rPr>
              <w:t>''''''''''''''''''''''''''</w:t>
            </w:r>
            <w:r w:rsidR="00F11A64">
              <w:rPr>
                <w:vertAlign w:val="superscript"/>
              </w:rPr>
              <w:t>12</w:t>
            </w:r>
          </w:p>
        </w:tc>
      </w:tr>
      <w:tr w:rsidR="005F581C" w:rsidRPr="00E97CCC" w14:paraId="379CC0C7" w14:textId="77777777" w:rsidTr="0021554F">
        <w:tc>
          <w:tcPr>
            <w:tcW w:w="269" w:type="dxa"/>
            <w:tcBorders>
              <w:top w:val="single" w:sz="4" w:space="0" w:color="auto"/>
            </w:tcBorders>
            <w:shd w:val="clear" w:color="auto" w:fill="auto"/>
            <w:noWrap/>
            <w:vAlign w:val="center"/>
          </w:tcPr>
          <w:p w14:paraId="756074C4" w14:textId="77777777" w:rsidR="005F581C" w:rsidRDefault="005F581C" w:rsidP="001C4008">
            <w:pPr>
              <w:pStyle w:val="TableText"/>
              <w:jc w:val="center"/>
            </w:pPr>
            <w:r>
              <w:t>M</w:t>
            </w:r>
          </w:p>
        </w:tc>
        <w:tc>
          <w:tcPr>
            <w:tcW w:w="2278" w:type="dxa"/>
            <w:tcBorders>
              <w:top w:val="single" w:sz="4" w:space="0" w:color="auto"/>
            </w:tcBorders>
            <w:shd w:val="clear" w:color="auto" w:fill="auto"/>
            <w:vAlign w:val="center"/>
          </w:tcPr>
          <w:p w14:paraId="106C6C55" w14:textId="77777777" w:rsidR="005F581C" w:rsidRDefault="005F581C" w:rsidP="001C4008">
            <w:pPr>
              <w:pStyle w:val="TableText"/>
            </w:pPr>
            <w:r w:rsidRPr="00DD0ED0">
              <w:rPr>
                <w:szCs w:val="20"/>
              </w:rPr>
              <w:t xml:space="preserve">Patient copayment </w:t>
            </w:r>
            <w:r>
              <w:rPr>
                <w:szCs w:val="20"/>
              </w:rPr>
              <w:t>(K×$13.10)</w:t>
            </w:r>
          </w:p>
        </w:tc>
        <w:tc>
          <w:tcPr>
            <w:tcW w:w="1078" w:type="dxa"/>
            <w:shd w:val="clear" w:color="auto" w:fill="auto"/>
            <w:noWrap/>
            <w:vAlign w:val="center"/>
          </w:tcPr>
          <w:p w14:paraId="2A84A65D" w14:textId="77777777" w:rsidR="005F581C" w:rsidRPr="00CC7AA8" w:rsidRDefault="00CC7AA8" w:rsidP="001C4008">
            <w:pPr>
              <w:pStyle w:val="TableText"/>
              <w:jc w:val="center"/>
              <w:rPr>
                <w:iCs/>
              </w:rPr>
            </w:pPr>
            <w:r>
              <w:rPr>
                <w:iCs/>
                <w:noProof/>
                <w:color w:val="000000"/>
                <w:szCs w:val="20"/>
                <w:highlight w:val="black"/>
              </w:rPr>
              <w:t>'''''''''''''''''''''''''''</w:t>
            </w:r>
            <w:r w:rsidR="00F11A64">
              <w:rPr>
                <w:vertAlign w:val="superscript"/>
              </w:rPr>
              <w:t>13</w:t>
            </w:r>
          </w:p>
        </w:tc>
        <w:tc>
          <w:tcPr>
            <w:tcW w:w="1078" w:type="dxa"/>
            <w:shd w:val="clear" w:color="auto" w:fill="auto"/>
            <w:noWrap/>
            <w:vAlign w:val="center"/>
          </w:tcPr>
          <w:p w14:paraId="3DEEFB14" w14:textId="77777777" w:rsidR="005F581C" w:rsidRPr="00CC7AA8" w:rsidRDefault="00CC7AA8" w:rsidP="001C4008">
            <w:pPr>
              <w:pStyle w:val="TableText"/>
              <w:jc w:val="center"/>
              <w:rPr>
                <w:iCs/>
              </w:rPr>
            </w:pPr>
            <w:r>
              <w:rPr>
                <w:iCs/>
                <w:noProof/>
                <w:color w:val="000000"/>
                <w:szCs w:val="20"/>
                <w:highlight w:val="black"/>
              </w:rPr>
              <w:t>'''''''''''''''''''''''''</w:t>
            </w:r>
            <w:r w:rsidR="00F11A64">
              <w:rPr>
                <w:vertAlign w:val="superscript"/>
              </w:rPr>
              <w:t>13</w:t>
            </w:r>
          </w:p>
        </w:tc>
        <w:tc>
          <w:tcPr>
            <w:tcW w:w="1078" w:type="dxa"/>
            <w:shd w:val="clear" w:color="auto" w:fill="auto"/>
            <w:noWrap/>
            <w:vAlign w:val="center"/>
          </w:tcPr>
          <w:p w14:paraId="1422F813" w14:textId="77777777" w:rsidR="005F581C" w:rsidRPr="00CC7AA8" w:rsidRDefault="00CC7AA8" w:rsidP="001C4008">
            <w:pPr>
              <w:pStyle w:val="TableText"/>
              <w:jc w:val="center"/>
              <w:rPr>
                <w:iCs/>
              </w:rPr>
            </w:pPr>
            <w:r>
              <w:rPr>
                <w:iCs/>
                <w:noProof/>
                <w:color w:val="000000"/>
                <w:szCs w:val="20"/>
                <w:highlight w:val="black"/>
              </w:rPr>
              <w:t>'''''''''''''''''''''''''''</w:t>
            </w:r>
            <w:r w:rsidR="00F11A64">
              <w:rPr>
                <w:vertAlign w:val="superscript"/>
              </w:rPr>
              <w:t>14</w:t>
            </w:r>
          </w:p>
        </w:tc>
        <w:tc>
          <w:tcPr>
            <w:tcW w:w="1078" w:type="dxa"/>
            <w:shd w:val="clear" w:color="auto" w:fill="auto"/>
            <w:noWrap/>
            <w:vAlign w:val="center"/>
          </w:tcPr>
          <w:p w14:paraId="1C93A129" w14:textId="77777777" w:rsidR="005F581C" w:rsidRPr="00CC7AA8" w:rsidRDefault="00CC7AA8" w:rsidP="001C4008">
            <w:pPr>
              <w:pStyle w:val="TableText"/>
              <w:jc w:val="center"/>
              <w:rPr>
                <w:iCs/>
              </w:rPr>
            </w:pPr>
            <w:r>
              <w:rPr>
                <w:iCs/>
                <w:noProof/>
                <w:color w:val="000000"/>
                <w:szCs w:val="20"/>
                <w:highlight w:val="black"/>
              </w:rPr>
              <w:t>'''''''''''''''''''''''''''''</w:t>
            </w:r>
            <w:r w:rsidR="00F11A64">
              <w:rPr>
                <w:vertAlign w:val="superscript"/>
              </w:rPr>
              <w:t>9</w:t>
            </w:r>
          </w:p>
        </w:tc>
        <w:tc>
          <w:tcPr>
            <w:tcW w:w="1078" w:type="dxa"/>
            <w:shd w:val="clear" w:color="auto" w:fill="auto"/>
            <w:noWrap/>
            <w:vAlign w:val="center"/>
          </w:tcPr>
          <w:p w14:paraId="669A5478" w14:textId="77777777" w:rsidR="005F581C" w:rsidRPr="00CC7AA8" w:rsidRDefault="00CC7AA8" w:rsidP="001C4008">
            <w:pPr>
              <w:pStyle w:val="TableText"/>
              <w:jc w:val="center"/>
              <w:rPr>
                <w:iCs/>
              </w:rPr>
            </w:pPr>
            <w:r>
              <w:rPr>
                <w:iCs/>
                <w:noProof/>
                <w:color w:val="000000"/>
                <w:szCs w:val="20"/>
                <w:highlight w:val="black"/>
              </w:rPr>
              <w:t>'''''''''''''''''''''''''''''</w:t>
            </w:r>
            <w:r w:rsidR="00F11A64">
              <w:rPr>
                <w:vertAlign w:val="superscript"/>
              </w:rPr>
              <w:t>9</w:t>
            </w:r>
          </w:p>
        </w:tc>
        <w:tc>
          <w:tcPr>
            <w:tcW w:w="1079" w:type="dxa"/>
            <w:noWrap/>
            <w:vAlign w:val="center"/>
          </w:tcPr>
          <w:p w14:paraId="49A770BC" w14:textId="77777777" w:rsidR="005F581C" w:rsidRPr="00CC7AA8" w:rsidRDefault="00CC7AA8" w:rsidP="001C4008">
            <w:pPr>
              <w:pStyle w:val="TableText"/>
              <w:jc w:val="center"/>
              <w:rPr>
                <w:iCs/>
              </w:rPr>
            </w:pPr>
            <w:r>
              <w:rPr>
                <w:iCs/>
                <w:noProof/>
                <w:color w:val="000000"/>
                <w:szCs w:val="20"/>
                <w:highlight w:val="black"/>
              </w:rPr>
              <w:t>'''''''''''''''''''''''''''</w:t>
            </w:r>
            <w:r w:rsidR="00F11A64">
              <w:rPr>
                <w:vertAlign w:val="superscript"/>
              </w:rPr>
              <w:t>15</w:t>
            </w:r>
          </w:p>
        </w:tc>
      </w:tr>
      <w:tr w:rsidR="005F581C" w:rsidRPr="00E97CCC" w14:paraId="15E1D475" w14:textId="77777777" w:rsidTr="0021554F">
        <w:tc>
          <w:tcPr>
            <w:tcW w:w="269" w:type="dxa"/>
            <w:tcBorders>
              <w:top w:val="single" w:sz="4" w:space="0" w:color="auto"/>
            </w:tcBorders>
            <w:shd w:val="clear" w:color="auto" w:fill="auto"/>
            <w:noWrap/>
            <w:vAlign w:val="center"/>
          </w:tcPr>
          <w:p w14:paraId="139C5C07" w14:textId="77777777" w:rsidR="005F581C" w:rsidRDefault="005F581C" w:rsidP="001C4008">
            <w:pPr>
              <w:pStyle w:val="TableText"/>
              <w:jc w:val="center"/>
            </w:pPr>
            <w:r>
              <w:t>N</w:t>
            </w:r>
          </w:p>
        </w:tc>
        <w:tc>
          <w:tcPr>
            <w:tcW w:w="2278" w:type="dxa"/>
            <w:tcBorders>
              <w:top w:val="single" w:sz="4" w:space="0" w:color="auto"/>
            </w:tcBorders>
            <w:shd w:val="clear" w:color="auto" w:fill="auto"/>
            <w:vAlign w:val="center"/>
          </w:tcPr>
          <w:p w14:paraId="708321D3" w14:textId="77777777" w:rsidR="005F581C" w:rsidRPr="005F581C" w:rsidRDefault="005F581C" w:rsidP="001C4008">
            <w:pPr>
              <w:pStyle w:val="TableText"/>
              <w:rPr>
                <w:b/>
                <w:bCs w:val="0"/>
              </w:rPr>
            </w:pPr>
            <w:r w:rsidRPr="005F581C">
              <w:rPr>
                <w:b/>
                <w:bCs w:val="0"/>
              </w:rPr>
              <w:t>Net cost to the PBS/RPBS</w:t>
            </w:r>
          </w:p>
        </w:tc>
        <w:tc>
          <w:tcPr>
            <w:tcW w:w="1078" w:type="dxa"/>
            <w:tcBorders>
              <w:top w:val="single" w:sz="4" w:space="0" w:color="auto"/>
            </w:tcBorders>
            <w:shd w:val="clear" w:color="auto" w:fill="auto"/>
            <w:noWrap/>
            <w:vAlign w:val="center"/>
          </w:tcPr>
          <w:p w14:paraId="71B59F13" w14:textId="77777777" w:rsidR="005F581C" w:rsidRPr="00CC7AA8" w:rsidRDefault="00CC7AA8" w:rsidP="001C4008">
            <w:pPr>
              <w:pStyle w:val="TableText"/>
              <w:jc w:val="center"/>
              <w:rPr>
                <w:b/>
                <w:bCs w:val="0"/>
                <w:iCs/>
              </w:rPr>
            </w:pPr>
            <w:r>
              <w:rPr>
                <w:rFonts w:cstheme="minorHAnsi"/>
                <w:b/>
                <w:bCs w:val="0"/>
                <w:iCs/>
                <w:noProof/>
                <w:color w:val="000000"/>
                <w:szCs w:val="20"/>
                <w:highlight w:val="black"/>
              </w:rPr>
              <w:t>''''''''''''''''''''''</w:t>
            </w:r>
            <w:r w:rsidR="00F11A64">
              <w:rPr>
                <w:vertAlign w:val="superscript"/>
              </w:rPr>
              <w:t>14</w:t>
            </w:r>
          </w:p>
        </w:tc>
        <w:tc>
          <w:tcPr>
            <w:tcW w:w="1078" w:type="dxa"/>
            <w:tcBorders>
              <w:top w:val="single" w:sz="4" w:space="0" w:color="auto"/>
            </w:tcBorders>
            <w:shd w:val="clear" w:color="auto" w:fill="auto"/>
            <w:noWrap/>
            <w:vAlign w:val="center"/>
          </w:tcPr>
          <w:p w14:paraId="5FA48CD1" w14:textId="77777777" w:rsidR="005F581C" w:rsidRPr="00CC7AA8" w:rsidRDefault="00CC7AA8" w:rsidP="001C4008">
            <w:pPr>
              <w:pStyle w:val="TableText"/>
              <w:jc w:val="center"/>
              <w:rPr>
                <w:b/>
                <w:bCs w:val="0"/>
                <w:iCs/>
              </w:rPr>
            </w:pPr>
            <w:r>
              <w:rPr>
                <w:rFonts w:cstheme="minorHAnsi"/>
                <w:b/>
                <w:bCs w:val="0"/>
                <w:iCs/>
                <w:noProof/>
                <w:color w:val="000000"/>
                <w:szCs w:val="20"/>
                <w:highlight w:val="black"/>
              </w:rPr>
              <w:t>''''''''''''''''''''''</w:t>
            </w:r>
            <w:r w:rsidR="00F11A64">
              <w:rPr>
                <w:vertAlign w:val="superscript"/>
              </w:rPr>
              <w:t>15</w:t>
            </w:r>
          </w:p>
        </w:tc>
        <w:tc>
          <w:tcPr>
            <w:tcW w:w="1078" w:type="dxa"/>
            <w:tcBorders>
              <w:top w:val="single" w:sz="4" w:space="0" w:color="auto"/>
            </w:tcBorders>
            <w:shd w:val="clear" w:color="auto" w:fill="auto"/>
            <w:noWrap/>
            <w:vAlign w:val="center"/>
          </w:tcPr>
          <w:p w14:paraId="46BB23F0" w14:textId="77777777" w:rsidR="005F581C" w:rsidRPr="00CC7AA8" w:rsidRDefault="00CC7AA8" w:rsidP="001C4008">
            <w:pPr>
              <w:pStyle w:val="TableText"/>
              <w:jc w:val="center"/>
              <w:rPr>
                <w:b/>
                <w:bCs w:val="0"/>
                <w:iCs/>
              </w:rPr>
            </w:pPr>
            <w:r>
              <w:rPr>
                <w:rFonts w:cstheme="minorHAnsi"/>
                <w:b/>
                <w:bCs w:val="0"/>
                <w:iCs/>
                <w:noProof/>
                <w:color w:val="000000"/>
                <w:szCs w:val="20"/>
                <w:highlight w:val="black"/>
              </w:rPr>
              <w:t>''''''''''''''''''''''</w:t>
            </w:r>
            <w:r w:rsidR="00F11A64">
              <w:rPr>
                <w:vertAlign w:val="superscript"/>
              </w:rPr>
              <w:t>16</w:t>
            </w:r>
          </w:p>
        </w:tc>
        <w:tc>
          <w:tcPr>
            <w:tcW w:w="1078" w:type="dxa"/>
            <w:tcBorders>
              <w:top w:val="single" w:sz="4" w:space="0" w:color="auto"/>
            </w:tcBorders>
            <w:shd w:val="clear" w:color="auto" w:fill="auto"/>
            <w:noWrap/>
            <w:vAlign w:val="center"/>
          </w:tcPr>
          <w:p w14:paraId="145E8B40" w14:textId="77777777" w:rsidR="005F581C" w:rsidRPr="00CC7AA8" w:rsidRDefault="00CC7AA8" w:rsidP="001C4008">
            <w:pPr>
              <w:pStyle w:val="TableText"/>
              <w:jc w:val="center"/>
              <w:rPr>
                <w:b/>
                <w:bCs w:val="0"/>
                <w:iCs/>
              </w:rPr>
            </w:pPr>
            <w:r>
              <w:rPr>
                <w:rFonts w:cstheme="minorHAnsi"/>
                <w:b/>
                <w:bCs w:val="0"/>
                <w:iCs/>
                <w:noProof/>
                <w:color w:val="000000"/>
                <w:szCs w:val="20"/>
                <w:highlight w:val="black"/>
              </w:rPr>
              <w:t>'''''''''''''''''''''</w:t>
            </w:r>
            <w:r w:rsidR="00F11A64">
              <w:rPr>
                <w:vertAlign w:val="superscript"/>
              </w:rPr>
              <w:t>11</w:t>
            </w:r>
          </w:p>
        </w:tc>
        <w:tc>
          <w:tcPr>
            <w:tcW w:w="1078" w:type="dxa"/>
            <w:tcBorders>
              <w:top w:val="single" w:sz="4" w:space="0" w:color="auto"/>
            </w:tcBorders>
            <w:shd w:val="clear" w:color="auto" w:fill="auto"/>
            <w:noWrap/>
            <w:vAlign w:val="center"/>
          </w:tcPr>
          <w:p w14:paraId="0A10E0A8" w14:textId="77777777" w:rsidR="005F581C" w:rsidRPr="00CC7AA8" w:rsidRDefault="00CC7AA8" w:rsidP="001C4008">
            <w:pPr>
              <w:pStyle w:val="TableText"/>
              <w:jc w:val="center"/>
              <w:rPr>
                <w:b/>
                <w:bCs w:val="0"/>
                <w:iCs/>
              </w:rPr>
            </w:pPr>
            <w:r>
              <w:rPr>
                <w:rFonts w:cstheme="minorHAnsi"/>
                <w:b/>
                <w:bCs w:val="0"/>
                <w:iCs/>
                <w:noProof/>
                <w:color w:val="000000"/>
                <w:szCs w:val="20"/>
                <w:highlight w:val="black"/>
              </w:rPr>
              <w:t>'''''''''''''''''''''''</w:t>
            </w:r>
            <w:r w:rsidR="00F11A64">
              <w:rPr>
                <w:vertAlign w:val="superscript"/>
              </w:rPr>
              <w:t>12</w:t>
            </w:r>
          </w:p>
        </w:tc>
        <w:tc>
          <w:tcPr>
            <w:tcW w:w="1079" w:type="dxa"/>
            <w:tcBorders>
              <w:top w:val="single" w:sz="4" w:space="0" w:color="auto"/>
            </w:tcBorders>
            <w:shd w:val="clear" w:color="auto" w:fill="auto"/>
            <w:noWrap/>
            <w:vAlign w:val="center"/>
          </w:tcPr>
          <w:p w14:paraId="44874EAB" w14:textId="77777777" w:rsidR="005F581C" w:rsidRPr="00CC7AA8" w:rsidRDefault="00CC7AA8" w:rsidP="001C4008">
            <w:pPr>
              <w:pStyle w:val="TableText"/>
              <w:jc w:val="center"/>
              <w:rPr>
                <w:b/>
                <w:bCs w:val="0"/>
                <w:iCs/>
              </w:rPr>
            </w:pPr>
            <w:r>
              <w:rPr>
                <w:rFonts w:cstheme="minorHAnsi"/>
                <w:b/>
                <w:bCs w:val="0"/>
                <w:iCs/>
                <w:noProof/>
                <w:color w:val="000000"/>
                <w:szCs w:val="20"/>
                <w:highlight w:val="black"/>
              </w:rPr>
              <w:t>'''''''''''''''''''''''</w:t>
            </w:r>
            <w:r w:rsidR="00F11A64">
              <w:rPr>
                <w:vertAlign w:val="superscript"/>
              </w:rPr>
              <w:t>12</w:t>
            </w:r>
          </w:p>
        </w:tc>
      </w:tr>
    </w:tbl>
    <w:p w14:paraId="13A05A48" w14:textId="77777777" w:rsidR="00620C25" w:rsidRPr="005F581C" w:rsidRDefault="00620C25" w:rsidP="00B667E4">
      <w:pPr>
        <w:pStyle w:val="TableFigureFooter"/>
      </w:pPr>
      <w:r>
        <w:t xml:space="preserve">Source: </w:t>
      </w:r>
      <w:r w:rsidR="00B667E4" w:rsidRPr="000A6039">
        <w:t xml:space="preserve">Source: </w:t>
      </w:r>
      <w:r w:rsidR="00B667E4">
        <w:t>Table 4.2, p216; Table 4.4, p220; Tables 4.5 and 4.6, p221; Table 4.9, p223; Tables 4.10 and 4.11, p224; Tables 4.12 and 4.13, p225; Tables 4.14, 4.15, and 4.16, pp226-227 of the submission</w:t>
      </w:r>
    </w:p>
    <w:p w14:paraId="09B44477" w14:textId="77777777" w:rsidR="005F581C" w:rsidRDefault="00E466F3" w:rsidP="005F581C">
      <w:pPr>
        <w:pStyle w:val="TableFigureFooter"/>
      </w:pPr>
      <w:r w:rsidRPr="005F581C">
        <w:rPr>
          <w:vertAlign w:val="superscript"/>
        </w:rPr>
        <w:t>a</w:t>
      </w:r>
      <w:r w:rsidR="00606FBA">
        <w:t xml:space="preserve"> </w:t>
      </w:r>
      <w:r w:rsidR="005F581C">
        <w:t>Based on the proportion of HF patients with type 2 diabetes who are not currently treated with an SGLT2i. Includes market growth estimates (</w:t>
      </w:r>
      <w:r w:rsidR="00CC7AA8">
        <w:rPr>
          <w:noProof/>
          <w:color w:val="000000"/>
          <w:highlight w:val="black"/>
        </w:rPr>
        <w:t>'''</w:t>
      </w:r>
      <w:r w:rsidR="005F581C">
        <w:t>-</w:t>
      </w:r>
      <w:r w:rsidR="00CC7AA8">
        <w:rPr>
          <w:noProof/>
          <w:color w:val="000000"/>
          <w:highlight w:val="black"/>
        </w:rPr>
        <w:t>''''''</w:t>
      </w:r>
      <w:r w:rsidR="005F581C">
        <w:t>% increase in uptake) to account for increased prescribing of empagliflozin related to favourable cardiovascular outcomes in recent clinical trials</w:t>
      </w:r>
      <w:r w:rsidR="00037266">
        <w:t>.</w:t>
      </w:r>
    </w:p>
    <w:p w14:paraId="63B34792" w14:textId="77777777" w:rsidR="00A12F27" w:rsidRDefault="00A12F27" w:rsidP="00A12F27">
      <w:pPr>
        <w:pStyle w:val="TableFigureFooter"/>
        <w:spacing w:after="0"/>
        <w:contextualSpacing w:val="0"/>
        <w:rPr>
          <w:i/>
        </w:rPr>
      </w:pPr>
      <w:r w:rsidRPr="009868C4">
        <w:rPr>
          <w:i/>
        </w:rPr>
        <w:t>The redacted values correspond to the following ranges</w:t>
      </w:r>
      <w:r>
        <w:rPr>
          <w:i/>
        </w:rPr>
        <w:t xml:space="preserve">: </w:t>
      </w:r>
    </w:p>
    <w:p w14:paraId="6FCD8AAC" w14:textId="77777777" w:rsidR="00A12F27" w:rsidRPr="00870C5D" w:rsidRDefault="00A12F27" w:rsidP="00A12F27">
      <w:pPr>
        <w:pStyle w:val="TableFigureFooter"/>
        <w:spacing w:after="0"/>
        <w:contextualSpacing w:val="0"/>
      </w:pPr>
      <w:r>
        <w:rPr>
          <w:i/>
          <w:vertAlign w:val="superscript"/>
        </w:rPr>
        <w:t>1</w:t>
      </w:r>
      <w:r>
        <w:rPr>
          <w:i/>
        </w:rPr>
        <w:t xml:space="preserve"> </w:t>
      </w:r>
      <w:r w:rsidRPr="00A12F27">
        <w:rPr>
          <w:i/>
        </w:rPr>
        <w:t>30,000 to &lt; 40,000</w:t>
      </w:r>
    </w:p>
    <w:p w14:paraId="3B4DD222" w14:textId="77777777" w:rsidR="00A12F27" w:rsidRPr="00870C5D" w:rsidRDefault="00A12F27" w:rsidP="00A12F27">
      <w:pPr>
        <w:pStyle w:val="TableFigureFooter"/>
        <w:spacing w:after="0"/>
        <w:contextualSpacing w:val="0"/>
      </w:pPr>
      <w:r>
        <w:rPr>
          <w:i/>
          <w:vertAlign w:val="superscript"/>
        </w:rPr>
        <w:t>2</w:t>
      </w:r>
      <w:r>
        <w:rPr>
          <w:i/>
        </w:rPr>
        <w:t xml:space="preserve"> </w:t>
      </w:r>
      <w:r w:rsidRPr="00A12F27">
        <w:rPr>
          <w:i/>
        </w:rPr>
        <w:t>60,000 to &lt; 70,000</w:t>
      </w:r>
    </w:p>
    <w:p w14:paraId="338340B0" w14:textId="77777777" w:rsidR="00A12F27" w:rsidRPr="00870C5D" w:rsidRDefault="00A12F27" w:rsidP="00A12F27">
      <w:pPr>
        <w:pStyle w:val="TableFigureFooter"/>
        <w:spacing w:after="0"/>
        <w:contextualSpacing w:val="0"/>
      </w:pPr>
      <w:r>
        <w:rPr>
          <w:i/>
          <w:vertAlign w:val="superscript"/>
        </w:rPr>
        <w:t>3</w:t>
      </w:r>
      <w:r>
        <w:rPr>
          <w:i/>
        </w:rPr>
        <w:t xml:space="preserve"> </w:t>
      </w:r>
      <w:r w:rsidRPr="00A12F27">
        <w:rPr>
          <w:i/>
        </w:rPr>
        <w:t>100,000 to &lt; 200,000</w:t>
      </w:r>
    </w:p>
    <w:p w14:paraId="4D556DB6" w14:textId="77777777" w:rsidR="00A12F27" w:rsidRPr="00870C5D" w:rsidRDefault="00A12F27" w:rsidP="00A12F27">
      <w:pPr>
        <w:pStyle w:val="TableFigureFooter"/>
        <w:spacing w:after="0"/>
        <w:contextualSpacing w:val="0"/>
      </w:pPr>
      <w:r>
        <w:rPr>
          <w:i/>
          <w:vertAlign w:val="superscript"/>
        </w:rPr>
        <w:t>4</w:t>
      </w:r>
      <w:r>
        <w:rPr>
          <w:i/>
        </w:rPr>
        <w:t xml:space="preserve"> </w:t>
      </w:r>
      <w:r w:rsidRPr="00A12F27">
        <w:rPr>
          <w:i/>
        </w:rPr>
        <w:t>200,000 to &lt; 300,000</w:t>
      </w:r>
    </w:p>
    <w:p w14:paraId="615ECDC9" w14:textId="77777777" w:rsidR="00A12F27" w:rsidRPr="00870C5D" w:rsidRDefault="00A12F27" w:rsidP="00A12F27">
      <w:pPr>
        <w:pStyle w:val="TableFigureFooter"/>
        <w:spacing w:after="0"/>
        <w:contextualSpacing w:val="0"/>
      </w:pPr>
      <w:r>
        <w:rPr>
          <w:i/>
          <w:vertAlign w:val="superscript"/>
        </w:rPr>
        <w:t>5</w:t>
      </w:r>
      <w:r>
        <w:rPr>
          <w:i/>
        </w:rPr>
        <w:t xml:space="preserve"> </w:t>
      </w:r>
      <w:r w:rsidRPr="00A12F27">
        <w:rPr>
          <w:i/>
        </w:rPr>
        <w:t>300,000 to &lt; 400,000</w:t>
      </w:r>
    </w:p>
    <w:p w14:paraId="0D097CBA" w14:textId="77777777" w:rsidR="00A12F27" w:rsidRPr="00870C5D" w:rsidRDefault="00A12F27" w:rsidP="00A12F27">
      <w:pPr>
        <w:pStyle w:val="TableFigureFooter"/>
        <w:spacing w:after="0"/>
        <w:contextualSpacing w:val="0"/>
      </w:pPr>
      <w:r>
        <w:rPr>
          <w:i/>
          <w:vertAlign w:val="superscript"/>
        </w:rPr>
        <w:t>6</w:t>
      </w:r>
      <w:r>
        <w:rPr>
          <w:i/>
        </w:rPr>
        <w:t xml:space="preserve"> </w:t>
      </w:r>
      <w:r w:rsidRPr="00A12F27">
        <w:rPr>
          <w:i/>
        </w:rPr>
        <w:t>700,000 to &lt; 800,000</w:t>
      </w:r>
    </w:p>
    <w:p w14:paraId="4002A3D7" w14:textId="77777777" w:rsidR="00A12F27" w:rsidRPr="00870C5D" w:rsidRDefault="00A12F27" w:rsidP="00A12F27">
      <w:pPr>
        <w:pStyle w:val="TableFigureFooter"/>
        <w:spacing w:after="0"/>
        <w:contextualSpacing w:val="0"/>
      </w:pPr>
      <w:r>
        <w:rPr>
          <w:i/>
          <w:vertAlign w:val="superscript"/>
        </w:rPr>
        <w:t>7</w:t>
      </w:r>
      <w:r>
        <w:rPr>
          <w:i/>
        </w:rPr>
        <w:t xml:space="preserve"> </w:t>
      </w:r>
      <w:r w:rsidRPr="00A12F27">
        <w:rPr>
          <w:i/>
        </w:rPr>
        <w:t>1,000,000 to &lt; 2,000,000</w:t>
      </w:r>
    </w:p>
    <w:p w14:paraId="405458C1" w14:textId="77777777" w:rsidR="00A12F27" w:rsidRPr="00870C5D" w:rsidRDefault="00A12F27" w:rsidP="00A12F27">
      <w:pPr>
        <w:pStyle w:val="TableFigureFooter"/>
        <w:spacing w:after="0"/>
        <w:contextualSpacing w:val="0"/>
      </w:pPr>
      <w:r>
        <w:rPr>
          <w:i/>
          <w:vertAlign w:val="superscript"/>
        </w:rPr>
        <w:t>8</w:t>
      </w:r>
      <w:r>
        <w:rPr>
          <w:i/>
        </w:rPr>
        <w:t xml:space="preserve"> </w:t>
      </w:r>
      <w:r w:rsidRPr="00A12F27">
        <w:rPr>
          <w:i/>
        </w:rPr>
        <w:t>2,000,000 to &lt; 3,000,000</w:t>
      </w:r>
    </w:p>
    <w:p w14:paraId="7EDDC24B" w14:textId="77777777" w:rsidR="00A12F27" w:rsidRPr="00870C5D" w:rsidRDefault="00A12F27" w:rsidP="00A12F27">
      <w:pPr>
        <w:pStyle w:val="TableFigureFooter"/>
        <w:spacing w:after="0"/>
        <w:contextualSpacing w:val="0"/>
      </w:pPr>
      <w:r>
        <w:rPr>
          <w:i/>
          <w:vertAlign w:val="superscript"/>
        </w:rPr>
        <w:t>9</w:t>
      </w:r>
      <w:r>
        <w:rPr>
          <w:i/>
        </w:rPr>
        <w:t xml:space="preserve"> </w:t>
      </w:r>
      <w:r w:rsidRPr="00A12F27">
        <w:rPr>
          <w:i/>
        </w:rPr>
        <w:t>$20 million to &lt; $30 million</w:t>
      </w:r>
    </w:p>
    <w:p w14:paraId="1C73C3D0" w14:textId="77777777" w:rsidR="00A12F27" w:rsidRPr="00870C5D" w:rsidRDefault="00A12F27" w:rsidP="00A12F27">
      <w:pPr>
        <w:pStyle w:val="TableFigureFooter"/>
        <w:spacing w:after="0"/>
        <w:contextualSpacing w:val="0"/>
      </w:pPr>
      <w:r>
        <w:rPr>
          <w:i/>
          <w:vertAlign w:val="superscript"/>
        </w:rPr>
        <w:t>10</w:t>
      </w:r>
      <w:r>
        <w:rPr>
          <w:i/>
        </w:rPr>
        <w:t xml:space="preserve"> </w:t>
      </w:r>
      <w:r w:rsidRPr="00A12F27">
        <w:rPr>
          <w:i/>
        </w:rPr>
        <w:t>$40 million to &lt; $50 million</w:t>
      </w:r>
    </w:p>
    <w:p w14:paraId="202BD31D" w14:textId="77777777" w:rsidR="00A12F27" w:rsidRPr="00870C5D" w:rsidRDefault="00A12F27" w:rsidP="00A12F27">
      <w:pPr>
        <w:pStyle w:val="TableFigureFooter"/>
        <w:spacing w:after="0"/>
        <w:contextualSpacing w:val="0"/>
      </w:pPr>
      <w:r>
        <w:rPr>
          <w:i/>
          <w:vertAlign w:val="superscript"/>
        </w:rPr>
        <w:t>11</w:t>
      </w:r>
      <w:r>
        <w:rPr>
          <w:i/>
        </w:rPr>
        <w:t xml:space="preserve"> </w:t>
      </w:r>
      <w:r w:rsidR="00F11A64" w:rsidRPr="00F11A64">
        <w:rPr>
          <w:i/>
        </w:rPr>
        <w:t>$70 million to &lt; $80 million</w:t>
      </w:r>
    </w:p>
    <w:p w14:paraId="4C4EBD20" w14:textId="77777777" w:rsidR="00A12F27" w:rsidRPr="00870C5D" w:rsidRDefault="00A12F27" w:rsidP="00A12F27">
      <w:pPr>
        <w:pStyle w:val="TableFigureFooter"/>
        <w:spacing w:after="0"/>
        <w:contextualSpacing w:val="0"/>
      </w:pPr>
      <w:r>
        <w:rPr>
          <w:i/>
          <w:vertAlign w:val="superscript"/>
        </w:rPr>
        <w:t>12</w:t>
      </w:r>
      <w:r>
        <w:rPr>
          <w:i/>
        </w:rPr>
        <w:t xml:space="preserve"> </w:t>
      </w:r>
      <w:r w:rsidR="00F11A64" w:rsidRPr="00F11A64">
        <w:rPr>
          <w:i/>
        </w:rPr>
        <w:t>$100 million to &lt; $200 million</w:t>
      </w:r>
    </w:p>
    <w:p w14:paraId="03BA5A4F" w14:textId="77777777" w:rsidR="00A12F27" w:rsidRPr="00870C5D" w:rsidRDefault="00A12F27" w:rsidP="00A12F27">
      <w:pPr>
        <w:pStyle w:val="TableFigureFooter"/>
        <w:spacing w:after="0"/>
        <w:contextualSpacing w:val="0"/>
      </w:pPr>
      <w:r>
        <w:rPr>
          <w:i/>
          <w:vertAlign w:val="superscript"/>
        </w:rPr>
        <w:t>13</w:t>
      </w:r>
      <w:r>
        <w:rPr>
          <w:i/>
        </w:rPr>
        <w:t xml:space="preserve"> </w:t>
      </w:r>
      <w:r w:rsidR="00F11A64" w:rsidRPr="00F11A64">
        <w:rPr>
          <w:i/>
        </w:rPr>
        <w:t>$0 to &lt; $10 million</w:t>
      </w:r>
    </w:p>
    <w:p w14:paraId="1F272879" w14:textId="77777777" w:rsidR="00A12F27" w:rsidRPr="00870C5D" w:rsidRDefault="00A12F27" w:rsidP="00A12F27">
      <w:pPr>
        <w:pStyle w:val="TableFigureFooter"/>
        <w:spacing w:after="0"/>
        <w:contextualSpacing w:val="0"/>
      </w:pPr>
      <w:r>
        <w:rPr>
          <w:i/>
          <w:vertAlign w:val="superscript"/>
        </w:rPr>
        <w:t>1</w:t>
      </w:r>
      <w:r w:rsidR="00F11A64">
        <w:rPr>
          <w:i/>
          <w:vertAlign w:val="superscript"/>
        </w:rPr>
        <w:t>4</w:t>
      </w:r>
      <w:r>
        <w:rPr>
          <w:i/>
        </w:rPr>
        <w:t xml:space="preserve"> </w:t>
      </w:r>
      <w:r w:rsidR="00F11A64" w:rsidRPr="00F11A64">
        <w:rPr>
          <w:i/>
        </w:rPr>
        <w:t>$10 million to &lt; $20 million</w:t>
      </w:r>
    </w:p>
    <w:p w14:paraId="3C485E08" w14:textId="77777777" w:rsidR="00A12F27" w:rsidRDefault="00A12F27" w:rsidP="00A12F27">
      <w:pPr>
        <w:pStyle w:val="TableFigureFooter"/>
        <w:spacing w:after="0"/>
        <w:contextualSpacing w:val="0"/>
        <w:rPr>
          <w:i/>
        </w:rPr>
      </w:pPr>
      <w:r>
        <w:rPr>
          <w:i/>
          <w:vertAlign w:val="superscript"/>
        </w:rPr>
        <w:t>1</w:t>
      </w:r>
      <w:r w:rsidR="00F11A64">
        <w:rPr>
          <w:i/>
          <w:vertAlign w:val="superscript"/>
        </w:rPr>
        <w:t>5</w:t>
      </w:r>
      <w:r>
        <w:rPr>
          <w:i/>
        </w:rPr>
        <w:t xml:space="preserve"> </w:t>
      </w:r>
      <w:r w:rsidR="00F11A64" w:rsidRPr="00F11A64">
        <w:rPr>
          <w:i/>
        </w:rPr>
        <w:t>$30 million to &lt; $40 million</w:t>
      </w:r>
    </w:p>
    <w:p w14:paraId="3F4C3BF6" w14:textId="77777777" w:rsidR="00F11A64" w:rsidRPr="00870C5D" w:rsidRDefault="00F11A64" w:rsidP="00F11A64">
      <w:pPr>
        <w:pStyle w:val="TableFigureFooter"/>
        <w:spacing w:after="0"/>
        <w:contextualSpacing w:val="0"/>
      </w:pPr>
      <w:r>
        <w:rPr>
          <w:i/>
          <w:vertAlign w:val="superscript"/>
        </w:rPr>
        <w:t>16</w:t>
      </w:r>
      <w:r>
        <w:rPr>
          <w:i/>
        </w:rPr>
        <w:t xml:space="preserve"> </w:t>
      </w:r>
      <w:r w:rsidRPr="00F11A64">
        <w:rPr>
          <w:i/>
        </w:rPr>
        <w:t>$60 million to &lt; $70 million</w:t>
      </w:r>
    </w:p>
    <w:p w14:paraId="6AA52B26" w14:textId="77777777" w:rsidR="00F11A64" w:rsidRPr="00870C5D" w:rsidRDefault="00F11A64" w:rsidP="00A12F27">
      <w:pPr>
        <w:pStyle w:val="TableFigureFooter"/>
        <w:spacing w:after="0"/>
        <w:contextualSpacing w:val="0"/>
      </w:pPr>
    </w:p>
    <w:p w14:paraId="5D754864" w14:textId="77777777" w:rsidR="00A12F27" w:rsidRDefault="00A12F27" w:rsidP="005F581C">
      <w:pPr>
        <w:pStyle w:val="TableFigureFooter"/>
      </w:pPr>
    </w:p>
    <w:p w14:paraId="7766FA45" w14:textId="77777777" w:rsidR="000902D9" w:rsidRDefault="00164B03" w:rsidP="00F11A64">
      <w:pPr>
        <w:pStyle w:val="ExecSumBodyText"/>
      </w:pPr>
      <w:r w:rsidRPr="009976FF">
        <w:t xml:space="preserve">The </w:t>
      </w:r>
      <w:r>
        <w:t xml:space="preserve">submission </w:t>
      </w:r>
      <w:r w:rsidRPr="009976FF">
        <w:t xml:space="preserve">estimated </w:t>
      </w:r>
      <w:r>
        <w:t xml:space="preserve">the </w:t>
      </w:r>
      <w:r w:rsidRPr="009976FF">
        <w:t xml:space="preserve">net </w:t>
      </w:r>
      <w:r>
        <w:t xml:space="preserve">cost to the PBS/RPBS of listing empagliflozin on the PBS/RPBS for HFrEF at </w:t>
      </w:r>
      <w:r w:rsidR="00F11A64" w:rsidRPr="00F11A64">
        <w:t>$20 million to &lt; $30 million</w:t>
      </w:r>
      <w:r w:rsidR="00F11A64" w:rsidRPr="00F11A64" w:rsidDel="00F11A64">
        <w:t xml:space="preserve"> </w:t>
      </w:r>
      <w:r>
        <w:t xml:space="preserve">in Year 1, increasing to </w:t>
      </w:r>
      <w:r w:rsidR="00F11A64" w:rsidRPr="00F11A64">
        <w:t>$100 million to &lt; $200 million</w:t>
      </w:r>
      <w:r w:rsidR="00F11A64">
        <w:t xml:space="preserve"> </w:t>
      </w:r>
      <w:r>
        <w:t xml:space="preserve">in Year 6, an estimated net cost of </w:t>
      </w:r>
      <w:r w:rsidR="00F11A64" w:rsidRPr="00F11A64">
        <w:t>$400 million to &lt; $500 million</w:t>
      </w:r>
      <w:r w:rsidR="00F11A64">
        <w:t xml:space="preserve"> </w:t>
      </w:r>
      <w:r>
        <w:t>over the first six years of listing.</w:t>
      </w:r>
    </w:p>
    <w:p w14:paraId="449C1005" w14:textId="77777777" w:rsidR="00164B03" w:rsidRPr="00D14896" w:rsidRDefault="00164B03" w:rsidP="0012228C">
      <w:pPr>
        <w:pStyle w:val="ExecSumBodyText"/>
      </w:pPr>
      <w:r w:rsidRPr="00D14896">
        <w:t>The estimated use and financial implications to the RPBS/PBS of listing empagliflozin for the treatment of HFrEF were uncertain for the following reasons:</w:t>
      </w:r>
    </w:p>
    <w:p w14:paraId="321F5979" w14:textId="77777777" w:rsidR="00164B03" w:rsidRPr="00D14896" w:rsidRDefault="00164B03" w:rsidP="0012228C">
      <w:pPr>
        <w:pStyle w:val="ExecSumBodyText"/>
        <w:numPr>
          <w:ilvl w:val="1"/>
          <w:numId w:val="8"/>
        </w:numPr>
      </w:pPr>
      <w:r w:rsidRPr="00D14896">
        <w:t xml:space="preserve">The risk of empagliflozin use outside the requested restriction is high. </w:t>
      </w:r>
      <w:r w:rsidR="009277BE">
        <w:t>E</w:t>
      </w:r>
      <w:r w:rsidRPr="00D14896">
        <w:t>mpagliflozin is well</w:t>
      </w:r>
      <w:r w:rsidR="003318D0">
        <w:t xml:space="preserve"> </w:t>
      </w:r>
      <w:r w:rsidRPr="00D14896">
        <w:t xml:space="preserve">known to prescribers and has demonstrated positive outcomes for cardiovascular disease, and heart failure with reduced or preserved ejection </w:t>
      </w:r>
      <w:r w:rsidR="00EE0E71" w:rsidRPr="00D14896">
        <w:t>fraction.</w:t>
      </w:r>
    </w:p>
    <w:p w14:paraId="77B83FA2" w14:textId="77777777" w:rsidR="00164B03" w:rsidRPr="00D14896" w:rsidRDefault="009211F2" w:rsidP="0012228C">
      <w:pPr>
        <w:pStyle w:val="ExecSumBodyText"/>
        <w:numPr>
          <w:ilvl w:val="1"/>
          <w:numId w:val="8"/>
        </w:numPr>
      </w:pPr>
      <w:r w:rsidRPr="00D14896">
        <w:t>T</w:t>
      </w:r>
      <w:r w:rsidR="00164B03" w:rsidRPr="00D14896">
        <w:t>he proportion of patients with HFrEF and NYHA class II-IV symptoms treated with standard care</w:t>
      </w:r>
      <w:r w:rsidR="000B64DB" w:rsidRPr="00D14896">
        <w:t xml:space="preserve"> (8</w:t>
      </w:r>
      <w:r w:rsidR="00510D5F" w:rsidRPr="00D14896">
        <w:t>6</w:t>
      </w:r>
      <w:r w:rsidR="000B64DB" w:rsidRPr="00D14896">
        <w:t>.</w:t>
      </w:r>
      <w:r w:rsidR="00D15C28">
        <w:t>5</w:t>
      </w:r>
      <w:r w:rsidR="00510D5F" w:rsidRPr="00D14896">
        <w:t>%)</w:t>
      </w:r>
      <w:r w:rsidR="004B2806" w:rsidRPr="00D14896">
        <w:t>,</w:t>
      </w:r>
      <w:r w:rsidR="00164B03" w:rsidRPr="00D14896">
        <w:t xml:space="preserve"> based on </w:t>
      </w:r>
      <w:r w:rsidR="00153AF7" w:rsidRPr="00D14896">
        <w:t>July 2018-August 2019 data</w:t>
      </w:r>
      <w:r w:rsidR="00164B03" w:rsidRPr="00D14896">
        <w:t xml:space="preserve"> </w:t>
      </w:r>
      <w:r w:rsidR="00153AF7" w:rsidRPr="00D14896">
        <w:t xml:space="preserve">in the </w:t>
      </w:r>
      <w:r w:rsidR="00164B03" w:rsidRPr="00D14896">
        <w:t xml:space="preserve">10% </w:t>
      </w:r>
      <w:r w:rsidR="004B2806" w:rsidRPr="00D14896">
        <w:t>PBS</w:t>
      </w:r>
      <w:r w:rsidR="00164B03" w:rsidRPr="00D14896">
        <w:t xml:space="preserve"> sample analysis</w:t>
      </w:r>
      <w:r w:rsidR="006E6EFC" w:rsidRPr="00D14896">
        <w:t>,</w:t>
      </w:r>
      <w:r w:rsidR="00164B03" w:rsidRPr="00D14896">
        <w:t xml:space="preserve"> may have underestimated the eligible population</w:t>
      </w:r>
      <w:r w:rsidR="004B2806" w:rsidRPr="00D14896">
        <w:t xml:space="preserve">, as </w:t>
      </w:r>
      <w:r w:rsidR="00A50249" w:rsidRPr="00D14896">
        <w:t>a higher proportion (90.1%) was obtained when</w:t>
      </w:r>
      <w:r w:rsidR="00DE40FF" w:rsidRPr="00D14896">
        <w:t xml:space="preserve"> including more recent data (</w:t>
      </w:r>
      <w:r w:rsidR="004B2806" w:rsidRPr="00D14896">
        <w:t>July 2018</w:t>
      </w:r>
      <w:r w:rsidR="006E6EFC" w:rsidRPr="00D14896">
        <w:t>-</w:t>
      </w:r>
      <w:r w:rsidR="00153AF7" w:rsidRPr="00D14896">
        <w:t>August 2020</w:t>
      </w:r>
      <w:r w:rsidR="00DE40FF" w:rsidRPr="00D14896">
        <w:t>)</w:t>
      </w:r>
      <w:r w:rsidR="00153AF7" w:rsidRPr="00D14896">
        <w:t>.</w:t>
      </w:r>
      <w:r w:rsidR="00164B03" w:rsidRPr="00D14896">
        <w:t xml:space="preserve"> </w:t>
      </w:r>
    </w:p>
    <w:p w14:paraId="726E3165" w14:textId="77777777" w:rsidR="00164B03" w:rsidRPr="00D14896" w:rsidRDefault="007F6B11" w:rsidP="0012228C">
      <w:pPr>
        <w:pStyle w:val="ExecSumBodyText"/>
        <w:numPr>
          <w:ilvl w:val="1"/>
          <w:numId w:val="8"/>
        </w:numPr>
      </w:pPr>
      <w:bookmarkStart w:id="54" w:name="_Hlk81856260"/>
      <w:r w:rsidRPr="00D14896">
        <w:t xml:space="preserve">The submission inflated the expected use of SGLT2i medicines in the type 2 diabetes population to account for patients switching to SGLT2i from other medicines or non-pharmacological management in response to the cardiovascular and renal benefits of SGLT2i medicines demonstrated in recent clinical trials. </w:t>
      </w:r>
      <w:r w:rsidR="009277BE">
        <w:t>The evaluation considered that this</w:t>
      </w:r>
      <w:r w:rsidR="009277BE" w:rsidRPr="00D14896">
        <w:t xml:space="preserve"> </w:t>
      </w:r>
      <w:r w:rsidR="009277BE">
        <w:t>was</w:t>
      </w:r>
      <w:r w:rsidRPr="00D14896">
        <w:t xml:space="preserve"> reasonable, but the magnitude of the inflation factor was </w:t>
      </w:r>
      <w:r w:rsidR="009B134B" w:rsidRPr="00D14896">
        <w:t xml:space="preserve">an assumption </w:t>
      </w:r>
      <w:r w:rsidRPr="00D14896">
        <w:t>and the net impact of the proposed listing on the HFrEF and type 2 diabetes markets</w:t>
      </w:r>
      <w:r w:rsidR="002509EF" w:rsidRPr="00D14896">
        <w:t xml:space="preserve"> </w:t>
      </w:r>
      <w:r w:rsidR="009277BE">
        <w:t>was</w:t>
      </w:r>
      <w:r w:rsidR="009277BE" w:rsidRPr="00D14896">
        <w:t xml:space="preserve"> </w:t>
      </w:r>
      <w:r w:rsidR="002509EF" w:rsidRPr="00D14896">
        <w:t>uncertain</w:t>
      </w:r>
      <w:r w:rsidRPr="00D14896">
        <w:t xml:space="preserve">. </w:t>
      </w:r>
    </w:p>
    <w:bookmarkEnd w:id="54"/>
    <w:p w14:paraId="0869E02A" w14:textId="77777777" w:rsidR="00164B03" w:rsidRPr="00D14896" w:rsidRDefault="00A06852" w:rsidP="0012228C">
      <w:pPr>
        <w:pStyle w:val="ExecSumBodyText"/>
        <w:numPr>
          <w:ilvl w:val="1"/>
          <w:numId w:val="8"/>
        </w:numPr>
      </w:pPr>
      <w:r>
        <w:t>E</w:t>
      </w:r>
      <w:r w:rsidRPr="00D14896">
        <w:t xml:space="preserve">stimated </w:t>
      </w:r>
      <w:r>
        <w:t>u</w:t>
      </w:r>
      <w:r w:rsidR="00164B03" w:rsidRPr="00D14896">
        <w:t xml:space="preserve">ptake of empagliflozin was </w:t>
      </w:r>
      <w:r>
        <w:t xml:space="preserve">considered </w:t>
      </w:r>
      <w:r w:rsidR="00164B03" w:rsidRPr="00D14896">
        <w:t>to be high.</w:t>
      </w:r>
    </w:p>
    <w:p w14:paraId="60C95118" w14:textId="77777777" w:rsidR="00D244B6" w:rsidRPr="00D14896" w:rsidRDefault="00164B03" w:rsidP="0012228C">
      <w:pPr>
        <w:pStyle w:val="ExecSumBodyText"/>
        <w:numPr>
          <w:ilvl w:val="1"/>
          <w:numId w:val="8"/>
        </w:numPr>
      </w:pPr>
      <w:r w:rsidRPr="00D14896">
        <w:t xml:space="preserve">Treatment adherence to empagliflozin of 95.1%, derived from a </w:t>
      </w:r>
      <w:r w:rsidRPr="003318D0">
        <w:rPr>
          <w:i/>
          <w:iCs/>
        </w:rPr>
        <w:t>post</w:t>
      </w:r>
      <w:r w:rsidR="003318D0" w:rsidRPr="003318D0">
        <w:rPr>
          <w:i/>
          <w:iCs/>
        </w:rPr>
        <w:t xml:space="preserve"> </w:t>
      </w:r>
      <w:r w:rsidRPr="003318D0">
        <w:rPr>
          <w:i/>
          <w:iCs/>
        </w:rPr>
        <w:t>hoc</w:t>
      </w:r>
      <w:r w:rsidRPr="00D14896">
        <w:t xml:space="preserve"> analysis of the EMPEROR-Reduced trial data, is unlikely to be realised in clinical practice, and may have overestimated the utilisation of empagliflozin in the eligible population.</w:t>
      </w:r>
    </w:p>
    <w:p w14:paraId="2638FB82" w14:textId="77777777" w:rsidR="00576972" w:rsidRPr="00C9624D" w:rsidRDefault="00576972" w:rsidP="00606FBA">
      <w:pPr>
        <w:pStyle w:val="3-SubsectionHeading"/>
      </w:pPr>
      <w:bookmarkStart w:id="55" w:name="_Toc22897648"/>
      <w:bookmarkStart w:id="56" w:name="_Toc82553846"/>
      <w:r w:rsidRPr="00C9624D">
        <w:t>Quality Use of Medicines</w:t>
      </w:r>
      <w:bookmarkEnd w:id="55"/>
      <w:bookmarkEnd w:id="56"/>
    </w:p>
    <w:p w14:paraId="73157261" w14:textId="77777777" w:rsidR="00576972" w:rsidRPr="00606FBA" w:rsidRDefault="00164B03" w:rsidP="0012228C">
      <w:pPr>
        <w:pStyle w:val="ExecSumBodyText"/>
        <w:rPr>
          <w:color w:val="0066FF"/>
        </w:rPr>
      </w:pPr>
      <w:r w:rsidRPr="00F82AEA">
        <w:t>The sponsor acknowledged the quality use of medicines concerns raised by the PBAC</w:t>
      </w:r>
      <w:r>
        <w:t>,</w:t>
      </w:r>
      <w:r w:rsidRPr="00F82AEA">
        <w:t xml:space="preserve"> the DUSC </w:t>
      </w:r>
      <w:r>
        <w:t xml:space="preserve">and the evaluation </w:t>
      </w:r>
      <w:r w:rsidRPr="00F82AEA">
        <w:t xml:space="preserve">in the November 2020 consideration of dapagliflozin for the treatment of HFrEF (para 6.63, </w:t>
      </w:r>
      <w:r w:rsidR="003318D0">
        <w:t>d</w:t>
      </w:r>
      <w:r w:rsidRPr="00F82AEA">
        <w:t>apagliflozin</w:t>
      </w:r>
      <w:r w:rsidR="003318D0">
        <w:t>,</w:t>
      </w:r>
      <w:r w:rsidRPr="00F82AEA">
        <w:t xml:space="preserve"> PSD, November 2020 PBAC meeting), and proposed a series of Quality Use of Medicine initiatives (face-to-face interactions, digital content and print materials) for patients and healthcare professionals, with a focus on clinicians, pharmacists and practice nurses.</w:t>
      </w:r>
    </w:p>
    <w:p w14:paraId="18D1F05F" w14:textId="77777777" w:rsidR="00576972" w:rsidRPr="0063437C" w:rsidRDefault="00576972" w:rsidP="00606FBA">
      <w:pPr>
        <w:pStyle w:val="3-SubsectionHeading"/>
      </w:pPr>
      <w:bookmarkStart w:id="57" w:name="_Toc22897649"/>
      <w:bookmarkStart w:id="58" w:name="_Toc82553847"/>
      <w:r w:rsidRPr="0063437C">
        <w:t>Financial Management – Risk Sharing Arrangements</w:t>
      </w:r>
      <w:bookmarkEnd w:id="57"/>
      <w:bookmarkEnd w:id="58"/>
    </w:p>
    <w:p w14:paraId="48FF2D2D" w14:textId="77777777" w:rsidR="00E37D35" w:rsidRPr="00565789" w:rsidRDefault="00003D8E" w:rsidP="0012228C">
      <w:pPr>
        <w:pStyle w:val="ExecSumBodyText"/>
      </w:pPr>
      <w:r w:rsidRPr="00565789">
        <w:t xml:space="preserve">No </w:t>
      </w:r>
      <w:r w:rsidR="005323EE">
        <w:t>R</w:t>
      </w:r>
      <w:r w:rsidRPr="00565789">
        <w:t xml:space="preserve">isk </w:t>
      </w:r>
      <w:r w:rsidR="005323EE">
        <w:t>S</w:t>
      </w:r>
      <w:r w:rsidRPr="00565789">
        <w:t xml:space="preserve">haring </w:t>
      </w:r>
      <w:r w:rsidR="005323EE">
        <w:t>A</w:t>
      </w:r>
      <w:r w:rsidRPr="00565789">
        <w:t xml:space="preserve">rrangement </w:t>
      </w:r>
      <w:r w:rsidR="005323EE">
        <w:t xml:space="preserve">(RSA) </w:t>
      </w:r>
      <w:r w:rsidRPr="00565789">
        <w:t>was proposed.</w:t>
      </w:r>
      <w:r w:rsidR="009277BE" w:rsidRPr="00565789">
        <w:t xml:space="preserve"> </w:t>
      </w:r>
      <w:r w:rsidR="00E37D35" w:rsidRPr="00565789">
        <w:t xml:space="preserve">The ESC noted that the PBAC </w:t>
      </w:r>
      <w:r w:rsidR="00314CEC">
        <w:t xml:space="preserve">had </w:t>
      </w:r>
      <w:r w:rsidR="00E37D35" w:rsidRPr="00565789">
        <w:t xml:space="preserve">recommended listing dapagliflozin for HFrEF, and that the estimates were broadly reasonable and would form an appropriate basis for an RSA to manage the risk of use outside the PBS restriction (PBAC Outcomes, September 2021 Intracycle meeting). </w:t>
      </w:r>
      <w:r w:rsidR="0098412B" w:rsidRPr="001B2A84">
        <w:t>The pre-PBAC response stated that the sponsor would accept a risk shar</w:t>
      </w:r>
      <w:r w:rsidR="0000135A">
        <w:t>ing</w:t>
      </w:r>
      <w:r w:rsidR="0098412B" w:rsidRPr="001B2A84">
        <w:t xml:space="preserve"> </w:t>
      </w:r>
      <w:r w:rsidR="0000135A">
        <w:t>arrangement</w:t>
      </w:r>
      <w:r w:rsidR="0098412B" w:rsidRPr="001B2A84">
        <w:t xml:space="preserve"> for the HFrEF indication subject to approval of the subsidisation caps by its parent company.</w:t>
      </w:r>
    </w:p>
    <w:p w14:paraId="0074E7D3" w14:textId="77777777" w:rsidR="00565789" w:rsidRPr="00C33D30" w:rsidRDefault="00565789" w:rsidP="00565789">
      <w:pPr>
        <w:ind w:firstLine="709"/>
        <w:rPr>
          <w:rFonts w:asciiTheme="minorHAnsi" w:hAnsiTheme="minorHAnsi"/>
          <w:i/>
        </w:rPr>
      </w:pPr>
      <w:r w:rsidRPr="00C33D30">
        <w:rPr>
          <w:rFonts w:asciiTheme="minorHAnsi" w:hAnsiTheme="minorHAnsi"/>
          <w:i/>
        </w:rPr>
        <w:t>For more detail on PBAC’s view, see section 7 PBAC outcome.</w:t>
      </w:r>
    </w:p>
    <w:p w14:paraId="1FEE4047" w14:textId="77777777" w:rsidR="00565789" w:rsidRPr="0090150D" w:rsidRDefault="00565789" w:rsidP="00A91905">
      <w:pPr>
        <w:pStyle w:val="2-SectionHeading"/>
      </w:pPr>
      <w:bookmarkStart w:id="59" w:name="_Hlk76381249"/>
      <w:bookmarkStart w:id="60" w:name="_Hlk76377955"/>
      <w:r w:rsidRPr="00A91905">
        <w:t>PBAC</w:t>
      </w:r>
      <w:r w:rsidRPr="0090150D">
        <w:t xml:space="preserve"> Outcome</w:t>
      </w:r>
    </w:p>
    <w:p w14:paraId="1224A73C" w14:textId="77777777" w:rsidR="00397B3B" w:rsidRDefault="00397B3B" w:rsidP="0012228C">
      <w:pPr>
        <w:pStyle w:val="ExecSumBodyText"/>
        <w:rPr>
          <w:lang w:val="en-GB"/>
        </w:rPr>
      </w:pPr>
      <w:bookmarkStart w:id="61" w:name="_Hlk87012747"/>
      <w:r>
        <w:t xml:space="preserve">The PBAC </w:t>
      </w:r>
      <w:r w:rsidRPr="0012228C">
        <w:t>recommended</w:t>
      </w:r>
      <w:r>
        <w:rPr>
          <w:b/>
          <w:bCs/>
        </w:rPr>
        <w:t xml:space="preserve"> </w:t>
      </w:r>
      <w:r>
        <w:t xml:space="preserve">the listing of empagliflozin for the treatment </w:t>
      </w:r>
      <w:r w:rsidRPr="00397B3B">
        <w:t>of patients with chronic heart failure with reduced ejection fraction</w:t>
      </w:r>
      <w:r w:rsidR="00BA1250" w:rsidRPr="00BA1250">
        <w:rPr>
          <w:lang w:val="en-GB"/>
        </w:rPr>
        <w:t xml:space="preserve"> </w:t>
      </w:r>
      <w:r w:rsidR="00BA1250">
        <w:rPr>
          <w:lang w:val="en-GB"/>
        </w:rPr>
        <w:t>(</w:t>
      </w:r>
      <w:r w:rsidR="00BA1250" w:rsidRPr="00397B3B">
        <w:rPr>
          <w:lang w:val="en-GB"/>
        </w:rPr>
        <w:t>HFrEF</w:t>
      </w:r>
      <w:r w:rsidR="00BA1250">
        <w:rPr>
          <w:lang w:val="en-GB"/>
        </w:rPr>
        <w:t>)</w:t>
      </w:r>
      <w:r w:rsidRPr="00397B3B">
        <w:t>, New York Heart Association classification II-IV, left ventricular ejection fraction</w:t>
      </w:r>
      <w:r w:rsidR="00564A74">
        <w:t xml:space="preserve"> (LVEF)</w:t>
      </w:r>
      <w:r w:rsidRPr="00397B3B">
        <w:t xml:space="preserve"> ≤40%, </w:t>
      </w:r>
      <w:r w:rsidR="00BA1250">
        <w:t xml:space="preserve">who are </w:t>
      </w:r>
      <w:r w:rsidRPr="00397B3B">
        <w:t>receiving</w:t>
      </w:r>
      <w:r w:rsidR="0012228C" w:rsidRPr="0012228C">
        <w:t xml:space="preserve"> standard care including a beta blocker, and an angiotensin-converting enzyme inhibitor (ACEi), or an angiotensin II receptor blocker (ARB), or an angiotensin receptor with neprilysin inhibitor (ARNi). </w:t>
      </w:r>
      <w:r>
        <w:t>Although the submission presented a modelled economic evaluation against standard care, th</w:t>
      </w:r>
      <w:r w:rsidRPr="00397B3B">
        <w:rPr>
          <w:lang w:val="en-GB"/>
        </w:rPr>
        <w:t>e PBAC’s recommendation for listing was based on</w:t>
      </w:r>
      <w:r>
        <w:rPr>
          <w:lang w:val="en-GB"/>
        </w:rPr>
        <w:t xml:space="preserve"> </w:t>
      </w:r>
      <w:r w:rsidRPr="00397B3B">
        <w:rPr>
          <w:lang w:val="en-GB"/>
        </w:rPr>
        <w:t>its assessment</w:t>
      </w:r>
      <w:r>
        <w:rPr>
          <w:lang w:val="en-GB"/>
        </w:rPr>
        <w:t xml:space="preserve"> </w:t>
      </w:r>
      <w:r w:rsidRPr="00397B3B">
        <w:rPr>
          <w:lang w:val="en-GB"/>
        </w:rPr>
        <w:t xml:space="preserve">that the cost-effectiveness of </w:t>
      </w:r>
      <w:r>
        <w:rPr>
          <w:lang w:val="en-GB"/>
        </w:rPr>
        <w:t xml:space="preserve">empagliflozin </w:t>
      </w:r>
      <w:r w:rsidRPr="00397B3B">
        <w:rPr>
          <w:lang w:val="en-GB"/>
        </w:rPr>
        <w:t xml:space="preserve">would be acceptable if it were cost-minimised against </w:t>
      </w:r>
      <w:r>
        <w:rPr>
          <w:lang w:val="en-GB"/>
        </w:rPr>
        <w:t>dapagliflozi</w:t>
      </w:r>
      <w:r w:rsidR="00BA1250">
        <w:rPr>
          <w:lang w:val="en-GB"/>
        </w:rPr>
        <w:t>n</w:t>
      </w:r>
      <w:r>
        <w:rPr>
          <w:lang w:val="en-GB"/>
        </w:rPr>
        <w:t>, which was recommended for listing</w:t>
      </w:r>
      <w:r w:rsidR="00BA1250">
        <w:rPr>
          <w:lang w:val="en-GB"/>
        </w:rPr>
        <w:t xml:space="preserve"> of this indication</w:t>
      </w:r>
      <w:r>
        <w:rPr>
          <w:lang w:val="en-GB"/>
        </w:rPr>
        <w:t xml:space="preserve"> at the PBAC’s September</w:t>
      </w:r>
      <w:r w:rsidR="0012228C">
        <w:rPr>
          <w:lang w:val="en-GB"/>
        </w:rPr>
        <w:t xml:space="preserve"> 2021</w:t>
      </w:r>
      <w:r>
        <w:rPr>
          <w:lang w:val="en-GB"/>
        </w:rPr>
        <w:t xml:space="preserve"> Intracycle meeting.</w:t>
      </w:r>
    </w:p>
    <w:p w14:paraId="233053B2" w14:textId="77777777" w:rsidR="0012228C" w:rsidRDefault="0012228C" w:rsidP="0012228C">
      <w:pPr>
        <w:pStyle w:val="ExecSumBodyText"/>
        <w:rPr>
          <w:lang w:val="en-GB"/>
        </w:rPr>
      </w:pPr>
      <w:bookmarkStart w:id="62" w:name="_Ref88035777"/>
      <w:r>
        <w:rPr>
          <w:lang w:val="en-GB"/>
        </w:rPr>
        <w:t>The PBAC considered that the equi-effective doses were empagliflozin 10 mg per day and dapagliflozin 10 mg per day.</w:t>
      </w:r>
      <w:bookmarkEnd w:id="62"/>
    </w:p>
    <w:p w14:paraId="100799EA" w14:textId="77777777" w:rsidR="00945347" w:rsidRDefault="00945347" w:rsidP="0012228C">
      <w:pPr>
        <w:pStyle w:val="ExecSumBodyText"/>
        <w:rPr>
          <w:lang w:val="en-GB"/>
        </w:rPr>
      </w:pPr>
      <w:r>
        <w:rPr>
          <w:lang w:val="en-GB"/>
        </w:rPr>
        <w:t xml:space="preserve">The PBAC considered that the </w:t>
      </w:r>
      <w:r w:rsidR="00D94C56">
        <w:rPr>
          <w:lang w:val="en-GB"/>
        </w:rPr>
        <w:t>PBS</w:t>
      </w:r>
      <w:r>
        <w:rPr>
          <w:lang w:val="en-GB"/>
        </w:rPr>
        <w:t xml:space="preserve"> listing should align with the recommended listing for dapagliflozin (</w:t>
      </w:r>
      <w:r w:rsidR="00D94C56">
        <w:rPr>
          <w:lang w:val="en-GB"/>
        </w:rPr>
        <w:t xml:space="preserve">finalised wording </w:t>
      </w:r>
      <w:r>
        <w:rPr>
          <w:lang w:val="en-GB"/>
        </w:rPr>
        <w:t xml:space="preserve">shown in Section 8 below). </w:t>
      </w:r>
      <w:r w:rsidR="00D94C56">
        <w:rPr>
          <w:lang w:val="en-GB"/>
        </w:rPr>
        <w:t xml:space="preserve">The PBAC </w:t>
      </w:r>
      <w:r w:rsidR="00203A58">
        <w:rPr>
          <w:lang w:val="en-GB"/>
        </w:rPr>
        <w:t xml:space="preserve">recommended </w:t>
      </w:r>
      <w:r w:rsidR="00D94C56">
        <w:rPr>
          <w:lang w:val="en-GB"/>
        </w:rPr>
        <w:t xml:space="preserve">that the listing should be silent on titration requirements for </w:t>
      </w:r>
      <w:r w:rsidR="00D94C56" w:rsidRPr="00D94C56">
        <w:rPr>
          <w:lang w:val="en-GB"/>
        </w:rPr>
        <w:t>concomitant beta-blocker/ACE</w:t>
      </w:r>
      <w:r w:rsidR="00D94C56">
        <w:rPr>
          <w:lang w:val="en-GB"/>
        </w:rPr>
        <w:t>i</w:t>
      </w:r>
      <w:r w:rsidR="00D94C56" w:rsidRPr="00D94C56">
        <w:rPr>
          <w:lang w:val="en-GB"/>
        </w:rPr>
        <w:t>/ARN</w:t>
      </w:r>
      <w:r w:rsidR="00D94C56">
        <w:rPr>
          <w:lang w:val="en-GB"/>
        </w:rPr>
        <w:t>i</w:t>
      </w:r>
      <w:r w:rsidR="00D94C56" w:rsidRPr="00D94C56">
        <w:rPr>
          <w:lang w:val="en-GB"/>
        </w:rPr>
        <w:t>/ARB use, as this would be more in line with current clinical guidelines and expected practice</w:t>
      </w:r>
      <w:r w:rsidR="00D94C56">
        <w:rPr>
          <w:lang w:val="en-GB"/>
        </w:rPr>
        <w:t>.</w:t>
      </w:r>
    </w:p>
    <w:p w14:paraId="0EA8515B" w14:textId="77777777" w:rsidR="00265551" w:rsidRDefault="00265551" w:rsidP="0012228C">
      <w:pPr>
        <w:pStyle w:val="ExecSumBodyText"/>
        <w:rPr>
          <w:lang w:val="en-GB"/>
        </w:rPr>
      </w:pPr>
      <w:r>
        <w:rPr>
          <w:lang w:val="en-GB"/>
        </w:rPr>
        <w:t xml:space="preserve">The PBAC noted that the submission’s main comparator of optimised standard care was aligned with the comparator it had considered reasonable </w:t>
      </w:r>
      <w:r w:rsidR="00A91905">
        <w:rPr>
          <w:lang w:val="en-GB"/>
        </w:rPr>
        <w:t>for</w:t>
      </w:r>
      <w:r>
        <w:rPr>
          <w:lang w:val="en-GB"/>
        </w:rPr>
        <w:t xml:space="preserve"> dapagliflozin for </w:t>
      </w:r>
      <w:r w:rsidR="00D94C56">
        <w:rPr>
          <w:lang w:val="en-GB"/>
        </w:rPr>
        <w:t>HFrEF</w:t>
      </w:r>
      <w:r>
        <w:rPr>
          <w:lang w:val="en-GB"/>
        </w:rPr>
        <w:t xml:space="preserve"> (para 7.3, dapagliflozin PSD, July 2021 PBAC meeting). However, as dapagliflozin had since been recommended for this indication at </w:t>
      </w:r>
      <w:r w:rsidR="00574660">
        <w:rPr>
          <w:lang w:val="en-GB"/>
        </w:rPr>
        <w:t>the</w:t>
      </w:r>
      <w:r>
        <w:rPr>
          <w:lang w:val="en-GB"/>
        </w:rPr>
        <w:t xml:space="preserve"> September 2021 PBAC meeting, </w:t>
      </w:r>
      <w:r w:rsidR="00844CDF">
        <w:rPr>
          <w:lang w:val="en-GB"/>
        </w:rPr>
        <w:t>and agreement to listing arrangements</w:t>
      </w:r>
      <w:r w:rsidR="00D94C56">
        <w:rPr>
          <w:lang w:val="en-GB"/>
        </w:rPr>
        <w:t xml:space="preserve"> had been</w:t>
      </w:r>
      <w:r w:rsidR="00844CDF">
        <w:rPr>
          <w:lang w:val="en-GB"/>
        </w:rPr>
        <w:t xml:space="preserve"> finalised </w:t>
      </w:r>
      <w:r w:rsidR="00B05CAE">
        <w:rPr>
          <w:lang w:val="en-GB"/>
        </w:rPr>
        <w:t xml:space="preserve">at time of consideration </w:t>
      </w:r>
      <w:r>
        <w:rPr>
          <w:lang w:val="en-GB"/>
        </w:rPr>
        <w:t xml:space="preserve">(see Medicine Status Website), the PBAC considered that the submission’s </w:t>
      </w:r>
      <w:r w:rsidR="00574660">
        <w:rPr>
          <w:lang w:val="en-GB"/>
        </w:rPr>
        <w:t>near-market</w:t>
      </w:r>
      <w:r>
        <w:rPr>
          <w:lang w:val="en-GB"/>
        </w:rPr>
        <w:t xml:space="preserve"> comparison with dapagliflozin was the most relevant</w:t>
      </w:r>
      <w:r w:rsidR="00844CDF">
        <w:rPr>
          <w:lang w:val="en-GB"/>
        </w:rPr>
        <w:t xml:space="preserve"> </w:t>
      </w:r>
      <w:r>
        <w:rPr>
          <w:lang w:val="en-GB"/>
        </w:rPr>
        <w:t>for decision making.</w:t>
      </w:r>
    </w:p>
    <w:p w14:paraId="6A45D9C0" w14:textId="77777777" w:rsidR="00945347" w:rsidRDefault="00945347" w:rsidP="0012228C">
      <w:pPr>
        <w:pStyle w:val="ExecSumBodyText"/>
        <w:rPr>
          <w:lang w:val="en-GB"/>
        </w:rPr>
      </w:pPr>
      <w:r>
        <w:rPr>
          <w:lang w:val="en-GB"/>
        </w:rPr>
        <w:t xml:space="preserve">As with dapagliflozin, the PBAC </w:t>
      </w:r>
      <w:r w:rsidR="008B0BEE">
        <w:rPr>
          <w:lang w:val="en-GB"/>
        </w:rPr>
        <w:t>held the</w:t>
      </w:r>
      <w:r>
        <w:rPr>
          <w:lang w:val="en-GB"/>
        </w:rPr>
        <w:t xml:space="preserve"> view that the clinical place of </w:t>
      </w:r>
      <w:r w:rsidR="008B0BEE">
        <w:rPr>
          <w:lang w:val="en-GB"/>
        </w:rPr>
        <w:t>SGTL2 inhibitors</w:t>
      </w:r>
      <w:r>
        <w:rPr>
          <w:lang w:val="en-GB"/>
        </w:rPr>
        <w:t xml:space="preserve"> for heart failure was </w:t>
      </w:r>
      <w:r w:rsidR="00844CDF">
        <w:rPr>
          <w:lang w:val="en-GB"/>
        </w:rPr>
        <w:t xml:space="preserve">likely to continue to evolve. The PBAC noted </w:t>
      </w:r>
      <w:r w:rsidR="00844CDF" w:rsidRPr="00844CDF">
        <w:rPr>
          <w:lang w:val="en-GB"/>
        </w:rPr>
        <w:t>that the European Society of Cardiology had recently updated its</w:t>
      </w:r>
      <w:r w:rsidR="00844CDF">
        <w:rPr>
          <w:lang w:val="en-GB"/>
        </w:rPr>
        <w:t>’</w:t>
      </w:r>
      <w:r w:rsidR="00844CDF" w:rsidRPr="00844CDF">
        <w:rPr>
          <w:lang w:val="en-GB"/>
        </w:rPr>
        <w:t xml:space="preserve"> </w:t>
      </w:r>
      <w:r w:rsidR="00844CDF" w:rsidRPr="00844CDF">
        <w:rPr>
          <w:i/>
          <w:iCs/>
          <w:lang w:val="en-GB"/>
        </w:rPr>
        <w:t>Guidelines for the diagnosis and treatment of acute and chronic heart failure</w:t>
      </w:r>
      <w:r w:rsidR="00844CDF">
        <w:rPr>
          <w:i/>
          <w:iCs/>
          <w:lang w:val="en-GB"/>
        </w:rPr>
        <w:t xml:space="preserve"> </w:t>
      </w:r>
      <w:r w:rsidR="00844CDF">
        <w:rPr>
          <w:lang w:val="en-GB"/>
        </w:rPr>
        <w:t xml:space="preserve">positioning dapagliflozin and empagliflozin as </w:t>
      </w:r>
      <w:r w:rsidR="00F77443">
        <w:rPr>
          <w:lang w:val="en-GB"/>
        </w:rPr>
        <w:t>standard</w:t>
      </w:r>
      <w:r w:rsidR="00844CDF">
        <w:rPr>
          <w:lang w:val="en-GB"/>
        </w:rPr>
        <w:t xml:space="preserve"> therapy for all patients already treated with an ACEi/ARN</w:t>
      </w:r>
      <w:r w:rsidR="00D94C56">
        <w:rPr>
          <w:lang w:val="en-GB"/>
        </w:rPr>
        <w:t>i</w:t>
      </w:r>
      <w:r w:rsidR="00844CDF">
        <w:rPr>
          <w:lang w:val="en-GB"/>
        </w:rPr>
        <w:t>, beta-blocker, and an MRA, regardless of whether they have diabetes or not.</w:t>
      </w:r>
      <w:r w:rsidR="00F62DB9">
        <w:rPr>
          <w:lang w:val="en-GB"/>
        </w:rPr>
        <w:t xml:space="preserve"> </w:t>
      </w:r>
    </w:p>
    <w:bookmarkEnd w:id="61"/>
    <w:p w14:paraId="14BF7A19" w14:textId="77777777" w:rsidR="009510F1" w:rsidRPr="009510F1" w:rsidRDefault="009510F1" w:rsidP="000E62A7">
      <w:pPr>
        <w:pStyle w:val="ExecSumBodyText"/>
        <w:rPr>
          <w:color w:val="0070C0"/>
          <w:lang w:val="en-GB"/>
        </w:rPr>
      </w:pPr>
      <w:r>
        <w:rPr>
          <w:lang w:val="en-GB"/>
        </w:rPr>
        <w:t xml:space="preserve">In terms of the trial evidence presented, the PBAC recognised that the evaluation had raised concerns about the applicability of the EMPEROR-Reduced trial to the Australian setting, given differences </w:t>
      </w:r>
      <w:r w:rsidRPr="009510F1">
        <w:rPr>
          <w:lang w:val="en-GB"/>
        </w:rPr>
        <w:t xml:space="preserve">with the Australian population for risk factors of age, sex, BMI </w:t>
      </w:r>
      <w:r w:rsidR="00574660">
        <w:rPr>
          <w:lang w:val="en-GB"/>
        </w:rPr>
        <w:t>as well as</w:t>
      </w:r>
      <w:r w:rsidRPr="009510F1">
        <w:rPr>
          <w:lang w:val="en-GB"/>
        </w:rPr>
        <w:t xml:space="preserve"> significant treatment effect interactions associated with baseline LVEF and race subgroups</w:t>
      </w:r>
      <w:r>
        <w:rPr>
          <w:lang w:val="en-GB"/>
        </w:rPr>
        <w:t>. However, the PBAC agreed with the ESC that these analyses should be regarded as exploratory only. For the indirect treatment comparison (ITC), the PBAC noted that both the empagliflozin trial (EMPEROR-Reduced) and the dapagliflozin trial (DAPA-HF) had a low risk of bias. Although there were some differences between trials identified during the evaluation, the PBAC agreed with the ESC’s assessment that the differences were bidirectional.</w:t>
      </w:r>
    </w:p>
    <w:p w14:paraId="10BBDD10" w14:textId="77777777" w:rsidR="009510F1" w:rsidRPr="003E1092" w:rsidRDefault="003E1092" w:rsidP="000E62A7">
      <w:pPr>
        <w:pStyle w:val="ExecSumBodyText"/>
        <w:rPr>
          <w:lang w:val="en-GB"/>
        </w:rPr>
      </w:pPr>
      <w:r w:rsidRPr="003E1092">
        <w:rPr>
          <w:lang w:val="en-GB"/>
        </w:rPr>
        <w:t>The P</w:t>
      </w:r>
      <w:r>
        <w:rPr>
          <w:lang w:val="en-GB"/>
        </w:rPr>
        <w:t>BAC considered that the noninferiority margin</w:t>
      </w:r>
      <w:r w:rsidR="00745180">
        <w:rPr>
          <w:lang w:val="en-GB"/>
        </w:rPr>
        <w:t xml:space="preserve"> should </w:t>
      </w:r>
      <w:r w:rsidR="0013038F">
        <w:rPr>
          <w:lang w:val="en-GB"/>
        </w:rPr>
        <w:t>be based on</w:t>
      </w:r>
      <w:r w:rsidR="00745180">
        <w:rPr>
          <w:lang w:val="en-GB"/>
        </w:rPr>
        <w:t xml:space="preserve"> both clinical and statistical judgement</w:t>
      </w:r>
      <w:r w:rsidR="00BE5FBB">
        <w:rPr>
          <w:lang w:val="en-GB"/>
        </w:rPr>
        <w:t>. The PBAC noted the</w:t>
      </w:r>
      <w:r w:rsidR="000E251C">
        <w:rPr>
          <w:lang w:val="en-GB"/>
        </w:rPr>
        <w:t xml:space="preserve"> ESC’s advice that </w:t>
      </w:r>
      <w:r w:rsidR="000E251C" w:rsidRPr="000E251C">
        <w:rPr>
          <w:lang w:val="en-GB"/>
        </w:rPr>
        <w:t xml:space="preserve">there appears to be broad consensus that the benefits for the SGLT2 inhibitors in HFrEF are a class effect, and </w:t>
      </w:r>
      <w:r w:rsidR="000E251C">
        <w:rPr>
          <w:lang w:val="en-GB"/>
        </w:rPr>
        <w:t xml:space="preserve">that </w:t>
      </w:r>
      <w:r w:rsidR="000E251C" w:rsidRPr="000E251C">
        <w:rPr>
          <w:lang w:val="en-GB"/>
        </w:rPr>
        <w:t>this is reflected in clinical guidelines and practice</w:t>
      </w:r>
      <w:r>
        <w:rPr>
          <w:lang w:val="en-GB"/>
        </w:rPr>
        <w:t xml:space="preserve">. </w:t>
      </w:r>
      <w:r w:rsidR="000E251C">
        <w:rPr>
          <w:lang w:val="en-GB"/>
        </w:rPr>
        <w:t>The PBAC noted that this advice was further supported by</w:t>
      </w:r>
      <w:r w:rsidR="00574660">
        <w:rPr>
          <w:lang w:val="en-GB"/>
        </w:rPr>
        <w:t xml:space="preserve"> the</w:t>
      </w:r>
      <w:r w:rsidR="000E251C">
        <w:rPr>
          <w:lang w:val="en-GB"/>
        </w:rPr>
        <w:t xml:space="preserve"> clinician presentation at the sponsor hearing. As such, the </w:t>
      </w:r>
      <w:r w:rsidR="000E251C" w:rsidRPr="000E251C">
        <w:rPr>
          <w:lang w:val="en-GB"/>
        </w:rPr>
        <w:t xml:space="preserve">PBAC agreed with the ESC that the claim of noninferior comparative effectiveness </w:t>
      </w:r>
      <w:r w:rsidR="000E251C">
        <w:rPr>
          <w:lang w:val="en-GB"/>
        </w:rPr>
        <w:t xml:space="preserve">with dapagliflozin </w:t>
      </w:r>
      <w:r w:rsidR="000E251C" w:rsidRPr="000E251C">
        <w:rPr>
          <w:lang w:val="en-GB"/>
        </w:rPr>
        <w:t>was reasonable.</w:t>
      </w:r>
    </w:p>
    <w:p w14:paraId="121C6956" w14:textId="77777777" w:rsidR="000E62A7" w:rsidRPr="000E62A7" w:rsidRDefault="000E325D" w:rsidP="000E62A7">
      <w:pPr>
        <w:pStyle w:val="ExecSumBodyText"/>
        <w:rPr>
          <w:color w:val="0070C0"/>
          <w:lang w:val="en-GB"/>
        </w:rPr>
      </w:pPr>
      <w:r>
        <w:rPr>
          <w:lang w:val="en-GB"/>
        </w:rPr>
        <w:t xml:space="preserve">In terms of comparative safety, the PBAC noted the summary of the key adverse events in the EMPEROR-Reduced trial, and the ITC with DAPA-HF for </w:t>
      </w:r>
      <w:r w:rsidR="00682706">
        <w:rPr>
          <w:lang w:val="en-GB"/>
        </w:rPr>
        <w:t>adverse events</w:t>
      </w:r>
      <w:r>
        <w:rPr>
          <w:lang w:val="en-GB"/>
        </w:rPr>
        <w:t xml:space="preserve"> of interest. The </w:t>
      </w:r>
      <w:r w:rsidR="00682706">
        <w:rPr>
          <w:lang w:val="en-GB"/>
        </w:rPr>
        <w:t xml:space="preserve">PBAC considered that claim of noninferiority with dapagliflozin was reasonable, and consistent with the long experience in clinical practice for this class of medicines. </w:t>
      </w:r>
    </w:p>
    <w:p w14:paraId="6701B665" w14:textId="77777777" w:rsidR="00474C1E" w:rsidRDefault="00BA11D6" w:rsidP="009C53A6">
      <w:pPr>
        <w:pStyle w:val="ExecSumBodyText"/>
      </w:pPr>
      <w:r w:rsidRPr="009C53A6">
        <w:rPr>
          <w:lang w:val="en-GB"/>
        </w:rPr>
        <w:t xml:space="preserve">Ultimately, </w:t>
      </w:r>
      <w:r w:rsidR="006C282D">
        <w:rPr>
          <w:lang w:val="en-GB"/>
        </w:rPr>
        <w:t xml:space="preserve">as stated above, </w:t>
      </w:r>
      <w:r w:rsidRPr="009C53A6">
        <w:rPr>
          <w:lang w:val="en-GB"/>
        </w:rPr>
        <w:t xml:space="preserve">the PBAC considered that the </w:t>
      </w:r>
      <w:r w:rsidR="003311CA" w:rsidRPr="009C53A6">
        <w:rPr>
          <w:lang w:val="en-GB"/>
        </w:rPr>
        <w:t xml:space="preserve">comparison to </w:t>
      </w:r>
      <w:r w:rsidR="005323EE" w:rsidRPr="009C53A6">
        <w:rPr>
          <w:lang w:val="en-GB"/>
        </w:rPr>
        <w:t>dapagliflozin</w:t>
      </w:r>
      <w:r w:rsidR="00474C1E" w:rsidRPr="009C53A6">
        <w:rPr>
          <w:lang w:val="en-GB"/>
        </w:rPr>
        <w:t xml:space="preserve"> was the most</w:t>
      </w:r>
      <w:r w:rsidR="00474C1E">
        <w:t xml:space="preserve"> relevant and that the </w:t>
      </w:r>
      <w:r>
        <w:t xml:space="preserve">listing </w:t>
      </w:r>
      <w:r w:rsidR="00474C1E">
        <w:t xml:space="preserve">of </w:t>
      </w:r>
      <w:r w:rsidR="005323EE">
        <w:t>empagliflozin</w:t>
      </w:r>
      <w:r w:rsidR="00474C1E">
        <w:t xml:space="preserve"> </w:t>
      </w:r>
      <w:r>
        <w:t>would be cost-effective if cost-minimised to dapagliflozin for this indication</w:t>
      </w:r>
      <w:r w:rsidR="00FE2E52">
        <w:t xml:space="preserve"> (with equi-effective doses noted in paragraph </w:t>
      </w:r>
      <w:r w:rsidR="00915190">
        <w:t>7.2</w:t>
      </w:r>
      <w:r w:rsidR="00FE2E52">
        <w:t>)</w:t>
      </w:r>
      <w:r>
        <w:t>.</w:t>
      </w:r>
    </w:p>
    <w:p w14:paraId="47BF3CB3" w14:textId="77777777" w:rsidR="00875A19" w:rsidRPr="00267B48" w:rsidRDefault="0006605C" w:rsidP="00267B48">
      <w:pPr>
        <w:pStyle w:val="ExecSumBodyText"/>
      </w:pPr>
      <w:r w:rsidRPr="0006605C">
        <w:rPr>
          <w:snapToGrid/>
        </w:rPr>
        <w:t xml:space="preserve">The PBAC advised it would be appropriate for empagliflozin to be subject to the same </w:t>
      </w:r>
      <w:r>
        <w:rPr>
          <w:snapToGrid/>
        </w:rPr>
        <w:t>Risk-Sharing Arrangement (</w:t>
      </w:r>
      <w:r w:rsidRPr="0006605C">
        <w:rPr>
          <w:snapToGrid/>
        </w:rPr>
        <w:t>RSA</w:t>
      </w:r>
      <w:r>
        <w:rPr>
          <w:snapToGrid/>
        </w:rPr>
        <w:t>)</w:t>
      </w:r>
      <w:r w:rsidRPr="0006605C">
        <w:rPr>
          <w:snapToGrid/>
        </w:rPr>
        <w:t xml:space="preserve"> subsidisation caps </w:t>
      </w:r>
      <w:r>
        <w:rPr>
          <w:snapToGrid/>
        </w:rPr>
        <w:t xml:space="preserve">as </w:t>
      </w:r>
      <w:r w:rsidRPr="0006605C">
        <w:rPr>
          <w:snapToGrid/>
        </w:rPr>
        <w:t>for dapagliflozin for HFrEF. The PBAC considered that as empagliflozin would be subject to the same RSA as dapagliflozin, there would be no additional cost to the Commonwealth from the listing.</w:t>
      </w:r>
    </w:p>
    <w:p w14:paraId="0E886A1C" w14:textId="77777777" w:rsidR="00590528" w:rsidRPr="00D94C56" w:rsidRDefault="00590528" w:rsidP="00590528">
      <w:pPr>
        <w:pStyle w:val="ExecSumBodyText"/>
      </w:pPr>
      <w:r w:rsidRPr="00D94C56">
        <w:t xml:space="preserve">The PBAC advised that </w:t>
      </w:r>
      <w:r w:rsidR="00D94C56" w:rsidRPr="00D94C56">
        <w:t>empagliflozin</w:t>
      </w:r>
      <w:r w:rsidRPr="00D94C56">
        <w:t xml:space="preserve"> for HFrEF is suitable for prescribing by nurse practitioners for continuing therapy only. </w:t>
      </w:r>
    </w:p>
    <w:p w14:paraId="225B67CD" w14:textId="77777777" w:rsidR="00590528" w:rsidRPr="00D94C56" w:rsidRDefault="00590528" w:rsidP="0012228C">
      <w:pPr>
        <w:pStyle w:val="ExecSumBodyText"/>
        <w:rPr>
          <w:b/>
          <w:bCs/>
          <w:lang w:val="en-GB"/>
        </w:rPr>
      </w:pPr>
      <w:r w:rsidRPr="00D94C56">
        <w:t>The PBAC recommended that the Early Supply Rule should apply.</w:t>
      </w:r>
    </w:p>
    <w:p w14:paraId="27A9DCB8" w14:textId="77777777" w:rsidR="00565789" w:rsidRPr="00531A05" w:rsidRDefault="00565789" w:rsidP="0012228C">
      <w:pPr>
        <w:pStyle w:val="ExecSumBodyText"/>
        <w:rPr>
          <w:b/>
          <w:bCs/>
          <w:lang w:val="en-GB"/>
        </w:rPr>
      </w:pPr>
      <w:r w:rsidRPr="00D121C5">
        <w:rPr>
          <w:lang w:val="en-GB"/>
        </w:rPr>
        <w:t>The PBAC noted that its recommendation was on a cost-minimisation basis and advised that, because</w:t>
      </w:r>
      <w:r w:rsidR="0012228C">
        <w:rPr>
          <w:lang w:val="en-GB"/>
        </w:rPr>
        <w:t xml:space="preserve"> empagliflozin</w:t>
      </w:r>
      <w:r w:rsidRPr="00D121C5">
        <w:rPr>
          <w:lang w:val="en-GB"/>
        </w:rPr>
        <w:t xml:space="preserve"> is not expected to provide a substantial</w:t>
      </w:r>
      <w:r w:rsidRPr="00D121C5">
        <w:rPr>
          <w:bCs/>
          <w:lang w:val="en-GB"/>
        </w:rPr>
        <w:t xml:space="preserve"> and</w:t>
      </w:r>
      <w:r w:rsidRPr="00531A05">
        <w:rPr>
          <w:bCs/>
          <w:lang w:val="en-GB"/>
        </w:rPr>
        <w:t xml:space="preserve"> clinically relevant improvement in efficacy, or reduction of toxicity, over </w:t>
      </w:r>
      <w:r w:rsidR="0012228C">
        <w:rPr>
          <w:bCs/>
          <w:lang w:val="en-GB"/>
        </w:rPr>
        <w:t xml:space="preserve">dapagliflozin, </w:t>
      </w:r>
      <w:r w:rsidRPr="00531A05">
        <w:rPr>
          <w:bCs/>
          <w:lang w:val="en-GB"/>
        </w:rPr>
        <w:t xml:space="preserve">or not expected to address a high and urgent unmet clinical need given the presence of an alternative therapy, the criteria prescribed by the </w:t>
      </w:r>
      <w:r w:rsidRPr="007A5703">
        <w:rPr>
          <w:bCs/>
          <w:i/>
          <w:lang w:val="en-GB"/>
        </w:rPr>
        <w:t>National Health (Pharmaceuticals and Vaccines – Cost Recovery) Regulations 2009</w:t>
      </w:r>
      <w:r w:rsidRPr="00531A05">
        <w:rPr>
          <w:bCs/>
          <w:lang w:val="en-GB"/>
        </w:rPr>
        <w:t xml:space="preserve"> for Pricing Pathway A were not met.</w:t>
      </w:r>
    </w:p>
    <w:p w14:paraId="3A854FFE" w14:textId="77777777" w:rsidR="00565789" w:rsidRPr="0012228C" w:rsidRDefault="00565789" w:rsidP="0012228C">
      <w:pPr>
        <w:pStyle w:val="ExecSumBodyText"/>
      </w:pPr>
      <w:r w:rsidRPr="0012228C">
        <w:t>The PBAC noted that this submission is not eligible for an Independent Review</w:t>
      </w:r>
      <w:r w:rsidR="009017EF" w:rsidRPr="0012228C">
        <w:t xml:space="preserve"> as it received a positive recommendation</w:t>
      </w:r>
      <w:r w:rsidRPr="0012228C">
        <w:t xml:space="preserve">. </w:t>
      </w:r>
    </w:p>
    <w:p w14:paraId="275A9240" w14:textId="77777777" w:rsidR="00565789" w:rsidRPr="00525B39" w:rsidRDefault="00565789" w:rsidP="00565789">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58A965F5" w14:textId="77777777" w:rsidR="00565789" w:rsidRPr="00525B39" w:rsidRDefault="00565789" w:rsidP="00565789">
      <w:pPr>
        <w:rPr>
          <w:rFonts w:asciiTheme="minorHAnsi" w:hAnsiTheme="minorHAnsi"/>
          <w:bCs/>
          <w:snapToGrid w:val="0"/>
          <w:lang w:val="en-GB"/>
        </w:rPr>
      </w:pPr>
      <w:r w:rsidRPr="00525B39">
        <w:rPr>
          <w:rFonts w:asciiTheme="minorHAnsi" w:hAnsiTheme="minorHAnsi"/>
          <w:bCs/>
          <w:snapToGrid w:val="0"/>
          <w:lang w:val="en-GB"/>
        </w:rPr>
        <w:t>Recommended</w:t>
      </w:r>
    </w:p>
    <w:p w14:paraId="75B9577F" w14:textId="77777777" w:rsidR="00565789" w:rsidRPr="00525B39" w:rsidRDefault="00565789" w:rsidP="00565789">
      <w:pPr>
        <w:widowControl w:val="0"/>
        <w:rPr>
          <w:rFonts w:asciiTheme="minorHAnsi" w:hAnsiTheme="minorHAnsi"/>
          <w:b/>
          <w:bCs/>
          <w:snapToGrid w:val="0"/>
        </w:rPr>
      </w:pPr>
    </w:p>
    <w:bookmarkEnd w:id="59"/>
    <w:p w14:paraId="625E87C3" w14:textId="77777777" w:rsidR="00565789" w:rsidRPr="00F237A4" w:rsidRDefault="00565789" w:rsidP="00A91905">
      <w:pPr>
        <w:pStyle w:val="2-SectionHeading"/>
        <w:rPr>
          <w:b w:val="0"/>
          <w:iCs/>
          <w:lang w:val="en-GB"/>
        </w:rPr>
      </w:pPr>
      <w:r w:rsidRPr="00525B39">
        <w:rPr>
          <w:lang w:val="en-GB"/>
        </w:rPr>
        <w:t>Recommended listing</w:t>
      </w:r>
    </w:p>
    <w:p w14:paraId="5F8B41F1" w14:textId="77777777" w:rsidR="00565789" w:rsidRPr="00590528" w:rsidRDefault="00565789" w:rsidP="00590528">
      <w:pPr>
        <w:pStyle w:val="ExecSumBodyText"/>
        <w:rPr>
          <w:b/>
        </w:rPr>
      </w:pPr>
      <w:r w:rsidRPr="00590528">
        <w:rPr>
          <w:bCs/>
        </w:rPr>
        <w:t>Amend existing listing as follows:</w:t>
      </w:r>
    </w:p>
    <w:p w14:paraId="7C6DAF49" w14:textId="77777777" w:rsidR="00565789" w:rsidRDefault="00565789" w:rsidP="00565789">
      <w:pPr>
        <w:pStyle w:val="ListParagraph"/>
        <w:ind w:left="360"/>
        <w:rPr>
          <w:rFonts w:cs="Calibri"/>
        </w:rPr>
      </w:pPr>
      <w:bookmarkStart w:id="63" w:name="_Hlk76377978"/>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774"/>
        <w:gridCol w:w="1263"/>
        <w:gridCol w:w="1146"/>
        <w:gridCol w:w="1012"/>
        <w:gridCol w:w="1331"/>
        <w:gridCol w:w="1576"/>
      </w:tblGrid>
      <w:tr w:rsidR="00590528" w14:paraId="7F94C917" w14:textId="77777777" w:rsidTr="00590528">
        <w:trPr>
          <w:trHeight w:val="20"/>
        </w:trPr>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16EA8393" w14:textId="77777777" w:rsidR="00590528" w:rsidRDefault="00590528">
            <w:pPr>
              <w:keepNext/>
              <w:spacing w:line="276" w:lineRule="auto"/>
              <w:ind w:left="-57"/>
              <w:rPr>
                <w:rFonts w:ascii="Arial Narrow" w:hAnsi="Arial Narrow"/>
                <w:b/>
                <w:bCs/>
                <w:sz w:val="20"/>
                <w:szCs w:val="20"/>
                <w:lang w:eastAsia="en-US"/>
              </w:rPr>
            </w:pPr>
            <w:r>
              <w:rPr>
                <w:rFonts w:ascii="Arial Narrow" w:hAnsi="Arial Narrow"/>
                <w:b/>
                <w:bCs/>
                <w:sz w:val="20"/>
                <w:szCs w:val="20"/>
                <w:lang w:eastAsia="en-US"/>
              </w:rPr>
              <w:t>MEDICINAL PRODUCT</w:t>
            </w:r>
          </w:p>
          <w:p w14:paraId="3DC66237" w14:textId="77777777" w:rsidR="00590528" w:rsidRDefault="00590528">
            <w:pPr>
              <w:keepNext/>
              <w:spacing w:line="276" w:lineRule="auto"/>
              <w:ind w:left="-57"/>
              <w:rPr>
                <w:rFonts w:ascii="Arial Narrow" w:hAnsi="Arial Narrow"/>
                <w:b/>
                <w:sz w:val="20"/>
                <w:szCs w:val="20"/>
                <w:lang w:eastAsia="en-US"/>
              </w:rPr>
            </w:pPr>
            <w:r>
              <w:rPr>
                <w:rFonts w:ascii="Arial Narrow" w:hAnsi="Arial Narrow"/>
                <w:b/>
                <w:bCs/>
                <w:sz w:val="20"/>
                <w:szCs w:val="20"/>
                <w:lang w:eastAsia="en-US"/>
              </w:rPr>
              <w:t>medicinal product pack</w:t>
            </w:r>
          </w:p>
        </w:tc>
        <w:tc>
          <w:tcPr>
            <w:tcW w:w="1263" w:type="dxa"/>
            <w:tcBorders>
              <w:top w:val="single" w:sz="4" w:space="0" w:color="auto"/>
              <w:left w:val="single" w:sz="4" w:space="0" w:color="auto"/>
              <w:bottom w:val="single" w:sz="4" w:space="0" w:color="auto"/>
              <w:right w:val="single" w:sz="4" w:space="0" w:color="auto"/>
            </w:tcBorders>
            <w:vAlign w:val="center"/>
            <w:hideMark/>
          </w:tcPr>
          <w:p w14:paraId="7EB29A37" w14:textId="77777777" w:rsidR="00590528" w:rsidRDefault="00590528">
            <w:pPr>
              <w:keepNext/>
              <w:spacing w:line="276" w:lineRule="auto"/>
              <w:jc w:val="center"/>
              <w:rPr>
                <w:rFonts w:ascii="Arial Narrow" w:hAnsi="Arial Narrow"/>
                <w:b/>
                <w:sz w:val="20"/>
                <w:szCs w:val="20"/>
                <w:lang w:eastAsia="en-US"/>
              </w:rPr>
            </w:pPr>
            <w:r>
              <w:rPr>
                <w:rFonts w:ascii="Arial Narrow" w:hAnsi="Arial Narrow"/>
                <w:b/>
                <w:sz w:val="20"/>
                <w:szCs w:val="20"/>
                <w:lang w:eastAsia="en-US"/>
              </w:rPr>
              <w:t>PBS item code</w:t>
            </w:r>
          </w:p>
        </w:tc>
        <w:tc>
          <w:tcPr>
            <w:tcW w:w="1146" w:type="dxa"/>
            <w:tcBorders>
              <w:top w:val="single" w:sz="4" w:space="0" w:color="auto"/>
              <w:left w:val="single" w:sz="4" w:space="0" w:color="auto"/>
              <w:bottom w:val="single" w:sz="4" w:space="0" w:color="auto"/>
              <w:right w:val="single" w:sz="4" w:space="0" w:color="auto"/>
            </w:tcBorders>
            <w:vAlign w:val="center"/>
            <w:hideMark/>
          </w:tcPr>
          <w:p w14:paraId="24D31FB3" w14:textId="77777777" w:rsidR="00590528" w:rsidRDefault="00590528">
            <w:pPr>
              <w:keepNext/>
              <w:spacing w:line="276" w:lineRule="auto"/>
              <w:jc w:val="center"/>
              <w:rPr>
                <w:rFonts w:ascii="Arial Narrow" w:hAnsi="Arial Narrow"/>
                <w:b/>
                <w:sz w:val="20"/>
                <w:szCs w:val="20"/>
                <w:lang w:eastAsia="en-US"/>
              </w:rPr>
            </w:pPr>
            <w:r>
              <w:rPr>
                <w:rFonts w:ascii="Arial Narrow" w:hAnsi="Arial Narrow"/>
                <w:b/>
                <w:sz w:val="20"/>
                <w:szCs w:val="20"/>
                <w:lang w:eastAsia="en-US"/>
              </w:rPr>
              <w:t>Max. qty packs</w:t>
            </w:r>
          </w:p>
        </w:tc>
        <w:tc>
          <w:tcPr>
            <w:tcW w:w="1012" w:type="dxa"/>
            <w:tcBorders>
              <w:top w:val="single" w:sz="4" w:space="0" w:color="auto"/>
              <w:left w:val="single" w:sz="4" w:space="0" w:color="auto"/>
              <w:bottom w:val="single" w:sz="4" w:space="0" w:color="auto"/>
              <w:right w:val="single" w:sz="4" w:space="0" w:color="auto"/>
            </w:tcBorders>
            <w:vAlign w:val="center"/>
            <w:hideMark/>
          </w:tcPr>
          <w:p w14:paraId="5273E946" w14:textId="77777777" w:rsidR="00590528" w:rsidRDefault="00590528">
            <w:pPr>
              <w:keepNext/>
              <w:spacing w:line="276" w:lineRule="auto"/>
              <w:jc w:val="center"/>
              <w:rPr>
                <w:rFonts w:ascii="Arial Narrow" w:hAnsi="Arial Narrow"/>
                <w:b/>
                <w:sz w:val="20"/>
                <w:szCs w:val="20"/>
                <w:lang w:eastAsia="en-US"/>
              </w:rPr>
            </w:pPr>
            <w:r>
              <w:rPr>
                <w:rFonts w:ascii="Arial Narrow" w:hAnsi="Arial Narrow"/>
                <w:b/>
                <w:sz w:val="20"/>
                <w:szCs w:val="20"/>
                <w:lang w:eastAsia="en-US"/>
              </w:rPr>
              <w:t>Max. qty units</w:t>
            </w:r>
          </w:p>
        </w:tc>
        <w:tc>
          <w:tcPr>
            <w:tcW w:w="1331" w:type="dxa"/>
            <w:tcBorders>
              <w:top w:val="single" w:sz="4" w:space="0" w:color="auto"/>
              <w:left w:val="single" w:sz="4" w:space="0" w:color="auto"/>
              <w:bottom w:val="single" w:sz="4" w:space="0" w:color="auto"/>
              <w:right w:val="single" w:sz="4" w:space="0" w:color="auto"/>
            </w:tcBorders>
            <w:vAlign w:val="center"/>
            <w:hideMark/>
          </w:tcPr>
          <w:p w14:paraId="43C8F4B3" w14:textId="77777777" w:rsidR="00590528" w:rsidRDefault="00590528">
            <w:pPr>
              <w:keepNext/>
              <w:spacing w:line="276" w:lineRule="auto"/>
              <w:jc w:val="center"/>
              <w:rPr>
                <w:rFonts w:ascii="Arial Narrow" w:hAnsi="Arial Narrow"/>
                <w:b/>
                <w:sz w:val="20"/>
                <w:szCs w:val="20"/>
                <w:lang w:eastAsia="en-US"/>
              </w:rPr>
            </w:pPr>
            <w:r>
              <w:rPr>
                <w:rFonts w:ascii="Arial Narrow" w:hAnsi="Arial Narrow"/>
                <w:b/>
                <w:sz w:val="20"/>
                <w:szCs w:val="20"/>
                <w:lang w:eastAsia="en-US"/>
              </w:rPr>
              <w:t>№.of Rpts</w:t>
            </w:r>
          </w:p>
        </w:tc>
        <w:tc>
          <w:tcPr>
            <w:tcW w:w="1576" w:type="dxa"/>
            <w:tcBorders>
              <w:top w:val="single" w:sz="4" w:space="0" w:color="auto"/>
              <w:left w:val="single" w:sz="4" w:space="0" w:color="auto"/>
              <w:bottom w:val="single" w:sz="4" w:space="0" w:color="auto"/>
              <w:right w:val="single" w:sz="4" w:space="0" w:color="auto"/>
            </w:tcBorders>
            <w:vAlign w:val="center"/>
            <w:hideMark/>
          </w:tcPr>
          <w:p w14:paraId="0F6061CE" w14:textId="77777777" w:rsidR="00590528" w:rsidRDefault="00590528">
            <w:pPr>
              <w:keepNext/>
              <w:spacing w:line="276" w:lineRule="auto"/>
              <w:jc w:val="center"/>
              <w:rPr>
                <w:rFonts w:ascii="Arial Narrow" w:hAnsi="Arial Narrow"/>
                <w:b/>
                <w:sz w:val="20"/>
                <w:szCs w:val="20"/>
                <w:lang w:eastAsia="en-US"/>
              </w:rPr>
            </w:pPr>
            <w:r>
              <w:rPr>
                <w:rFonts w:ascii="Arial Narrow" w:hAnsi="Arial Narrow"/>
                <w:b/>
                <w:sz w:val="20"/>
                <w:szCs w:val="20"/>
                <w:lang w:eastAsia="en-US"/>
              </w:rPr>
              <w:t>Available brands</w:t>
            </w:r>
          </w:p>
        </w:tc>
      </w:tr>
      <w:tr w:rsidR="00590528" w14:paraId="5A950DD6" w14:textId="77777777" w:rsidTr="00590528">
        <w:trPr>
          <w:trHeight w:val="20"/>
        </w:trPr>
        <w:tc>
          <w:tcPr>
            <w:tcW w:w="9017" w:type="dxa"/>
            <w:gridSpan w:val="7"/>
            <w:tcBorders>
              <w:top w:val="single" w:sz="4" w:space="0" w:color="auto"/>
              <w:left w:val="single" w:sz="4" w:space="0" w:color="auto"/>
              <w:bottom w:val="single" w:sz="4" w:space="0" w:color="auto"/>
              <w:right w:val="single" w:sz="4" w:space="0" w:color="auto"/>
            </w:tcBorders>
            <w:hideMark/>
          </w:tcPr>
          <w:p w14:paraId="09F36C79" w14:textId="77777777" w:rsidR="00590528" w:rsidRDefault="00D7498F">
            <w:pPr>
              <w:keepNext/>
              <w:spacing w:line="276" w:lineRule="auto"/>
              <w:ind w:left="-57"/>
              <w:rPr>
                <w:rFonts w:ascii="Arial Narrow" w:hAnsi="Arial Narrow"/>
                <w:sz w:val="20"/>
                <w:szCs w:val="20"/>
                <w:lang w:eastAsia="en-US"/>
              </w:rPr>
            </w:pPr>
            <w:r>
              <w:rPr>
                <w:rFonts w:ascii="Arial Narrow" w:hAnsi="Arial Narrow"/>
                <w:sz w:val="20"/>
                <w:szCs w:val="20"/>
                <w:lang w:eastAsia="en-US"/>
              </w:rPr>
              <w:t>EMPAGLIFOZIN</w:t>
            </w:r>
          </w:p>
        </w:tc>
      </w:tr>
      <w:tr w:rsidR="00590528" w14:paraId="64C3FB62" w14:textId="77777777" w:rsidTr="00590528">
        <w:trPr>
          <w:trHeight w:val="20"/>
        </w:trPr>
        <w:tc>
          <w:tcPr>
            <w:tcW w:w="2689" w:type="dxa"/>
            <w:gridSpan w:val="2"/>
            <w:tcBorders>
              <w:top w:val="single" w:sz="4" w:space="0" w:color="auto"/>
              <w:left w:val="single" w:sz="4" w:space="0" w:color="auto"/>
              <w:bottom w:val="single" w:sz="4" w:space="0" w:color="auto"/>
              <w:right w:val="single" w:sz="4" w:space="0" w:color="auto"/>
            </w:tcBorders>
            <w:hideMark/>
          </w:tcPr>
          <w:p w14:paraId="2340A735" w14:textId="77777777" w:rsidR="00590528" w:rsidRPr="00590528" w:rsidRDefault="00590528">
            <w:pPr>
              <w:keepNext/>
              <w:spacing w:line="276" w:lineRule="auto"/>
              <w:ind w:left="-57"/>
              <w:rPr>
                <w:rFonts w:ascii="Arial Narrow" w:hAnsi="Arial Narrow"/>
                <w:sz w:val="20"/>
                <w:szCs w:val="20"/>
                <w:lang w:eastAsia="en-US"/>
              </w:rPr>
            </w:pPr>
            <w:r w:rsidRPr="00590528">
              <w:rPr>
                <w:rFonts w:ascii="Arial Narrow" w:hAnsi="Arial Narrow"/>
                <w:sz w:val="20"/>
                <w:szCs w:val="20"/>
                <w:lang w:eastAsia="en-US"/>
              </w:rPr>
              <w:t xml:space="preserve">empagliflozin 10 mg tablet, 30 </w:t>
            </w:r>
          </w:p>
        </w:tc>
        <w:tc>
          <w:tcPr>
            <w:tcW w:w="1263" w:type="dxa"/>
            <w:tcBorders>
              <w:top w:val="single" w:sz="4" w:space="0" w:color="auto"/>
              <w:left w:val="single" w:sz="4" w:space="0" w:color="auto"/>
              <w:bottom w:val="single" w:sz="4" w:space="0" w:color="auto"/>
              <w:right w:val="single" w:sz="4" w:space="0" w:color="auto"/>
            </w:tcBorders>
            <w:hideMark/>
          </w:tcPr>
          <w:p w14:paraId="025B5547" w14:textId="77777777" w:rsidR="00590528" w:rsidRPr="00590528" w:rsidRDefault="00590528">
            <w:pPr>
              <w:keepNext/>
              <w:spacing w:line="276" w:lineRule="auto"/>
              <w:jc w:val="center"/>
              <w:rPr>
                <w:rFonts w:ascii="Arial Narrow" w:hAnsi="Arial Narrow"/>
                <w:sz w:val="20"/>
                <w:szCs w:val="20"/>
                <w:lang w:eastAsia="en-US"/>
              </w:rPr>
            </w:pPr>
            <w:r w:rsidRPr="00590528">
              <w:rPr>
                <w:rFonts w:ascii="Arial Narrow" w:hAnsi="Arial Narrow"/>
                <w:sz w:val="20"/>
                <w:szCs w:val="20"/>
                <w:lang w:eastAsia="en-US"/>
              </w:rPr>
              <w:t>NEW</w:t>
            </w:r>
          </w:p>
        </w:tc>
        <w:tc>
          <w:tcPr>
            <w:tcW w:w="1146" w:type="dxa"/>
            <w:tcBorders>
              <w:top w:val="single" w:sz="4" w:space="0" w:color="auto"/>
              <w:left w:val="single" w:sz="4" w:space="0" w:color="auto"/>
              <w:bottom w:val="single" w:sz="4" w:space="0" w:color="auto"/>
              <w:right w:val="single" w:sz="4" w:space="0" w:color="auto"/>
            </w:tcBorders>
            <w:hideMark/>
          </w:tcPr>
          <w:p w14:paraId="04E3410A" w14:textId="77777777" w:rsidR="00590528" w:rsidRPr="00590528" w:rsidRDefault="00590528">
            <w:pPr>
              <w:keepNext/>
              <w:spacing w:line="276" w:lineRule="auto"/>
              <w:jc w:val="center"/>
              <w:rPr>
                <w:rFonts w:ascii="Arial Narrow" w:hAnsi="Arial Narrow"/>
                <w:sz w:val="20"/>
                <w:szCs w:val="20"/>
                <w:lang w:eastAsia="en-US"/>
              </w:rPr>
            </w:pPr>
            <w:r w:rsidRPr="00590528">
              <w:rPr>
                <w:rFonts w:ascii="Arial Narrow" w:hAnsi="Arial Narrow"/>
                <w:sz w:val="20"/>
                <w:szCs w:val="20"/>
                <w:lang w:eastAsia="en-US"/>
              </w:rPr>
              <w:t>1</w:t>
            </w:r>
          </w:p>
        </w:tc>
        <w:tc>
          <w:tcPr>
            <w:tcW w:w="1012" w:type="dxa"/>
            <w:tcBorders>
              <w:top w:val="single" w:sz="4" w:space="0" w:color="auto"/>
              <w:left w:val="single" w:sz="4" w:space="0" w:color="auto"/>
              <w:bottom w:val="single" w:sz="4" w:space="0" w:color="auto"/>
              <w:right w:val="single" w:sz="4" w:space="0" w:color="auto"/>
            </w:tcBorders>
            <w:hideMark/>
          </w:tcPr>
          <w:p w14:paraId="1D42D19D" w14:textId="77777777" w:rsidR="00590528" w:rsidRPr="00590528" w:rsidRDefault="00590528">
            <w:pPr>
              <w:keepNext/>
              <w:spacing w:line="276" w:lineRule="auto"/>
              <w:jc w:val="center"/>
              <w:rPr>
                <w:rFonts w:ascii="Arial Narrow" w:hAnsi="Arial Narrow"/>
                <w:sz w:val="20"/>
                <w:szCs w:val="20"/>
                <w:lang w:eastAsia="en-US"/>
              </w:rPr>
            </w:pPr>
            <w:r w:rsidRPr="00590528">
              <w:rPr>
                <w:rFonts w:ascii="Arial Narrow" w:hAnsi="Arial Narrow"/>
                <w:sz w:val="20"/>
                <w:szCs w:val="20"/>
                <w:lang w:eastAsia="en-US"/>
              </w:rPr>
              <w:t>30</w:t>
            </w:r>
          </w:p>
        </w:tc>
        <w:tc>
          <w:tcPr>
            <w:tcW w:w="1331" w:type="dxa"/>
            <w:tcBorders>
              <w:top w:val="single" w:sz="4" w:space="0" w:color="auto"/>
              <w:left w:val="single" w:sz="4" w:space="0" w:color="auto"/>
              <w:bottom w:val="single" w:sz="4" w:space="0" w:color="auto"/>
              <w:right w:val="single" w:sz="4" w:space="0" w:color="auto"/>
            </w:tcBorders>
            <w:hideMark/>
          </w:tcPr>
          <w:p w14:paraId="27702841" w14:textId="77777777" w:rsidR="00590528" w:rsidRPr="00590528" w:rsidRDefault="00590528">
            <w:pPr>
              <w:keepNext/>
              <w:spacing w:line="276" w:lineRule="auto"/>
              <w:jc w:val="center"/>
              <w:rPr>
                <w:rFonts w:ascii="Arial Narrow" w:hAnsi="Arial Narrow"/>
                <w:sz w:val="20"/>
                <w:szCs w:val="20"/>
                <w:lang w:eastAsia="en-US"/>
              </w:rPr>
            </w:pPr>
            <w:r w:rsidRPr="00590528">
              <w:rPr>
                <w:rFonts w:ascii="Arial Narrow" w:hAnsi="Arial Narrow"/>
                <w:sz w:val="20"/>
                <w:szCs w:val="20"/>
                <w:lang w:eastAsia="en-US"/>
              </w:rPr>
              <w:t>5</w:t>
            </w:r>
          </w:p>
        </w:tc>
        <w:tc>
          <w:tcPr>
            <w:tcW w:w="1576" w:type="dxa"/>
            <w:tcBorders>
              <w:top w:val="single" w:sz="4" w:space="0" w:color="auto"/>
              <w:left w:val="single" w:sz="4" w:space="0" w:color="auto"/>
              <w:bottom w:val="single" w:sz="4" w:space="0" w:color="auto"/>
              <w:right w:val="single" w:sz="4" w:space="0" w:color="auto"/>
            </w:tcBorders>
            <w:hideMark/>
          </w:tcPr>
          <w:p w14:paraId="14C500FF" w14:textId="77777777" w:rsidR="00590528" w:rsidRDefault="00590528">
            <w:pPr>
              <w:keepNext/>
              <w:spacing w:line="276" w:lineRule="auto"/>
              <w:jc w:val="center"/>
              <w:rPr>
                <w:rFonts w:ascii="Arial Narrow" w:hAnsi="Arial Narrow"/>
                <w:sz w:val="20"/>
                <w:szCs w:val="20"/>
                <w:lang w:eastAsia="en-US"/>
              </w:rPr>
            </w:pPr>
            <w:r w:rsidRPr="00590528">
              <w:rPr>
                <w:rFonts w:ascii="Arial Narrow" w:hAnsi="Arial Narrow"/>
                <w:sz w:val="20"/>
                <w:szCs w:val="20"/>
                <w:lang w:eastAsia="en-US"/>
              </w:rPr>
              <w:t>Jardiance</w:t>
            </w:r>
          </w:p>
        </w:tc>
      </w:tr>
      <w:tr w:rsidR="00590528" w14:paraId="1E881E7B" w14:textId="77777777" w:rsidTr="00590528">
        <w:trPr>
          <w:trHeight w:val="20"/>
        </w:trPr>
        <w:tc>
          <w:tcPr>
            <w:tcW w:w="901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8FBE66" w14:textId="77777777" w:rsidR="00590528" w:rsidRDefault="00590528">
            <w:pPr>
              <w:spacing w:line="276" w:lineRule="auto"/>
              <w:rPr>
                <w:rFonts w:ascii="Arial Narrow" w:hAnsi="Arial Narrow"/>
                <w:b/>
                <w:sz w:val="20"/>
                <w:szCs w:val="20"/>
                <w:lang w:eastAsia="en-US"/>
              </w:rPr>
            </w:pPr>
          </w:p>
        </w:tc>
      </w:tr>
      <w:tr w:rsidR="00590528" w14:paraId="708D3ADF" w14:textId="77777777" w:rsidTr="00590528">
        <w:trPr>
          <w:trHeight w:val="20"/>
        </w:trPr>
        <w:tc>
          <w:tcPr>
            <w:tcW w:w="9017" w:type="dxa"/>
            <w:gridSpan w:val="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061CD6" w14:textId="77777777" w:rsidR="00590528" w:rsidRDefault="00590528">
            <w:pPr>
              <w:spacing w:line="276" w:lineRule="auto"/>
              <w:ind w:left="57"/>
              <w:rPr>
                <w:rFonts w:ascii="Arial Narrow" w:hAnsi="Arial Narrow"/>
                <w:b/>
                <w:sz w:val="20"/>
                <w:szCs w:val="20"/>
                <w:lang w:eastAsia="en-US"/>
              </w:rPr>
            </w:pPr>
            <w:r>
              <w:rPr>
                <w:rFonts w:ascii="Arial Narrow" w:hAnsi="Arial Narrow"/>
                <w:b/>
                <w:sz w:val="20"/>
                <w:szCs w:val="20"/>
                <w:lang w:eastAsia="en-US"/>
              </w:rPr>
              <w:t>Restriction Summary [new] / Treatment of Concept: [new]</w:t>
            </w:r>
          </w:p>
        </w:tc>
      </w:tr>
      <w:tr w:rsidR="00590528" w14:paraId="409488F6" w14:textId="77777777" w:rsidTr="00FF58E1">
        <w:trPr>
          <w:trHeight w:val="20"/>
        </w:trPr>
        <w:tc>
          <w:tcPr>
            <w:tcW w:w="91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51863E3" w14:textId="77777777" w:rsidR="00590528" w:rsidRDefault="00590528">
            <w:pPr>
              <w:spacing w:line="276" w:lineRule="auto"/>
              <w:jc w:val="center"/>
              <w:rPr>
                <w:rFonts w:ascii="Arial Narrow" w:hAnsi="Arial Narrow"/>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BCE471" w14:textId="77777777" w:rsidR="00590528" w:rsidRDefault="00590528">
            <w:pPr>
              <w:spacing w:line="276" w:lineRule="auto"/>
              <w:rPr>
                <w:rFonts w:ascii="Arial Narrow" w:hAnsi="Arial Narrow"/>
                <w:sz w:val="20"/>
                <w:szCs w:val="20"/>
                <w:lang w:eastAsia="en-US"/>
              </w:rPr>
            </w:pPr>
            <w:r>
              <w:rPr>
                <w:rFonts w:ascii="Arial Narrow" w:hAnsi="Arial Narrow"/>
                <w:b/>
                <w:sz w:val="20"/>
                <w:szCs w:val="20"/>
                <w:lang w:eastAsia="en-US"/>
              </w:rPr>
              <w:t xml:space="preserve">Category / Program: </w:t>
            </w:r>
            <w:r>
              <w:rPr>
                <w:rFonts w:ascii="Arial Narrow" w:hAnsi="Arial Narrow"/>
                <w:sz w:val="20"/>
                <w:szCs w:val="20"/>
                <w:lang w:eastAsia="en-US"/>
              </w:rPr>
              <w:t>GENERAL – General Schedule (Code GE)</w:t>
            </w:r>
          </w:p>
        </w:tc>
      </w:tr>
      <w:tr w:rsidR="00590528" w14:paraId="4647161E" w14:textId="77777777" w:rsidTr="00FF58E1">
        <w:trPr>
          <w:trHeight w:val="20"/>
        </w:trPr>
        <w:tc>
          <w:tcPr>
            <w:tcW w:w="915" w:type="dxa"/>
            <w:vMerge/>
            <w:tcBorders>
              <w:top w:val="single" w:sz="4" w:space="0" w:color="auto"/>
              <w:left w:val="single" w:sz="4" w:space="0" w:color="auto"/>
              <w:bottom w:val="single" w:sz="4" w:space="0" w:color="auto"/>
              <w:right w:val="single" w:sz="4" w:space="0" w:color="auto"/>
            </w:tcBorders>
            <w:vAlign w:val="center"/>
          </w:tcPr>
          <w:p w14:paraId="1D570AE7" w14:textId="77777777" w:rsidR="00590528" w:rsidRDefault="00590528">
            <w:pPr>
              <w:spacing w:line="276" w:lineRule="auto"/>
              <w:jc w:val="left"/>
              <w:rPr>
                <w:rFonts w:ascii="Arial Narrow" w:hAnsi="Arial Narrow"/>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4A08F9" w14:textId="77777777" w:rsidR="00590528" w:rsidRDefault="00590528">
            <w:pPr>
              <w:spacing w:line="276" w:lineRule="auto"/>
              <w:rPr>
                <w:rFonts w:ascii="Arial Narrow" w:hAnsi="Arial Narrow"/>
                <w:b/>
                <w:sz w:val="20"/>
                <w:szCs w:val="20"/>
                <w:lang w:eastAsia="en-US"/>
              </w:rPr>
            </w:pPr>
            <w:r>
              <w:rPr>
                <w:rFonts w:ascii="Arial Narrow" w:hAnsi="Arial Narrow"/>
                <w:b/>
                <w:sz w:val="20"/>
                <w:szCs w:val="20"/>
                <w:lang w:eastAsia="en-US"/>
              </w:rPr>
              <w:t>Prescriber type:</w:t>
            </w:r>
            <w:r>
              <w:rPr>
                <w:rFonts w:ascii="Arial Narrow" w:hAnsi="Arial Narrow"/>
                <w:sz w:val="20"/>
                <w:szCs w:val="20"/>
                <w:lang w:eastAsia="en-US"/>
              </w:rPr>
              <w:t xml:space="preserve"> </w:t>
            </w:r>
            <w:r>
              <w:rPr>
                <w:rFonts w:ascii="Arial Narrow" w:hAnsi="Arial Narrow"/>
                <w:sz w:val="20"/>
                <w:szCs w:val="20"/>
                <w:lang w:eastAsia="en-US"/>
              </w:rPr>
              <w:fldChar w:fldCharType="begin">
                <w:ffData>
                  <w:name w:val=""/>
                  <w:enabled/>
                  <w:calcOnExit w:val="0"/>
                  <w:checkBox>
                    <w:sizeAuto/>
                    <w:default w:val="1"/>
                  </w:checkBox>
                </w:ffData>
              </w:fldChar>
            </w:r>
            <w:r>
              <w:rPr>
                <w:rFonts w:ascii="Arial Narrow" w:hAnsi="Arial Narrow"/>
                <w:sz w:val="20"/>
                <w:szCs w:val="20"/>
                <w:lang w:eastAsia="en-US"/>
              </w:rPr>
              <w:instrText xml:space="preserve"> FORMCHECKBOX </w:instrText>
            </w:r>
            <w:r w:rsidR="0046126B">
              <w:rPr>
                <w:rFonts w:ascii="Arial Narrow" w:hAnsi="Arial Narrow"/>
                <w:sz w:val="20"/>
                <w:szCs w:val="20"/>
                <w:lang w:eastAsia="en-US"/>
              </w:rPr>
            </w:r>
            <w:r w:rsidR="0046126B">
              <w:rPr>
                <w:rFonts w:ascii="Arial Narrow" w:hAnsi="Arial Narrow"/>
                <w:sz w:val="20"/>
                <w:szCs w:val="20"/>
                <w:lang w:eastAsia="en-US"/>
              </w:rPr>
              <w:fldChar w:fldCharType="separate"/>
            </w:r>
            <w:r>
              <w:rPr>
                <w:rFonts w:ascii="Arial Narrow" w:hAnsi="Arial Narrow"/>
                <w:sz w:val="20"/>
                <w:szCs w:val="20"/>
                <w:lang w:eastAsia="en-US"/>
              </w:rPr>
              <w:fldChar w:fldCharType="end"/>
            </w:r>
            <w:r>
              <w:rPr>
                <w:rFonts w:ascii="Arial Narrow" w:hAnsi="Arial Narrow"/>
                <w:sz w:val="20"/>
                <w:szCs w:val="20"/>
                <w:lang w:eastAsia="en-US"/>
              </w:rPr>
              <w:t xml:space="preserve"> Medical Practitioners    </w:t>
            </w:r>
            <w:r>
              <w:rPr>
                <w:rFonts w:ascii="Arial Narrow" w:hAnsi="Arial Narrow"/>
                <w:sz w:val="20"/>
                <w:szCs w:val="20"/>
                <w:lang w:eastAsia="en-US"/>
              </w:rPr>
              <w:fldChar w:fldCharType="begin">
                <w:ffData>
                  <w:name w:val="Check3"/>
                  <w:enabled/>
                  <w:calcOnExit w:val="0"/>
                  <w:checkBox>
                    <w:sizeAuto/>
                    <w:default w:val="1"/>
                  </w:checkBox>
                </w:ffData>
              </w:fldChar>
            </w:r>
            <w:r>
              <w:rPr>
                <w:rFonts w:ascii="Arial Narrow" w:hAnsi="Arial Narrow"/>
                <w:sz w:val="20"/>
                <w:szCs w:val="20"/>
                <w:lang w:eastAsia="en-US"/>
              </w:rPr>
              <w:instrText xml:space="preserve"> FORMCHECKBOX </w:instrText>
            </w:r>
            <w:r w:rsidR="0046126B">
              <w:rPr>
                <w:rFonts w:ascii="Arial Narrow" w:hAnsi="Arial Narrow"/>
                <w:sz w:val="20"/>
                <w:szCs w:val="20"/>
                <w:lang w:eastAsia="en-US"/>
              </w:rPr>
            </w:r>
            <w:r w:rsidR="0046126B">
              <w:rPr>
                <w:rFonts w:ascii="Arial Narrow" w:hAnsi="Arial Narrow"/>
                <w:sz w:val="20"/>
                <w:szCs w:val="20"/>
                <w:lang w:eastAsia="en-US"/>
              </w:rPr>
              <w:fldChar w:fldCharType="separate"/>
            </w:r>
            <w:r>
              <w:rPr>
                <w:rFonts w:ascii="Arial Narrow" w:hAnsi="Arial Narrow"/>
                <w:sz w:val="20"/>
                <w:szCs w:val="20"/>
                <w:lang w:eastAsia="en-US"/>
              </w:rPr>
              <w:fldChar w:fldCharType="end"/>
            </w:r>
            <w:r>
              <w:rPr>
                <w:rFonts w:ascii="Arial Narrow" w:hAnsi="Arial Narrow"/>
                <w:sz w:val="20"/>
                <w:szCs w:val="20"/>
                <w:lang w:eastAsia="en-US"/>
              </w:rPr>
              <w:t xml:space="preserve"> Nurse practitioners</w:t>
            </w:r>
          </w:p>
        </w:tc>
      </w:tr>
      <w:tr w:rsidR="00590528" w14:paraId="08B3F16E" w14:textId="77777777" w:rsidTr="00FF58E1">
        <w:trPr>
          <w:trHeight w:val="255"/>
        </w:trPr>
        <w:tc>
          <w:tcPr>
            <w:tcW w:w="915" w:type="dxa"/>
            <w:vMerge/>
            <w:tcBorders>
              <w:top w:val="single" w:sz="4" w:space="0" w:color="auto"/>
              <w:left w:val="single" w:sz="4" w:space="0" w:color="auto"/>
              <w:bottom w:val="single" w:sz="4" w:space="0" w:color="auto"/>
              <w:right w:val="single" w:sz="4" w:space="0" w:color="auto"/>
            </w:tcBorders>
            <w:vAlign w:val="center"/>
          </w:tcPr>
          <w:p w14:paraId="302858B0" w14:textId="77777777" w:rsidR="00590528" w:rsidRDefault="00590528">
            <w:pPr>
              <w:spacing w:line="276" w:lineRule="auto"/>
              <w:jc w:val="left"/>
              <w:rPr>
                <w:rFonts w:ascii="Arial Narrow" w:hAnsi="Arial Narrow"/>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6DF1EF9" w14:textId="77777777" w:rsidR="00590528" w:rsidRDefault="00590528">
            <w:pPr>
              <w:spacing w:line="276" w:lineRule="auto"/>
              <w:rPr>
                <w:rFonts w:ascii="Arial Narrow" w:eastAsia="Calibri" w:hAnsi="Arial Narrow"/>
                <w:sz w:val="20"/>
                <w:szCs w:val="20"/>
                <w:lang w:eastAsia="en-US"/>
              </w:rPr>
            </w:pPr>
            <w:r>
              <w:rPr>
                <w:rFonts w:ascii="Arial Narrow" w:hAnsi="Arial Narrow"/>
                <w:b/>
                <w:sz w:val="20"/>
                <w:szCs w:val="20"/>
                <w:lang w:eastAsia="en-US"/>
              </w:rPr>
              <w:t xml:space="preserve">Restriction type: </w:t>
            </w:r>
            <w:r>
              <w:rPr>
                <w:rFonts w:ascii="Arial Narrow" w:eastAsia="Calibri" w:hAnsi="Arial Narrow"/>
                <w:sz w:val="20"/>
                <w:szCs w:val="20"/>
                <w:lang w:eastAsia="en-US"/>
              </w:rPr>
              <w:fldChar w:fldCharType="begin">
                <w:ffData>
                  <w:name w:val=""/>
                  <w:enabled/>
                  <w:calcOnExit w:val="0"/>
                  <w:checkBox>
                    <w:sizeAuto/>
                    <w:default w:val="1"/>
                  </w:checkBox>
                </w:ffData>
              </w:fldChar>
            </w:r>
            <w:r>
              <w:rPr>
                <w:rFonts w:ascii="Arial Narrow" w:eastAsia="Calibri" w:hAnsi="Arial Narrow"/>
                <w:sz w:val="20"/>
                <w:szCs w:val="20"/>
                <w:lang w:eastAsia="en-US"/>
              </w:rPr>
              <w:instrText xml:space="preserve"> FORMCHECKBOX </w:instrText>
            </w:r>
            <w:r w:rsidR="0046126B">
              <w:rPr>
                <w:rFonts w:ascii="Arial Narrow" w:eastAsia="Calibri" w:hAnsi="Arial Narrow"/>
                <w:sz w:val="20"/>
                <w:szCs w:val="20"/>
                <w:lang w:eastAsia="en-US"/>
              </w:rPr>
            </w:r>
            <w:r w:rsidR="0046126B">
              <w:rPr>
                <w:rFonts w:ascii="Arial Narrow" w:eastAsia="Calibri" w:hAnsi="Arial Narrow"/>
                <w:sz w:val="20"/>
                <w:szCs w:val="20"/>
                <w:lang w:eastAsia="en-US"/>
              </w:rPr>
              <w:fldChar w:fldCharType="separate"/>
            </w:r>
            <w:r>
              <w:rPr>
                <w:rFonts w:ascii="Arial Narrow" w:eastAsia="Calibri" w:hAnsi="Arial Narrow"/>
                <w:sz w:val="20"/>
                <w:szCs w:val="20"/>
                <w:lang w:eastAsia="en-US"/>
              </w:rPr>
              <w:fldChar w:fldCharType="end"/>
            </w:r>
            <w:r>
              <w:rPr>
                <w:rFonts w:ascii="Arial Narrow" w:eastAsia="Calibri" w:hAnsi="Arial Narrow"/>
                <w:sz w:val="20"/>
                <w:szCs w:val="20"/>
                <w:lang w:eastAsia="en-US"/>
              </w:rPr>
              <w:t xml:space="preserve"> Authority Required (STREAMLINED) [new code]</w:t>
            </w:r>
          </w:p>
        </w:tc>
      </w:tr>
      <w:tr w:rsidR="00590528" w14:paraId="5E3FD99E" w14:textId="77777777" w:rsidTr="00FF58E1">
        <w:trPr>
          <w:trHeight w:val="20"/>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41BA8F" w14:textId="77777777" w:rsidR="00590528" w:rsidRDefault="00590528">
            <w:pPr>
              <w:spacing w:line="276" w:lineRule="auto"/>
              <w:jc w:val="center"/>
              <w:rPr>
                <w:rFonts w:ascii="Arial Narrow" w:hAnsi="Arial Narrow"/>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9F0998" w14:textId="77777777" w:rsidR="00590528" w:rsidRDefault="00590528">
            <w:pPr>
              <w:spacing w:line="276" w:lineRule="auto"/>
              <w:rPr>
                <w:rFonts w:ascii="Arial Narrow" w:hAnsi="Arial Narrow"/>
                <w:sz w:val="20"/>
                <w:szCs w:val="20"/>
                <w:lang w:eastAsia="en-US"/>
              </w:rPr>
            </w:pPr>
            <w:r>
              <w:rPr>
                <w:rFonts w:ascii="Arial Narrow" w:hAnsi="Arial Narrow"/>
                <w:b/>
                <w:bCs/>
                <w:sz w:val="20"/>
                <w:szCs w:val="20"/>
                <w:lang w:eastAsia="en-US"/>
              </w:rPr>
              <w:t>Indication:</w:t>
            </w:r>
            <w:r>
              <w:rPr>
                <w:rFonts w:ascii="Arial Narrow" w:hAnsi="Arial Narrow"/>
                <w:sz w:val="20"/>
                <w:szCs w:val="20"/>
                <w:lang w:eastAsia="en-US"/>
              </w:rPr>
              <w:t xml:space="preserve"> Chronic heart failure</w:t>
            </w:r>
          </w:p>
        </w:tc>
      </w:tr>
      <w:tr w:rsidR="00590528" w14:paraId="4809703C" w14:textId="77777777" w:rsidTr="00FF58E1">
        <w:trPr>
          <w:trHeight w:val="20"/>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8C7497" w14:textId="77777777" w:rsidR="00590528" w:rsidRDefault="00590528">
            <w:pPr>
              <w:rPr>
                <w:rFonts w:ascii="Arial Narrow" w:hAnsi="Arial Narrow"/>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6197CC" w14:textId="77777777" w:rsidR="00590528" w:rsidRDefault="00590528">
            <w:pPr>
              <w:spacing w:line="276" w:lineRule="auto"/>
              <w:rPr>
                <w:rFonts w:ascii="Arial Narrow" w:hAnsi="Arial Narrow"/>
                <w:sz w:val="20"/>
                <w:szCs w:val="20"/>
                <w:lang w:eastAsia="en-US"/>
              </w:rPr>
            </w:pPr>
            <w:r>
              <w:rPr>
                <w:rFonts w:ascii="Arial Narrow" w:hAnsi="Arial Narrow"/>
                <w:b/>
                <w:bCs/>
                <w:sz w:val="20"/>
                <w:szCs w:val="20"/>
                <w:lang w:eastAsia="en-US"/>
              </w:rPr>
              <w:t>Treatment Phase:</w:t>
            </w:r>
            <w:r>
              <w:rPr>
                <w:rFonts w:ascii="Arial Narrow" w:hAnsi="Arial Narrow"/>
                <w:sz w:val="20"/>
                <w:szCs w:val="20"/>
                <w:lang w:eastAsia="en-US"/>
              </w:rPr>
              <w:t xml:space="preserve"> [blank]</w:t>
            </w:r>
          </w:p>
        </w:tc>
      </w:tr>
      <w:tr w:rsidR="00590528" w14:paraId="51DFE9DA" w14:textId="77777777" w:rsidTr="00FF58E1">
        <w:trPr>
          <w:trHeight w:val="20"/>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2382D8" w14:textId="77777777" w:rsidR="00590528" w:rsidRDefault="00590528">
            <w:pPr>
              <w:spacing w:line="276" w:lineRule="auto"/>
              <w:jc w:val="center"/>
              <w:rPr>
                <w:rFonts w:ascii="Arial Narrow" w:hAnsi="Arial Narrow"/>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5F522A" w14:textId="77777777" w:rsidR="00590528" w:rsidRDefault="00590528">
            <w:pPr>
              <w:spacing w:line="276" w:lineRule="auto"/>
              <w:rPr>
                <w:rFonts w:ascii="Arial Narrow" w:hAnsi="Arial Narrow"/>
                <w:sz w:val="20"/>
                <w:szCs w:val="20"/>
                <w:lang w:eastAsia="en-US"/>
              </w:rPr>
            </w:pPr>
            <w:r>
              <w:rPr>
                <w:rFonts w:ascii="Arial Narrow" w:hAnsi="Arial Narrow"/>
                <w:b/>
                <w:bCs/>
                <w:sz w:val="20"/>
                <w:szCs w:val="20"/>
                <w:lang w:eastAsia="en-US"/>
              </w:rPr>
              <w:t>Clinical criteria:</w:t>
            </w:r>
          </w:p>
        </w:tc>
      </w:tr>
      <w:tr w:rsidR="00590528" w14:paraId="391580E5" w14:textId="77777777" w:rsidTr="00FF58E1">
        <w:trPr>
          <w:trHeight w:val="20"/>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1B2CCF" w14:textId="77777777" w:rsidR="00590528" w:rsidRDefault="00590528">
            <w:pPr>
              <w:spacing w:line="276" w:lineRule="auto"/>
              <w:jc w:val="center"/>
              <w:rPr>
                <w:rFonts w:ascii="Arial Narrow" w:hAnsi="Arial Narrow"/>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92C828" w14:textId="77777777" w:rsidR="00590528" w:rsidRDefault="00590528">
            <w:pPr>
              <w:spacing w:line="276" w:lineRule="auto"/>
              <w:rPr>
                <w:rFonts w:ascii="Arial Narrow" w:hAnsi="Arial Narrow"/>
                <w:sz w:val="20"/>
                <w:szCs w:val="20"/>
                <w:lang w:eastAsia="en-US"/>
              </w:rPr>
            </w:pPr>
            <w:r>
              <w:rPr>
                <w:rFonts w:ascii="Arial Narrow" w:hAnsi="Arial Narrow"/>
                <w:sz w:val="20"/>
                <w:szCs w:val="20"/>
                <w:lang w:eastAsia="en-US"/>
              </w:rPr>
              <w:t>Patient must be symptomatic with NYHA classes II, III or IV,</w:t>
            </w:r>
          </w:p>
        </w:tc>
      </w:tr>
      <w:tr w:rsidR="00590528" w14:paraId="194626E1" w14:textId="77777777" w:rsidTr="00FF58E1">
        <w:trPr>
          <w:trHeight w:val="20"/>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FEAD48" w14:textId="77777777" w:rsidR="00590528" w:rsidRDefault="00590528">
            <w:pPr>
              <w:rPr>
                <w:rFonts w:ascii="Arial Narrow" w:hAnsi="Arial Narrow"/>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4A5FB3" w14:textId="77777777" w:rsidR="00590528" w:rsidRDefault="00590528">
            <w:pPr>
              <w:spacing w:line="276" w:lineRule="auto"/>
              <w:rPr>
                <w:rFonts w:ascii="Arial Narrow" w:hAnsi="Arial Narrow"/>
                <w:sz w:val="20"/>
                <w:szCs w:val="20"/>
                <w:lang w:eastAsia="en-US"/>
              </w:rPr>
            </w:pPr>
            <w:r>
              <w:rPr>
                <w:rFonts w:ascii="Arial Narrow" w:hAnsi="Arial Narrow"/>
                <w:b/>
                <w:bCs/>
                <w:sz w:val="20"/>
                <w:szCs w:val="20"/>
                <w:lang w:eastAsia="en-US"/>
              </w:rPr>
              <w:t>AND</w:t>
            </w:r>
          </w:p>
        </w:tc>
      </w:tr>
      <w:tr w:rsidR="00590528" w14:paraId="7A26029A" w14:textId="77777777" w:rsidTr="00FF58E1">
        <w:trPr>
          <w:trHeight w:val="20"/>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34E38D7" w14:textId="77777777" w:rsidR="00590528" w:rsidRDefault="00590528">
            <w:pPr>
              <w:spacing w:line="276" w:lineRule="auto"/>
              <w:jc w:val="center"/>
              <w:rPr>
                <w:rFonts w:ascii="Arial Narrow" w:hAnsi="Arial Narrow"/>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AE7654C" w14:textId="77777777" w:rsidR="00590528" w:rsidRDefault="00590528">
            <w:pPr>
              <w:spacing w:line="276" w:lineRule="auto"/>
              <w:rPr>
                <w:rFonts w:ascii="Arial Narrow" w:hAnsi="Arial Narrow"/>
                <w:sz w:val="20"/>
                <w:szCs w:val="20"/>
                <w:lang w:eastAsia="en-US"/>
              </w:rPr>
            </w:pPr>
            <w:r>
              <w:rPr>
                <w:rFonts w:ascii="Arial Narrow" w:hAnsi="Arial Narrow"/>
                <w:b/>
                <w:bCs/>
                <w:sz w:val="20"/>
                <w:szCs w:val="20"/>
                <w:lang w:eastAsia="en-US"/>
              </w:rPr>
              <w:t>Clinical criteria:</w:t>
            </w:r>
          </w:p>
        </w:tc>
      </w:tr>
      <w:tr w:rsidR="00590528" w14:paraId="3F30E243" w14:textId="77777777" w:rsidTr="00FF58E1">
        <w:trPr>
          <w:trHeight w:val="20"/>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3EC0AA" w14:textId="77777777" w:rsidR="00590528" w:rsidRDefault="00590528">
            <w:pPr>
              <w:spacing w:line="276" w:lineRule="auto"/>
              <w:jc w:val="center"/>
              <w:rPr>
                <w:rFonts w:ascii="Arial Narrow" w:hAnsi="Arial Narrow"/>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71F0D5" w14:textId="77777777" w:rsidR="00590528" w:rsidRDefault="00590528">
            <w:pPr>
              <w:spacing w:line="276" w:lineRule="auto"/>
              <w:rPr>
                <w:rFonts w:ascii="Arial Narrow" w:hAnsi="Arial Narrow"/>
                <w:sz w:val="20"/>
                <w:szCs w:val="20"/>
                <w:lang w:eastAsia="en-US"/>
              </w:rPr>
            </w:pPr>
            <w:r>
              <w:rPr>
                <w:rFonts w:ascii="Arial Narrow" w:hAnsi="Arial Narrow"/>
                <w:sz w:val="20"/>
                <w:szCs w:val="20"/>
                <w:lang w:eastAsia="en-US"/>
              </w:rPr>
              <w:t>Patient must have a documented left ventricular ejection fraction (LVEF) of less than or equal to 40%,</w:t>
            </w:r>
          </w:p>
        </w:tc>
      </w:tr>
      <w:tr w:rsidR="00590528" w14:paraId="4C728265" w14:textId="77777777" w:rsidTr="00590528">
        <w:trPr>
          <w:trHeight w:val="20"/>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64F7BC" w14:textId="77777777" w:rsidR="00590528" w:rsidRDefault="00590528">
            <w:pPr>
              <w:spacing w:line="276" w:lineRule="auto"/>
              <w:jc w:val="center"/>
              <w:rPr>
                <w:rFonts w:ascii="Arial Narrow" w:hAnsi="Arial Narrow"/>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80C782" w14:textId="77777777" w:rsidR="00590528" w:rsidRDefault="00590528">
            <w:pPr>
              <w:spacing w:line="276" w:lineRule="auto"/>
              <w:rPr>
                <w:rFonts w:ascii="Arial Narrow" w:hAnsi="Arial Narrow"/>
                <w:sz w:val="20"/>
                <w:szCs w:val="20"/>
                <w:lang w:eastAsia="en-US"/>
              </w:rPr>
            </w:pPr>
            <w:r>
              <w:rPr>
                <w:rFonts w:ascii="Arial Narrow" w:hAnsi="Arial Narrow"/>
                <w:b/>
                <w:bCs/>
                <w:sz w:val="20"/>
                <w:szCs w:val="20"/>
                <w:lang w:eastAsia="en-US"/>
              </w:rPr>
              <w:t>AND</w:t>
            </w:r>
          </w:p>
        </w:tc>
      </w:tr>
      <w:tr w:rsidR="00590528" w14:paraId="016E93A4" w14:textId="77777777" w:rsidTr="00590528">
        <w:trPr>
          <w:trHeight w:val="20"/>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01310F" w14:textId="77777777" w:rsidR="00590528" w:rsidRDefault="00590528">
            <w:pPr>
              <w:spacing w:line="276" w:lineRule="auto"/>
              <w:jc w:val="center"/>
              <w:rPr>
                <w:rFonts w:ascii="Arial Narrow" w:hAnsi="Arial Narrow"/>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C3FA85" w14:textId="77777777" w:rsidR="00590528" w:rsidRDefault="00590528">
            <w:pPr>
              <w:spacing w:line="276" w:lineRule="auto"/>
              <w:rPr>
                <w:rFonts w:ascii="Arial Narrow" w:hAnsi="Arial Narrow"/>
                <w:sz w:val="20"/>
                <w:szCs w:val="20"/>
                <w:lang w:eastAsia="en-US"/>
              </w:rPr>
            </w:pPr>
            <w:r>
              <w:rPr>
                <w:rFonts w:ascii="Arial Narrow" w:hAnsi="Arial Narrow"/>
                <w:b/>
                <w:bCs/>
                <w:sz w:val="20"/>
                <w:szCs w:val="20"/>
                <w:lang w:eastAsia="en-US"/>
              </w:rPr>
              <w:t>Clinical criteria:</w:t>
            </w:r>
          </w:p>
        </w:tc>
      </w:tr>
      <w:tr w:rsidR="00590528" w14:paraId="15CE483F" w14:textId="77777777" w:rsidTr="00FF58E1">
        <w:trPr>
          <w:trHeight w:val="20"/>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A22AD75" w14:textId="77777777" w:rsidR="00590528" w:rsidRDefault="00590528">
            <w:pPr>
              <w:spacing w:line="276" w:lineRule="auto"/>
              <w:jc w:val="center"/>
              <w:rPr>
                <w:rFonts w:ascii="Arial Narrow" w:hAnsi="Arial Narrow"/>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6521CA" w14:textId="77777777" w:rsidR="00590528" w:rsidRDefault="00590528" w:rsidP="00590528">
            <w:pPr>
              <w:spacing w:line="276" w:lineRule="auto"/>
              <w:ind w:right="170"/>
              <w:rPr>
                <w:rFonts w:ascii="Arial Narrow" w:hAnsi="Arial Narrow"/>
                <w:sz w:val="20"/>
                <w:szCs w:val="20"/>
                <w:lang w:eastAsia="en-US"/>
              </w:rPr>
            </w:pPr>
            <w:r>
              <w:rPr>
                <w:rFonts w:ascii="Arial Narrow" w:hAnsi="Arial Narrow"/>
                <w:sz w:val="20"/>
                <w:szCs w:val="20"/>
                <w:lang w:eastAsia="en-US"/>
              </w:rPr>
              <w:t>The treatment must be an add-on therapy to optimal standard chronic heart failure treatment, which must include a beta-blocker, unless contraindicated according to the TGA-approved Product Information or cannot be tolerated;</w:t>
            </w:r>
          </w:p>
        </w:tc>
      </w:tr>
      <w:tr w:rsidR="00590528" w14:paraId="2F46FEAD" w14:textId="77777777" w:rsidTr="00590528">
        <w:trPr>
          <w:trHeight w:val="20"/>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5B64C84" w14:textId="77777777" w:rsidR="00590528" w:rsidRDefault="00590528">
            <w:pPr>
              <w:spacing w:line="276" w:lineRule="auto"/>
              <w:jc w:val="center"/>
              <w:rPr>
                <w:rFonts w:ascii="Arial Narrow" w:hAnsi="Arial Narrow"/>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A21D32" w14:textId="77777777" w:rsidR="00590528" w:rsidRDefault="00590528">
            <w:pPr>
              <w:spacing w:line="276" w:lineRule="auto"/>
              <w:rPr>
                <w:rFonts w:ascii="Arial Narrow" w:hAnsi="Arial Narrow"/>
                <w:sz w:val="20"/>
                <w:szCs w:val="20"/>
                <w:lang w:eastAsia="en-US"/>
              </w:rPr>
            </w:pPr>
            <w:r>
              <w:rPr>
                <w:rFonts w:ascii="Arial Narrow" w:hAnsi="Arial Narrow"/>
                <w:b/>
                <w:bCs/>
                <w:sz w:val="20"/>
                <w:szCs w:val="20"/>
                <w:lang w:eastAsia="en-US"/>
              </w:rPr>
              <w:t>AND</w:t>
            </w:r>
          </w:p>
        </w:tc>
      </w:tr>
      <w:tr w:rsidR="00590528" w14:paraId="3C3778EA" w14:textId="77777777" w:rsidTr="00590528">
        <w:trPr>
          <w:trHeight w:val="20"/>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A501D2" w14:textId="77777777" w:rsidR="00590528" w:rsidRDefault="00590528">
            <w:pPr>
              <w:spacing w:line="276" w:lineRule="auto"/>
              <w:jc w:val="center"/>
              <w:rPr>
                <w:rFonts w:ascii="Arial Narrow" w:hAnsi="Arial Narrow"/>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43C05D" w14:textId="77777777" w:rsidR="00590528" w:rsidRDefault="00590528">
            <w:pPr>
              <w:spacing w:line="276" w:lineRule="auto"/>
              <w:rPr>
                <w:rFonts w:ascii="Arial Narrow" w:hAnsi="Arial Narrow"/>
                <w:sz w:val="20"/>
                <w:szCs w:val="20"/>
                <w:lang w:eastAsia="en-US"/>
              </w:rPr>
            </w:pPr>
            <w:r>
              <w:rPr>
                <w:rFonts w:ascii="Arial Narrow" w:hAnsi="Arial Narrow"/>
                <w:b/>
                <w:bCs/>
                <w:sz w:val="20"/>
                <w:szCs w:val="20"/>
                <w:lang w:eastAsia="en-US"/>
              </w:rPr>
              <w:t>Clinical criteria:</w:t>
            </w:r>
          </w:p>
        </w:tc>
      </w:tr>
      <w:tr w:rsidR="00590528" w14:paraId="762E0E81" w14:textId="77777777" w:rsidTr="00FF58E1">
        <w:trPr>
          <w:trHeight w:val="20"/>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268DA3" w14:textId="77777777" w:rsidR="00590528" w:rsidRDefault="00590528">
            <w:pPr>
              <w:spacing w:line="276" w:lineRule="auto"/>
              <w:jc w:val="center"/>
              <w:rPr>
                <w:rFonts w:ascii="Arial Narrow" w:hAnsi="Arial Narrow"/>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147DE1" w14:textId="77777777" w:rsidR="00590528" w:rsidRDefault="00590528">
            <w:pPr>
              <w:pStyle w:val="TableText"/>
              <w:spacing w:line="276" w:lineRule="auto"/>
              <w:rPr>
                <w:rFonts w:eastAsia="Times New Roman"/>
                <w:lang w:eastAsia="en-US"/>
              </w:rPr>
            </w:pPr>
            <w:r>
              <w:rPr>
                <w:szCs w:val="20"/>
                <w:lang w:eastAsia="en-US"/>
              </w:rPr>
              <w:t>The treatment must be an add-on therapy to optimal standard chronic heart failure treatment, which must include</w:t>
            </w:r>
            <w:r>
              <w:rPr>
                <w:rFonts w:eastAsia="Times New Roman"/>
                <w:iCs/>
                <w:szCs w:val="20"/>
                <w:lang w:eastAsia="en-US"/>
              </w:rPr>
              <w:t xml:space="preserve"> an ACE inhibitor, unless contraindicated according to the TGA-approved Product Information or cannot be tolerated; </w:t>
            </w:r>
            <w:r>
              <w:rPr>
                <w:szCs w:val="20"/>
                <w:lang w:eastAsia="en-US"/>
              </w:rPr>
              <w:t>or</w:t>
            </w:r>
          </w:p>
        </w:tc>
      </w:tr>
      <w:tr w:rsidR="00590528" w14:paraId="761E166C" w14:textId="77777777" w:rsidTr="00FF58E1">
        <w:trPr>
          <w:trHeight w:val="20"/>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FEF6F09" w14:textId="77777777" w:rsidR="00590528" w:rsidRDefault="00590528">
            <w:pPr>
              <w:spacing w:line="276" w:lineRule="auto"/>
              <w:jc w:val="center"/>
              <w:rPr>
                <w:rFonts w:ascii="Arial Narrow" w:hAnsi="Arial Narrow"/>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F8395FD" w14:textId="77777777" w:rsidR="00590528" w:rsidRDefault="00590528">
            <w:pPr>
              <w:pStyle w:val="TableText"/>
              <w:spacing w:line="276" w:lineRule="auto"/>
              <w:rPr>
                <w:lang w:eastAsia="en-US"/>
              </w:rPr>
            </w:pPr>
            <w:r>
              <w:rPr>
                <w:szCs w:val="20"/>
                <w:lang w:eastAsia="en-US"/>
              </w:rPr>
              <w:t>The treatment must be an add-on therapy to optimal standard chronic heart failure treatment, which must include</w:t>
            </w:r>
            <w:r>
              <w:rPr>
                <w:rFonts w:eastAsia="Times New Roman"/>
                <w:iCs/>
                <w:szCs w:val="20"/>
                <w:lang w:eastAsia="en-US"/>
              </w:rPr>
              <w:t xml:space="preserve"> an angiotensin II antagonist, unless contraindicated according to the TGA-approved Product Information or cannot be tolerated</w:t>
            </w:r>
            <w:r>
              <w:rPr>
                <w:szCs w:val="20"/>
                <w:lang w:eastAsia="en-US"/>
              </w:rPr>
              <w:t>; or</w:t>
            </w:r>
          </w:p>
        </w:tc>
      </w:tr>
      <w:tr w:rsidR="00590528" w14:paraId="70EC1D82" w14:textId="77777777" w:rsidTr="00FF58E1">
        <w:trPr>
          <w:trHeight w:val="20"/>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4F35D3" w14:textId="77777777" w:rsidR="00590528" w:rsidRDefault="00590528">
            <w:pPr>
              <w:spacing w:line="276" w:lineRule="auto"/>
              <w:jc w:val="center"/>
              <w:rPr>
                <w:rFonts w:ascii="Arial Narrow" w:hAnsi="Arial Narrow"/>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D0E4F4" w14:textId="77777777" w:rsidR="00590528" w:rsidRDefault="00590528">
            <w:pPr>
              <w:pStyle w:val="TableText"/>
              <w:spacing w:line="276" w:lineRule="auto"/>
              <w:rPr>
                <w:lang w:eastAsia="en-US"/>
              </w:rPr>
            </w:pPr>
            <w:r>
              <w:rPr>
                <w:szCs w:val="20"/>
                <w:lang w:eastAsia="en-US"/>
              </w:rPr>
              <w:t>The treatment must be an add-on therapy to optimal standard chronic heart failure treatment, which must include</w:t>
            </w:r>
            <w:r>
              <w:rPr>
                <w:rFonts w:eastAsia="Times New Roman"/>
                <w:iCs/>
                <w:szCs w:val="20"/>
                <w:lang w:eastAsia="en-US"/>
              </w:rPr>
              <w:t xml:space="preserve"> an angiotensin receptor with neprilysin inhibitor combination therapy unless contraindicated according to the TGA-approved Product Information or cannot be tolerated</w:t>
            </w:r>
            <w:r>
              <w:rPr>
                <w:rFonts w:eastAsia="Times New Roman"/>
                <w:i/>
                <w:szCs w:val="20"/>
                <w:lang w:eastAsia="en-US"/>
              </w:rPr>
              <w:t>,</w:t>
            </w:r>
          </w:p>
        </w:tc>
      </w:tr>
      <w:tr w:rsidR="00590528" w14:paraId="33D77287" w14:textId="77777777" w:rsidTr="00590528">
        <w:trPr>
          <w:trHeight w:val="20"/>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D34FF43" w14:textId="77777777" w:rsidR="00590528" w:rsidRDefault="00590528">
            <w:pPr>
              <w:spacing w:line="276" w:lineRule="auto"/>
              <w:jc w:val="center"/>
              <w:rPr>
                <w:rFonts w:ascii="Arial Narrow" w:hAnsi="Arial Narrow"/>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316AB4" w14:textId="77777777" w:rsidR="00590528" w:rsidRDefault="00590528">
            <w:pPr>
              <w:spacing w:line="276" w:lineRule="auto"/>
              <w:rPr>
                <w:rFonts w:ascii="Arial Narrow" w:hAnsi="Arial Narrow"/>
                <w:sz w:val="20"/>
                <w:szCs w:val="20"/>
                <w:lang w:eastAsia="en-US"/>
              </w:rPr>
            </w:pPr>
            <w:r>
              <w:rPr>
                <w:rFonts w:ascii="Arial Narrow" w:hAnsi="Arial Narrow"/>
                <w:b/>
                <w:bCs/>
                <w:sz w:val="20"/>
                <w:szCs w:val="20"/>
                <w:lang w:eastAsia="en-US"/>
              </w:rPr>
              <w:t>AND</w:t>
            </w:r>
          </w:p>
        </w:tc>
      </w:tr>
      <w:tr w:rsidR="00590528" w14:paraId="21277D09" w14:textId="77777777" w:rsidTr="00590528">
        <w:trPr>
          <w:trHeight w:val="20"/>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517789" w14:textId="77777777" w:rsidR="00590528" w:rsidRDefault="00590528">
            <w:pPr>
              <w:spacing w:line="276" w:lineRule="auto"/>
              <w:jc w:val="center"/>
              <w:rPr>
                <w:rFonts w:ascii="Arial Narrow" w:hAnsi="Arial Narrow"/>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63C273" w14:textId="77777777" w:rsidR="00590528" w:rsidRDefault="00590528">
            <w:pPr>
              <w:spacing w:line="276" w:lineRule="auto"/>
              <w:rPr>
                <w:rFonts w:ascii="Arial Narrow" w:hAnsi="Arial Narrow"/>
                <w:sz w:val="20"/>
                <w:szCs w:val="20"/>
                <w:lang w:eastAsia="en-US"/>
              </w:rPr>
            </w:pPr>
            <w:r>
              <w:rPr>
                <w:rFonts w:ascii="Arial Narrow" w:hAnsi="Arial Narrow"/>
                <w:b/>
                <w:bCs/>
                <w:sz w:val="20"/>
                <w:szCs w:val="20"/>
                <w:lang w:eastAsia="en-US"/>
              </w:rPr>
              <w:t>Clinical criteria:</w:t>
            </w:r>
          </w:p>
        </w:tc>
      </w:tr>
      <w:tr w:rsidR="00590528" w14:paraId="7972C766" w14:textId="77777777" w:rsidTr="00FF58E1">
        <w:trPr>
          <w:trHeight w:val="20"/>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F49226" w14:textId="77777777" w:rsidR="00590528" w:rsidRDefault="00590528">
            <w:pPr>
              <w:spacing w:line="276" w:lineRule="auto"/>
              <w:jc w:val="center"/>
              <w:rPr>
                <w:rFonts w:ascii="Arial Narrow" w:hAnsi="Arial Narrow"/>
                <w:strike/>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97610A" w14:textId="77777777" w:rsidR="00590528" w:rsidRDefault="00590528">
            <w:pPr>
              <w:spacing w:line="276" w:lineRule="auto"/>
              <w:rPr>
                <w:rFonts w:ascii="Arial Narrow" w:hAnsi="Arial Narrow"/>
                <w:sz w:val="20"/>
                <w:szCs w:val="20"/>
                <w:lang w:eastAsia="en-US"/>
              </w:rPr>
            </w:pPr>
            <w:r>
              <w:rPr>
                <w:rFonts w:ascii="Arial Narrow" w:hAnsi="Arial Narrow"/>
                <w:sz w:val="20"/>
                <w:szCs w:val="20"/>
                <w:lang w:eastAsia="en-US"/>
              </w:rPr>
              <w:t xml:space="preserve">Patient must not be receiving treatment with another sodium-glucose co-transporter 2 (SGLT2) inhibitor </w:t>
            </w:r>
          </w:p>
        </w:tc>
      </w:tr>
      <w:tr w:rsidR="00590528" w14:paraId="1BD836CA" w14:textId="77777777" w:rsidTr="00590528">
        <w:trPr>
          <w:trHeight w:val="20"/>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3589442" w14:textId="77777777" w:rsidR="00590528" w:rsidRDefault="00590528">
            <w:pPr>
              <w:spacing w:line="276" w:lineRule="auto"/>
              <w:jc w:val="center"/>
              <w:rPr>
                <w:rFonts w:ascii="Arial Narrow" w:hAnsi="Arial Narrow"/>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3C79B9" w14:textId="77777777" w:rsidR="00590528" w:rsidRDefault="00590528">
            <w:pPr>
              <w:spacing w:line="276" w:lineRule="auto"/>
              <w:rPr>
                <w:rFonts w:ascii="Arial Narrow" w:hAnsi="Arial Narrow"/>
                <w:sz w:val="20"/>
                <w:szCs w:val="20"/>
                <w:lang w:eastAsia="en-US"/>
              </w:rPr>
            </w:pPr>
            <w:r>
              <w:rPr>
                <w:rFonts w:ascii="Arial Narrow" w:hAnsi="Arial Narrow"/>
                <w:b/>
                <w:bCs/>
                <w:sz w:val="20"/>
                <w:szCs w:val="20"/>
                <w:lang w:eastAsia="en-US"/>
              </w:rPr>
              <w:t>Administrative Advice:</w:t>
            </w:r>
          </w:p>
          <w:p w14:paraId="03168E92" w14:textId="77777777" w:rsidR="00590528" w:rsidRDefault="00590528">
            <w:pPr>
              <w:spacing w:line="276" w:lineRule="auto"/>
              <w:rPr>
                <w:rFonts w:ascii="Arial Narrow" w:hAnsi="Arial Narrow"/>
                <w:sz w:val="20"/>
                <w:szCs w:val="20"/>
                <w:lang w:eastAsia="en-US"/>
              </w:rPr>
            </w:pPr>
            <w:r>
              <w:rPr>
                <w:rFonts w:ascii="Arial Narrow" w:hAnsi="Arial Narrow"/>
                <w:bCs/>
                <w:sz w:val="20"/>
                <w:szCs w:val="20"/>
                <w:lang w:eastAsia="en-US"/>
              </w:rPr>
              <w:t>Continuing Therapy Only:</w:t>
            </w:r>
          </w:p>
          <w:p w14:paraId="13681AC8" w14:textId="77777777" w:rsidR="00590528" w:rsidRDefault="00590528">
            <w:pPr>
              <w:spacing w:line="276" w:lineRule="auto"/>
              <w:rPr>
                <w:rFonts w:ascii="Arial Narrow" w:hAnsi="Arial Narrow"/>
                <w:sz w:val="20"/>
                <w:szCs w:val="20"/>
                <w:lang w:eastAsia="en-US"/>
              </w:rPr>
            </w:pPr>
            <w:r>
              <w:rPr>
                <w:rFonts w:ascii="Arial Narrow" w:hAnsi="Arial Narrow"/>
                <w:sz w:val="20"/>
                <w:szCs w:val="20"/>
                <w:lang w:eastAsia="en-US"/>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590528" w14:paraId="227A7169" w14:textId="77777777" w:rsidTr="00FF58E1">
        <w:trPr>
          <w:trHeight w:val="20"/>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0BA9C7A" w14:textId="77777777" w:rsidR="00590528" w:rsidRDefault="00590528">
            <w:pPr>
              <w:spacing w:line="276" w:lineRule="auto"/>
              <w:jc w:val="center"/>
              <w:rPr>
                <w:rFonts w:ascii="Arial Narrow" w:hAnsi="Arial Narrow"/>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211DDE5" w14:textId="77777777" w:rsidR="00590528" w:rsidRDefault="00590528">
            <w:pPr>
              <w:spacing w:line="276" w:lineRule="auto"/>
              <w:rPr>
                <w:rFonts w:ascii="Arial Narrow" w:hAnsi="Arial Narrow"/>
                <w:b/>
                <w:bCs/>
                <w:sz w:val="20"/>
                <w:szCs w:val="20"/>
                <w:lang w:eastAsia="en-US"/>
              </w:rPr>
            </w:pPr>
            <w:r>
              <w:rPr>
                <w:rFonts w:ascii="Arial Narrow" w:hAnsi="Arial Narrow"/>
                <w:b/>
                <w:bCs/>
                <w:sz w:val="20"/>
                <w:szCs w:val="20"/>
                <w:lang w:eastAsia="en-US"/>
              </w:rPr>
              <w:t xml:space="preserve">Administrative advice: </w:t>
            </w:r>
            <w:r>
              <w:rPr>
                <w:rFonts w:ascii="Arial Narrow" w:hAnsi="Arial Narrow"/>
                <w:bCs/>
                <w:sz w:val="20"/>
                <w:szCs w:val="20"/>
                <w:lang w:eastAsia="en-US"/>
              </w:rPr>
              <w:t>No increase in the maximum quantity or number of units may be authorised.</w:t>
            </w:r>
          </w:p>
        </w:tc>
      </w:tr>
      <w:tr w:rsidR="00590528" w14:paraId="3C60C8A9" w14:textId="77777777" w:rsidTr="00FF58E1">
        <w:trPr>
          <w:trHeight w:val="20"/>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E5D8D1B" w14:textId="77777777" w:rsidR="00590528" w:rsidRDefault="00590528">
            <w:pPr>
              <w:spacing w:line="276" w:lineRule="auto"/>
              <w:jc w:val="center"/>
              <w:rPr>
                <w:rFonts w:ascii="Arial Narrow" w:hAnsi="Arial Narrow"/>
                <w:sz w:val="20"/>
                <w:szCs w:val="20"/>
                <w:lang w:eastAsia="en-US"/>
              </w:rPr>
            </w:pPr>
          </w:p>
        </w:tc>
        <w:tc>
          <w:tcPr>
            <w:tcW w:w="8102"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FB14FB" w14:textId="77777777" w:rsidR="00590528" w:rsidRDefault="00590528">
            <w:pPr>
              <w:spacing w:line="276" w:lineRule="auto"/>
              <w:rPr>
                <w:rFonts w:ascii="Arial Narrow" w:hAnsi="Arial Narrow"/>
                <w:b/>
                <w:bCs/>
                <w:sz w:val="20"/>
                <w:szCs w:val="20"/>
                <w:lang w:eastAsia="en-US"/>
              </w:rPr>
            </w:pPr>
            <w:r>
              <w:rPr>
                <w:rFonts w:ascii="Arial Narrow" w:hAnsi="Arial Narrow"/>
                <w:b/>
                <w:bCs/>
                <w:sz w:val="20"/>
                <w:szCs w:val="20"/>
                <w:lang w:eastAsia="en-US"/>
              </w:rPr>
              <w:t xml:space="preserve">Administrative advice: </w:t>
            </w:r>
            <w:r>
              <w:rPr>
                <w:rFonts w:ascii="Arial Narrow" w:hAnsi="Arial Narrow"/>
                <w:bCs/>
                <w:sz w:val="20"/>
                <w:szCs w:val="20"/>
                <w:lang w:eastAsia="en-US"/>
              </w:rPr>
              <w:t>No increase in the maximum number of repeats may be authorised.</w:t>
            </w:r>
          </w:p>
        </w:tc>
      </w:tr>
    </w:tbl>
    <w:p w14:paraId="67FECF63" w14:textId="77777777" w:rsidR="005323EE" w:rsidRDefault="005323EE" w:rsidP="00D7498F">
      <w:pPr>
        <w:jc w:val="left"/>
        <w:rPr>
          <w:b/>
          <w:i/>
        </w:rPr>
      </w:pPr>
    </w:p>
    <w:p w14:paraId="3566FA8F" w14:textId="77777777" w:rsidR="00D7498F" w:rsidRDefault="00D7498F" w:rsidP="00D7498F">
      <w:pPr>
        <w:jc w:val="left"/>
        <w:rPr>
          <w:b/>
        </w:rPr>
      </w:pPr>
      <w:r>
        <w:rPr>
          <w:b/>
          <w:i/>
        </w:rPr>
        <w:t>This restriction may be subject to further review. Should there be any changes made to the restriction the sponsor will be informed.</w:t>
      </w:r>
    </w:p>
    <w:p w14:paraId="4AA70183" w14:textId="77777777" w:rsidR="00590528" w:rsidRDefault="00590528" w:rsidP="00590528"/>
    <w:bookmarkEnd w:id="63"/>
    <w:p w14:paraId="03F1D5F6" w14:textId="77777777" w:rsidR="00FF58E1" w:rsidRPr="00FF58E1" w:rsidRDefault="00FF58E1" w:rsidP="00FF58E1">
      <w:pPr>
        <w:pStyle w:val="2-SectionHeading"/>
        <w:rPr>
          <w:lang w:val="en-GB"/>
        </w:rPr>
      </w:pPr>
      <w:r w:rsidRPr="00FF58E1">
        <w:rPr>
          <w:lang w:val="en-GB"/>
        </w:rPr>
        <w:t>Context for Decision</w:t>
      </w:r>
    </w:p>
    <w:p w14:paraId="6FA9E9E6" w14:textId="77777777" w:rsidR="00FF58E1" w:rsidRPr="007129F2" w:rsidRDefault="00FF58E1" w:rsidP="00FF58E1">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47F0AD9" w14:textId="77777777" w:rsidR="00FF58E1" w:rsidRPr="00FF58E1" w:rsidRDefault="00FF58E1" w:rsidP="00FF58E1">
      <w:pPr>
        <w:pStyle w:val="2-SectionHeading"/>
        <w:rPr>
          <w:lang w:val="en-GB"/>
        </w:rPr>
      </w:pPr>
      <w:r w:rsidRPr="00FF58E1">
        <w:rPr>
          <w:lang w:val="en-GB"/>
        </w:rPr>
        <w:t>Sponsor’s Comment</w:t>
      </w:r>
    </w:p>
    <w:p w14:paraId="78D00F0E" w14:textId="77777777" w:rsidR="00FF58E1" w:rsidRPr="001179AC" w:rsidRDefault="00FF58E1" w:rsidP="00FF58E1">
      <w:pPr>
        <w:spacing w:after="120"/>
        <w:ind w:left="426" w:firstLine="294"/>
        <w:rPr>
          <w:bCs/>
        </w:rPr>
      </w:pPr>
      <w:r w:rsidRPr="00C07617">
        <w:rPr>
          <w:bCs/>
        </w:rPr>
        <w:t>The sponsor had no comment.</w:t>
      </w:r>
    </w:p>
    <w:p w14:paraId="60DE7F53" w14:textId="77777777" w:rsidR="00E16372" w:rsidRDefault="00E16372" w:rsidP="00AB042A"/>
    <w:sectPr w:rsidR="00E16372" w:rsidSect="006C255B">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664FC" w14:textId="77777777" w:rsidR="006C3D3B" w:rsidRDefault="006C3D3B" w:rsidP="00124A51">
      <w:r>
        <w:separator/>
      </w:r>
    </w:p>
    <w:p w14:paraId="714D00AB" w14:textId="77777777" w:rsidR="006C3D3B" w:rsidRDefault="006C3D3B"/>
  </w:endnote>
  <w:endnote w:type="continuationSeparator" w:id="0">
    <w:p w14:paraId="01706C40" w14:textId="77777777" w:rsidR="006C3D3B" w:rsidRDefault="006C3D3B" w:rsidP="00124A51">
      <w:r>
        <w:continuationSeparator/>
      </w:r>
    </w:p>
    <w:p w14:paraId="50F57DA9" w14:textId="77777777" w:rsidR="006C3D3B" w:rsidRDefault="006C3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4C814" w14:textId="77777777" w:rsidR="0046126B" w:rsidRDefault="00461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95191" w14:textId="77777777" w:rsidR="006C3D3B" w:rsidRDefault="006C3D3B" w:rsidP="004F1B4D">
    <w:pPr>
      <w:ind w:left="709"/>
      <w:contextualSpacing/>
      <w:jc w:val="center"/>
      <w:rPr>
        <w:rFonts w:eastAsia="Calibri"/>
        <w:szCs w:val="22"/>
      </w:rPr>
    </w:pPr>
  </w:p>
  <w:bookmarkStart w:id="65" w:name="_Hlk76375156"/>
  <w:p w14:paraId="6E9AE4BD" w14:textId="491520B9" w:rsidR="006C3D3B" w:rsidRPr="00565789" w:rsidRDefault="006C3D3B" w:rsidP="00565789">
    <w:pPr>
      <w:pStyle w:val="Footer"/>
      <w:keepNext/>
      <w:ind w:left="360"/>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0046126B">
      <w:rPr>
        <w:b/>
        <w:noProof/>
      </w:rPr>
      <w:t>36</w:t>
    </w:r>
    <w:r w:rsidRPr="00836F75">
      <w:rPr>
        <w:b/>
        <w:noProof/>
      </w:rPr>
      <w:fldChar w:fldCharType="end"/>
    </w:r>
    <w:r>
      <w:rPr>
        <w:b/>
        <w:noProof/>
      </w:rPr>
      <w:t xml:space="preserve"> </w:t>
    </w:r>
    <w:bookmarkEnd w:id="65"/>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298F2" w14:textId="77777777" w:rsidR="0046126B" w:rsidRDefault="00461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E2A17" w14:textId="77777777" w:rsidR="006C3D3B" w:rsidRDefault="006C3D3B" w:rsidP="00124A51">
      <w:r>
        <w:separator/>
      </w:r>
    </w:p>
    <w:p w14:paraId="7B717DC8" w14:textId="77777777" w:rsidR="006C3D3B" w:rsidRDefault="006C3D3B"/>
  </w:footnote>
  <w:footnote w:type="continuationSeparator" w:id="0">
    <w:p w14:paraId="53098627" w14:textId="77777777" w:rsidR="006C3D3B" w:rsidRDefault="006C3D3B" w:rsidP="00124A51">
      <w:r>
        <w:continuationSeparator/>
      </w:r>
    </w:p>
    <w:p w14:paraId="2F6C560B" w14:textId="77777777" w:rsidR="006C3D3B" w:rsidRDefault="006C3D3B"/>
  </w:footnote>
  <w:footnote w:id="1">
    <w:p w14:paraId="21682C94" w14:textId="77777777" w:rsidR="006C3D3B" w:rsidRPr="00211A46" w:rsidRDefault="006C3D3B" w:rsidP="005D31A8">
      <w:pPr>
        <w:pStyle w:val="FootnoteText"/>
        <w:rPr>
          <w:rFonts w:asciiTheme="minorHAnsi" w:hAnsiTheme="minorHAnsi" w:cstheme="minorHAnsi"/>
          <w:i/>
          <w:iCs/>
        </w:rPr>
      </w:pPr>
      <w:r w:rsidRPr="008745EF">
        <w:rPr>
          <w:rStyle w:val="FootnoteReference"/>
          <w:rFonts w:asciiTheme="minorHAnsi" w:hAnsiTheme="minorHAnsi" w:cstheme="minorHAnsi"/>
        </w:rPr>
        <w:footnoteRef/>
      </w:r>
      <w:r w:rsidRPr="008745EF">
        <w:rPr>
          <w:rFonts w:asciiTheme="minorHAnsi" w:hAnsiTheme="minorHAnsi" w:cstheme="minorHAnsi"/>
        </w:rPr>
        <w:t xml:space="preserve"> Available from: https://www.ema.europa.eu/en/choice-non-inferiority-margin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A9E0F" w14:textId="77777777" w:rsidR="0046126B" w:rsidRDefault="00461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E800A" w14:textId="77777777" w:rsidR="006C3D3B" w:rsidRPr="00056684" w:rsidRDefault="006C3D3B" w:rsidP="00565789">
    <w:pPr>
      <w:pStyle w:val="Header"/>
      <w:keepNext/>
      <w:ind w:left="360"/>
      <w:jc w:val="center"/>
      <w:rPr>
        <w:rFonts w:asciiTheme="minorHAnsi" w:hAnsiTheme="minorHAnsi"/>
        <w:i/>
        <w:color w:val="808080"/>
      </w:rPr>
    </w:pPr>
    <w:bookmarkStart w:id="64" w:name="_Hlk76375146"/>
    <w:r w:rsidRPr="00FF58E1">
      <w:rPr>
        <w:rFonts w:asciiTheme="minorHAnsi" w:hAnsiTheme="minorHAnsi"/>
        <w:i/>
        <w:color w:val="808080"/>
      </w:rPr>
      <w:t xml:space="preserve">Public Summary Document </w:t>
    </w:r>
    <w:r w:rsidRPr="00056684">
      <w:rPr>
        <w:rFonts w:asciiTheme="minorHAnsi" w:hAnsiTheme="minorHAnsi"/>
        <w:i/>
        <w:color w:val="808080"/>
      </w:rPr>
      <w:t xml:space="preserve">– </w:t>
    </w:r>
    <w:r>
      <w:rPr>
        <w:rFonts w:asciiTheme="minorHAnsi" w:hAnsiTheme="minorHAnsi"/>
        <w:i/>
        <w:color w:val="808080"/>
      </w:rPr>
      <w:t>November 2021</w:t>
    </w:r>
    <w:r w:rsidRPr="00056684">
      <w:rPr>
        <w:rFonts w:asciiTheme="minorHAnsi" w:hAnsiTheme="minorHAnsi"/>
        <w:i/>
        <w:color w:val="808080"/>
      </w:rPr>
      <w:t xml:space="preserve"> PBAC Meeting</w:t>
    </w:r>
  </w:p>
  <w:bookmarkEnd w:id="64"/>
  <w:p w14:paraId="1A930070" w14:textId="77777777" w:rsidR="006C3D3B" w:rsidRDefault="006C3D3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E119E" w14:textId="77777777" w:rsidR="0046126B" w:rsidRDefault="00461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1AC8E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4E6478"/>
    <w:multiLevelType w:val="hybridMultilevel"/>
    <w:tmpl w:val="719288A8"/>
    <w:lvl w:ilvl="0" w:tplc="0278ED9A">
      <w:start w:val="1"/>
      <w:numFmt w:val="bullet"/>
      <w:pStyle w:val="heading31"/>
      <w:lvlText w:val=""/>
      <w:lvlJc w:val="left"/>
      <w:pPr>
        <w:ind w:left="720" w:hanging="360"/>
      </w:pPr>
      <w:rPr>
        <w:rFonts w:ascii="Arial Narrow" w:hAnsi="Arial Narrow" w:hint="default"/>
        <w:spacing w:val="0"/>
        <w:w w:val="100"/>
        <w:position w:val="0"/>
      </w:rPr>
    </w:lvl>
    <w:lvl w:ilvl="1" w:tplc="0C090003" w:tentative="1">
      <w:start w:val="1"/>
      <w:numFmt w:val="bullet"/>
      <w:lvlText w:val="o"/>
      <w:lvlJc w:val="left"/>
      <w:pPr>
        <w:ind w:left="1440" w:hanging="360"/>
      </w:pPr>
      <w:rPr>
        <w:rFonts w:ascii="Cambria" w:hAnsi="Cambria" w:cs="Cambria" w:hint="default"/>
      </w:rPr>
    </w:lvl>
    <w:lvl w:ilvl="2" w:tplc="0C090005" w:tentative="1">
      <w:start w:val="1"/>
      <w:numFmt w:val="bullet"/>
      <w:lvlText w:val=""/>
      <w:lvlJc w:val="left"/>
      <w:pPr>
        <w:ind w:left="2160" w:hanging="360"/>
      </w:pPr>
      <w:rPr>
        <w:rFonts w:ascii="Tahoma" w:hAnsi="Tahoma" w:hint="default"/>
      </w:rPr>
    </w:lvl>
    <w:lvl w:ilvl="3" w:tplc="0C090001" w:tentative="1">
      <w:start w:val="1"/>
      <w:numFmt w:val="bullet"/>
      <w:lvlText w:val=""/>
      <w:lvlJc w:val="left"/>
      <w:pPr>
        <w:ind w:left="2880" w:hanging="360"/>
      </w:pPr>
      <w:rPr>
        <w:rFonts w:ascii="Arial Narrow" w:hAnsi="Arial Narrow" w:hint="default"/>
      </w:rPr>
    </w:lvl>
    <w:lvl w:ilvl="4" w:tplc="0C090003" w:tentative="1">
      <w:start w:val="1"/>
      <w:numFmt w:val="bullet"/>
      <w:lvlText w:val="o"/>
      <w:lvlJc w:val="left"/>
      <w:pPr>
        <w:ind w:left="3600" w:hanging="360"/>
      </w:pPr>
      <w:rPr>
        <w:rFonts w:ascii="Cambria" w:hAnsi="Cambria" w:cs="Cambria" w:hint="default"/>
      </w:rPr>
    </w:lvl>
    <w:lvl w:ilvl="5" w:tplc="0C090005" w:tentative="1">
      <w:start w:val="1"/>
      <w:numFmt w:val="bullet"/>
      <w:lvlText w:val=""/>
      <w:lvlJc w:val="left"/>
      <w:pPr>
        <w:ind w:left="4320" w:hanging="360"/>
      </w:pPr>
      <w:rPr>
        <w:rFonts w:ascii="Tahoma" w:hAnsi="Tahoma" w:hint="default"/>
      </w:rPr>
    </w:lvl>
    <w:lvl w:ilvl="6" w:tplc="0C090001" w:tentative="1">
      <w:start w:val="1"/>
      <w:numFmt w:val="bullet"/>
      <w:lvlText w:val=""/>
      <w:lvlJc w:val="left"/>
      <w:pPr>
        <w:ind w:left="5040" w:hanging="360"/>
      </w:pPr>
      <w:rPr>
        <w:rFonts w:ascii="Arial Narrow" w:hAnsi="Arial Narrow" w:hint="default"/>
      </w:rPr>
    </w:lvl>
    <w:lvl w:ilvl="7" w:tplc="0C090003" w:tentative="1">
      <w:start w:val="1"/>
      <w:numFmt w:val="bullet"/>
      <w:lvlText w:val="o"/>
      <w:lvlJc w:val="left"/>
      <w:pPr>
        <w:ind w:left="5760" w:hanging="360"/>
      </w:pPr>
      <w:rPr>
        <w:rFonts w:ascii="Cambria" w:hAnsi="Cambria" w:cs="Cambria" w:hint="default"/>
      </w:rPr>
    </w:lvl>
    <w:lvl w:ilvl="8" w:tplc="0C090005" w:tentative="1">
      <w:start w:val="1"/>
      <w:numFmt w:val="bullet"/>
      <w:lvlText w:val=""/>
      <w:lvlJc w:val="left"/>
      <w:pPr>
        <w:ind w:left="6480" w:hanging="360"/>
      </w:pPr>
      <w:rPr>
        <w:rFonts w:ascii="Tahoma" w:hAnsi="Tahoma" w:hint="default"/>
      </w:rPr>
    </w:lvl>
  </w:abstractNum>
  <w:abstractNum w:abstractNumId="5" w15:restartNumberingAfterBreak="0">
    <w:nsid w:val="18E538AF"/>
    <w:multiLevelType w:val="hybridMultilevel"/>
    <w:tmpl w:val="AC1C3040"/>
    <w:lvl w:ilvl="0" w:tplc="C324F4FC">
      <w:start w:val="1"/>
      <w:numFmt w:val="bullet"/>
      <w:lvlText w:val=""/>
      <w:lvlJc w:val="left"/>
      <w:pPr>
        <w:ind w:left="720" w:hanging="360"/>
      </w:pPr>
      <w:rPr>
        <w:rFonts w:ascii="Symbol" w:hAnsi="Symbol" w:hint="default"/>
      </w:rPr>
    </w:lvl>
    <w:lvl w:ilvl="1" w:tplc="0C090003">
      <w:start w:val="1"/>
      <w:numFmt w:val="bullet"/>
      <w:lvlText w:val="o"/>
      <w:lvlJc w:val="left"/>
      <w:pPr>
        <w:ind w:left="1800" w:hanging="72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B6274A"/>
    <w:multiLevelType w:val="hybridMultilevel"/>
    <w:tmpl w:val="0A164CA8"/>
    <w:lvl w:ilvl="0" w:tplc="E1B6BF4A">
      <w:start w:val="1"/>
      <w:numFmt w:val="decimal"/>
      <w:lvlText w:val="%1."/>
      <w:lvlJc w:val="left"/>
      <w:pPr>
        <w:ind w:left="1778" w:hanging="360"/>
      </w:pPr>
      <w:rPr>
        <w:rFonts w:hint="default"/>
        <w:color w:val="auto"/>
      </w:rPr>
    </w:lvl>
    <w:lvl w:ilvl="1" w:tplc="394ED9B0">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BB0FB5"/>
    <w:multiLevelType w:val="multilevel"/>
    <w:tmpl w:val="7B1EBD5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442297"/>
    <w:multiLevelType w:val="hybridMultilevel"/>
    <w:tmpl w:val="E408A8BC"/>
    <w:lvl w:ilvl="0" w:tplc="C324F4FC">
      <w:start w:val="1"/>
      <w:numFmt w:val="bullet"/>
      <w:pStyle w:val="Bulletpoints"/>
      <w:lvlText w:val=""/>
      <w:lvlJc w:val="left"/>
      <w:pPr>
        <w:ind w:left="720" w:hanging="360"/>
      </w:pPr>
      <w:rPr>
        <w:rFonts w:ascii="Symbol" w:hAnsi="Symbol" w:hint="default"/>
      </w:rPr>
    </w:lvl>
    <w:lvl w:ilvl="1" w:tplc="A89CD590">
      <w:numFmt w:val="bullet"/>
      <w:lvlText w:val="•"/>
      <w:lvlJc w:val="left"/>
      <w:pPr>
        <w:ind w:left="1800" w:hanging="720"/>
      </w:pPr>
      <w:rPr>
        <w:rFonts w:ascii="Calibri" w:eastAsia="Times New Roman"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A3159"/>
    <w:multiLevelType w:val="hybridMultilevel"/>
    <w:tmpl w:val="54A0D1CE"/>
    <w:styleLink w:val="Style11"/>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A90F30"/>
    <w:multiLevelType w:val="hybridMultilevel"/>
    <w:tmpl w:val="B1021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57C1226"/>
    <w:multiLevelType w:val="hybridMultilevel"/>
    <w:tmpl w:val="ECD2BD2A"/>
    <w:lvl w:ilvl="0" w:tplc="2FF06FB0">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273D23"/>
    <w:multiLevelType w:val="hybridMultilevel"/>
    <w:tmpl w:val="2F121A42"/>
    <w:lvl w:ilvl="0" w:tplc="5914D4C2">
      <w:start w:val="1"/>
      <w:numFmt w:val="decimal"/>
      <w:lvlText w:val="%1."/>
      <w:lvlJc w:val="left"/>
      <w:pPr>
        <w:ind w:left="1778" w:hanging="360"/>
      </w:pPr>
      <w:rPr>
        <w:rFonts w:hint="default"/>
        <w:color w:val="auto"/>
      </w:rPr>
    </w:lvl>
    <w:lvl w:ilvl="1" w:tplc="968E4E44">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84D033C"/>
    <w:multiLevelType w:val="multilevel"/>
    <w:tmpl w:val="F8326144"/>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4405"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19"/>
  </w:num>
  <w:num w:numId="2">
    <w:abstractNumId w:val="11"/>
  </w:num>
  <w:num w:numId="3">
    <w:abstractNumId w:val="1"/>
  </w:num>
  <w:num w:numId="4">
    <w:abstractNumId w:val="19"/>
  </w:num>
  <w:num w:numId="5">
    <w:abstractNumId w:val="16"/>
  </w:num>
  <w:num w:numId="6">
    <w:abstractNumId w:val="12"/>
  </w:num>
  <w:num w:numId="7">
    <w:abstractNumId w:val="4"/>
  </w:num>
  <w:num w:numId="8">
    <w:abstractNumId w:val="10"/>
  </w:num>
  <w:num w:numId="9">
    <w:abstractNumId w:val="0"/>
  </w:num>
  <w:num w:numId="10">
    <w:abstractNumId w:val="14"/>
  </w:num>
  <w:num w:numId="11">
    <w:abstractNumId w:val="7"/>
  </w:num>
  <w:num w:numId="12">
    <w:abstractNumId w:val="20"/>
  </w:num>
  <w:num w:numId="13">
    <w:abstractNumId w:val="17"/>
  </w:num>
  <w:num w:numId="14">
    <w:abstractNumId w:val="5"/>
  </w:num>
  <w:num w:numId="15">
    <w:abstractNumId w:val="13"/>
  </w:num>
  <w:num w:numId="16">
    <w:abstractNumId w:val="3"/>
  </w:num>
  <w:num w:numId="17">
    <w:abstractNumId w:val="2"/>
  </w:num>
  <w:num w:numId="18">
    <w:abstractNumId w:val="8"/>
  </w:num>
  <w:num w:numId="19">
    <w:abstractNumId w:val="9"/>
  </w:num>
  <w:num w:numId="20">
    <w:abstractNumId w:val="6"/>
  </w:num>
  <w:num w:numId="2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9"/>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AU" w:vendorID="64" w:dllVersion="0" w:nlCheck="1" w:checkStyle="0"/>
  <w:activeWritingStyle w:appName="MSWord" w:lang="en-US" w:vendorID="64" w:dllVersion="0" w:nlCheck="1" w:checkStyle="0"/>
  <w:activeWritingStyle w:appName="MSWord" w:lang="en-AU"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6" w:nlCheck="1" w:checkStyle="1"/>
  <w:activeWritingStyle w:appName="MSWord" w:lang="en-GB" w:vendorID="64" w:dllVersion="6"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0E4"/>
    <w:rsid w:val="0000110B"/>
    <w:rsid w:val="0000135A"/>
    <w:rsid w:val="00002102"/>
    <w:rsid w:val="00003499"/>
    <w:rsid w:val="000036B7"/>
    <w:rsid w:val="000039B7"/>
    <w:rsid w:val="00003D8E"/>
    <w:rsid w:val="00005409"/>
    <w:rsid w:val="0000639A"/>
    <w:rsid w:val="000066B0"/>
    <w:rsid w:val="0001116C"/>
    <w:rsid w:val="00013247"/>
    <w:rsid w:val="0001433E"/>
    <w:rsid w:val="00014AC3"/>
    <w:rsid w:val="00014AFA"/>
    <w:rsid w:val="00014C29"/>
    <w:rsid w:val="00015886"/>
    <w:rsid w:val="00015DD2"/>
    <w:rsid w:val="000162EF"/>
    <w:rsid w:val="00017ABF"/>
    <w:rsid w:val="000207C9"/>
    <w:rsid w:val="0002225F"/>
    <w:rsid w:val="00023763"/>
    <w:rsid w:val="000257AB"/>
    <w:rsid w:val="0002717B"/>
    <w:rsid w:val="000274B8"/>
    <w:rsid w:val="00027BF4"/>
    <w:rsid w:val="000301F2"/>
    <w:rsid w:val="00030873"/>
    <w:rsid w:val="0003172C"/>
    <w:rsid w:val="000329A9"/>
    <w:rsid w:val="00033863"/>
    <w:rsid w:val="00035DC0"/>
    <w:rsid w:val="00036829"/>
    <w:rsid w:val="00036BC0"/>
    <w:rsid w:val="00037266"/>
    <w:rsid w:val="00040895"/>
    <w:rsid w:val="00040BAC"/>
    <w:rsid w:val="000427CC"/>
    <w:rsid w:val="000435EE"/>
    <w:rsid w:val="00043727"/>
    <w:rsid w:val="00043C37"/>
    <w:rsid w:val="000445F1"/>
    <w:rsid w:val="0004468D"/>
    <w:rsid w:val="00045017"/>
    <w:rsid w:val="00045A2B"/>
    <w:rsid w:val="0004617F"/>
    <w:rsid w:val="0004698F"/>
    <w:rsid w:val="00047099"/>
    <w:rsid w:val="00047622"/>
    <w:rsid w:val="00047EAC"/>
    <w:rsid w:val="00051043"/>
    <w:rsid w:val="0005110B"/>
    <w:rsid w:val="000539D0"/>
    <w:rsid w:val="00053CBF"/>
    <w:rsid w:val="00054621"/>
    <w:rsid w:val="000546A7"/>
    <w:rsid w:val="000546D7"/>
    <w:rsid w:val="00054F3E"/>
    <w:rsid w:val="00056ECF"/>
    <w:rsid w:val="000574D4"/>
    <w:rsid w:val="00057863"/>
    <w:rsid w:val="00060165"/>
    <w:rsid w:val="000601F4"/>
    <w:rsid w:val="000604DF"/>
    <w:rsid w:val="00063CD5"/>
    <w:rsid w:val="000653B5"/>
    <w:rsid w:val="00065826"/>
    <w:rsid w:val="0006605C"/>
    <w:rsid w:val="00066360"/>
    <w:rsid w:val="00066AF8"/>
    <w:rsid w:val="00066FDE"/>
    <w:rsid w:val="000678A3"/>
    <w:rsid w:val="00070F3A"/>
    <w:rsid w:val="00071248"/>
    <w:rsid w:val="000720B9"/>
    <w:rsid w:val="0007222E"/>
    <w:rsid w:val="00072B5D"/>
    <w:rsid w:val="000737F7"/>
    <w:rsid w:val="0007645C"/>
    <w:rsid w:val="0007672F"/>
    <w:rsid w:val="00076B24"/>
    <w:rsid w:val="00076B54"/>
    <w:rsid w:val="000774F0"/>
    <w:rsid w:val="00080909"/>
    <w:rsid w:val="000812CA"/>
    <w:rsid w:val="00081E63"/>
    <w:rsid w:val="00082208"/>
    <w:rsid w:val="0008258D"/>
    <w:rsid w:val="000825AB"/>
    <w:rsid w:val="00083904"/>
    <w:rsid w:val="00083BCF"/>
    <w:rsid w:val="00083E99"/>
    <w:rsid w:val="000843CE"/>
    <w:rsid w:val="00084FA8"/>
    <w:rsid w:val="000856C5"/>
    <w:rsid w:val="00085C31"/>
    <w:rsid w:val="00087656"/>
    <w:rsid w:val="000902D9"/>
    <w:rsid w:val="00090C7E"/>
    <w:rsid w:val="00091EA3"/>
    <w:rsid w:val="00092600"/>
    <w:rsid w:val="0009262B"/>
    <w:rsid w:val="0009304E"/>
    <w:rsid w:val="00093310"/>
    <w:rsid w:val="0009445C"/>
    <w:rsid w:val="00094CF1"/>
    <w:rsid w:val="00095200"/>
    <w:rsid w:val="0009537C"/>
    <w:rsid w:val="00095FE5"/>
    <w:rsid w:val="00096284"/>
    <w:rsid w:val="000A005A"/>
    <w:rsid w:val="000A08FE"/>
    <w:rsid w:val="000A1118"/>
    <w:rsid w:val="000A184A"/>
    <w:rsid w:val="000A1BC0"/>
    <w:rsid w:val="000A3DEA"/>
    <w:rsid w:val="000A53A9"/>
    <w:rsid w:val="000A59D6"/>
    <w:rsid w:val="000A6039"/>
    <w:rsid w:val="000A7453"/>
    <w:rsid w:val="000A789E"/>
    <w:rsid w:val="000A7D08"/>
    <w:rsid w:val="000B0121"/>
    <w:rsid w:val="000B0670"/>
    <w:rsid w:val="000B0E75"/>
    <w:rsid w:val="000B141A"/>
    <w:rsid w:val="000B1C6C"/>
    <w:rsid w:val="000B1D7E"/>
    <w:rsid w:val="000B2CF8"/>
    <w:rsid w:val="000B2DCB"/>
    <w:rsid w:val="000B5246"/>
    <w:rsid w:val="000B58E1"/>
    <w:rsid w:val="000B5CE0"/>
    <w:rsid w:val="000B64DB"/>
    <w:rsid w:val="000B6CAC"/>
    <w:rsid w:val="000B73CD"/>
    <w:rsid w:val="000B7612"/>
    <w:rsid w:val="000B78AE"/>
    <w:rsid w:val="000B7A23"/>
    <w:rsid w:val="000C1383"/>
    <w:rsid w:val="000C2B36"/>
    <w:rsid w:val="000C3BA2"/>
    <w:rsid w:val="000C3DF9"/>
    <w:rsid w:val="000C3F79"/>
    <w:rsid w:val="000C486F"/>
    <w:rsid w:val="000C57F2"/>
    <w:rsid w:val="000C6536"/>
    <w:rsid w:val="000C6713"/>
    <w:rsid w:val="000C6EF0"/>
    <w:rsid w:val="000C7927"/>
    <w:rsid w:val="000C7CC8"/>
    <w:rsid w:val="000D0A5F"/>
    <w:rsid w:val="000D177E"/>
    <w:rsid w:val="000D1BFC"/>
    <w:rsid w:val="000D1D5D"/>
    <w:rsid w:val="000D281A"/>
    <w:rsid w:val="000D2848"/>
    <w:rsid w:val="000D326A"/>
    <w:rsid w:val="000D4CBD"/>
    <w:rsid w:val="000D51FB"/>
    <w:rsid w:val="000D5DA3"/>
    <w:rsid w:val="000D649F"/>
    <w:rsid w:val="000D64F7"/>
    <w:rsid w:val="000D701C"/>
    <w:rsid w:val="000E015D"/>
    <w:rsid w:val="000E0199"/>
    <w:rsid w:val="000E0640"/>
    <w:rsid w:val="000E0CA3"/>
    <w:rsid w:val="000E0DBB"/>
    <w:rsid w:val="000E135D"/>
    <w:rsid w:val="000E24C9"/>
    <w:rsid w:val="000E251C"/>
    <w:rsid w:val="000E325D"/>
    <w:rsid w:val="000E5356"/>
    <w:rsid w:val="000E5CAE"/>
    <w:rsid w:val="000E62A7"/>
    <w:rsid w:val="000F00BA"/>
    <w:rsid w:val="000F1438"/>
    <w:rsid w:val="000F316A"/>
    <w:rsid w:val="000F3C74"/>
    <w:rsid w:val="000F42C0"/>
    <w:rsid w:val="000F4BB8"/>
    <w:rsid w:val="000F4FA9"/>
    <w:rsid w:val="000F52C8"/>
    <w:rsid w:val="000F53FB"/>
    <w:rsid w:val="000F7127"/>
    <w:rsid w:val="000F7B54"/>
    <w:rsid w:val="000F7C40"/>
    <w:rsid w:val="00100F8A"/>
    <w:rsid w:val="0010277B"/>
    <w:rsid w:val="0010295C"/>
    <w:rsid w:val="00103DD2"/>
    <w:rsid w:val="0010452E"/>
    <w:rsid w:val="00105AE2"/>
    <w:rsid w:val="001060BA"/>
    <w:rsid w:val="001060C6"/>
    <w:rsid w:val="00106B80"/>
    <w:rsid w:val="00106C89"/>
    <w:rsid w:val="00106EBE"/>
    <w:rsid w:val="0011032E"/>
    <w:rsid w:val="00110CB1"/>
    <w:rsid w:val="00112D3B"/>
    <w:rsid w:val="00112DD1"/>
    <w:rsid w:val="0011348B"/>
    <w:rsid w:val="00113634"/>
    <w:rsid w:val="001151BD"/>
    <w:rsid w:val="00115982"/>
    <w:rsid w:val="00115F60"/>
    <w:rsid w:val="00116C53"/>
    <w:rsid w:val="00117CA0"/>
    <w:rsid w:val="00120480"/>
    <w:rsid w:val="00121037"/>
    <w:rsid w:val="00121799"/>
    <w:rsid w:val="0012228C"/>
    <w:rsid w:val="001222FC"/>
    <w:rsid w:val="001225E5"/>
    <w:rsid w:val="00122B1B"/>
    <w:rsid w:val="001238A2"/>
    <w:rsid w:val="00123902"/>
    <w:rsid w:val="00124A51"/>
    <w:rsid w:val="00125CF6"/>
    <w:rsid w:val="00126621"/>
    <w:rsid w:val="00126B1D"/>
    <w:rsid w:val="00126D70"/>
    <w:rsid w:val="00126F8A"/>
    <w:rsid w:val="00126FFE"/>
    <w:rsid w:val="001301E9"/>
    <w:rsid w:val="0013038F"/>
    <w:rsid w:val="00131835"/>
    <w:rsid w:val="00131D82"/>
    <w:rsid w:val="00132972"/>
    <w:rsid w:val="00132B22"/>
    <w:rsid w:val="00133D36"/>
    <w:rsid w:val="001344D3"/>
    <w:rsid w:val="00135B3F"/>
    <w:rsid w:val="00135BFA"/>
    <w:rsid w:val="0013675B"/>
    <w:rsid w:val="0013749D"/>
    <w:rsid w:val="00137645"/>
    <w:rsid w:val="0014015A"/>
    <w:rsid w:val="00140E99"/>
    <w:rsid w:val="0014202A"/>
    <w:rsid w:val="00143F67"/>
    <w:rsid w:val="00144252"/>
    <w:rsid w:val="001447C1"/>
    <w:rsid w:val="00145540"/>
    <w:rsid w:val="001456B0"/>
    <w:rsid w:val="0014580C"/>
    <w:rsid w:val="00145BC8"/>
    <w:rsid w:val="00152703"/>
    <w:rsid w:val="00152FE7"/>
    <w:rsid w:val="00153AF7"/>
    <w:rsid w:val="00154548"/>
    <w:rsid w:val="001552B3"/>
    <w:rsid w:val="00155B5F"/>
    <w:rsid w:val="00156F8F"/>
    <w:rsid w:val="00157130"/>
    <w:rsid w:val="001576B1"/>
    <w:rsid w:val="0016047B"/>
    <w:rsid w:val="00160A4C"/>
    <w:rsid w:val="00160BF6"/>
    <w:rsid w:val="001614C3"/>
    <w:rsid w:val="001621B9"/>
    <w:rsid w:val="001627A3"/>
    <w:rsid w:val="00162913"/>
    <w:rsid w:val="001635C6"/>
    <w:rsid w:val="0016372D"/>
    <w:rsid w:val="00163EFF"/>
    <w:rsid w:val="00163F66"/>
    <w:rsid w:val="00164B03"/>
    <w:rsid w:val="001659E5"/>
    <w:rsid w:val="00165B9D"/>
    <w:rsid w:val="001661FB"/>
    <w:rsid w:val="00166FD4"/>
    <w:rsid w:val="001671A0"/>
    <w:rsid w:val="0016767F"/>
    <w:rsid w:val="0017118B"/>
    <w:rsid w:val="00171265"/>
    <w:rsid w:val="00173565"/>
    <w:rsid w:val="00173574"/>
    <w:rsid w:val="001735FD"/>
    <w:rsid w:val="001737CC"/>
    <w:rsid w:val="00173B07"/>
    <w:rsid w:val="001751FA"/>
    <w:rsid w:val="00176BAE"/>
    <w:rsid w:val="001810F2"/>
    <w:rsid w:val="00181956"/>
    <w:rsid w:val="00181D9C"/>
    <w:rsid w:val="00182411"/>
    <w:rsid w:val="00182CF5"/>
    <w:rsid w:val="00183982"/>
    <w:rsid w:val="00184B0E"/>
    <w:rsid w:val="00184EF6"/>
    <w:rsid w:val="00185932"/>
    <w:rsid w:val="00185BBD"/>
    <w:rsid w:val="00185CB1"/>
    <w:rsid w:val="0018620B"/>
    <w:rsid w:val="00186748"/>
    <w:rsid w:val="001873BA"/>
    <w:rsid w:val="0018752F"/>
    <w:rsid w:val="0019288A"/>
    <w:rsid w:val="0019339B"/>
    <w:rsid w:val="00193838"/>
    <w:rsid w:val="00194AD8"/>
    <w:rsid w:val="00195222"/>
    <w:rsid w:val="0019698B"/>
    <w:rsid w:val="00196C53"/>
    <w:rsid w:val="00196DAF"/>
    <w:rsid w:val="001975D8"/>
    <w:rsid w:val="001A0800"/>
    <w:rsid w:val="001A178E"/>
    <w:rsid w:val="001A29A8"/>
    <w:rsid w:val="001A32BA"/>
    <w:rsid w:val="001A3B99"/>
    <w:rsid w:val="001A43FA"/>
    <w:rsid w:val="001A448A"/>
    <w:rsid w:val="001A47C5"/>
    <w:rsid w:val="001A48EC"/>
    <w:rsid w:val="001A55AA"/>
    <w:rsid w:val="001A59FB"/>
    <w:rsid w:val="001A5E9E"/>
    <w:rsid w:val="001A60FD"/>
    <w:rsid w:val="001A6354"/>
    <w:rsid w:val="001A6366"/>
    <w:rsid w:val="001A78C1"/>
    <w:rsid w:val="001A7AE8"/>
    <w:rsid w:val="001B204E"/>
    <w:rsid w:val="001B2372"/>
    <w:rsid w:val="001B2A3E"/>
    <w:rsid w:val="001B2A84"/>
    <w:rsid w:val="001B3443"/>
    <w:rsid w:val="001B464E"/>
    <w:rsid w:val="001B4D20"/>
    <w:rsid w:val="001B4F1A"/>
    <w:rsid w:val="001C1A53"/>
    <w:rsid w:val="001C2567"/>
    <w:rsid w:val="001C2A9B"/>
    <w:rsid w:val="001C2C94"/>
    <w:rsid w:val="001C3C6F"/>
    <w:rsid w:val="001C3E95"/>
    <w:rsid w:val="001C4008"/>
    <w:rsid w:val="001C4299"/>
    <w:rsid w:val="001C4874"/>
    <w:rsid w:val="001C581E"/>
    <w:rsid w:val="001C5F94"/>
    <w:rsid w:val="001C6E66"/>
    <w:rsid w:val="001D1049"/>
    <w:rsid w:val="001D1100"/>
    <w:rsid w:val="001D1391"/>
    <w:rsid w:val="001D14FF"/>
    <w:rsid w:val="001D1E44"/>
    <w:rsid w:val="001D25D7"/>
    <w:rsid w:val="001D50B2"/>
    <w:rsid w:val="001D5C25"/>
    <w:rsid w:val="001D743D"/>
    <w:rsid w:val="001D7645"/>
    <w:rsid w:val="001E0E01"/>
    <w:rsid w:val="001E1E86"/>
    <w:rsid w:val="001E238E"/>
    <w:rsid w:val="001E23EF"/>
    <w:rsid w:val="001E2483"/>
    <w:rsid w:val="001E2B1E"/>
    <w:rsid w:val="001E2CFF"/>
    <w:rsid w:val="001E2F24"/>
    <w:rsid w:val="001E30D4"/>
    <w:rsid w:val="001E34DF"/>
    <w:rsid w:val="001E3601"/>
    <w:rsid w:val="001E4B19"/>
    <w:rsid w:val="001E52EB"/>
    <w:rsid w:val="001E5EC7"/>
    <w:rsid w:val="001E61D2"/>
    <w:rsid w:val="001E740C"/>
    <w:rsid w:val="001E7B70"/>
    <w:rsid w:val="001E7BB7"/>
    <w:rsid w:val="001F045D"/>
    <w:rsid w:val="001F04E3"/>
    <w:rsid w:val="001F0E7A"/>
    <w:rsid w:val="001F1235"/>
    <w:rsid w:val="001F1CB3"/>
    <w:rsid w:val="001F1F44"/>
    <w:rsid w:val="001F32F0"/>
    <w:rsid w:val="001F38B5"/>
    <w:rsid w:val="001F3F36"/>
    <w:rsid w:val="001F4081"/>
    <w:rsid w:val="001F4899"/>
    <w:rsid w:val="001F7361"/>
    <w:rsid w:val="001F7C69"/>
    <w:rsid w:val="00200EF8"/>
    <w:rsid w:val="002011B0"/>
    <w:rsid w:val="00201695"/>
    <w:rsid w:val="002018F5"/>
    <w:rsid w:val="00202958"/>
    <w:rsid w:val="00203181"/>
    <w:rsid w:val="00203783"/>
    <w:rsid w:val="0020385F"/>
    <w:rsid w:val="002039F8"/>
    <w:rsid w:val="00203A58"/>
    <w:rsid w:val="0020577E"/>
    <w:rsid w:val="00206470"/>
    <w:rsid w:val="002068A0"/>
    <w:rsid w:val="00207021"/>
    <w:rsid w:val="0020732F"/>
    <w:rsid w:val="00207D00"/>
    <w:rsid w:val="002105C1"/>
    <w:rsid w:val="002109EE"/>
    <w:rsid w:val="0021171D"/>
    <w:rsid w:val="00211A46"/>
    <w:rsid w:val="00211FD1"/>
    <w:rsid w:val="002125C7"/>
    <w:rsid w:val="00213401"/>
    <w:rsid w:val="00213DA8"/>
    <w:rsid w:val="00213EF5"/>
    <w:rsid w:val="0021438D"/>
    <w:rsid w:val="00214F5D"/>
    <w:rsid w:val="0021554F"/>
    <w:rsid w:val="002163CE"/>
    <w:rsid w:val="00216BF5"/>
    <w:rsid w:val="002173F2"/>
    <w:rsid w:val="00223B49"/>
    <w:rsid w:val="00223D5A"/>
    <w:rsid w:val="00224DD4"/>
    <w:rsid w:val="00224E88"/>
    <w:rsid w:val="0022682F"/>
    <w:rsid w:val="002278A0"/>
    <w:rsid w:val="002309CC"/>
    <w:rsid w:val="00230DB1"/>
    <w:rsid w:val="0023209F"/>
    <w:rsid w:val="00232EEF"/>
    <w:rsid w:val="00233288"/>
    <w:rsid w:val="002336DF"/>
    <w:rsid w:val="00233C01"/>
    <w:rsid w:val="0023413C"/>
    <w:rsid w:val="002346F0"/>
    <w:rsid w:val="00234711"/>
    <w:rsid w:val="0023629D"/>
    <w:rsid w:val="00237255"/>
    <w:rsid w:val="002424AF"/>
    <w:rsid w:val="00242B76"/>
    <w:rsid w:val="002439DC"/>
    <w:rsid w:val="00243B92"/>
    <w:rsid w:val="002441D2"/>
    <w:rsid w:val="00244618"/>
    <w:rsid w:val="00244DC8"/>
    <w:rsid w:val="00244F36"/>
    <w:rsid w:val="002458BA"/>
    <w:rsid w:val="002459B2"/>
    <w:rsid w:val="00245CE9"/>
    <w:rsid w:val="0024636C"/>
    <w:rsid w:val="002473EA"/>
    <w:rsid w:val="00247703"/>
    <w:rsid w:val="00247925"/>
    <w:rsid w:val="002509EF"/>
    <w:rsid w:val="00250AE4"/>
    <w:rsid w:val="00251006"/>
    <w:rsid w:val="002518ED"/>
    <w:rsid w:val="002524D5"/>
    <w:rsid w:val="00253B1D"/>
    <w:rsid w:val="00254DCF"/>
    <w:rsid w:val="0025534B"/>
    <w:rsid w:val="002557C6"/>
    <w:rsid w:val="00255BB7"/>
    <w:rsid w:val="00257541"/>
    <w:rsid w:val="0025778B"/>
    <w:rsid w:val="00257A39"/>
    <w:rsid w:val="00257AC4"/>
    <w:rsid w:val="00260A96"/>
    <w:rsid w:val="00261EEF"/>
    <w:rsid w:val="00262343"/>
    <w:rsid w:val="00262878"/>
    <w:rsid w:val="00262A1A"/>
    <w:rsid w:val="00262A87"/>
    <w:rsid w:val="0026491C"/>
    <w:rsid w:val="00264D26"/>
    <w:rsid w:val="00265551"/>
    <w:rsid w:val="00266761"/>
    <w:rsid w:val="00266CCA"/>
    <w:rsid w:val="00267642"/>
    <w:rsid w:val="002679FA"/>
    <w:rsid w:val="00267AEA"/>
    <w:rsid w:val="00267B48"/>
    <w:rsid w:val="002700E6"/>
    <w:rsid w:val="002720FE"/>
    <w:rsid w:val="0027294B"/>
    <w:rsid w:val="002735EC"/>
    <w:rsid w:val="00273EB4"/>
    <w:rsid w:val="00273EC0"/>
    <w:rsid w:val="00274682"/>
    <w:rsid w:val="00274F70"/>
    <w:rsid w:val="00275C5A"/>
    <w:rsid w:val="00277C94"/>
    <w:rsid w:val="00277DC4"/>
    <w:rsid w:val="00280766"/>
    <w:rsid w:val="00281014"/>
    <w:rsid w:val="00281060"/>
    <w:rsid w:val="002813AA"/>
    <w:rsid w:val="002846A1"/>
    <w:rsid w:val="00284A39"/>
    <w:rsid w:val="0028665D"/>
    <w:rsid w:val="002868BD"/>
    <w:rsid w:val="00286C23"/>
    <w:rsid w:val="002877D6"/>
    <w:rsid w:val="00290849"/>
    <w:rsid w:val="0029326A"/>
    <w:rsid w:val="002937FF"/>
    <w:rsid w:val="0029526E"/>
    <w:rsid w:val="0029582F"/>
    <w:rsid w:val="002A03DF"/>
    <w:rsid w:val="002A0D6C"/>
    <w:rsid w:val="002A14AB"/>
    <w:rsid w:val="002A2ADE"/>
    <w:rsid w:val="002A2F50"/>
    <w:rsid w:val="002A7CA7"/>
    <w:rsid w:val="002B05A1"/>
    <w:rsid w:val="002B07CE"/>
    <w:rsid w:val="002B09A4"/>
    <w:rsid w:val="002B1C1F"/>
    <w:rsid w:val="002B1C5A"/>
    <w:rsid w:val="002B402A"/>
    <w:rsid w:val="002B432F"/>
    <w:rsid w:val="002B45B9"/>
    <w:rsid w:val="002B5F94"/>
    <w:rsid w:val="002B614B"/>
    <w:rsid w:val="002B62B3"/>
    <w:rsid w:val="002B6754"/>
    <w:rsid w:val="002B6CCE"/>
    <w:rsid w:val="002B78CD"/>
    <w:rsid w:val="002C1A36"/>
    <w:rsid w:val="002C2510"/>
    <w:rsid w:val="002C2775"/>
    <w:rsid w:val="002C27C1"/>
    <w:rsid w:val="002C45B2"/>
    <w:rsid w:val="002C47DF"/>
    <w:rsid w:val="002C5099"/>
    <w:rsid w:val="002C569C"/>
    <w:rsid w:val="002C5889"/>
    <w:rsid w:val="002C6C49"/>
    <w:rsid w:val="002C6CD9"/>
    <w:rsid w:val="002C71CE"/>
    <w:rsid w:val="002D08F8"/>
    <w:rsid w:val="002D29CE"/>
    <w:rsid w:val="002D3047"/>
    <w:rsid w:val="002D3AD8"/>
    <w:rsid w:val="002D4A72"/>
    <w:rsid w:val="002D4FE1"/>
    <w:rsid w:val="002D577C"/>
    <w:rsid w:val="002D6231"/>
    <w:rsid w:val="002D6916"/>
    <w:rsid w:val="002D7698"/>
    <w:rsid w:val="002E0394"/>
    <w:rsid w:val="002E106E"/>
    <w:rsid w:val="002E1071"/>
    <w:rsid w:val="002E15B9"/>
    <w:rsid w:val="002E2149"/>
    <w:rsid w:val="002E2158"/>
    <w:rsid w:val="002E2A64"/>
    <w:rsid w:val="002E40BA"/>
    <w:rsid w:val="002E4F02"/>
    <w:rsid w:val="002E5A0C"/>
    <w:rsid w:val="002E6173"/>
    <w:rsid w:val="002E6546"/>
    <w:rsid w:val="002E7722"/>
    <w:rsid w:val="002E7A7A"/>
    <w:rsid w:val="002F047C"/>
    <w:rsid w:val="002F07BA"/>
    <w:rsid w:val="002F0DA9"/>
    <w:rsid w:val="002F1014"/>
    <w:rsid w:val="002F27A9"/>
    <w:rsid w:val="002F29BC"/>
    <w:rsid w:val="002F2A18"/>
    <w:rsid w:val="002F3996"/>
    <w:rsid w:val="002F5B32"/>
    <w:rsid w:val="002F643C"/>
    <w:rsid w:val="002F6745"/>
    <w:rsid w:val="002F71C0"/>
    <w:rsid w:val="002F74F1"/>
    <w:rsid w:val="0030049D"/>
    <w:rsid w:val="003006F0"/>
    <w:rsid w:val="00301017"/>
    <w:rsid w:val="0030155F"/>
    <w:rsid w:val="00302E56"/>
    <w:rsid w:val="0030587B"/>
    <w:rsid w:val="003067D1"/>
    <w:rsid w:val="00306D98"/>
    <w:rsid w:val="0030772F"/>
    <w:rsid w:val="0030786C"/>
    <w:rsid w:val="00310116"/>
    <w:rsid w:val="0031031A"/>
    <w:rsid w:val="00310981"/>
    <w:rsid w:val="00311F1E"/>
    <w:rsid w:val="003124D9"/>
    <w:rsid w:val="00312594"/>
    <w:rsid w:val="00314CEC"/>
    <w:rsid w:val="00315498"/>
    <w:rsid w:val="003157A2"/>
    <w:rsid w:val="00316474"/>
    <w:rsid w:val="00321607"/>
    <w:rsid w:val="00322107"/>
    <w:rsid w:val="00322355"/>
    <w:rsid w:val="00322846"/>
    <w:rsid w:val="00322C1E"/>
    <w:rsid w:val="00323540"/>
    <w:rsid w:val="003239C6"/>
    <w:rsid w:val="0032578F"/>
    <w:rsid w:val="00325D90"/>
    <w:rsid w:val="00326D68"/>
    <w:rsid w:val="00326DA7"/>
    <w:rsid w:val="003270E4"/>
    <w:rsid w:val="0032786F"/>
    <w:rsid w:val="00330384"/>
    <w:rsid w:val="00330DAA"/>
    <w:rsid w:val="00330EFC"/>
    <w:rsid w:val="00330F5C"/>
    <w:rsid w:val="003311CA"/>
    <w:rsid w:val="003318D0"/>
    <w:rsid w:val="003347AF"/>
    <w:rsid w:val="00334C88"/>
    <w:rsid w:val="003356E2"/>
    <w:rsid w:val="00335DD3"/>
    <w:rsid w:val="0033602E"/>
    <w:rsid w:val="003366C9"/>
    <w:rsid w:val="003371B0"/>
    <w:rsid w:val="00337645"/>
    <w:rsid w:val="00337D4C"/>
    <w:rsid w:val="003400A7"/>
    <w:rsid w:val="00340DF1"/>
    <w:rsid w:val="00342C10"/>
    <w:rsid w:val="00343663"/>
    <w:rsid w:val="00343AB4"/>
    <w:rsid w:val="003449CC"/>
    <w:rsid w:val="003453ED"/>
    <w:rsid w:val="003456EE"/>
    <w:rsid w:val="00345B7C"/>
    <w:rsid w:val="003463B5"/>
    <w:rsid w:val="00346D16"/>
    <w:rsid w:val="003476DA"/>
    <w:rsid w:val="00350C94"/>
    <w:rsid w:val="003517F9"/>
    <w:rsid w:val="00351BA9"/>
    <w:rsid w:val="00353314"/>
    <w:rsid w:val="00354797"/>
    <w:rsid w:val="00354F64"/>
    <w:rsid w:val="00355FCF"/>
    <w:rsid w:val="0035620E"/>
    <w:rsid w:val="0035662D"/>
    <w:rsid w:val="00357447"/>
    <w:rsid w:val="0035744E"/>
    <w:rsid w:val="00357C04"/>
    <w:rsid w:val="00360345"/>
    <w:rsid w:val="00360506"/>
    <w:rsid w:val="003607D7"/>
    <w:rsid w:val="003614EF"/>
    <w:rsid w:val="00361A05"/>
    <w:rsid w:val="00361B92"/>
    <w:rsid w:val="003624C4"/>
    <w:rsid w:val="00363B00"/>
    <w:rsid w:val="003654AC"/>
    <w:rsid w:val="00366E8C"/>
    <w:rsid w:val="00367E50"/>
    <w:rsid w:val="00370DA4"/>
    <w:rsid w:val="003710CF"/>
    <w:rsid w:val="0037358A"/>
    <w:rsid w:val="003750F6"/>
    <w:rsid w:val="00375F6E"/>
    <w:rsid w:val="003760FC"/>
    <w:rsid w:val="00377784"/>
    <w:rsid w:val="00383426"/>
    <w:rsid w:val="0038365C"/>
    <w:rsid w:val="0038369B"/>
    <w:rsid w:val="00383B78"/>
    <w:rsid w:val="00384B8E"/>
    <w:rsid w:val="003859B6"/>
    <w:rsid w:val="00385A9D"/>
    <w:rsid w:val="0038744C"/>
    <w:rsid w:val="003902B1"/>
    <w:rsid w:val="0039179C"/>
    <w:rsid w:val="00392FA2"/>
    <w:rsid w:val="00394A34"/>
    <w:rsid w:val="00395BB3"/>
    <w:rsid w:val="00395EF5"/>
    <w:rsid w:val="0039678F"/>
    <w:rsid w:val="00396896"/>
    <w:rsid w:val="00396FD0"/>
    <w:rsid w:val="003974C8"/>
    <w:rsid w:val="00397B3B"/>
    <w:rsid w:val="003A1A7A"/>
    <w:rsid w:val="003A1F9D"/>
    <w:rsid w:val="003A2392"/>
    <w:rsid w:val="003A26E7"/>
    <w:rsid w:val="003A2831"/>
    <w:rsid w:val="003A3CB6"/>
    <w:rsid w:val="003A3ED1"/>
    <w:rsid w:val="003A44DB"/>
    <w:rsid w:val="003A677E"/>
    <w:rsid w:val="003B0532"/>
    <w:rsid w:val="003B10F4"/>
    <w:rsid w:val="003B3971"/>
    <w:rsid w:val="003B55D1"/>
    <w:rsid w:val="003B5B61"/>
    <w:rsid w:val="003B64F0"/>
    <w:rsid w:val="003B7FE5"/>
    <w:rsid w:val="003C03D9"/>
    <w:rsid w:val="003C0617"/>
    <w:rsid w:val="003C1654"/>
    <w:rsid w:val="003C17BD"/>
    <w:rsid w:val="003C2F18"/>
    <w:rsid w:val="003C3ECF"/>
    <w:rsid w:val="003C5542"/>
    <w:rsid w:val="003C5AE1"/>
    <w:rsid w:val="003C7891"/>
    <w:rsid w:val="003C7B5F"/>
    <w:rsid w:val="003C7D19"/>
    <w:rsid w:val="003C7D2F"/>
    <w:rsid w:val="003D1828"/>
    <w:rsid w:val="003D1DE4"/>
    <w:rsid w:val="003D1E9A"/>
    <w:rsid w:val="003D2422"/>
    <w:rsid w:val="003D3047"/>
    <w:rsid w:val="003D3282"/>
    <w:rsid w:val="003D39A1"/>
    <w:rsid w:val="003D3F17"/>
    <w:rsid w:val="003D3FBF"/>
    <w:rsid w:val="003D4A30"/>
    <w:rsid w:val="003D5FFD"/>
    <w:rsid w:val="003D63AC"/>
    <w:rsid w:val="003D7335"/>
    <w:rsid w:val="003D7452"/>
    <w:rsid w:val="003D79BB"/>
    <w:rsid w:val="003D7C98"/>
    <w:rsid w:val="003D7D9D"/>
    <w:rsid w:val="003E0408"/>
    <w:rsid w:val="003E0543"/>
    <w:rsid w:val="003E1092"/>
    <w:rsid w:val="003E377B"/>
    <w:rsid w:val="003E3B1A"/>
    <w:rsid w:val="003E3BD8"/>
    <w:rsid w:val="003E5895"/>
    <w:rsid w:val="003E749E"/>
    <w:rsid w:val="003F11E6"/>
    <w:rsid w:val="003F19B9"/>
    <w:rsid w:val="003F1A47"/>
    <w:rsid w:val="003F4156"/>
    <w:rsid w:val="003F577B"/>
    <w:rsid w:val="003F5ADF"/>
    <w:rsid w:val="003F657D"/>
    <w:rsid w:val="00400B29"/>
    <w:rsid w:val="00400CCB"/>
    <w:rsid w:val="00400E55"/>
    <w:rsid w:val="00401866"/>
    <w:rsid w:val="0040504B"/>
    <w:rsid w:val="004059F4"/>
    <w:rsid w:val="00405BA1"/>
    <w:rsid w:val="0040620B"/>
    <w:rsid w:val="00407FE5"/>
    <w:rsid w:val="004101B0"/>
    <w:rsid w:val="00410326"/>
    <w:rsid w:val="00410347"/>
    <w:rsid w:val="00410708"/>
    <w:rsid w:val="00410EC7"/>
    <w:rsid w:val="00411B39"/>
    <w:rsid w:val="004127A7"/>
    <w:rsid w:val="00413A1E"/>
    <w:rsid w:val="00413D29"/>
    <w:rsid w:val="00414476"/>
    <w:rsid w:val="00414A3A"/>
    <w:rsid w:val="00414C2E"/>
    <w:rsid w:val="004151CF"/>
    <w:rsid w:val="00415A5B"/>
    <w:rsid w:val="00416364"/>
    <w:rsid w:val="00416A13"/>
    <w:rsid w:val="00417517"/>
    <w:rsid w:val="0042047F"/>
    <w:rsid w:val="00420844"/>
    <w:rsid w:val="00420AA6"/>
    <w:rsid w:val="00420B9F"/>
    <w:rsid w:val="0042192C"/>
    <w:rsid w:val="00422260"/>
    <w:rsid w:val="00422867"/>
    <w:rsid w:val="0042413F"/>
    <w:rsid w:val="00424C42"/>
    <w:rsid w:val="00426504"/>
    <w:rsid w:val="004265CA"/>
    <w:rsid w:val="0042695A"/>
    <w:rsid w:val="00426DFA"/>
    <w:rsid w:val="004302FB"/>
    <w:rsid w:val="004319F8"/>
    <w:rsid w:val="00431E55"/>
    <w:rsid w:val="004321F6"/>
    <w:rsid w:val="004329A0"/>
    <w:rsid w:val="00433044"/>
    <w:rsid w:val="00434088"/>
    <w:rsid w:val="004375B9"/>
    <w:rsid w:val="0043767F"/>
    <w:rsid w:val="0043791A"/>
    <w:rsid w:val="004428D0"/>
    <w:rsid w:val="00444185"/>
    <w:rsid w:val="004443A7"/>
    <w:rsid w:val="0044442C"/>
    <w:rsid w:val="00445522"/>
    <w:rsid w:val="00445941"/>
    <w:rsid w:val="00446456"/>
    <w:rsid w:val="004464EB"/>
    <w:rsid w:val="0044687F"/>
    <w:rsid w:val="004468C3"/>
    <w:rsid w:val="00447D26"/>
    <w:rsid w:val="00447DFC"/>
    <w:rsid w:val="00451172"/>
    <w:rsid w:val="00453F6B"/>
    <w:rsid w:val="00453FBA"/>
    <w:rsid w:val="0045405C"/>
    <w:rsid w:val="00454A09"/>
    <w:rsid w:val="00455D45"/>
    <w:rsid w:val="00455EFA"/>
    <w:rsid w:val="004568E5"/>
    <w:rsid w:val="00457424"/>
    <w:rsid w:val="004603E6"/>
    <w:rsid w:val="0046126B"/>
    <w:rsid w:val="004618DF"/>
    <w:rsid w:val="004643D8"/>
    <w:rsid w:val="00464595"/>
    <w:rsid w:val="0046560A"/>
    <w:rsid w:val="004658B5"/>
    <w:rsid w:val="00467466"/>
    <w:rsid w:val="00471EA5"/>
    <w:rsid w:val="00472A79"/>
    <w:rsid w:val="00473F19"/>
    <w:rsid w:val="00474557"/>
    <w:rsid w:val="00474C1E"/>
    <w:rsid w:val="00474E48"/>
    <w:rsid w:val="00475117"/>
    <w:rsid w:val="00475E22"/>
    <w:rsid w:val="00476510"/>
    <w:rsid w:val="0048088E"/>
    <w:rsid w:val="00480F2B"/>
    <w:rsid w:val="00482720"/>
    <w:rsid w:val="004830F0"/>
    <w:rsid w:val="004835E7"/>
    <w:rsid w:val="004836D6"/>
    <w:rsid w:val="00483A76"/>
    <w:rsid w:val="0048449D"/>
    <w:rsid w:val="00484EB9"/>
    <w:rsid w:val="004852DC"/>
    <w:rsid w:val="004867E2"/>
    <w:rsid w:val="00486BC3"/>
    <w:rsid w:val="00487228"/>
    <w:rsid w:val="00487497"/>
    <w:rsid w:val="00490B17"/>
    <w:rsid w:val="00490D8E"/>
    <w:rsid w:val="00491B3A"/>
    <w:rsid w:val="00491D99"/>
    <w:rsid w:val="00491DF1"/>
    <w:rsid w:val="00492CFD"/>
    <w:rsid w:val="004938A9"/>
    <w:rsid w:val="00494207"/>
    <w:rsid w:val="00494DD5"/>
    <w:rsid w:val="004953EA"/>
    <w:rsid w:val="004962D2"/>
    <w:rsid w:val="00497D70"/>
    <w:rsid w:val="004A0DA1"/>
    <w:rsid w:val="004A0E3B"/>
    <w:rsid w:val="004A13D6"/>
    <w:rsid w:val="004A19D6"/>
    <w:rsid w:val="004A26E6"/>
    <w:rsid w:val="004A4BF1"/>
    <w:rsid w:val="004A52E9"/>
    <w:rsid w:val="004A5C9A"/>
    <w:rsid w:val="004A6040"/>
    <w:rsid w:val="004A6597"/>
    <w:rsid w:val="004A72C2"/>
    <w:rsid w:val="004A7848"/>
    <w:rsid w:val="004A7ED0"/>
    <w:rsid w:val="004B0B6F"/>
    <w:rsid w:val="004B1CB4"/>
    <w:rsid w:val="004B1FF1"/>
    <w:rsid w:val="004B2031"/>
    <w:rsid w:val="004B2806"/>
    <w:rsid w:val="004B2F18"/>
    <w:rsid w:val="004B3DDB"/>
    <w:rsid w:val="004B44FD"/>
    <w:rsid w:val="004B5CFC"/>
    <w:rsid w:val="004B61B4"/>
    <w:rsid w:val="004B66F1"/>
    <w:rsid w:val="004B6F79"/>
    <w:rsid w:val="004B7435"/>
    <w:rsid w:val="004B759E"/>
    <w:rsid w:val="004B774D"/>
    <w:rsid w:val="004B7D84"/>
    <w:rsid w:val="004C3073"/>
    <w:rsid w:val="004C3A94"/>
    <w:rsid w:val="004C436C"/>
    <w:rsid w:val="004C4AED"/>
    <w:rsid w:val="004D27DA"/>
    <w:rsid w:val="004D2C2D"/>
    <w:rsid w:val="004D30A7"/>
    <w:rsid w:val="004D4401"/>
    <w:rsid w:val="004D69B5"/>
    <w:rsid w:val="004D7227"/>
    <w:rsid w:val="004E070A"/>
    <w:rsid w:val="004E0E7F"/>
    <w:rsid w:val="004E0EB8"/>
    <w:rsid w:val="004E1058"/>
    <w:rsid w:val="004E18E9"/>
    <w:rsid w:val="004E1BA3"/>
    <w:rsid w:val="004E2ADC"/>
    <w:rsid w:val="004E3E7E"/>
    <w:rsid w:val="004E43B2"/>
    <w:rsid w:val="004E4C67"/>
    <w:rsid w:val="004E51C5"/>
    <w:rsid w:val="004E5A11"/>
    <w:rsid w:val="004E5FBD"/>
    <w:rsid w:val="004F0CBF"/>
    <w:rsid w:val="004F1B4D"/>
    <w:rsid w:val="004F1D02"/>
    <w:rsid w:val="004F2679"/>
    <w:rsid w:val="004F2F21"/>
    <w:rsid w:val="004F3DE5"/>
    <w:rsid w:val="004F44F1"/>
    <w:rsid w:val="004F45AE"/>
    <w:rsid w:val="004F5909"/>
    <w:rsid w:val="004F5B65"/>
    <w:rsid w:val="004F6289"/>
    <w:rsid w:val="004F67BD"/>
    <w:rsid w:val="004F6913"/>
    <w:rsid w:val="004F6C47"/>
    <w:rsid w:val="004F7865"/>
    <w:rsid w:val="0050174E"/>
    <w:rsid w:val="00501854"/>
    <w:rsid w:val="00501E7B"/>
    <w:rsid w:val="0050219B"/>
    <w:rsid w:val="00503F17"/>
    <w:rsid w:val="00506928"/>
    <w:rsid w:val="005077EF"/>
    <w:rsid w:val="00510D5F"/>
    <w:rsid w:val="00511AD5"/>
    <w:rsid w:val="00511DC7"/>
    <w:rsid w:val="0051415B"/>
    <w:rsid w:val="005142C5"/>
    <w:rsid w:val="00514558"/>
    <w:rsid w:val="00514D41"/>
    <w:rsid w:val="0051501B"/>
    <w:rsid w:val="005152B5"/>
    <w:rsid w:val="00515E74"/>
    <w:rsid w:val="0052123C"/>
    <w:rsid w:val="00521319"/>
    <w:rsid w:val="00522BC8"/>
    <w:rsid w:val="00523C28"/>
    <w:rsid w:val="005244F4"/>
    <w:rsid w:val="00525067"/>
    <w:rsid w:val="005266B6"/>
    <w:rsid w:val="00530209"/>
    <w:rsid w:val="005315B5"/>
    <w:rsid w:val="0053176B"/>
    <w:rsid w:val="005323EE"/>
    <w:rsid w:val="00532452"/>
    <w:rsid w:val="00536F42"/>
    <w:rsid w:val="00536FE4"/>
    <w:rsid w:val="00537182"/>
    <w:rsid w:val="00537273"/>
    <w:rsid w:val="0054012B"/>
    <w:rsid w:val="00540491"/>
    <w:rsid w:val="00541036"/>
    <w:rsid w:val="00541EDD"/>
    <w:rsid w:val="005421CF"/>
    <w:rsid w:val="005422B7"/>
    <w:rsid w:val="00542743"/>
    <w:rsid w:val="00542C2D"/>
    <w:rsid w:val="00543183"/>
    <w:rsid w:val="005433D1"/>
    <w:rsid w:val="00543588"/>
    <w:rsid w:val="00545D4D"/>
    <w:rsid w:val="005478BD"/>
    <w:rsid w:val="005479E3"/>
    <w:rsid w:val="00547FD2"/>
    <w:rsid w:val="00551985"/>
    <w:rsid w:val="0055246A"/>
    <w:rsid w:val="00552BD3"/>
    <w:rsid w:val="005532A0"/>
    <w:rsid w:val="00553FEE"/>
    <w:rsid w:val="00553FFC"/>
    <w:rsid w:val="005545C1"/>
    <w:rsid w:val="00555109"/>
    <w:rsid w:val="005557F7"/>
    <w:rsid w:val="00555EA3"/>
    <w:rsid w:val="0055600A"/>
    <w:rsid w:val="00556B35"/>
    <w:rsid w:val="00556B9E"/>
    <w:rsid w:val="0055741A"/>
    <w:rsid w:val="0055775E"/>
    <w:rsid w:val="00557DF5"/>
    <w:rsid w:val="0056080A"/>
    <w:rsid w:val="0056098C"/>
    <w:rsid w:val="00560BEF"/>
    <w:rsid w:val="0056107D"/>
    <w:rsid w:val="005611B7"/>
    <w:rsid w:val="005618D4"/>
    <w:rsid w:val="0056267D"/>
    <w:rsid w:val="00562B02"/>
    <w:rsid w:val="00563CBE"/>
    <w:rsid w:val="00564233"/>
    <w:rsid w:val="00564A74"/>
    <w:rsid w:val="00565251"/>
    <w:rsid w:val="00565789"/>
    <w:rsid w:val="00565DF0"/>
    <w:rsid w:val="0056633E"/>
    <w:rsid w:val="0056696F"/>
    <w:rsid w:val="00570862"/>
    <w:rsid w:val="00572269"/>
    <w:rsid w:val="0057244A"/>
    <w:rsid w:val="00572F26"/>
    <w:rsid w:val="0057348B"/>
    <w:rsid w:val="00574660"/>
    <w:rsid w:val="005750C5"/>
    <w:rsid w:val="005752DE"/>
    <w:rsid w:val="00575D8D"/>
    <w:rsid w:val="00575E0E"/>
    <w:rsid w:val="0057659F"/>
    <w:rsid w:val="00576972"/>
    <w:rsid w:val="0058259A"/>
    <w:rsid w:val="005826F9"/>
    <w:rsid w:val="005831A1"/>
    <w:rsid w:val="00583699"/>
    <w:rsid w:val="00584769"/>
    <w:rsid w:val="0058489B"/>
    <w:rsid w:val="00585CDD"/>
    <w:rsid w:val="00587058"/>
    <w:rsid w:val="00587E71"/>
    <w:rsid w:val="0059027D"/>
    <w:rsid w:val="00590528"/>
    <w:rsid w:val="00591957"/>
    <w:rsid w:val="00593288"/>
    <w:rsid w:val="005959CD"/>
    <w:rsid w:val="00595CC1"/>
    <w:rsid w:val="005969B7"/>
    <w:rsid w:val="00597BF9"/>
    <w:rsid w:val="005A309A"/>
    <w:rsid w:val="005A373D"/>
    <w:rsid w:val="005A4789"/>
    <w:rsid w:val="005A7569"/>
    <w:rsid w:val="005B0B58"/>
    <w:rsid w:val="005B0DD3"/>
    <w:rsid w:val="005B0F3A"/>
    <w:rsid w:val="005B17ED"/>
    <w:rsid w:val="005B18AC"/>
    <w:rsid w:val="005B1BFA"/>
    <w:rsid w:val="005B3979"/>
    <w:rsid w:val="005B3F9E"/>
    <w:rsid w:val="005B4E53"/>
    <w:rsid w:val="005B5857"/>
    <w:rsid w:val="005B65F2"/>
    <w:rsid w:val="005B79FB"/>
    <w:rsid w:val="005C03EB"/>
    <w:rsid w:val="005C10D1"/>
    <w:rsid w:val="005C1B83"/>
    <w:rsid w:val="005C25FF"/>
    <w:rsid w:val="005C2D55"/>
    <w:rsid w:val="005C346B"/>
    <w:rsid w:val="005C54AD"/>
    <w:rsid w:val="005C6141"/>
    <w:rsid w:val="005D0257"/>
    <w:rsid w:val="005D044D"/>
    <w:rsid w:val="005D0ABD"/>
    <w:rsid w:val="005D13E5"/>
    <w:rsid w:val="005D18AD"/>
    <w:rsid w:val="005D22B9"/>
    <w:rsid w:val="005D26B4"/>
    <w:rsid w:val="005D31A8"/>
    <w:rsid w:val="005D4F5E"/>
    <w:rsid w:val="005D62D1"/>
    <w:rsid w:val="005D671A"/>
    <w:rsid w:val="005E0C6F"/>
    <w:rsid w:val="005E0F3B"/>
    <w:rsid w:val="005E1031"/>
    <w:rsid w:val="005E2D65"/>
    <w:rsid w:val="005E4A89"/>
    <w:rsid w:val="005E5A6A"/>
    <w:rsid w:val="005E6CBC"/>
    <w:rsid w:val="005E72FF"/>
    <w:rsid w:val="005E73C0"/>
    <w:rsid w:val="005F1060"/>
    <w:rsid w:val="005F2706"/>
    <w:rsid w:val="005F3B9E"/>
    <w:rsid w:val="005F4112"/>
    <w:rsid w:val="005F4836"/>
    <w:rsid w:val="005F4AFA"/>
    <w:rsid w:val="005F532E"/>
    <w:rsid w:val="005F581C"/>
    <w:rsid w:val="005F591E"/>
    <w:rsid w:val="005F5AC9"/>
    <w:rsid w:val="005F6A8F"/>
    <w:rsid w:val="005F6BB7"/>
    <w:rsid w:val="005F6C0E"/>
    <w:rsid w:val="005F7588"/>
    <w:rsid w:val="00603DB9"/>
    <w:rsid w:val="006049A5"/>
    <w:rsid w:val="00606707"/>
    <w:rsid w:val="00606FBA"/>
    <w:rsid w:val="00607669"/>
    <w:rsid w:val="006076F4"/>
    <w:rsid w:val="00607AFD"/>
    <w:rsid w:val="0061061E"/>
    <w:rsid w:val="00610B86"/>
    <w:rsid w:val="006112B0"/>
    <w:rsid w:val="00612F97"/>
    <w:rsid w:val="0061345D"/>
    <w:rsid w:val="00613E49"/>
    <w:rsid w:val="0061549B"/>
    <w:rsid w:val="00615868"/>
    <w:rsid w:val="00616802"/>
    <w:rsid w:val="00617E12"/>
    <w:rsid w:val="00617E72"/>
    <w:rsid w:val="006209C2"/>
    <w:rsid w:val="00620C25"/>
    <w:rsid w:val="00621477"/>
    <w:rsid w:val="00621ADA"/>
    <w:rsid w:val="00623A6B"/>
    <w:rsid w:val="00623F7B"/>
    <w:rsid w:val="00625BC4"/>
    <w:rsid w:val="0062771B"/>
    <w:rsid w:val="006277BE"/>
    <w:rsid w:val="0063127A"/>
    <w:rsid w:val="0063158F"/>
    <w:rsid w:val="00631D6B"/>
    <w:rsid w:val="00632183"/>
    <w:rsid w:val="0063218F"/>
    <w:rsid w:val="0063225E"/>
    <w:rsid w:val="006330A1"/>
    <w:rsid w:val="0063437C"/>
    <w:rsid w:val="0063479F"/>
    <w:rsid w:val="006353F0"/>
    <w:rsid w:val="006357B5"/>
    <w:rsid w:val="00635C36"/>
    <w:rsid w:val="006364A1"/>
    <w:rsid w:val="0063678E"/>
    <w:rsid w:val="00636F86"/>
    <w:rsid w:val="00637BFD"/>
    <w:rsid w:val="00640083"/>
    <w:rsid w:val="0064052F"/>
    <w:rsid w:val="006407DB"/>
    <w:rsid w:val="00640927"/>
    <w:rsid w:val="00641C4E"/>
    <w:rsid w:val="00641FB3"/>
    <w:rsid w:val="00643207"/>
    <w:rsid w:val="0064434C"/>
    <w:rsid w:val="0064582A"/>
    <w:rsid w:val="006471CC"/>
    <w:rsid w:val="006473B2"/>
    <w:rsid w:val="00647795"/>
    <w:rsid w:val="00647A29"/>
    <w:rsid w:val="0065079F"/>
    <w:rsid w:val="00652A28"/>
    <w:rsid w:val="00653448"/>
    <w:rsid w:val="0065379F"/>
    <w:rsid w:val="00656188"/>
    <w:rsid w:val="0065715A"/>
    <w:rsid w:val="006610F1"/>
    <w:rsid w:val="00661C6B"/>
    <w:rsid w:val="00663A40"/>
    <w:rsid w:val="00665090"/>
    <w:rsid w:val="006705A6"/>
    <w:rsid w:val="006707B5"/>
    <w:rsid w:val="00670B38"/>
    <w:rsid w:val="00670F7D"/>
    <w:rsid w:val="00671004"/>
    <w:rsid w:val="00671314"/>
    <w:rsid w:val="006716A4"/>
    <w:rsid w:val="00672646"/>
    <w:rsid w:val="0067394E"/>
    <w:rsid w:val="006740DE"/>
    <w:rsid w:val="00674E42"/>
    <w:rsid w:val="006813F8"/>
    <w:rsid w:val="00681D59"/>
    <w:rsid w:val="00682112"/>
    <w:rsid w:val="00682706"/>
    <w:rsid w:val="00682BA6"/>
    <w:rsid w:val="00682C3B"/>
    <w:rsid w:val="006855E3"/>
    <w:rsid w:val="00686957"/>
    <w:rsid w:val="00686A24"/>
    <w:rsid w:val="006872BA"/>
    <w:rsid w:val="00690765"/>
    <w:rsid w:val="00690795"/>
    <w:rsid w:val="00691648"/>
    <w:rsid w:val="006917D7"/>
    <w:rsid w:val="00691D02"/>
    <w:rsid w:val="00692F02"/>
    <w:rsid w:val="00693920"/>
    <w:rsid w:val="0069434C"/>
    <w:rsid w:val="00694F44"/>
    <w:rsid w:val="00695151"/>
    <w:rsid w:val="00695F87"/>
    <w:rsid w:val="00696773"/>
    <w:rsid w:val="00696F51"/>
    <w:rsid w:val="006979A5"/>
    <w:rsid w:val="006A05B4"/>
    <w:rsid w:val="006A39FD"/>
    <w:rsid w:val="006A3C4C"/>
    <w:rsid w:val="006A3DE6"/>
    <w:rsid w:val="006A6B99"/>
    <w:rsid w:val="006A7E5F"/>
    <w:rsid w:val="006B261B"/>
    <w:rsid w:val="006B2C90"/>
    <w:rsid w:val="006B35E6"/>
    <w:rsid w:val="006B4051"/>
    <w:rsid w:val="006B465A"/>
    <w:rsid w:val="006B6DD0"/>
    <w:rsid w:val="006B74B2"/>
    <w:rsid w:val="006B7664"/>
    <w:rsid w:val="006C01BB"/>
    <w:rsid w:val="006C0399"/>
    <w:rsid w:val="006C0E18"/>
    <w:rsid w:val="006C20EA"/>
    <w:rsid w:val="006C255B"/>
    <w:rsid w:val="006C282D"/>
    <w:rsid w:val="006C2A8E"/>
    <w:rsid w:val="006C2D27"/>
    <w:rsid w:val="006C3255"/>
    <w:rsid w:val="006C3D3B"/>
    <w:rsid w:val="006C3F26"/>
    <w:rsid w:val="006C58F9"/>
    <w:rsid w:val="006C6466"/>
    <w:rsid w:val="006D013A"/>
    <w:rsid w:val="006D0D17"/>
    <w:rsid w:val="006D2A18"/>
    <w:rsid w:val="006D3C7D"/>
    <w:rsid w:val="006D4659"/>
    <w:rsid w:val="006D477F"/>
    <w:rsid w:val="006D47C7"/>
    <w:rsid w:val="006D4901"/>
    <w:rsid w:val="006D5B87"/>
    <w:rsid w:val="006D5D5F"/>
    <w:rsid w:val="006D5F24"/>
    <w:rsid w:val="006D68FB"/>
    <w:rsid w:val="006D6C84"/>
    <w:rsid w:val="006D7254"/>
    <w:rsid w:val="006D74CC"/>
    <w:rsid w:val="006E0023"/>
    <w:rsid w:val="006E1912"/>
    <w:rsid w:val="006E1C7F"/>
    <w:rsid w:val="006E231E"/>
    <w:rsid w:val="006E2868"/>
    <w:rsid w:val="006E31A6"/>
    <w:rsid w:val="006E32E6"/>
    <w:rsid w:val="006E623E"/>
    <w:rsid w:val="006E6865"/>
    <w:rsid w:val="006E6B38"/>
    <w:rsid w:val="006E6EFC"/>
    <w:rsid w:val="006F00FE"/>
    <w:rsid w:val="006F08A8"/>
    <w:rsid w:val="006F306C"/>
    <w:rsid w:val="006F63A5"/>
    <w:rsid w:val="0070142B"/>
    <w:rsid w:val="00701B7C"/>
    <w:rsid w:val="0070276E"/>
    <w:rsid w:val="00702F8F"/>
    <w:rsid w:val="00703572"/>
    <w:rsid w:val="00703F3A"/>
    <w:rsid w:val="00704D04"/>
    <w:rsid w:val="007059AE"/>
    <w:rsid w:val="00705D78"/>
    <w:rsid w:val="00706012"/>
    <w:rsid w:val="0070707B"/>
    <w:rsid w:val="007079FC"/>
    <w:rsid w:val="00707A16"/>
    <w:rsid w:val="007101E3"/>
    <w:rsid w:val="00711A36"/>
    <w:rsid w:val="00713053"/>
    <w:rsid w:val="007136EB"/>
    <w:rsid w:val="00713D3C"/>
    <w:rsid w:val="00714C26"/>
    <w:rsid w:val="0071529C"/>
    <w:rsid w:val="007170DA"/>
    <w:rsid w:val="007172AD"/>
    <w:rsid w:val="007203A7"/>
    <w:rsid w:val="00720801"/>
    <w:rsid w:val="00721E6E"/>
    <w:rsid w:val="00722B1B"/>
    <w:rsid w:val="00722C72"/>
    <w:rsid w:val="00723C84"/>
    <w:rsid w:val="0072416F"/>
    <w:rsid w:val="00724814"/>
    <w:rsid w:val="007268F1"/>
    <w:rsid w:val="00726AB1"/>
    <w:rsid w:val="0072775B"/>
    <w:rsid w:val="00727C94"/>
    <w:rsid w:val="00731915"/>
    <w:rsid w:val="00731B0A"/>
    <w:rsid w:val="00731EAE"/>
    <w:rsid w:val="00732DFE"/>
    <w:rsid w:val="00733073"/>
    <w:rsid w:val="00733D58"/>
    <w:rsid w:val="00733F15"/>
    <w:rsid w:val="00735033"/>
    <w:rsid w:val="00735328"/>
    <w:rsid w:val="0073685B"/>
    <w:rsid w:val="00741C90"/>
    <w:rsid w:val="007430E0"/>
    <w:rsid w:val="00743A85"/>
    <w:rsid w:val="007448AB"/>
    <w:rsid w:val="007449BF"/>
    <w:rsid w:val="0074514F"/>
    <w:rsid w:val="00745180"/>
    <w:rsid w:val="00745FDB"/>
    <w:rsid w:val="00746260"/>
    <w:rsid w:val="00746BC0"/>
    <w:rsid w:val="007510B4"/>
    <w:rsid w:val="00752142"/>
    <w:rsid w:val="007523F9"/>
    <w:rsid w:val="00752AF1"/>
    <w:rsid w:val="00752BAC"/>
    <w:rsid w:val="0075357E"/>
    <w:rsid w:val="0075687A"/>
    <w:rsid w:val="00756F31"/>
    <w:rsid w:val="007573E8"/>
    <w:rsid w:val="00760C4E"/>
    <w:rsid w:val="00760F9E"/>
    <w:rsid w:val="007627BE"/>
    <w:rsid w:val="0076361B"/>
    <w:rsid w:val="00763A28"/>
    <w:rsid w:val="007643B2"/>
    <w:rsid w:val="00764F03"/>
    <w:rsid w:val="00765B1A"/>
    <w:rsid w:val="0077043A"/>
    <w:rsid w:val="00770B59"/>
    <w:rsid w:val="0077287B"/>
    <w:rsid w:val="00777188"/>
    <w:rsid w:val="00777335"/>
    <w:rsid w:val="00781C13"/>
    <w:rsid w:val="007843F2"/>
    <w:rsid w:val="00784B91"/>
    <w:rsid w:val="0078581A"/>
    <w:rsid w:val="00785A9F"/>
    <w:rsid w:val="00787128"/>
    <w:rsid w:val="007925DF"/>
    <w:rsid w:val="00793070"/>
    <w:rsid w:val="007942C6"/>
    <w:rsid w:val="00796D88"/>
    <w:rsid w:val="00796FA8"/>
    <w:rsid w:val="00797A0B"/>
    <w:rsid w:val="007A08AA"/>
    <w:rsid w:val="007A0A12"/>
    <w:rsid w:val="007A0F16"/>
    <w:rsid w:val="007A132D"/>
    <w:rsid w:val="007A1345"/>
    <w:rsid w:val="007A181F"/>
    <w:rsid w:val="007A2906"/>
    <w:rsid w:val="007A2B5C"/>
    <w:rsid w:val="007A2DDB"/>
    <w:rsid w:val="007A46B9"/>
    <w:rsid w:val="007A50EE"/>
    <w:rsid w:val="007A61E1"/>
    <w:rsid w:val="007A70BA"/>
    <w:rsid w:val="007B004E"/>
    <w:rsid w:val="007B023F"/>
    <w:rsid w:val="007B0D68"/>
    <w:rsid w:val="007B0DB0"/>
    <w:rsid w:val="007B0DEB"/>
    <w:rsid w:val="007B251D"/>
    <w:rsid w:val="007B2986"/>
    <w:rsid w:val="007B2B92"/>
    <w:rsid w:val="007B419D"/>
    <w:rsid w:val="007B4BCB"/>
    <w:rsid w:val="007B4F58"/>
    <w:rsid w:val="007B528D"/>
    <w:rsid w:val="007B6243"/>
    <w:rsid w:val="007B63CA"/>
    <w:rsid w:val="007B6D30"/>
    <w:rsid w:val="007B77D1"/>
    <w:rsid w:val="007C07C7"/>
    <w:rsid w:val="007C1CD9"/>
    <w:rsid w:val="007C2A14"/>
    <w:rsid w:val="007C32EF"/>
    <w:rsid w:val="007C35D6"/>
    <w:rsid w:val="007C361D"/>
    <w:rsid w:val="007C49FD"/>
    <w:rsid w:val="007C4B84"/>
    <w:rsid w:val="007C5DB7"/>
    <w:rsid w:val="007C602F"/>
    <w:rsid w:val="007C70FF"/>
    <w:rsid w:val="007C7C25"/>
    <w:rsid w:val="007D004F"/>
    <w:rsid w:val="007D046D"/>
    <w:rsid w:val="007D0B38"/>
    <w:rsid w:val="007D1BAC"/>
    <w:rsid w:val="007D295B"/>
    <w:rsid w:val="007D43E1"/>
    <w:rsid w:val="007D4F2F"/>
    <w:rsid w:val="007D5440"/>
    <w:rsid w:val="007D69EB"/>
    <w:rsid w:val="007D7C9E"/>
    <w:rsid w:val="007E128F"/>
    <w:rsid w:val="007E2E55"/>
    <w:rsid w:val="007E488C"/>
    <w:rsid w:val="007E5328"/>
    <w:rsid w:val="007E58CE"/>
    <w:rsid w:val="007E71A2"/>
    <w:rsid w:val="007E79AA"/>
    <w:rsid w:val="007E7B30"/>
    <w:rsid w:val="007E7FB3"/>
    <w:rsid w:val="007F1017"/>
    <w:rsid w:val="007F4A3F"/>
    <w:rsid w:val="007F4A61"/>
    <w:rsid w:val="007F5255"/>
    <w:rsid w:val="007F543E"/>
    <w:rsid w:val="007F56CC"/>
    <w:rsid w:val="007F61C2"/>
    <w:rsid w:val="007F67B9"/>
    <w:rsid w:val="007F6B11"/>
    <w:rsid w:val="00805142"/>
    <w:rsid w:val="00805FCE"/>
    <w:rsid w:val="00807A8B"/>
    <w:rsid w:val="00807CF7"/>
    <w:rsid w:val="00811383"/>
    <w:rsid w:val="00811C37"/>
    <w:rsid w:val="00812149"/>
    <w:rsid w:val="00812899"/>
    <w:rsid w:val="00812CAC"/>
    <w:rsid w:val="00812EA4"/>
    <w:rsid w:val="008153EF"/>
    <w:rsid w:val="00815DB3"/>
    <w:rsid w:val="0081607E"/>
    <w:rsid w:val="00816361"/>
    <w:rsid w:val="008166EF"/>
    <w:rsid w:val="00816FEF"/>
    <w:rsid w:val="00820A8C"/>
    <w:rsid w:val="008215FB"/>
    <w:rsid w:val="00822AB2"/>
    <w:rsid w:val="00823174"/>
    <w:rsid w:val="00825751"/>
    <w:rsid w:val="008264EB"/>
    <w:rsid w:val="00826574"/>
    <w:rsid w:val="00830485"/>
    <w:rsid w:val="00832C71"/>
    <w:rsid w:val="00833B05"/>
    <w:rsid w:val="0083514F"/>
    <w:rsid w:val="008362B4"/>
    <w:rsid w:val="00840CA2"/>
    <w:rsid w:val="00841B48"/>
    <w:rsid w:val="0084214E"/>
    <w:rsid w:val="00842372"/>
    <w:rsid w:val="008431E5"/>
    <w:rsid w:val="00843730"/>
    <w:rsid w:val="0084374F"/>
    <w:rsid w:val="00844A22"/>
    <w:rsid w:val="00844CDF"/>
    <w:rsid w:val="00847703"/>
    <w:rsid w:val="00847DF5"/>
    <w:rsid w:val="0085309D"/>
    <w:rsid w:val="00853FB6"/>
    <w:rsid w:val="00854B7E"/>
    <w:rsid w:val="00854FFF"/>
    <w:rsid w:val="008553D9"/>
    <w:rsid w:val="00855FD1"/>
    <w:rsid w:val="00856897"/>
    <w:rsid w:val="00856AB1"/>
    <w:rsid w:val="00856E9A"/>
    <w:rsid w:val="00857C56"/>
    <w:rsid w:val="0086075D"/>
    <w:rsid w:val="008621F4"/>
    <w:rsid w:val="00862502"/>
    <w:rsid w:val="00862CC1"/>
    <w:rsid w:val="008642F4"/>
    <w:rsid w:val="008660D4"/>
    <w:rsid w:val="00870512"/>
    <w:rsid w:val="00870BF3"/>
    <w:rsid w:val="00870CCA"/>
    <w:rsid w:val="008717DF"/>
    <w:rsid w:val="00871FA9"/>
    <w:rsid w:val="008720D9"/>
    <w:rsid w:val="008728E9"/>
    <w:rsid w:val="00872E3F"/>
    <w:rsid w:val="00873D0F"/>
    <w:rsid w:val="008745EF"/>
    <w:rsid w:val="00875139"/>
    <w:rsid w:val="00875A19"/>
    <w:rsid w:val="00877C23"/>
    <w:rsid w:val="008810EC"/>
    <w:rsid w:val="00882086"/>
    <w:rsid w:val="00882874"/>
    <w:rsid w:val="00882E3C"/>
    <w:rsid w:val="00883787"/>
    <w:rsid w:val="008855E4"/>
    <w:rsid w:val="00886CD2"/>
    <w:rsid w:val="0088779D"/>
    <w:rsid w:val="00890C01"/>
    <w:rsid w:val="008915A2"/>
    <w:rsid w:val="00891E6F"/>
    <w:rsid w:val="0089275D"/>
    <w:rsid w:val="00892A36"/>
    <w:rsid w:val="00893239"/>
    <w:rsid w:val="00894489"/>
    <w:rsid w:val="00894532"/>
    <w:rsid w:val="00894E48"/>
    <w:rsid w:val="0089564E"/>
    <w:rsid w:val="00895AE3"/>
    <w:rsid w:val="00896139"/>
    <w:rsid w:val="008963A5"/>
    <w:rsid w:val="00896D5D"/>
    <w:rsid w:val="00897712"/>
    <w:rsid w:val="00897AD7"/>
    <w:rsid w:val="008A0180"/>
    <w:rsid w:val="008A094E"/>
    <w:rsid w:val="008A1901"/>
    <w:rsid w:val="008A1EE0"/>
    <w:rsid w:val="008A3363"/>
    <w:rsid w:val="008A3371"/>
    <w:rsid w:val="008A3C3E"/>
    <w:rsid w:val="008A45F7"/>
    <w:rsid w:val="008A5C27"/>
    <w:rsid w:val="008A5F67"/>
    <w:rsid w:val="008A79DE"/>
    <w:rsid w:val="008B05A3"/>
    <w:rsid w:val="008B0BEE"/>
    <w:rsid w:val="008B1757"/>
    <w:rsid w:val="008B32B4"/>
    <w:rsid w:val="008B7425"/>
    <w:rsid w:val="008B7992"/>
    <w:rsid w:val="008B7D7E"/>
    <w:rsid w:val="008C19A2"/>
    <w:rsid w:val="008C3C48"/>
    <w:rsid w:val="008C40B8"/>
    <w:rsid w:val="008C5610"/>
    <w:rsid w:val="008C5739"/>
    <w:rsid w:val="008C58BA"/>
    <w:rsid w:val="008C59A8"/>
    <w:rsid w:val="008C697B"/>
    <w:rsid w:val="008C6B24"/>
    <w:rsid w:val="008C7ECB"/>
    <w:rsid w:val="008D0729"/>
    <w:rsid w:val="008D107E"/>
    <w:rsid w:val="008D3B86"/>
    <w:rsid w:val="008D428B"/>
    <w:rsid w:val="008D4755"/>
    <w:rsid w:val="008D4C3D"/>
    <w:rsid w:val="008D743C"/>
    <w:rsid w:val="008D77A1"/>
    <w:rsid w:val="008E0963"/>
    <w:rsid w:val="008E0D3C"/>
    <w:rsid w:val="008E0FFE"/>
    <w:rsid w:val="008E1B9E"/>
    <w:rsid w:val="008E279B"/>
    <w:rsid w:val="008E2CC0"/>
    <w:rsid w:val="008E3CA7"/>
    <w:rsid w:val="008E48FB"/>
    <w:rsid w:val="008E55AB"/>
    <w:rsid w:val="008E6DEF"/>
    <w:rsid w:val="008F062B"/>
    <w:rsid w:val="008F120A"/>
    <w:rsid w:val="008F27E0"/>
    <w:rsid w:val="008F2C0B"/>
    <w:rsid w:val="008F44E2"/>
    <w:rsid w:val="008F48AA"/>
    <w:rsid w:val="008F48EB"/>
    <w:rsid w:val="008F4F0B"/>
    <w:rsid w:val="008F70B4"/>
    <w:rsid w:val="0090176F"/>
    <w:rsid w:val="009017EF"/>
    <w:rsid w:val="00902F7C"/>
    <w:rsid w:val="0090307B"/>
    <w:rsid w:val="00903480"/>
    <w:rsid w:val="0090408F"/>
    <w:rsid w:val="00904424"/>
    <w:rsid w:val="009046C4"/>
    <w:rsid w:val="009062A5"/>
    <w:rsid w:val="00906F4D"/>
    <w:rsid w:val="00910FA7"/>
    <w:rsid w:val="00911272"/>
    <w:rsid w:val="009123A3"/>
    <w:rsid w:val="0091354C"/>
    <w:rsid w:val="009135D6"/>
    <w:rsid w:val="00914368"/>
    <w:rsid w:val="00914C77"/>
    <w:rsid w:val="00915190"/>
    <w:rsid w:val="00915D74"/>
    <w:rsid w:val="0091743D"/>
    <w:rsid w:val="0091772F"/>
    <w:rsid w:val="009211F2"/>
    <w:rsid w:val="009211F9"/>
    <w:rsid w:val="00921ACB"/>
    <w:rsid w:val="00922A6A"/>
    <w:rsid w:val="00922F73"/>
    <w:rsid w:val="0092346C"/>
    <w:rsid w:val="0092369B"/>
    <w:rsid w:val="009277BE"/>
    <w:rsid w:val="0093003C"/>
    <w:rsid w:val="009317DF"/>
    <w:rsid w:val="009342EB"/>
    <w:rsid w:val="00934988"/>
    <w:rsid w:val="00934A58"/>
    <w:rsid w:val="00937089"/>
    <w:rsid w:val="009429F2"/>
    <w:rsid w:val="00942E86"/>
    <w:rsid w:val="00944E0F"/>
    <w:rsid w:val="00944F8A"/>
    <w:rsid w:val="00945316"/>
    <w:rsid w:val="00945347"/>
    <w:rsid w:val="00950384"/>
    <w:rsid w:val="009510A2"/>
    <w:rsid w:val="009510F1"/>
    <w:rsid w:val="00953257"/>
    <w:rsid w:val="0095474C"/>
    <w:rsid w:val="0095523C"/>
    <w:rsid w:val="0096180F"/>
    <w:rsid w:val="00961849"/>
    <w:rsid w:val="00962C33"/>
    <w:rsid w:val="00962CB9"/>
    <w:rsid w:val="009634F7"/>
    <w:rsid w:val="009638FA"/>
    <w:rsid w:val="00964312"/>
    <w:rsid w:val="0096526D"/>
    <w:rsid w:val="00965A53"/>
    <w:rsid w:val="00965AD4"/>
    <w:rsid w:val="00965B8A"/>
    <w:rsid w:val="009674D6"/>
    <w:rsid w:val="00967A63"/>
    <w:rsid w:val="00967D69"/>
    <w:rsid w:val="0097071F"/>
    <w:rsid w:val="009717AC"/>
    <w:rsid w:val="009751C1"/>
    <w:rsid w:val="0097630E"/>
    <w:rsid w:val="009769EA"/>
    <w:rsid w:val="00976C3A"/>
    <w:rsid w:val="0098062B"/>
    <w:rsid w:val="009811F1"/>
    <w:rsid w:val="009819B2"/>
    <w:rsid w:val="00982DB6"/>
    <w:rsid w:val="00983E2A"/>
    <w:rsid w:val="00983E57"/>
    <w:rsid w:val="0098412B"/>
    <w:rsid w:val="0098490F"/>
    <w:rsid w:val="00985DE2"/>
    <w:rsid w:val="0098675D"/>
    <w:rsid w:val="00991D78"/>
    <w:rsid w:val="009926E0"/>
    <w:rsid w:val="0099451E"/>
    <w:rsid w:val="00996B1A"/>
    <w:rsid w:val="009A174F"/>
    <w:rsid w:val="009A2DCC"/>
    <w:rsid w:val="009A3348"/>
    <w:rsid w:val="009A4CEA"/>
    <w:rsid w:val="009A5ABC"/>
    <w:rsid w:val="009A68E0"/>
    <w:rsid w:val="009A6D45"/>
    <w:rsid w:val="009A6D71"/>
    <w:rsid w:val="009A7380"/>
    <w:rsid w:val="009A7E8B"/>
    <w:rsid w:val="009A7F10"/>
    <w:rsid w:val="009A7F2A"/>
    <w:rsid w:val="009B01E2"/>
    <w:rsid w:val="009B134B"/>
    <w:rsid w:val="009B19DE"/>
    <w:rsid w:val="009B1F17"/>
    <w:rsid w:val="009B2B4E"/>
    <w:rsid w:val="009B3A4F"/>
    <w:rsid w:val="009B3E26"/>
    <w:rsid w:val="009B41CA"/>
    <w:rsid w:val="009B4218"/>
    <w:rsid w:val="009B4798"/>
    <w:rsid w:val="009B5A7A"/>
    <w:rsid w:val="009C3706"/>
    <w:rsid w:val="009C3A3A"/>
    <w:rsid w:val="009C3E3D"/>
    <w:rsid w:val="009C3F74"/>
    <w:rsid w:val="009C53A6"/>
    <w:rsid w:val="009C6CEA"/>
    <w:rsid w:val="009C6DBB"/>
    <w:rsid w:val="009C740D"/>
    <w:rsid w:val="009C7B85"/>
    <w:rsid w:val="009D0254"/>
    <w:rsid w:val="009D0C05"/>
    <w:rsid w:val="009D1A64"/>
    <w:rsid w:val="009D1F07"/>
    <w:rsid w:val="009D27B2"/>
    <w:rsid w:val="009D2CC0"/>
    <w:rsid w:val="009D3C49"/>
    <w:rsid w:val="009D5B91"/>
    <w:rsid w:val="009D6023"/>
    <w:rsid w:val="009D792E"/>
    <w:rsid w:val="009E036A"/>
    <w:rsid w:val="009E07D9"/>
    <w:rsid w:val="009E0DFE"/>
    <w:rsid w:val="009E31F6"/>
    <w:rsid w:val="009E4C07"/>
    <w:rsid w:val="009E6A0E"/>
    <w:rsid w:val="009F2F94"/>
    <w:rsid w:val="009F3A3F"/>
    <w:rsid w:val="009F3B19"/>
    <w:rsid w:val="009F4FC4"/>
    <w:rsid w:val="009F6A5B"/>
    <w:rsid w:val="00A00D97"/>
    <w:rsid w:val="00A01168"/>
    <w:rsid w:val="00A01184"/>
    <w:rsid w:val="00A01256"/>
    <w:rsid w:val="00A02D50"/>
    <w:rsid w:val="00A037C2"/>
    <w:rsid w:val="00A03D43"/>
    <w:rsid w:val="00A03DA1"/>
    <w:rsid w:val="00A04380"/>
    <w:rsid w:val="00A05472"/>
    <w:rsid w:val="00A05C32"/>
    <w:rsid w:val="00A0653F"/>
    <w:rsid w:val="00A06852"/>
    <w:rsid w:val="00A103D2"/>
    <w:rsid w:val="00A1060C"/>
    <w:rsid w:val="00A11CD0"/>
    <w:rsid w:val="00A11F1C"/>
    <w:rsid w:val="00A12F27"/>
    <w:rsid w:val="00A13235"/>
    <w:rsid w:val="00A13948"/>
    <w:rsid w:val="00A141F7"/>
    <w:rsid w:val="00A14805"/>
    <w:rsid w:val="00A1483D"/>
    <w:rsid w:val="00A14AD7"/>
    <w:rsid w:val="00A1555B"/>
    <w:rsid w:val="00A155C5"/>
    <w:rsid w:val="00A15E77"/>
    <w:rsid w:val="00A16628"/>
    <w:rsid w:val="00A16859"/>
    <w:rsid w:val="00A16AD8"/>
    <w:rsid w:val="00A20027"/>
    <w:rsid w:val="00A21C95"/>
    <w:rsid w:val="00A21CF3"/>
    <w:rsid w:val="00A22398"/>
    <w:rsid w:val="00A22C09"/>
    <w:rsid w:val="00A24813"/>
    <w:rsid w:val="00A24B84"/>
    <w:rsid w:val="00A25551"/>
    <w:rsid w:val="00A25D87"/>
    <w:rsid w:val="00A2704F"/>
    <w:rsid w:val="00A27901"/>
    <w:rsid w:val="00A27AEC"/>
    <w:rsid w:val="00A3117F"/>
    <w:rsid w:val="00A3189C"/>
    <w:rsid w:val="00A31E02"/>
    <w:rsid w:val="00A320DB"/>
    <w:rsid w:val="00A35D16"/>
    <w:rsid w:val="00A36A28"/>
    <w:rsid w:val="00A37BCD"/>
    <w:rsid w:val="00A4054A"/>
    <w:rsid w:val="00A41689"/>
    <w:rsid w:val="00A41937"/>
    <w:rsid w:val="00A42592"/>
    <w:rsid w:val="00A43C59"/>
    <w:rsid w:val="00A45330"/>
    <w:rsid w:val="00A459CA"/>
    <w:rsid w:val="00A4694D"/>
    <w:rsid w:val="00A50249"/>
    <w:rsid w:val="00A507E7"/>
    <w:rsid w:val="00A50CB3"/>
    <w:rsid w:val="00A50ECD"/>
    <w:rsid w:val="00A518F3"/>
    <w:rsid w:val="00A520C7"/>
    <w:rsid w:val="00A522F7"/>
    <w:rsid w:val="00A52729"/>
    <w:rsid w:val="00A53675"/>
    <w:rsid w:val="00A53A69"/>
    <w:rsid w:val="00A53E72"/>
    <w:rsid w:val="00A541CC"/>
    <w:rsid w:val="00A564D7"/>
    <w:rsid w:val="00A56B6A"/>
    <w:rsid w:val="00A578DC"/>
    <w:rsid w:val="00A60538"/>
    <w:rsid w:val="00A60AFF"/>
    <w:rsid w:val="00A640E2"/>
    <w:rsid w:val="00A64D65"/>
    <w:rsid w:val="00A6725B"/>
    <w:rsid w:val="00A70605"/>
    <w:rsid w:val="00A718A7"/>
    <w:rsid w:val="00A71BB3"/>
    <w:rsid w:val="00A72C58"/>
    <w:rsid w:val="00A73134"/>
    <w:rsid w:val="00A7407A"/>
    <w:rsid w:val="00A745D3"/>
    <w:rsid w:val="00A74790"/>
    <w:rsid w:val="00A748E7"/>
    <w:rsid w:val="00A76001"/>
    <w:rsid w:val="00A777B2"/>
    <w:rsid w:val="00A80AA5"/>
    <w:rsid w:val="00A80AF3"/>
    <w:rsid w:val="00A80DF8"/>
    <w:rsid w:val="00A81211"/>
    <w:rsid w:val="00A8162A"/>
    <w:rsid w:val="00A81BD5"/>
    <w:rsid w:val="00A82521"/>
    <w:rsid w:val="00A825D4"/>
    <w:rsid w:val="00A828F6"/>
    <w:rsid w:val="00A82B73"/>
    <w:rsid w:val="00A83EA8"/>
    <w:rsid w:val="00A843E8"/>
    <w:rsid w:val="00A864B4"/>
    <w:rsid w:val="00A86A01"/>
    <w:rsid w:val="00A86E8B"/>
    <w:rsid w:val="00A87164"/>
    <w:rsid w:val="00A90B5A"/>
    <w:rsid w:val="00A91905"/>
    <w:rsid w:val="00A91BA3"/>
    <w:rsid w:val="00A93072"/>
    <w:rsid w:val="00A938BD"/>
    <w:rsid w:val="00A93953"/>
    <w:rsid w:val="00A93A35"/>
    <w:rsid w:val="00A93B8D"/>
    <w:rsid w:val="00A94197"/>
    <w:rsid w:val="00A94FC7"/>
    <w:rsid w:val="00A95163"/>
    <w:rsid w:val="00A959D8"/>
    <w:rsid w:val="00AA113D"/>
    <w:rsid w:val="00AA507A"/>
    <w:rsid w:val="00AA5C46"/>
    <w:rsid w:val="00AA6BD5"/>
    <w:rsid w:val="00AA6BD8"/>
    <w:rsid w:val="00AA6C7D"/>
    <w:rsid w:val="00AA7FD6"/>
    <w:rsid w:val="00AB042A"/>
    <w:rsid w:val="00AB0802"/>
    <w:rsid w:val="00AB0AE4"/>
    <w:rsid w:val="00AB19EF"/>
    <w:rsid w:val="00AB2D34"/>
    <w:rsid w:val="00AB3430"/>
    <w:rsid w:val="00AB37B9"/>
    <w:rsid w:val="00AB447B"/>
    <w:rsid w:val="00AB4AD1"/>
    <w:rsid w:val="00AB4C75"/>
    <w:rsid w:val="00AB5047"/>
    <w:rsid w:val="00AB5221"/>
    <w:rsid w:val="00AB5E07"/>
    <w:rsid w:val="00AB6048"/>
    <w:rsid w:val="00AB6197"/>
    <w:rsid w:val="00AB7CFA"/>
    <w:rsid w:val="00AC0860"/>
    <w:rsid w:val="00AC0E89"/>
    <w:rsid w:val="00AC3531"/>
    <w:rsid w:val="00AC5B48"/>
    <w:rsid w:val="00AC6773"/>
    <w:rsid w:val="00AD1450"/>
    <w:rsid w:val="00AD189A"/>
    <w:rsid w:val="00AD3F9A"/>
    <w:rsid w:val="00AD5278"/>
    <w:rsid w:val="00AD5B00"/>
    <w:rsid w:val="00AD63DA"/>
    <w:rsid w:val="00AD6502"/>
    <w:rsid w:val="00AD7D96"/>
    <w:rsid w:val="00AE0339"/>
    <w:rsid w:val="00AE0659"/>
    <w:rsid w:val="00AE0695"/>
    <w:rsid w:val="00AE12EF"/>
    <w:rsid w:val="00AE2B21"/>
    <w:rsid w:val="00AE2F1B"/>
    <w:rsid w:val="00AE3E7E"/>
    <w:rsid w:val="00AE5885"/>
    <w:rsid w:val="00AE7A0F"/>
    <w:rsid w:val="00AE7B67"/>
    <w:rsid w:val="00AF0248"/>
    <w:rsid w:val="00AF086A"/>
    <w:rsid w:val="00AF08E9"/>
    <w:rsid w:val="00AF1315"/>
    <w:rsid w:val="00AF145F"/>
    <w:rsid w:val="00AF19BF"/>
    <w:rsid w:val="00AF1A39"/>
    <w:rsid w:val="00AF272D"/>
    <w:rsid w:val="00AF2DC3"/>
    <w:rsid w:val="00AF3CA0"/>
    <w:rsid w:val="00AF4C1C"/>
    <w:rsid w:val="00AF4CE5"/>
    <w:rsid w:val="00AF708A"/>
    <w:rsid w:val="00B00AB6"/>
    <w:rsid w:val="00B025A7"/>
    <w:rsid w:val="00B032DF"/>
    <w:rsid w:val="00B033E5"/>
    <w:rsid w:val="00B03A63"/>
    <w:rsid w:val="00B04881"/>
    <w:rsid w:val="00B054F6"/>
    <w:rsid w:val="00B0564F"/>
    <w:rsid w:val="00B059BB"/>
    <w:rsid w:val="00B05CAE"/>
    <w:rsid w:val="00B05D19"/>
    <w:rsid w:val="00B0684A"/>
    <w:rsid w:val="00B075A3"/>
    <w:rsid w:val="00B102D4"/>
    <w:rsid w:val="00B10DAD"/>
    <w:rsid w:val="00B1121A"/>
    <w:rsid w:val="00B11347"/>
    <w:rsid w:val="00B13199"/>
    <w:rsid w:val="00B139FA"/>
    <w:rsid w:val="00B14090"/>
    <w:rsid w:val="00B14D9F"/>
    <w:rsid w:val="00B15F05"/>
    <w:rsid w:val="00B16B87"/>
    <w:rsid w:val="00B201A4"/>
    <w:rsid w:val="00B201D1"/>
    <w:rsid w:val="00B2084F"/>
    <w:rsid w:val="00B213A6"/>
    <w:rsid w:val="00B2306C"/>
    <w:rsid w:val="00B23239"/>
    <w:rsid w:val="00B23462"/>
    <w:rsid w:val="00B235B0"/>
    <w:rsid w:val="00B24DF6"/>
    <w:rsid w:val="00B271BD"/>
    <w:rsid w:val="00B30670"/>
    <w:rsid w:val="00B31096"/>
    <w:rsid w:val="00B312FE"/>
    <w:rsid w:val="00B316BC"/>
    <w:rsid w:val="00B347C0"/>
    <w:rsid w:val="00B34FE2"/>
    <w:rsid w:val="00B35166"/>
    <w:rsid w:val="00B357D8"/>
    <w:rsid w:val="00B360F4"/>
    <w:rsid w:val="00B36227"/>
    <w:rsid w:val="00B36A00"/>
    <w:rsid w:val="00B36AC8"/>
    <w:rsid w:val="00B37BFC"/>
    <w:rsid w:val="00B40358"/>
    <w:rsid w:val="00B41614"/>
    <w:rsid w:val="00B41895"/>
    <w:rsid w:val="00B41B57"/>
    <w:rsid w:val="00B42851"/>
    <w:rsid w:val="00B42F80"/>
    <w:rsid w:val="00B435CB"/>
    <w:rsid w:val="00B44548"/>
    <w:rsid w:val="00B46EAA"/>
    <w:rsid w:val="00B46EC8"/>
    <w:rsid w:val="00B47468"/>
    <w:rsid w:val="00B505C8"/>
    <w:rsid w:val="00B50DB8"/>
    <w:rsid w:val="00B512E0"/>
    <w:rsid w:val="00B515FD"/>
    <w:rsid w:val="00B53654"/>
    <w:rsid w:val="00B53905"/>
    <w:rsid w:val="00B54B5B"/>
    <w:rsid w:val="00B5562E"/>
    <w:rsid w:val="00B55D65"/>
    <w:rsid w:val="00B57000"/>
    <w:rsid w:val="00B57148"/>
    <w:rsid w:val="00B60070"/>
    <w:rsid w:val="00B60939"/>
    <w:rsid w:val="00B6095F"/>
    <w:rsid w:val="00B60AFD"/>
    <w:rsid w:val="00B62715"/>
    <w:rsid w:val="00B65611"/>
    <w:rsid w:val="00B6602E"/>
    <w:rsid w:val="00B667E4"/>
    <w:rsid w:val="00B66A22"/>
    <w:rsid w:val="00B70E8E"/>
    <w:rsid w:val="00B7206A"/>
    <w:rsid w:val="00B72448"/>
    <w:rsid w:val="00B74ADA"/>
    <w:rsid w:val="00B74C64"/>
    <w:rsid w:val="00B7548D"/>
    <w:rsid w:val="00B76583"/>
    <w:rsid w:val="00B76C92"/>
    <w:rsid w:val="00B8061C"/>
    <w:rsid w:val="00B818A4"/>
    <w:rsid w:val="00B833BB"/>
    <w:rsid w:val="00B84117"/>
    <w:rsid w:val="00B85810"/>
    <w:rsid w:val="00B858F0"/>
    <w:rsid w:val="00B85AA2"/>
    <w:rsid w:val="00B85FDF"/>
    <w:rsid w:val="00B8649C"/>
    <w:rsid w:val="00B8695D"/>
    <w:rsid w:val="00B873CB"/>
    <w:rsid w:val="00B87F0A"/>
    <w:rsid w:val="00B9021E"/>
    <w:rsid w:val="00B91586"/>
    <w:rsid w:val="00B9235A"/>
    <w:rsid w:val="00B92D0B"/>
    <w:rsid w:val="00B93D6D"/>
    <w:rsid w:val="00B94945"/>
    <w:rsid w:val="00B94DD6"/>
    <w:rsid w:val="00B96D54"/>
    <w:rsid w:val="00B974B3"/>
    <w:rsid w:val="00BA11D6"/>
    <w:rsid w:val="00BA1250"/>
    <w:rsid w:val="00BA15ED"/>
    <w:rsid w:val="00BA322D"/>
    <w:rsid w:val="00BA3796"/>
    <w:rsid w:val="00BA4263"/>
    <w:rsid w:val="00BA63FA"/>
    <w:rsid w:val="00BA722C"/>
    <w:rsid w:val="00BA769A"/>
    <w:rsid w:val="00BB00B3"/>
    <w:rsid w:val="00BB0BDD"/>
    <w:rsid w:val="00BB1403"/>
    <w:rsid w:val="00BB176C"/>
    <w:rsid w:val="00BB2A73"/>
    <w:rsid w:val="00BB31CB"/>
    <w:rsid w:val="00BB3464"/>
    <w:rsid w:val="00BB3A45"/>
    <w:rsid w:val="00BB4ACC"/>
    <w:rsid w:val="00BB703E"/>
    <w:rsid w:val="00BB732D"/>
    <w:rsid w:val="00BB7405"/>
    <w:rsid w:val="00BB7646"/>
    <w:rsid w:val="00BB7BDA"/>
    <w:rsid w:val="00BC1BD8"/>
    <w:rsid w:val="00BC22C6"/>
    <w:rsid w:val="00BC3631"/>
    <w:rsid w:val="00BC3AD3"/>
    <w:rsid w:val="00BC4521"/>
    <w:rsid w:val="00BC591F"/>
    <w:rsid w:val="00BC5CE3"/>
    <w:rsid w:val="00BC61C2"/>
    <w:rsid w:val="00BC6873"/>
    <w:rsid w:val="00BC7D6D"/>
    <w:rsid w:val="00BD1893"/>
    <w:rsid w:val="00BD2108"/>
    <w:rsid w:val="00BD3262"/>
    <w:rsid w:val="00BD68A3"/>
    <w:rsid w:val="00BD6938"/>
    <w:rsid w:val="00BD6BDA"/>
    <w:rsid w:val="00BD6CF3"/>
    <w:rsid w:val="00BD6FBF"/>
    <w:rsid w:val="00BD711B"/>
    <w:rsid w:val="00BE094C"/>
    <w:rsid w:val="00BE0ECA"/>
    <w:rsid w:val="00BE213B"/>
    <w:rsid w:val="00BE2180"/>
    <w:rsid w:val="00BE21F2"/>
    <w:rsid w:val="00BE2449"/>
    <w:rsid w:val="00BE4275"/>
    <w:rsid w:val="00BE5523"/>
    <w:rsid w:val="00BE5FBB"/>
    <w:rsid w:val="00BE6B5A"/>
    <w:rsid w:val="00BE7BE4"/>
    <w:rsid w:val="00BE7EBA"/>
    <w:rsid w:val="00BF06AE"/>
    <w:rsid w:val="00BF0F95"/>
    <w:rsid w:val="00BF2433"/>
    <w:rsid w:val="00BF2846"/>
    <w:rsid w:val="00BF3E96"/>
    <w:rsid w:val="00BF47F9"/>
    <w:rsid w:val="00BF4927"/>
    <w:rsid w:val="00BF51D5"/>
    <w:rsid w:val="00BF5EAB"/>
    <w:rsid w:val="00BF61C9"/>
    <w:rsid w:val="00BF6B35"/>
    <w:rsid w:val="00BF6C94"/>
    <w:rsid w:val="00C001F8"/>
    <w:rsid w:val="00C00424"/>
    <w:rsid w:val="00C034FA"/>
    <w:rsid w:val="00C039EB"/>
    <w:rsid w:val="00C0795A"/>
    <w:rsid w:val="00C114FF"/>
    <w:rsid w:val="00C1179F"/>
    <w:rsid w:val="00C1269A"/>
    <w:rsid w:val="00C12C14"/>
    <w:rsid w:val="00C136DC"/>
    <w:rsid w:val="00C15F04"/>
    <w:rsid w:val="00C179B3"/>
    <w:rsid w:val="00C17E3F"/>
    <w:rsid w:val="00C200AA"/>
    <w:rsid w:val="00C20719"/>
    <w:rsid w:val="00C22B74"/>
    <w:rsid w:val="00C22FB7"/>
    <w:rsid w:val="00C237ED"/>
    <w:rsid w:val="00C23D45"/>
    <w:rsid w:val="00C24632"/>
    <w:rsid w:val="00C25418"/>
    <w:rsid w:val="00C25D9C"/>
    <w:rsid w:val="00C262B9"/>
    <w:rsid w:val="00C2772F"/>
    <w:rsid w:val="00C2778B"/>
    <w:rsid w:val="00C31649"/>
    <w:rsid w:val="00C31F3E"/>
    <w:rsid w:val="00C338CF"/>
    <w:rsid w:val="00C34033"/>
    <w:rsid w:val="00C3434C"/>
    <w:rsid w:val="00C36F9E"/>
    <w:rsid w:val="00C378CB"/>
    <w:rsid w:val="00C40385"/>
    <w:rsid w:val="00C41768"/>
    <w:rsid w:val="00C4449C"/>
    <w:rsid w:val="00C45A2B"/>
    <w:rsid w:val="00C45DFA"/>
    <w:rsid w:val="00C45FD2"/>
    <w:rsid w:val="00C4627D"/>
    <w:rsid w:val="00C475AA"/>
    <w:rsid w:val="00C50F2E"/>
    <w:rsid w:val="00C51E2D"/>
    <w:rsid w:val="00C537E3"/>
    <w:rsid w:val="00C53C98"/>
    <w:rsid w:val="00C55461"/>
    <w:rsid w:val="00C5589F"/>
    <w:rsid w:val="00C55BFC"/>
    <w:rsid w:val="00C56723"/>
    <w:rsid w:val="00C56FCF"/>
    <w:rsid w:val="00C573C7"/>
    <w:rsid w:val="00C57B6C"/>
    <w:rsid w:val="00C6052B"/>
    <w:rsid w:val="00C60619"/>
    <w:rsid w:val="00C628A6"/>
    <w:rsid w:val="00C64344"/>
    <w:rsid w:val="00C65108"/>
    <w:rsid w:val="00C65576"/>
    <w:rsid w:val="00C6601E"/>
    <w:rsid w:val="00C66165"/>
    <w:rsid w:val="00C7060A"/>
    <w:rsid w:val="00C71430"/>
    <w:rsid w:val="00C7151A"/>
    <w:rsid w:val="00C717E3"/>
    <w:rsid w:val="00C71F60"/>
    <w:rsid w:val="00C72241"/>
    <w:rsid w:val="00C7304E"/>
    <w:rsid w:val="00C750C8"/>
    <w:rsid w:val="00C75185"/>
    <w:rsid w:val="00C7560F"/>
    <w:rsid w:val="00C7705E"/>
    <w:rsid w:val="00C77397"/>
    <w:rsid w:val="00C77D5E"/>
    <w:rsid w:val="00C77E1F"/>
    <w:rsid w:val="00C80A0E"/>
    <w:rsid w:val="00C8213F"/>
    <w:rsid w:val="00C84B67"/>
    <w:rsid w:val="00C84E58"/>
    <w:rsid w:val="00C85154"/>
    <w:rsid w:val="00C8701C"/>
    <w:rsid w:val="00C8797A"/>
    <w:rsid w:val="00C879E6"/>
    <w:rsid w:val="00C900B8"/>
    <w:rsid w:val="00C90C71"/>
    <w:rsid w:val="00C91FD1"/>
    <w:rsid w:val="00C931CF"/>
    <w:rsid w:val="00C935C6"/>
    <w:rsid w:val="00C937AA"/>
    <w:rsid w:val="00C938CF"/>
    <w:rsid w:val="00C94053"/>
    <w:rsid w:val="00C94092"/>
    <w:rsid w:val="00C9624D"/>
    <w:rsid w:val="00C96775"/>
    <w:rsid w:val="00C969DA"/>
    <w:rsid w:val="00CA117B"/>
    <w:rsid w:val="00CA2C77"/>
    <w:rsid w:val="00CA444F"/>
    <w:rsid w:val="00CA4EAD"/>
    <w:rsid w:val="00CA5245"/>
    <w:rsid w:val="00CA5C1E"/>
    <w:rsid w:val="00CA71AB"/>
    <w:rsid w:val="00CA71F4"/>
    <w:rsid w:val="00CA720F"/>
    <w:rsid w:val="00CA7B09"/>
    <w:rsid w:val="00CB12A5"/>
    <w:rsid w:val="00CB1659"/>
    <w:rsid w:val="00CB1CAC"/>
    <w:rsid w:val="00CB29F2"/>
    <w:rsid w:val="00CB2F2A"/>
    <w:rsid w:val="00CB4BBB"/>
    <w:rsid w:val="00CB5B1A"/>
    <w:rsid w:val="00CB6734"/>
    <w:rsid w:val="00CB69E8"/>
    <w:rsid w:val="00CB6B22"/>
    <w:rsid w:val="00CB7F5F"/>
    <w:rsid w:val="00CC1B39"/>
    <w:rsid w:val="00CC35EA"/>
    <w:rsid w:val="00CC3848"/>
    <w:rsid w:val="00CC4601"/>
    <w:rsid w:val="00CC7AA8"/>
    <w:rsid w:val="00CD0393"/>
    <w:rsid w:val="00CD09CE"/>
    <w:rsid w:val="00CD0DDF"/>
    <w:rsid w:val="00CD1415"/>
    <w:rsid w:val="00CD161C"/>
    <w:rsid w:val="00CD28F1"/>
    <w:rsid w:val="00CD3F77"/>
    <w:rsid w:val="00CD66CA"/>
    <w:rsid w:val="00CD6ADC"/>
    <w:rsid w:val="00CD6FD5"/>
    <w:rsid w:val="00CD7193"/>
    <w:rsid w:val="00CE36A0"/>
    <w:rsid w:val="00CE38C8"/>
    <w:rsid w:val="00CE5D1E"/>
    <w:rsid w:val="00CE6274"/>
    <w:rsid w:val="00CE6D19"/>
    <w:rsid w:val="00CE7566"/>
    <w:rsid w:val="00CE77B6"/>
    <w:rsid w:val="00CF0D22"/>
    <w:rsid w:val="00CF2B8D"/>
    <w:rsid w:val="00CF456B"/>
    <w:rsid w:val="00CF588B"/>
    <w:rsid w:val="00CF595C"/>
    <w:rsid w:val="00CF5A22"/>
    <w:rsid w:val="00CF6CDB"/>
    <w:rsid w:val="00D005C4"/>
    <w:rsid w:val="00D0262E"/>
    <w:rsid w:val="00D03890"/>
    <w:rsid w:val="00D0489F"/>
    <w:rsid w:val="00D05485"/>
    <w:rsid w:val="00D05E3D"/>
    <w:rsid w:val="00D06139"/>
    <w:rsid w:val="00D06B3E"/>
    <w:rsid w:val="00D0723B"/>
    <w:rsid w:val="00D10422"/>
    <w:rsid w:val="00D10F1D"/>
    <w:rsid w:val="00D110BD"/>
    <w:rsid w:val="00D13675"/>
    <w:rsid w:val="00D141E1"/>
    <w:rsid w:val="00D14896"/>
    <w:rsid w:val="00D15314"/>
    <w:rsid w:val="00D15C28"/>
    <w:rsid w:val="00D1609D"/>
    <w:rsid w:val="00D16A61"/>
    <w:rsid w:val="00D16D2E"/>
    <w:rsid w:val="00D16FA9"/>
    <w:rsid w:val="00D17A39"/>
    <w:rsid w:val="00D17D6C"/>
    <w:rsid w:val="00D20D45"/>
    <w:rsid w:val="00D2155B"/>
    <w:rsid w:val="00D239AF"/>
    <w:rsid w:val="00D23D11"/>
    <w:rsid w:val="00D244B6"/>
    <w:rsid w:val="00D271D8"/>
    <w:rsid w:val="00D2754D"/>
    <w:rsid w:val="00D2763F"/>
    <w:rsid w:val="00D27B27"/>
    <w:rsid w:val="00D3027D"/>
    <w:rsid w:val="00D32438"/>
    <w:rsid w:val="00D335F3"/>
    <w:rsid w:val="00D339D3"/>
    <w:rsid w:val="00D33A36"/>
    <w:rsid w:val="00D33BE9"/>
    <w:rsid w:val="00D33F93"/>
    <w:rsid w:val="00D34CBC"/>
    <w:rsid w:val="00D3519D"/>
    <w:rsid w:val="00D357FF"/>
    <w:rsid w:val="00D35AE3"/>
    <w:rsid w:val="00D3699B"/>
    <w:rsid w:val="00D37112"/>
    <w:rsid w:val="00D424C7"/>
    <w:rsid w:val="00D43B2A"/>
    <w:rsid w:val="00D43D83"/>
    <w:rsid w:val="00D4500E"/>
    <w:rsid w:val="00D47575"/>
    <w:rsid w:val="00D5243B"/>
    <w:rsid w:val="00D533EC"/>
    <w:rsid w:val="00D55738"/>
    <w:rsid w:val="00D56573"/>
    <w:rsid w:val="00D56A95"/>
    <w:rsid w:val="00D608E8"/>
    <w:rsid w:val="00D613A4"/>
    <w:rsid w:val="00D61D38"/>
    <w:rsid w:val="00D622EF"/>
    <w:rsid w:val="00D62992"/>
    <w:rsid w:val="00D67229"/>
    <w:rsid w:val="00D70EA8"/>
    <w:rsid w:val="00D70F16"/>
    <w:rsid w:val="00D71AFF"/>
    <w:rsid w:val="00D723D1"/>
    <w:rsid w:val="00D7261A"/>
    <w:rsid w:val="00D72CF8"/>
    <w:rsid w:val="00D72F57"/>
    <w:rsid w:val="00D73AA9"/>
    <w:rsid w:val="00D7498F"/>
    <w:rsid w:val="00D76A44"/>
    <w:rsid w:val="00D8047D"/>
    <w:rsid w:val="00D815EF"/>
    <w:rsid w:val="00D8165B"/>
    <w:rsid w:val="00D81F26"/>
    <w:rsid w:val="00D827E5"/>
    <w:rsid w:val="00D836A6"/>
    <w:rsid w:val="00D8448F"/>
    <w:rsid w:val="00D84CD9"/>
    <w:rsid w:val="00D86231"/>
    <w:rsid w:val="00D865D6"/>
    <w:rsid w:val="00D90192"/>
    <w:rsid w:val="00D91923"/>
    <w:rsid w:val="00D9263D"/>
    <w:rsid w:val="00D935A7"/>
    <w:rsid w:val="00D93753"/>
    <w:rsid w:val="00D93944"/>
    <w:rsid w:val="00D943C3"/>
    <w:rsid w:val="00D94C56"/>
    <w:rsid w:val="00D96980"/>
    <w:rsid w:val="00D96A46"/>
    <w:rsid w:val="00D9710A"/>
    <w:rsid w:val="00D97C1F"/>
    <w:rsid w:val="00DA3167"/>
    <w:rsid w:val="00DA37CA"/>
    <w:rsid w:val="00DA4DC3"/>
    <w:rsid w:val="00DA5726"/>
    <w:rsid w:val="00DA58BD"/>
    <w:rsid w:val="00DA6CC4"/>
    <w:rsid w:val="00DA7046"/>
    <w:rsid w:val="00DA77A5"/>
    <w:rsid w:val="00DB092D"/>
    <w:rsid w:val="00DB2DE1"/>
    <w:rsid w:val="00DB3DBF"/>
    <w:rsid w:val="00DB484F"/>
    <w:rsid w:val="00DB6419"/>
    <w:rsid w:val="00DC04F6"/>
    <w:rsid w:val="00DC0690"/>
    <w:rsid w:val="00DC0F0D"/>
    <w:rsid w:val="00DC1866"/>
    <w:rsid w:val="00DC1949"/>
    <w:rsid w:val="00DC1D65"/>
    <w:rsid w:val="00DC2B38"/>
    <w:rsid w:val="00DC2CE6"/>
    <w:rsid w:val="00DC3B30"/>
    <w:rsid w:val="00DC3C57"/>
    <w:rsid w:val="00DC5086"/>
    <w:rsid w:val="00DC5501"/>
    <w:rsid w:val="00DC5B7F"/>
    <w:rsid w:val="00DC6950"/>
    <w:rsid w:val="00DC7154"/>
    <w:rsid w:val="00DC7D41"/>
    <w:rsid w:val="00DC7E8A"/>
    <w:rsid w:val="00DC7F3E"/>
    <w:rsid w:val="00DD0ED0"/>
    <w:rsid w:val="00DD0F78"/>
    <w:rsid w:val="00DD16A7"/>
    <w:rsid w:val="00DD215A"/>
    <w:rsid w:val="00DD273C"/>
    <w:rsid w:val="00DD28FA"/>
    <w:rsid w:val="00DD2E96"/>
    <w:rsid w:val="00DD3F28"/>
    <w:rsid w:val="00DD4537"/>
    <w:rsid w:val="00DD4E15"/>
    <w:rsid w:val="00DD5BC5"/>
    <w:rsid w:val="00DD5BE9"/>
    <w:rsid w:val="00DD5E2C"/>
    <w:rsid w:val="00DD6A19"/>
    <w:rsid w:val="00DD7E83"/>
    <w:rsid w:val="00DE0780"/>
    <w:rsid w:val="00DE1597"/>
    <w:rsid w:val="00DE1DBD"/>
    <w:rsid w:val="00DE2304"/>
    <w:rsid w:val="00DE3138"/>
    <w:rsid w:val="00DE3538"/>
    <w:rsid w:val="00DE37F8"/>
    <w:rsid w:val="00DE3F2E"/>
    <w:rsid w:val="00DE40FF"/>
    <w:rsid w:val="00DE4C63"/>
    <w:rsid w:val="00DE4D28"/>
    <w:rsid w:val="00DE4FCB"/>
    <w:rsid w:val="00DE5054"/>
    <w:rsid w:val="00DE5D07"/>
    <w:rsid w:val="00DE5D80"/>
    <w:rsid w:val="00DE6129"/>
    <w:rsid w:val="00DE72A7"/>
    <w:rsid w:val="00DE7832"/>
    <w:rsid w:val="00DE7E30"/>
    <w:rsid w:val="00DF168D"/>
    <w:rsid w:val="00DF18FC"/>
    <w:rsid w:val="00DF2F70"/>
    <w:rsid w:val="00DF46A7"/>
    <w:rsid w:val="00DF5C8F"/>
    <w:rsid w:val="00DF5D2B"/>
    <w:rsid w:val="00DF6D9D"/>
    <w:rsid w:val="00E00E8E"/>
    <w:rsid w:val="00E01536"/>
    <w:rsid w:val="00E02B87"/>
    <w:rsid w:val="00E033D0"/>
    <w:rsid w:val="00E03C99"/>
    <w:rsid w:val="00E05067"/>
    <w:rsid w:val="00E05630"/>
    <w:rsid w:val="00E06130"/>
    <w:rsid w:val="00E0658C"/>
    <w:rsid w:val="00E06DBB"/>
    <w:rsid w:val="00E076E5"/>
    <w:rsid w:val="00E07C91"/>
    <w:rsid w:val="00E10149"/>
    <w:rsid w:val="00E10571"/>
    <w:rsid w:val="00E10AE3"/>
    <w:rsid w:val="00E11340"/>
    <w:rsid w:val="00E11E07"/>
    <w:rsid w:val="00E122A1"/>
    <w:rsid w:val="00E13409"/>
    <w:rsid w:val="00E13438"/>
    <w:rsid w:val="00E13987"/>
    <w:rsid w:val="00E158C3"/>
    <w:rsid w:val="00E16372"/>
    <w:rsid w:val="00E20E4D"/>
    <w:rsid w:val="00E20ED6"/>
    <w:rsid w:val="00E2100A"/>
    <w:rsid w:val="00E21358"/>
    <w:rsid w:val="00E214FA"/>
    <w:rsid w:val="00E2249B"/>
    <w:rsid w:val="00E22A0D"/>
    <w:rsid w:val="00E244F6"/>
    <w:rsid w:val="00E2559B"/>
    <w:rsid w:val="00E26069"/>
    <w:rsid w:val="00E26C54"/>
    <w:rsid w:val="00E2746F"/>
    <w:rsid w:val="00E2771E"/>
    <w:rsid w:val="00E30721"/>
    <w:rsid w:val="00E311EF"/>
    <w:rsid w:val="00E32180"/>
    <w:rsid w:val="00E34948"/>
    <w:rsid w:val="00E36BE8"/>
    <w:rsid w:val="00E37569"/>
    <w:rsid w:val="00E37D35"/>
    <w:rsid w:val="00E401B2"/>
    <w:rsid w:val="00E41147"/>
    <w:rsid w:val="00E41E30"/>
    <w:rsid w:val="00E42F73"/>
    <w:rsid w:val="00E43C61"/>
    <w:rsid w:val="00E43D70"/>
    <w:rsid w:val="00E4533C"/>
    <w:rsid w:val="00E466F3"/>
    <w:rsid w:val="00E47B2C"/>
    <w:rsid w:val="00E47C3C"/>
    <w:rsid w:val="00E51560"/>
    <w:rsid w:val="00E53FC8"/>
    <w:rsid w:val="00E54267"/>
    <w:rsid w:val="00E54347"/>
    <w:rsid w:val="00E55424"/>
    <w:rsid w:val="00E55915"/>
    <w:rsid w:val="00E55BB5"/>
    <w:rsid w:val="00E56517"/>
    <w:rsid w:val="00E6039D"/>
    <w:rsid w:val="00E603CB"/>
    <w:rsid w:val="00E65E79"/>
    <w:rsid w:val="00E6624E"/>
    <w:rsid w:val="00E6653C"/>
    <w:rsid w:val="00E66BA2"/>
    <w:rsid w:val="00E67416"/>
    <w:rsid w:val="00E70BAF"/>
    <w:rsid w:val="00E718B6"/>
    <w:rsid w:val="00E723BA"/>
    <w:rsid w:val="00E72F51"/>
    <w:rsid w:val="00E73581"/>
    <w:rsid w:val="00E7435F"/>
    <w:rsid w:val="00E7621E"/>
    <w:rsid w:val="00E815FB"/>
    <w:rsid w:val="00E833F7"/>
    <w:rsid w:val="00E83BDF"/>
    <w:rsid w:val="00E86D16"/>
    <w:rsid w:val="00E87A1D"/>
    <w:rsid w:val="00E9094A"/>
    <w:rsid w:val="00E91B74"/>
    <w:rsid w:val="00E91D35"/>
    <w:rsid w:val="00E926A5"/>
    <w:rsid w:val="00E93071"/>
    <w:rsid w:val="00E933E0"/>
    <w:rsid w:val="00E937A7"/>
    <w:rsid w:val="00E97CB5"/>
    <w:rsid w:val="00E97CCC"/>
    <w:rsid w:val="00EA0D78"/>
    <w:rsid w:val="00EA105E"/>
    <w:rsid w:val="00EA17C3"/>
    <w:rsid w:val="00EA2CAA"/>
    <w:rsid w:val="00EA33FB"/>
    <w:rsid w:val="00EA3864"/>
    <w:rsid w:val="00EA548D"/>
    <w:rsid w:val="00EA6956"/>
    <w:rsid w:val="00EA6B38"/>
    <w:rsid w:val="00EA73D0"/>
    <w:rsid w:val="00EA7889"/>
    <w:rsid w:val="00EA7F1C"/>
    <w:rsid w:val="00EB03DF"/>
    <w:rsid w:val="00EB08C6"/>
    <w:rsid w:val="00EB1486"/>
    <w:rsid w:val="00EB15B6"/>
    <w:rsid w:val="00EB285E"/>
    <w:rsid w:val="00EB2BEC"/>
    <w:rsid w:val="00EB3D06"/>
    <w:rsid w:val="00EB4916"/>
    <w:rsid w:val="00EB4F89"/>
    <w:rsid w:val="00EB4F9F"/>
    <w:rsid w:val="00EC00C9"/>
    <w:rsid w:val="00EC0DD9"/>
    <w:rsid w:val="00EC13FA"/>
    <w:rsid w:val="00EC2649"/>
    <w:rsid w:val="00EC31ED"/>
    <w:rsid w:val="00EC3A37"/>
    <w:rsid w:val="00EC471E"/>
    <w:rsid w:val="00EC4807"/>
    <w:rsid w:val="00EC4955"/>
    <w:rsid w:val="00EC5836"/>
    <w:rsid w:val="00EC688C"/>
    <w:rsid w:val="00EC6C97"/>
    <w:rsid w:val="00EC7413"/>
    <w:rsid w:val="00EC76C7"/>
    <w:rsid w:val="00EC7948"/>
    <w:rsid w:val="00EC7F59"/>
    <w:rsid w:val="00ED0E73"/>
    <w:rsid w:val="00ED2115"/>
    <w:rsid w:val="00ED22A5"/>
    <w:rsid w:val="00ED5301"/>
    <w:rsid w:val="00ED5459"/>
    <w:rsid w:val="00ED57EA"/>
    <w:rsid w:val="00ED5BD4"/>
    <w:rsid w:val="00ED5FB2"/>
    <w:rsid w:val="00ED6C33"/>
    <w:rsid w:val="00EE07D3"/>
    <w:rsid w:val="00EE0D47"/>
    <w:rsid w:val="00EE0E71"/>
    <w:rsid w:val="00EE1996"/>
    <w:rsid w:val="00EE1C01"/>
    <w:rsid w:val="00EE1F2C"/>
    <w:rsid w:val="00EE22AF"/>
    <w:rsid w:val="00EE36D7"/>
    <w:rsid w:val="00EE38FA"/>
    <w:rsid w:val="00EE4221"/>
    <w:rsid w:val="00EE5607"/>
    <w:rsid w:val="00EE7B75"/>
    <w:rsid w:val="00EF0171"/>
    <w:rsid w:val="00EF1B25"/>
    <w:rsid w:val="00EF1DA0"/>
    <w:rsid w:val="00EF2A75"/>
    <w:rsid w:val="00EF384E"/>
    <w:rsid w:val="00EF4747"/>
    <w:rsid w:val="00EF4BF8"/>
    <w:rsid w:val="00EF70E8"/>
    <w:rsid w:val="00EF79AE"/>
    <w:rsid w:val="00EF7BAC"/>
    <w:rsid w:val="00F0024D"/>
    <w:rsid w:val="00F020E8"/>
    <w:rsid w:val="00F02253"/>
    <w:rsid w:val="00F03C2E"/>
    <w:rsid w:val="00F04926"/>
    <w:rsid w:val="00F04A66"/>
    <w:rsid w:val="00F04B4B"/>
    <w:rsid w:val="00F04DDC"/>
    <w:rsid w:val="00F0516C"/>
    <w:rsid w:val="00F067A2"/>
    <w:rsid w:val="00F07B9E"/>
    <w:rsid w:val="00F07F04"/>
    <w:rsid w:val="00F1116F"/>
    <w:rsid w:val="00F11A64"/>
    <w:rsid w:val="00F1263A"/>
    <w:rsid w:val="00F13156"/>
    <w:rsid w:val="00F1404A"/>
    <w:rsid w:val="00F1406E"/>
    <w:rsid w:val="00F15B77"/>
    <w:rsid w:val="00F16AB4"/>
    <w:rsid w:val="00F16BB9"/>
    <w:rsid w:val="00F17F0D"/>
    <w:rsid w:val="00F208C2"/>
    <w:rsid w:val="00F20C96"/>
    <w:rsid w:val="00F2413A"/>
    <w:rsid w:val="00F24837"/>
    <w:rsid w:val="00F2575F"/>
    <w:rsid w:val="00F27565"/>
    <w:rsid w:val="00F310D4"/>
    <w:rsid w:val="00F312E2"/>
    <w:rsid w:val="00F31D5A"/>
    <w:rsid w:val="00F3372B"/>
    <w:rsid w:val="00F33975"/>
    <w:rsid w:val="00F33CF0"/>
    <w:rsid w:val="00F33DE9"/>
    <w:rsid w:val="00F33F1B"/>
    <w:rsid w:val="00F35504"/>
    <w:rsid w:val="00F35E6D"/>
    <w:rsid w:val="00F3619A"/>
    <w:rsid w:val="00F37348"/>
    <w:rsid w:val="00F40AAA"/>
    <w:rsid w:val="00F40BA7"/>
    <w:rsid w:val="00F40F9D"/>
    <w:rsid w:val="00F412AD"/>
    <w:rsid w:val="00F415C4"/>
    <w:rsid w:val="00F41ACD"/>
    <w:rsid w:val="00F4320D"/>
    <w:rsid w:val="00F4438D"/>
    <w:rsid w:val="00F44BE5"/>
    <w:rsid w:val="00F46CB6"/>
    <w:rsid w:val="00F470B9"/>
    <w:rsid w:val="00F47111"/>
    <w:rsid w:val="00F4756D"/>
    <w:rsid w:val="00F47AB7"/>
    <w:rsid w:val="00F47DE8"/>
    <w:rsid w:val="00F50058"/>
    <w:rsid w:val="00F5005C"/>
    <w:rsid w:val="00F5088D"/>
    <w:rsid w:val="00F50E77"/>
    <w:rsid w:val="00F51BC5"/>
    <w:rsid w:val="00F51CA9"/>
    <w:rsid w:val="00F53D59"/>
    <w:rsid w:val="00F542C1"/>
    <w:rsid w:val="00F5500A"/>
    <w:rsid w:val="00F5503F"/>
    <w:rsid w:val="00F55E73"/>
    <w:rsid w:val="00F55EDA"/>
    <w:rsid w:val="00F56782"/>
    <w:rsid w:val="00F56C80"/>
    <w:rsid w:val="00F60092"/>
    <w:rsid w:val="00F600B0"/>
    <w:rsid w:val="00F60D98"/>
    <w:rsid w:val="00F61C18"/>
    <w:rsid w:val="00F61D82"/>
    <w:rsid w:val="00F61E90"/>
    <w:rsid w:val="00F62463"/>
    <w:rsid w:val="00F62DB9"/>
    <w:rsid w:val="00F630C5"/>
    <w:rsid w:val="00F64323"/>
    <w:rsid w:val="00F65908"/>
    <w:rsid w:val="00F65F4B"/>
    <w:rsid w:val="00F65FE9"/>
    <w:rsid w:val="00F660F4"/>
    <w:rsid w:val="00F67A69"/>
    <w:rsid w:val="00F67E82"/>
    <w:rsid w:val="00F70BFF"/>
    <w:rsid w:val="00F70C9D"/>
    <w:rsid w:val="00F71481"/>
    <w:rsid w:val="00F71F11"/>
    <w:rsid w:val="00F72200"/>
    <w:rsid w:val="00F725A4"/>
    <w:rsid w:val="00F74CD9"/>
    <w:rsid w:val="00F750B8"/>
    <w:rsid w:val="00F77443"/>
    <w:rsid w:val="00F777AA"/>
    <w:rsid w:val="00F808B1"/>
    <w:rsid w:val="00F80A7B"/>
    <w:rsid w:val="00F80E5D"/>
    <w:rsid w:val="00F81E78"/>
    <w:rsid w:val="00F82AEA"/>
    <w:rsid w:val="00F845DB"/>
    <w:rsid w:val="00F851CE"/>
    <w:rsid w:val="00F90172"/>
    <w:rsid w:val="00F9077D"/>
    <w:rsid w:val="00F90F59"/>
    <w:rsid w:val="00F91219"/>
    <w:rsid w:val="00F92444"/>
    <w:rsid w:val="00F92B94"/>
    <w:rsid w:val="00F9393E"/>
    <w:rsid w:val="00F93E93"/>
    <w:rsid w:val="00F95270"/>
    <w:rsid w:val="00F96574"/>
    <w:rsid w:val="00F96DD4"/>
    <w:rsid w:val="00F96FD0"/>
    <w:rsid w:val="00F97A78"/>
    <w:rsid w:val="00FA0440"/>
    <w:rsid w:val="00FA0B20"/>
    <w:rsid w:val="00FA1453"/>
    <w:rsid w:val="00FA24E7"/>
    <w:rsid w:val="00FA44C6"/>
    <w:rsid w:val="00FA5EE6"/>
    <w:rsid w:val="00FA6C55"/>
    <w:rsid w:val="00FA7956"/>
    <w:rsid w:val="00FB08EF"/>
    <w:rsid w:val="00FB2FCB"/>
    <w:rsid w:val="00FB3065"/>
    <w:rsid w:val="00FB4F11"/>
    <w:rsid w:val="00FB5744"/>
    <w:rsid w:val="00FB7808"/>
    <w:rsid w:val="00FB7C55"/>
    <w:rsid w:val="00FC1074"/>
    <w:rsid w:val="00FC1349"/>
    <w:rsid w:val="00FC1884"/>
    <w:rsid w:val="00FC2967"/>
    <w:rsid w:val="00FC371D"/>
    <w:rsid w:val="00FC3ACD"/>
    <w:rsid w:val="00FC4D5D"/>
    <w:rsid w:val="00FC54D3"/>
    <w:rsid w:val="00FC5F0B"/>
    <w:rsid w:val="00FC64BE"/>
    <w:rsid w:val="00FC6D18"/>
    <w:rsid w:val="00FC75DA"/>
    <w:rsid w:val="00FD1F3B"/>
    <w:rsid w:val="00FD2100"/>
    <w:rsid w:val="00FD436C"/>
    <w:rsid w:val="00FD446D"/>
    <w:rsid w:val="00FD4F2C"/>
    <w:rsid w:val="00FD5529"/>
    <w:rsid w:val="00FD6262"/>
    <w:rsid w:val="00FD6394"/>
    <w:rsid w:val="00FD65AD"/>
    <w:rsid w:val="00FD7B7F"/>
    <w:rsid w:val="00FE0E6C"/>
    <w:rsid w:val="00FE1CDC"/>
    <w:rsid w:val="00FE22AC"/>
    <w:rsid w:val="00FE2E52"/>
    <w:rsid w:val="00FE3471"/>
    <w:rsid w:val="00FE411A"/>
    <w:rsid w:val="00FE4E31"/>
    <w:rsid w:val="00FE4EF2"/>
    <w:rsid w:val="00FE5E53"/>
    <w:rsid w:val="00FE70C3"/>
    <w:rsid w:val="00FF0314"/>
    <w:rsid w:val="00FF11F7"/>
    <w:rsid w:val="00FF28F6"/>
    <w:rsid w:val="00FF2AD9"/>
    <w:rsid w:val="00FF359F"/>
    <w:rsid w:val="00FF3DCF"/>
    <w:rsid w:val="00FF460C"/>
    <w:rsid w:val="00FF492C"/>
    <w:rsid w:val="00FF4A21"/>
    <w:rsid w:val="00FF5352"/>
    <w:rsid w:val="00FF53EE"/>
    <w:rsid w:val="00FF58E1"/>
    <w:rsid w:val="00FF5AA3"/>
    <w:rsid w:val="00FF5AD8"/>
    <w:rsid w:val="00FF6C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2BB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C5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table" w:styleId="TableGrid">
    <w:name w:val="Table Grid"/>
    <w:aliases w:val="Summary box,Table Gridbeth,CMA Table Template,ASD Table,Lash Style Table,PBAC table,new style,MSD Table Grid,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SubSubSubHead">
    <w:name w:val="5-Sub Sub Sub Head"/>
    <w:basedOn w:val="Heading4"/>
    <w:qFormat/>
    <w:rsid w:val="008621F4"/>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200EF8"/>
    <w:pPr>
      <w:numPr>
        <w:numId w:val="2"/>
      </w:numPr>
      <w:spacing w:after="120"/>
      <w:contextualSpacing/>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EE1996"/>
    <w:pPr>
      <w:keepNext/>
    </w:pPr>
    <w:rPr>
      <w:rFonts w:ascii="Arial Narrow" w:eastAsiaTheme="majorEastAsia" w:hAnsi="Arial Narrow" w:cstheme="majorBidi"/>
      <w:bCs/>
      <w:szCs w:val="24"/>
    </w:rPr>
  </w:style>
  <w:style w:type="paragraph" w:customStyle="1" w:styleId="Tableheadingrow">
    <w:name w:val="Table heading row"/>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 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 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Caption">
    <w:name w:val="Table/Figure Caption"/>
    <w:next w:val="Tableheadingrow"/>
    <w:link w:val="TableFigureCaptionChar"/>
    <w:qFormat/>
    <w:rsid w:val="005478BD"/>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5478BD"/>
    <w:rPr>
      <w:rFonts w:ascii="Arial Narrow" w:eastAsiaTheme="majorEastAsia" w:hAnsi="Arial Narrow" w:cstheme="majorBidi"/>
      <w:b/>
      <w:bCs/>
      <w:szCs w:val="24"/>
    </w:rPr>
  </w:style>
  <w:style w:type="paragraph" w:customStyle="1" w:styleId="ExecSumBodyText">
    <w:name w:val="Exec Sum Body Text"/>
    <w:basedOn w:val="Normal"/>
    <w:link w:val="ExecSumBodyTextChar"/>
    <w:qFormat/>
    <w:rsid w:val="0012228C"/>
    <w:pPr>
      <w:numPr>
        <w:ilvl w:val="1"/>
        <w:numId w:val="4"/>
      </w:numPr>
      <w:spacing w:after="120"/>
      <w:ind w:left="720"/>
    </w:pPr>
    <w:rPr>
      <w:rFonts w:asciiTheme="minorHAnsi" w:hAnsiTheme="minorHAnsi"/>
      <w:snapToGrid w:val="0"/>
    </w:rPr>
  </w:style>
  <w:style w:type="character" w:customStyle="1" w:styleId="ExecSumBodyTextChar">
    <w:name w:val="Exec Sum Body Text Char"/>
    <w:basedOn w:val="DefaultParagraphFont"/>
    <w:link w:val="ExecSumBodyText"/>
    <w:rsid w:val="0012228C"/>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3-SubsectionHeading">
    <w:name w:val="3-Subsection Heading"/>
    <w:basedOn w:val="Heading2"/>
    <w:next w:val="ExecSumBodyText"/>
    <w:link w:val="3-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4-SubsectSubhead">
    <w:name w:val="4-Subsect Subhead"/>
    <w:basedOn w:val="Heading3"/>
    <w:next w:val="ExecSumBodyText"/>
    <w:link w:val="4-SubsectSubheadChar"/>
    <w:qFormat/>
    <w:rsid w:val="008621F4"/>
    <w:pPr>
      <w:keepNext/>
      <w:keepLines/>
      <w:spacing w:before="160" w:after="120"/>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8621F4"/>
    <w:rPr>
      <w:rFonts w:asciiTheme="minorHAnsi" w:eastAsiaTheme="majorEastAsia" w:hAnsiTheme="minorHAnsi" w:cstheme="majorBidi"/>
      <w:b/>
      <w:color w:val="000000" w:themeColor="text1"/>
      <w:sz w:val="28"/>
      <w:szCs w:val="28"/>
    </w:rPr>
  </w:style>
  <w:style w:type="paragraph" w:styleId="ListBullet">
    <w:name w:val="List Bullet"/>
    <w:basedOn w:val="Normal"/>
    <w:unhideWhenUsed/>
    <w:rsid w:val="00EE1996"/>
    <w:pPr>
      <w:numPr>
        <w:numId w:val="3"/>
      </w:numPr>
      <w:contextualSpacing/>
    </w:pPr>
  </w:style>
  <w:style w:type="character" w:customStyle="1" w:styleId="TableTextChar">
    <w:name w:val="Table Text Char"/>
    <w:basedOn w:val="DefaultParagraphFont"/>
    <w:link w:val="TableText"/>
    <w:rsid w:val="00EE1996"/>
    <w:rPr>
      <w:rFonts w:ascii="Arial Narrow" w:eastAsiaTheme="majorEastAsia" w:hAnsi="Arial Narrow" w:cstheme="majorBidi"/>
      <w:bCs/>
      <w:szCs w:val="24"/>
    </w:rPr>
  </w:style>
  <w:style w:type="paragraph" w:styleId="Header">
    <w:name w:val="header"/>
    <w:aliases w:val="Page Header,Header title,he=header,cntr/bld"/>
    <w:basedOn w:val="Normal"/>
    <w:link w:val="HeaderChar"/>
    <w:uiPriority w:val="99"/>
    <w:unhideWhenUsed/>
    <w:qFormat/>
    <w:rsid w:val="00670B38"/>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670B38"/>
    <w:rPr>
      <w:rFonts w:ascii="Calibri" w:hAnsi="Calibri" w:cs="Arial"/>
      <w:sz w:val="24"/>
      <w:szCs w:val="24"/>
    </w:rPr>
  </w:style>
  <w:style w:type="paragraph" w:styleId="Footer">
    <w:name w:val="footer"/>
    <w:basedOn w:val="Normal"/>
    <w:link w:val="FooterChar"/>
    <w:uiPriority w:val="99"/>
    <w:unhideWhenUsed/>
    <w:rsid w:val="00670B38"/>
    <w:pPr>
      <w:tabs>
        <w:tab w:val="center" w:pos="4513"/>
        <w:tab w:val="right" w:pos="9026"/>
      </w:tabs>
    </w:pPr>
  </w:style>
  <w:style w:type="character" w:customStyle="1" w:styleId="FooterChar">
    <w:name w:val="Footer Char"/>
    <w:basedOn w:val="DefaultParagraphFont"/>
    <w:link w:val="Footer"/>
    <w:uiPriority w:val="99"/>
    <w:rsid w:val="00670B38"/>
    <w:rPr>
      <w:rFonts w:ascii="Calibri" w:hAnsi="Calibri" w:cs="Arial"/>
      <w:sz w:val="24"/>
      <w:szCs w:val="24"/>
    </w:rPr>
  </w:style>
  <w:style w:type="paragraph" w:styleId="ListParagraph">
    <w:name w:val="List Paragraph"/>
    <w:aliases w:val="Body Text Bullet Points,Numbered para,BulletPoints,List Paragraph1,Bullet point,List Paragraph11,Recommendation,Section heading,Footnote,Styl moj,Akapit z listą11,Table Legend,ES Paragraph,PBAC ES Paragraph,PBAC normal points,Bullet List"/>
    <w:basedOn w:val="Normal"/>
    <w:link w:val="ListParagraphChar"/>
    <w:uiPriority w:val="34"/>
    <w:qFormat/>
    <w:rsid w:val="002846A1"/>
    <w:pPr>
      <w:ind w:left="720"/>
      <w:contextualSpacing/>
    </w:p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autoRedefine/>
    <w:qFormat/>
    <w:rsid w:val="002E5A0C"/>
    <w:pPr>
      <w:keepNext/>
      <w:tabs>
        <w:tab w:val="left" w:pos="1418"/>
      </w:tabs>
      <w:spacing w:after="40" w:line="360" w:lineRule="auto"/>
      <w:ind w:left="1418" w:hanging="1418"/>
      <w:jc w:val="left"/>
    </w:pPr>
    <w:rPr>
      <w:rFonts w:asciiTheme="minorHAnsi" w:eastAsia="MS Mincho" w:hAnsiTheme="minorHAnsi" w:cs="MS Mincho"/>
      <w:b/>
      <w:bCs/>
      <w:sz w:val="22"/>
      <w:szCs w:val="20"/>
      <w:lang w:eastAsia="en-GB"/>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basedOn w:val="DefaultParagraphFont"/>
    <w:link w:val="Caption"/>
    <w:rsid w:val="002E5A0C"/>
    <w:rPr>
      <w:rFonts w:asciiTheme="minorHAnsi" w:eastAsia="MS Mincho" w:hAnsiTheme="minorHAnsi" w:cs="MS Mincho"/>
      <w:b/>
      <w:bCs/>
      <w:sz w:val="22"/>
      <w:lang w:eastAsia="en-GB"/>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1 Char"/>
    <w:basedOn w:val="DefaultParagraphFont"/>
    <w:link w:val="ListParagraph"/>
    <w:uiPriority w:val="34"/>
    <w:qFormat/>
    <w:locked/>
    <w:rsid w:val="00A4054A"/>
    <w:rPr>
      <w:rFonts w:ascii="Calibri" w:hAnsi="Calibri" w:cs="Arial"/>
      <w:sz w:val="24"/>
      <w:szCs w:val="24"/>
    </w:rPr>
  </w:style>
  <w:style w:type="paragraph" w:styleId="BodyText">
    <w:name w:val="Body Text"/>
    <w:basedOn w:val="Normal"/>
    <w:link w:val="BodyTextChar"/>
    <w:qFormat/>
    <w:rsid w:val="001F1F44"/>
    <w:pPr>
      <w:spacing w:before="120" w:after="120" w:line="360" w:lineRule="auto"/>
    </w:pPr>
    <w:rPr>
      <w:rFonts w:asciiTheme="minorHAnsi" w:eastAsia="MS Mincho" w:hAnsiTheme="minorHAnsi" w:cs="MS Mincho"/>
      <w:sz w:val="22"/>
    </w:rPr>
  </w:style>
  <w:style w:type="character" w:customStyle="1" w:styleId="BodyTextChar">
    <w:name w:val="Body Text Char"/>
    <w:basedOn w:val="DefaultParagraphFont"/>
    <w:link w:val="BodyText"/>
    <w:rsid w:val="001F1F44"/>
    <w:rPr>
      <w:rFonts w:asciiTheme="minorHAnsi" w:eastAsia="MS Mincho" w:hAnsiTheme="minorHAnsi" w:cs="MS Mincho"/>
      <w:sz w:val="22"/>
      <w:szCs w:val="24"/>
    </w:rPr>
  </w:style>
  <w:style w:type="character" w:styleId="CommentReference">
    <w:name w:val="annotation reference"/>
    <w:aliases w:val="Table Title"/>
    <w:basedOn w:val="DefaultParagraphFont"/>
    <w:uiPriority w:val="99"/>
    <w:unhideWhenUsed/>
    <w:qFormat/>
    <w:rsid w:val="00247703"/>
    <w:rPr>
      <w:sz w:val="16"/>
      <w:szCs w:val="16"/>
    </w:rPr>
  </w:style>
  <w:style w:type="paragraph" w:styleId="CommentText">
    <w:name w:val="annotation text"/>
    <w:aliases w:val="- H19,Comment Text Char1 Char,Comment Text Char Char Char"/>
    <w:basedOn w:val="Normal"/>
    <w:link w:val="CommentTextChar"/>
    <w:uiPriority w:val="99"/>
    <w:unhideWhenUsed/>
    <w:qFormat/>
    <w:rsid w:val="00247703"/>
    <w:rPr>
      <w:sz w:val="20"/>
      <w:szCs w:val="20"/>
    </w:rPr>
  </w:style>
  <w:style w:type="character" w:customStyle="1" w:styleId="CommentTextChar">
    <w:name w:val="Comment Text Char"/>
    <w:aliases w:val="- H19 Char,Comment Text Char1 Char Char,Comment Text Char Char Char Char"/>
    <w:basedOn w:val="DefaultParagraphFont"/>
    <w:link w:val="CommentText"/>
    <w:uiPriority w:val="99"/>
    <w:rsid w:val="00247703"/>
    <w:rPr>
      <w:rFonts w:ascii="Calibri" w:hAnsi="Calibri" w:cs="Arial"/>
    </w:rPr>
  </w:style>
  <w:style w:type="paragraph" w:styleId="CommentSubject">
    <w:name w:val="annotation subject"/>
    <w:basedOn w:val="CommentText"/>
    <w:next w:val="CommentText"/>
    <w:link w:val="CommentSubjectChar"/>
    <w:semiHidden/>
    <w:unhideWhenUsed/>
    <w:rsid w:val="00247703"/>
    <w:rPr>
      <w:b/>
      <w:bCs/>
    </w:rPr>
  </w:style>
  <w:style w:type="character" w:customStyle="1" w:styleId="CommentSubjectChar">
    <w:name w:val="Comment Subject Char"/>
    <w:basedOn w:val="CommentTextChar"/>
    <w:link w:val="CommentSubject"/>
    <w:semiHidden/>
    <w:rsid w:val="00247703"/>
    <w:rPr>
      <w:rFonts w:ascii="Calibri" w:hAnsi="Calibri" w:cs="Arial"/>
      <w:b/>
      <w:bCs/>
    </w:rPr>
  </w:style>
  <w:style w:type="paragraph" w:customStyle="1" w:styleId="TableFooter">
    <w:name w:val="Table Footer"/>
    <w:basedOn w:val="Normal"/>
    <w:link w:val="TableFooterChar"/>
    <w:qFormat/>
    <w:rsid w:val="004E5FBD"/>
    <w:pPr>
      <w:widowControl w:val="0"/>
      <w:contextualSpacing/>
    </w:pPr>
    <w:rPr>
      <w:rFonts w:ascii="Arial Narrow" w:hAnsi="Arial Narrow"/>
      <w:snapToGrid w:val="0"/>
      <w:sz w:val="18"/>
      <w:szCs w:val="20"/>
      <w:lang w:eastAsia="en-US"/>
    </w:rPr>
  </w:style>
  <w:style w:type="character" w:customStyle="1" w:styleId="TableFooterChar">
    <w:name w:val="Table Footer Char"/>
    <w:link w:val="TableFooter"/>
    <w:rsid w:val="004E5FBD"/>
    <w:rPr>
      <w:rFonts w:ascii="Arial Narrow" w:hAnsi="Arial Narrow" w:cs="Arial"/>
      <w:snapToGrid w:val="0"/>
      <w:sz w:val="18"/>
      <w:lang w:eastAsia="en-US"/>
    </w:rPr>
  </w:style>
  <w:style w:type="paragraph" w:customStyle="1" w:styleId="TableHeading">
    <w:name w:val="Table Heading"/>
    <w:basedOn w:val="TableText"/>
    <w:link w:val="TableHeadingChar"/>
    <w:qFormat/>
    <w:rsid w:val="004E5FBD"/>
    <w:pPr>
      <w:keepLines/>
    </w:pPr>
    <w:rPr>
      <w:rFonts w:cs="Arial"/>
      <w:b/>
      <w:bCs w:val="0"/>
      <w:szCs w:val="20"/>
      <w:lang w:bidi="en-US"/>
    </w:rPr>
  </w:style>
  <w:style w:type="character" w:customStyle="1" w:styleId="TableHeadingChar">
    <w:name w:val="Table Heading Char"/>
    <w:link w:val="TableHeading"/>
    <w:rsid w:val="004E5FBD"/>
    <w:rPr>
      <w:rFonts w:ascii="Arial Narrow" w:eastAsiaTheme="majorEastAsia" w:hAnsi="Arial Narrow" w:cs="Arial"/>
      <w:b/>
      <w:lang w:bidi="en-US"/>
    </w:rPr>
  </w:style>
  <w:style w:type="table" w:styleId="TableTheme">
    <w:name w:val="Table Theme"/>
    <w:basedOn w:val="TableNormal"/>
    <w:rsid w:val="00FC2967"/>
    <w:pPr>
      <w:jc w:val="center"/>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StylePr>
    <w:tblStylePr w:type="firstCol">
      <w:pPr>
        <w:jc w:val="left"/>
      </w:pPr>
    </w:tblStylePr>
  </w:style>
  <w:style w:type="paragraph" w:customStyle="1" w:styleId="tableNOTES">
    <w:name w:val="table_NOTES"/>
    <w:basedOn w:val="BodyText"/>
    <w:next w:val="Normal"/>
    <w:qFormat/>
    <w:rsid w:val="00FC2967"/>
    <w:pPr>
      <w:spacing w:before="0" w:after="240" w:line="240" w:lineRule="auto"/>
      <w:contextualSpacing/>
    </w:pPr>
    <w:rPr>
      <w:rFonts w:eastAsia="SimSun" w:cs="Times New Roman"/>
      <w:sz w:val="18"/>
      <w:szCs w:val="22"/>
    </w:rPr>
  </w:style>
  <w:style w:type="numbering" w:customStyle="1" w:styleId="Style11">
    <w:name w:val="Style11"/>
    <w:uiPriority w:val="99"/>
    <w:rsid w:val="00FC2967"/>
    <w:pPr>
      <w:numPr>
        <w:numId w:val="6"/>
      </w:numPr>
    </w:pPr>
  </w:style>
  <w:style w:type="paragraph" w:customStyle="1" w:styleId="TableFootnotes">
    <w:name w:val="Table Footnotes"/>
    <w:basedOn w:val="Normal"/>
    <w:qFormat/>
    <w:rsid w:val="00281060"/>
    <w:pPr>
      <w:spacing w:after="360"/>
      <w:contextualSpacing/>
      <w:jc w:val="left"/>
    </w:pPr>
    <w:rPr>
      <w:rFonts w:ascii="Helvetica 55 Roman" w:eastAsia="MS Mincho" w:hAnsi="Helvetica 55 Roman"/>
      <w:sz w:val="18"/>
      <w:szCs w:val="22"/>
    </w:rPr>
  </w:style>
  <w:style w:type="paragraph" w:customStyle="1" w:styleId="heading31">
    <w:name w:val="heading 3.1"/>
    <w:basedOn w:val="BodyText"/>
    <w:qFormat/>
    <w:rsid w:val="00281060"/>
    <w:pPr>
      <w:numPr>
        <w:numId w:val="7"/>
      </w:numPr>
      <w:spacing w:before="0"/>
      <w:jc w:val="left"/>
    </w:pPr>
    <w:rPr>
      <w:rFonts w:cs="Arial"/>
      <w:lang w:eastAsia="en-US"/>
    </w:rPr>
  </w:style>
  <w:style w:type="paragraph" w:customStyle="1" w:styleId="Default">
    <w:name w:val="Default"/>
    <w:rsid w:val="008A5C27"/>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2D3AD8"/>
    <w:rPr>
      <w:b/>
      <w:bCs/>
      <w:i w:val="0"/>
      <w:iCs w:val="0"/>
    </w:rPr>
  </w:style>
  <w:style w:type="character" w:customStyle="1" w:styleId="Heading3Char1">
    <w:name w:val="Heading 3 Char1"/>
    <w:aliases w:val="Heading 3 Char Char2"/>
    <w:basedOn w:val="DefaultParagraphFont"/>
    <w:rsid w:val="002D3AD8"/>
    <w:rPr>
      <w:rFonts w:ascii="Helvetica 55 Roman" w:eastAsia="Cambria" w:hAnsi="Helvetica 55 Roman" w:cs="Helvetica 55 Roman"/>
      <w:bCs/>
      <w:iCs/>
      <w:kern w:val="32"/>
      <w:sz w:val="28"/>
      <w:szCs w:val="26"/>
    </w:rPr>
  </w:style>
  <w:style w:type="paragraph" w:customStyle="1" w:styleId="citation">
    <w:name w:val="citation"/>
    <w:basedOn w:val="Normal"/>
    <w:rsid w:val="002D3AD8"/>
    <w:pPr>
      <w:spacing w:before="100" w:beforeAutospacing="1" w:after="100" w:afterAutospacing="1"/>
      <w:jc w:val="left"/>
    </w:pPr>
    <w:rPr>
      <w:rFonts w:ascii="MS Mincho" w:eastAsia="MS Mincho" w:hAnsi="MS Mincho" w:cs="MS Mincho"/>
    </w:rPr>
  </w:style>
  <w:style w:type="paragraph" w:customStyle="1" w:styleId="Pa13">
    <w:name w:val="Pa1+3"/>
    <w:basedOn w:val="Default"/>
    <w:next w:val="Default"/>
    <w:uiPriority w:val="99"/>
    <w:rsid w:val="002D3AD8"/>
    <w:pPr>
      <w:spacing w:line="241" w:lineRule="atLeast"/>
    </w:pPr>
    <w:rPr>
      <w:rFonts w:ascii="Symbol" w:eastAsia="MS Mincho" w:hAnsi="Symbol" w:cs="MS Mincho"/>
      <w:color w:val="auto"/>
    </w:rPr>
  </w:style>
  <w:style w:type="paragraph" w:customStyle="1" w:styleId="Tabletext0">
    <w:name w:val="Table text"/>
    <w:basedOn w:val="Normal"/>
    <w:link w:val="TabletextChar0"/>
    <w:uiPriority w:val="2"/>
    <w:qFormat/>
    <w:rsid w:val="003E377B"/>
    <w:pPr>
      <w:jc w:val="left"/>
    </w:pPr>
    <w:rPr>
      <w:rFonts w:ascii="Arial Narrow" w:hAnsi="Arial Narrow" w:cs="Times New Roman"/>
      <w:sz w:val="20"/>
      <w:szCs w:val="20"/>
      <w:lang w:eastAsia="en-US"/>
    </w:rPr>
  </w:style>
  <w:style w:type="character" w:customStyle="1" w:styleId="TabletextChar0">
    <w:name w:val="Table text Char"/>
    <w:link w:val="Tabletext0"/>
    <w:uiPriority w:val="2"/>
    <w:rsid w:val="003E377B"/>
    <w:rPr>
      <w:rFonts w:ascii="Arial Narrow" w:hAnsi="Arial Narrow"/>
      <w:lang w:eastAsia="en-US"/>
    </w:rPr>
  </w:style>
  <w:style w:type="table" w:customStyle="1" w:styleId="TableGrid211">
    <w:name w:val="Table Grid211"/>
    <w:basedOn w:val="TableNormal"/>
    <w:next w:val="TableGrid"/>
    <w:uiPriority w:val="59"/>
    <w:rsid w:val="00E2559B"/>
    <w:rPr>
      <w:rFonts w:ascii="Tahoma" w:eastAsia="Tahoma" w:hAnsi="Tahoma" w:cs="MS Minch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s">
    <w:name w:val="Sources"/>
    <w:basedOn w:val="Normal"/>
    <w:qFormat/>
    <w:rsid w:val="00E2559B"/>
    <w:rPr>
      <w:rFonts w:eastAsiaTheme="minorHAnsi" w:cstheme="minorBidi"/>
      <w:sz w:val="18"/>
      <w:szCs w:val="22"/>
      <w:lang w:eastAsia="en-US"/>
    </w:rPr>
  </w:style>
  <w:style w:type="character" w:customStyle="1" w:styleId="UnresolvedMention1">
    <w:name w:val="Unresolved Mention1"/>
    <w:basedOn w:val="DefaultParagraphFont"/>
    <w:uiPriority w:val="99"/>
    <w:semiHidden/>
    <w:unhideWhenUsed/>
    <w:rsid w:val="00005409"/>
    <w:rPr>
      <w:color w:val="605E5C"/>
      <w:shd w:val="clear" w:color="auto" w:fill="E1DFDD"/>
    </w:rPr>
  </w:style>
  <w:style w:type="paragraph" w:customStyle="1" w:styleId="SyneviNormal">
    <w:name w:val="Synevi Normal"/>
    <w:basedOn w:val="Normal"/>
    <w:link w:val="SyneviNormalChar"/>
    <w:rsid w:val="003453ED"/>
    <w:pPr>
      <w:spacing w:line="360" w:lineRule="auto"/>
    </w:pPr>
    <w:rPr>
      <w:rFonts w:asciiTheme="minorHAnsi" w:hAnsiTheme="minorHAnsi" w:cs="Times New Roman"/>
      <w:sz w:val="22"/>
      <w:szCs w:val="20"/>
      <w:lang w:eastAsia="en-US"/>
    </w:rPr>
  </w:style>
  <w:style w:type="character" w:customStyle="1" w:styleId="SyneviNormalChar">
    <w:name w:val="Synevi Normal Char"/>
    <w:basedOn w:val="DefaultParagraphFont"/>
    <w:link w:val="SyneviNormal"/>
    <w:rsid w:val="003453ED"/>
    <w:rPr>
      <w:rFonts w:asciiTheme="minorHAnsi" w:hAnsiTheme="minorHAnsi"/>
      <w:sz w:val="22"/>
      <w:lang w:eastAsia="en-US"/>
    </w:rPr>
  </w:style>
  <w:style w:type="character" w:customStyle="1" w:styleId="UnresolvedMention2">
    <w:name w:val="Unresolved Mention2"/>
    <w:basedOn w:val="DefaultParagraphFont"/>
    <w:uiPriority w:val="99"/>
    <w:semiHidden/>
    <w:unhideWhenUsed/>
    <w:rsid w:val="008C58BA"/>
    <w:rPr>
      <w:color w:val="605E5C"/>
      <w:shd w:val="clear" w:color="auto" w:fill="E1DFDD"/>
    </w:rPr>
  </w:style>
  <w:style w:type="table" w:customStyle="1" w:styleId="NEWEvideraTable">
    <w:name w:val="NEW Evidera Table"/>
    <w:basedOn w:val="TableNormal"/>
    <w:uiPriority w:val="99"/>
    <w:qFormat/>
    <w:rsid w:val="008C58BA"/>
    <w:pPr>
      <w:spacing w:before="40" w:after="40"/>
    </w:pPr>
    <w:rPr>
      <w:rFonts w:ascii="Calibri Light" w:eastAsiaTheme="minorHAnsi" w:hAnsi="Calibri Light" w:cstheme="minorBidi"/>
      <w:sz w:val="18"/>
      <w:szCs w:val="22"/>
      <w:lang w:val="en-US" w:eastAsia="en-US"/>
    </w:rPr>
    <w:tblPr>
      <w:tblStyleRowBandSize w:val="1"/>
      <w:tblBorders>
        <w:top w:val="single" w:sz="4" w:space="0" w:color="27AAE1"/>
        <w:left w:val="single" w:sz="4" w:space="0" w:color="27AAE1"/>
        <w:bottom w:val="single" w:sz="4" w:space="0" w:color="27AAE1"/>
        <w:right w:val="single" w:sz="4" w:space="0" w:color="27AAE1"/>
        <w:insideH w:val="single" w:sz="4" w:space="0" w:color="27AAE1"/>
        <w:insideV w:val="single" w:sz="4" w:space="0" w:color="27AAE1"/>
      </w:tblBorders>
    </w:tblPr>
    <w:tcPr>
      <w:shd w:val="clear" w:color="auto" w:fill="auto"/>
    </w:tcPr>
    <w:tblStylePr w:type="firstRow">
      <w:pPr>
        <w:jc w:val="center"/>
      </w:pPr>
      <w:rPr>
        <w:rFonts w:ascii="Calibri Light" w:hAnsi="Calibri Light"/>
        <w:b/>
        <w:color w:val="FFFFFF" w:themeColor="background1"/>
        <w:sz w:val="18"/>
      </w:rPr>
      <w:tblPr/>
      <w:tcPr>
        <w:shd w:val="clear" w:color="auto" w:fill="27AAE1"/>
      </w:tcPr>
    </w:tblStylePr>
    <w:tblStylePr w:type="firstCol">
      <w:pPr>
        <w:jc w:val="left"/>
      </w:pPr>
      <w:tblPr/>
      <w:tcPr>
        <w:shd w:val="clear" w:color="auto" w:fill="auto"/>
      </w:tcPr>
    </w:tblStylePr>
    <w:tblStylePr w:type="lastCol">
      <w:tblPr/>
      <w:tcPr>
        <w:tcBorders>
          <w:right w:val="single" w:sz="4" w:space="0" w:color="0096DB"/>
        </w:tcBorders>
        <w:shd w:val="clear" w:color="auto" w:fill="auto"/>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Calibri Light" w:hAnsi="Calibri Light"/>
        <w:color w:val="FFFFFF" w:themeColor="background1"/>
        <w:sz w:val="18"/>
      </w:rPr>
      <w:tblPr/>
      <w:tcPr>
        <w:vAlign w:val="center"/>
      </w:tcPr>
    </w:tblStylePr>
  </w:style>
  <w:style w:type="table" w:customStyle="1" w:styleId="Eviera-2018">
    <w:name w:val="Eviera - 2018"/>
    <w:basedOn w:val="TableNormal"/>
    <w:uiPriority w:val="99"/>
    <w:qFormat/>
    <w:rsid w:val="008C58BA"/>
    <w:pPr>
      <w:spacing w:before="40" w:after="40"/>
    </w:pPr>
    <w:rPr>
      <w:rFonts w:ascii="Calibri Light" w:eastAsiaTheme="minorHAnsi" w:hAnsi="Calibri Light" w:cstheme="minorBidi"/>
      <w:sz w:val="18"/>
      <w:szCs w:val="22"/>
      <w:lang w:val="en-US" w:eastAsia="en-US"/>
    </w:r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4" w:space="0" w:color="FFFFFF" w:themeColor="background1"/>
        <w:insideV w:val="single" w:sz="4" w:space="0" w:color="FFFFFF" w:themeColor="background1"/>
      </w:tblBorders>
    </w:tblPr>
    <w:tcPr>
      <w:shd w:val="clear" w:color="auto" w:fill="auto"/>
    </w:tcPr>
    <w:tblStylePr w:type="firstRow">
      <w:pPr>
        <w:jc w:val="center"/>
      </w:pPr>
      <w:rPr>
        <w:rFonts w:ascii="Calibri Light" w:hAnsi="Calibri Light"/>
        <w:b/>
        <w:color w:val="F79646" w:themeColor="accent6"/>
        <w:sz w:val="18"/>
      </w:rPr>
      <w:tblPr/>
      <w:trPr>
        <w:tblHeader/>
      </w:trPr>
      <w:tcPr>
        <w:shd w:val="clear" w:color="auto" w:fill="FFFFFF" w:themeFill="background1"/>
      </w:tcPr>
    </w:tblStylePr>
    <w:tblStylePr w:type="firstCol">
      <w:pPr>
        <w:jc w:val="left"/>
      </w:pPr>
      <w:tblPr/>
      <w:tcPr>
        <w:vAlign w:val="center"/>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Calibri Light" w:hAnsi="Calibri Light"/>
        <w:color w:val="FFFFFF" w:themeColor="background1"/>
        <w:sz w:val="18"/>
      </w:rPr>
      <w:tblPr/>
      <w:tcPr>
        <w:vAlign w:val="center"/>
      </w:tcPr>
    </w:tblStylePr>
  </w:style>
  <w:style w:type="paragraph" w:customStyle="1" w:styleId="TableFootnotesAbbreviations">
    <w:name w:val="Table Footnotes/Abbreviations"/>
    <w:basedOn w:val="BodyText"/>
    <w:link w:val="TableFootnotesAbbreviationsChar"/>
    <w:qFormat/>
    <w:rsid w:val="008C58BA"/>
    <w:pPr>
      <w:spacing w:before="60" w:after="0" w:line="240" w:lineRule="auto"/>
      <w:jc w:val="left"/>
    </w:pPr>
    <w:rPr>
      <w:rFonts w:ascii="Calibri Light" w:eastAsiaTheme="minorHAnsi" w:hAnsi="Calibri Light" w:cstheme="minorBidi"/>
      <w:sz w:val="18"/>
      <w:lang w:val="en-US" w:eastAsia="en-US"/>
    </w:rPr>
  </w:style>
  <w:style w:type="character" w:customStyle="1" w:styleId="TableFootnotesAbbreviationsChar">
    <w:name w:val="Table Footnotes/Abbreviations Char"/>
    <w:basedOn w:val="BodyTextChar"/>
    <w:link w:val="TableFootnotesAbbreviations"/>
    <w:rsid w:val="008C58BA"/>
    <w:rPr>
      <w:rFonts w:ascii="Calibri Light" w:eastAsiaTheme="minorHAnsi" w:hAnsi="Calibri Light" w:cstheme="minorBidi"/>
      <w:sz w:val="18"/>
      <w:szCs w:val="24"/>
      <w:lang w:val="en-US" w:eastAsia="en-US"/>
    </w:rPr>
  </w:style>
  <w:style w:type="paragraph" w:styleId="ListBullet2">
    <w:name w:val="List Bullet 2"/>
    <w:basedOn w:val="Normal"/>
    <w:semiHidden/>
    <w:unhideWhenUsed/>
    <w:rsid w:val="008C58BA"/>
    <w:pPr>
      <w:numPr>
        <w:numId w:val="9"/>
      </w:numPr>
      <w:contextualSpacing/>
    </w:pPr>
  </w:style>
  <w:style w:type="table" w:customStyle="1" w:styleId="TableGrid2111">
    <w:name w:val="Table Grid2111"/>
    <w:basedOn w:val="TableNormal"/>
    <w:next w:val="TableGrid"/>
    <w:uiPriority w:val="59"/>
    <w:rsid w:val="008C58BA"/>
    <w:rPr>
      <w:rFonts w:ascii="Tahoma" w:eastAsia="Tahoma" w:hAnsi="Tahoma" w:cs="MS Minch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
    <w:name w:val="numbered-paragraph"/>
    <w:basedOn w:val="Normal"/>
    <w:rsid w:val="008C58BA"/>
    <w:pPr>
      <w:spacing w:before="100" w:beforeAutospacing="1" w:after="100" w:afterAutospacing="1"/>
      <w:jc w:val="left"/>
    </w:pPr>
    <w:rPr>
      <w:rFonts w:ascii="Times New Roman" w:hAnsi="Times New Roman" w:cs="Times New Roman"/>
    </w:rPr>
  </w:style>
  <w:style w:type="character" w:customStyle="1" w:styleId="paragraph-number">
    <w:name w:val="paragraph-number"/>
    <w:basedOn w:val="DefaultParagraphFont"/>
    <w:rsid w:val="008C58BA"/>
  </w:style>
  <w:style w:type="paragraph" w:styleId="EndnoteText">
    <w:name w:val="endnote text"/>
    <w:basedOn w:val="Normal"/>
    <w:link w:val="EndnoteTextChar"/>
    <w:uiPriority w:val="99"/>
    <w:unhideWhenUsed/>
    <w:rsid w:val="00FA1453"/>
    <w:pPr>
      <w:jc w:val="left"/>
    </w:pPr>
    <w:rPr>
      <w:rFonts w:ascii="Times New Roman" w:eastAsia="Calibri" w:hAnsi="Times New Roman" w:cs="Times New Roman"/>
      <w:sz w:val="20"/>
      <w:szCs w:val="20"/>
      <w:lang w:eastAsia="en-US"/>
    </w:rPr>
  </w:style>
  <w:style w:type="character" w:customStyle="1" w:styleId="EndnoteTextChar">
    <w:name w:val="Endnote Text Char"/>
    <w:basedOn w:val="DefaultParagraphFont"/>
    <w:link w:val="EndnoteText"/>
    <w:uiPriority w:val="99"/>
    <w:rsid w:val="00FA1453"/>
    <w:rPr>
      <w:rFonts w:eastAsia="Calibri"/>
      <w:lang w:eastAsia="en-US"/>
    </w:rPr>
  </w:style>
  <w:style w:type="paragraph" w:styleId="FootnoteText">
    <w:name w:val="footnote text"/>
    <w:basedOn w:val="Normal"/>
    <w:link w:val="FootnoteTextChar"/>
    <w:uiPriority w:val="99"/>
    <w:semiHidden/>
    <w:unhideWhenUsed/>
    <w:rsid w:val="00FA1453"/>
    <w:pPr>
      <w:jc w:val="left"/>
    </w:pPr>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semiHidden/>
    <w:rsid w:val="00FA1453"/>
    <w:rPr>
      <w:rFonts w:eastAsia="Calibri"/>
      <w:lang w:eastAsia="en-US"/>
    </w:rPr>
  </w:style>
  <w:style w:type="character" w:styleId="FootnoteReference">
    <w:name w:val="footnote reference"/>
    <w:basedOn w:val="DefaultParagraphFont"/>
    <w:uiPriority w:val="99"/>
    <w:semiHidden/>
    <w:unhideWhenUsed/>
    <w:rsid w:val="00FA1453"/>
    <w:rPr>
      <w:vertAlign w:val="superscript"/>
    </w:rPr>
  </w:style>
  <w:style w:type="paragraph" w:customStyle="1" w:styleId="PBACHeading1">
    <w:name w:val="PBAC Heading 1"/>
    <w:qFormat/>
    <w:rsid w:val="004F1B4D"/>
    <w:pPr>
      <w:ind w:left="720" w:hanging="720"/>
      <w:outlineLvl w:val="0"/>
    </w:pPr>
    <w:rPr>
      <w:rFonts w:ascii="Calibri" w:hAnsi="Calibri" w:cs="Calibri"/>
      <w:b/>
      <w:snapToGrid w:val="0"/>
      <w:sz w:val="32"/>
      <w:szCs w:val="32"/>
      <w:lang w:eastAsia="en-US"/>
    </w:rPr>
  </w:style>
  <w:style w:type="character" w:customStyle="1" w:styleId="UnresolvedMention3">
    <w:name w:val="Unresolved Mention3"/>
    <w:basedOn w:val="DefaultParagraphFont"/>
    <w:uiPriority w:val="99"/>
    <w:semiHidden/>
    <w:unhideWhenUsed/>
    <w:rsid w:val="00670F7D"/>
    <w:rPr>
      <w:color w:val="605E5C"/>
      <w:shd w:val="clear" w:color="auto" w:fill="E1DFDD"/>
    </w:rPr>
  </w:style>
  <w:style w:type="paragraph" w:styleId="Subtitle">
    <w:name w:val="Subtitle"/>
    <w:basedOn w:val="Normal"/>
    <w:link w:val="SubtitleChar"/>
    <w:qFormat/>
    <w:rsid w:val="005E4A89"/>
    <w:rPr>
      <w:rFonts w:ascii="Times New Roman" w:hAnsi="Times New Roman" w:cs="Times New Roman"/>
      <w:b/>
      <w:szCs w:val="20"/>
    </w:rPr>
  </w:style>
  <w:style w:type="character" w:customStyle="1" w:styleId="SubtitleChar">
    <w:name w:val="Subtitle Char"/>
    <w:basedOn w:val="DefaultParagraphFont"/>
    <w:link w:val="Subtitle"/>
    <w:rsid w:val="005E4A89"/>
    <w:rPr>
      <w:b/>
      <w:sz w:val="24"/>
    </w:rPr>
  </w:style>
  <w:style w:type="paragraph" w:styleId="NoSpacing">
    <w:name w:val="No Spacing"/>
    <w:uiPriority w:val="1"/>
    <w:qFormat/>
    <w:rsid w:val="002F2A1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39081">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2749647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38836063">
      <w:bodyDiv w:val="1"/>
      <w:marLeft w:val="0"/>
      <w:marRight w:val="0"/>
      <w:marTop w:val="0"/>
      <w:marBottom w:val="0"/>
      <w:divBdr>
        <w:top w:val="none" w:sz="0" w:space="0" w:color="auto"/>
        <w:left w:val="none" w:sz="0" w:space="0" w:color="auto"/>
        <w:bottom w:val="none" w:sz="0" w:space="0" w:color="auto"/>
        <w:right w:val="none" w:sz="0" w:space="0" w:color="auto"/>
      </w:divBdr>
    </w:div>
    <w:div w:id="456417987">
      <w:bodyDiv w:val="1"/>
      <w:marLeft w:val="0"/>
      <w:marRight w:val="0"/>
      <w:marTop w:val="0"/>
      <w:marBottom w:val="0"/>
      <w:divBdr>
        <w:top w:val="none" w:sz="0" w:space="0" w:color="auto"/>
        <w:left w:val="none" w:sz="0" w:space="0" w:color="auto"/>
        <w:bottom w:val="none" w:sz="0" w:space="0" w:color="auto"/>
        <w:right w:val="none" w:sz="0" w:space="0" w:color="auto"/>
      </w:divBdr>
    </w:div>
    <w:div w:id="552542290">
      <w:bodyDiv w:val="1"/>
      <w:marLeft w:val="0"/>
      <w:marRight w:val="0"/>
      <w:marTop w:val="0"/>
      <w:marBottom w:val="0"/>
      <w:divBdr>
        <w:top w:val="none" w:sz="0" w:space="0" w:color="auto"/>
        <w:left w:val="none" w:sz="0" w:space="0" w:color="auto"/>
        <w:bottom w:val="none" w:sz="0" w:space="0" w:color="auto"/>
        <w:right w:val="none" w:sz="0" w:space="0" w:color="auto"/>
      </w:divBdr>
    </w:div>
    <w:div w:id="599874246">
      <w:bodyDiv w:val="1"/>
      <w:marLeft w:val="0"/>
      <w:marRight w:val="0"/>
      <w:marTop w:val="0"/>
      <w:marBottom w:val="0"/>
      <w:divBdr>
        <w:top w:val="none" w:sz="0" w:space="0" w:color="auto"/>
        <w:left w:val="none" w:sz="0" w:space="0" w:color="auto"/>
        <w:bottom w:val="none" w:sz="0" w:space="0" w:color="auto"/>
        <w:right w:val="none" w:sz="0" w:space="0" w:color="auto"/>
      </w:divBdr>
    </w:div>
    <w:div w:id="653870854">
      <w:bodyDiv w:val="1"/>
      <w:marLeft w:val="0"/>
      <w:marRight w:val="0"/>
      <w:marTop w:val="0"/>
      <w:marBottom w:val="0"/>
      <w:divBdr>
        <w:top w:val="none" w:sz="0" w:space="0" w:color="auto"/>
        <w:left w:val="none" w:sz="0" w:space="0" w:color="auto"/>
        <w:bottom w:val="none" w:sz="0" w:space="0" w:color="auto"/>
        <w:right w:val="none" w:sz="0" w:space="0" w:color="auto"/>
      </w:divBdr>
    </w:div>
    <w:div w:id="101608316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7881">
      <w:bodyDiv w:val="1"/>
      <w:marLeft w:val="0"/>
      <w:marRight w:val="0"/>
      <w:marTop w:val="0"/>
      <w:marBottom w:val="0"/>
      <w:divBdr>
        <w:top w:val="none" w:sz="0" w:space="0" w:color="auto"/>
        <w:left w:val="none" w:sz="0" w:space="0" w:color="auto"/>
        <w:bottom w:val="none" w:sz="0" w:space="0" w:color="auto"/>
        <w:right w:val="none" w:sz="0" w:space="0" w:color="auto"/>
      </w:divBdr>
    </w:div>
    <w:div w:id="1289580068">
      <w:bodyDiv w:val="1"/>
      <w:marLeft w:val="0"/>
      <w:marRight w:val="0"/>
      <w:marTop w:val="0"/>
      <w:marBottom w:val="0"/>
      <w:divBdr>
        <w:top w:val="none" w:sz="0" w:space="0" w:color="auto"/>
        <w:left w:val="none" w:sz="0" w:space="0" w:color="auto"/>
        <w:bottom w:val="none" w:sz="0" w:space="0" w:color="auto"/>
        <w:right w:val="none" w:sz="0" w:space="0" w:color="auto"/>
      </w:divBdr>
    </w:div>
    <w:div w:id="1519389249">
      <w:bodyDiv w:val="1"/>
      <w:marLeft w:val="0"/>
      <w:marRight w:val="0"/>
      <w:marTop w:val="0"/>
      <w:marBottom w:val="0"/>
      <w:divBdr>
        <w:top w:val="none" w:sz="0" w:space="0" w:color="auto"/>
        <w:left w:val="none" w:sz="0" w:space="0" w:color="auto"/>
        <w:bottom w:val="none" w:sz="0" w:space="0" w:color="auto"/>
        <w:right w:val="none" w:sz="0" w:space="0" w:color="auto"/>
      </w:divBdr>
    </w:div>
    <w:div w:id="1607733371">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3804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17E9E-8AB9-4AA5-92D3-B5ADC4A2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13940</Words>
  <Characters>81059</Characters>
  <Application>Microsoft Office Word</Application>
  <DocSecurity>0</DocSecurity>
  <Lines>675</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2022-02-24T00:07:00Z</dcterms:created>
  <dcterms:modified xsi:type="dcterms:W3CDTF">2022-03-02T03:04:00Z</dcterms:modified>
</cp:coreProperties>
</file>